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bidi w:val="0"/>
        <w:spacing w:line="600" w:lineRule="exact"/>
        <w:jc w:val="both"/>
        <w:rPr>
          <w:rFonts w:hint="default" w:ascii="宋体" w:hAnsi="宋体" w:eastAsia="宋体"/>
          <w:b/>
          <w:color w:val="auto"/>
          <w:sz w:val="52"/>
          <w:szCs w:val="52"/>
          <w:lang w:val="en-US" w:eastAsia="zh-CN"/>
        </w:rPr>
      </w:pPr>
    </w:p>
    <w:p>
      <w:pPr>
        <w:keepLines w:val="0"/>
        <w:pageBreakBefore w:val="0"/>
        <w:kinsoku/>
        <w:wordWrap/>
        <w:overflowPunct/>
        <w:topLinePunct w:val="0"/>
        <w:bidi w:val="0"/>
        <w:spacing w:line="600" w:lineRule="exact"/>
        <w:jc w:val="both"/>
        <w:rPr>
          <w:rFonts w:hint="eastAsia" w:ascii="宋体" w:hAnsi="宋体"/>
          <w:b/>
          <w:color w:val="auto"/>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color w:val="auto"/>
          <w:kern w:val="2"/>
          <w:sz w:val="52"/>
          <w:szCs w:val="52"/>
          <w:lang w:eastAsia="zh-CN"/>
        </w:rPr>
      </w:pPr>
      <w:r>
        <w:rPr>
          <w:rFonts w:hint="eastAsia" w:ascii="仿宋" w:hAnsi="仿宋" w:eastAsia="仿宋" w:cs="仿宋"/>
          <w:b/>
          <w:color w:val="auto"/>
          <w:kern w:val="2"/>
          <w:sz w:val="52"/>
          <w:szCs w:val="52"/>
          <w:lang w:eastAsia="zh-CN"/>
        </w:rPr>
        <w:t>哈密市公共资源交易服务中心</w:t>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宋体" w:hAnsi="宋体"/>
          <w:b/>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color w:val="auto"/>
          <w:kern w:val="2"/>
          <w:sz w:val="72"/>
          <w:szCs w:val="72"/>
          <w:lang w:eastAsia="zh-CN"/>
        </w:rPr>
      </w:pPr>
      <w:r>
        <w:rPr>
          <w:rFonts w:hint="eastAsia" w:ascii="仿宋" w:hAnsi="仿宋" w:eastAsia="仿宋" w:cs="仿宋"/>
          <w:b/>
          <w:bCs/>
          <w:color w:val="auto"/>
          <w:kern w:val="2"/>
          <w:sz w:val="72"/>
          <w:szCs w:val="72"/>
          <w:lang w:eastAsia="zh-CN"/>
        </w:rPr>
        <w:t>竞争性磋商文件</w:t>
      </w:r>
    </w:p>
    <w:p>
      <w:pPr>
        <w:keepLines w:val="0"/>
        <w:pageBreakBefore w:val="0"/>
        <w:kinsoku/>
        <w:wordWrap/>
        <w:overflowPunct/>
        <w:topLinePunct w:val="0"/>
        <w:bidi w:val="0"/>
        <w:spacing w:line="600" w:lineRule="exact"/>
        <w:jc w:val="both"/>
        <w:rPr>
          <w:rFonts w:hint="eastAsia" w:ascii="宋体" w:hAnsi="宋体"/>
          <w:b/>
          <w:color w:val="auto"/>
          <w:sz w:val="84"/>
          <w:szCs w:val="84"/>
          <w:lang w:eastAsia="zh-CN"/>
        </w:rPr>
      </w:pPr>
      <w:bookmarkStart w:id="66" w:name="_GoBack"/>
      <w:bookmarkEnd w:id="66"/>
    </w:p>
    <w:p>
      <w:pPr>
        <w:keepLines w:val="0"/>
        <w:pageBreakBefore w:val="0"/>
        <w:kinsoku/>
        <w:wordWrap/>
        <w:overflowPunct/>
        <w:topLinePunct w:val="0"/>
        <w:bidi w:val="0"/>
        <w:spacing w:line="600" w:lineRule="exact"/>
        <w:jc w:val="both"/>
        <w:rPr>
          <w:rFonts w:hint="eastAsia" w:ascii="宋体" w:hAnsi="宋体"/>
          <w:b/>
          <w:color w:val="auto"/>
          <w:sz w:val="84"/>
          <w:szCs w:val="84"/>
          <w:lang w:eastAsia="zh-CN"/>
        </w:rPr>
      </w:pPr>
    </w:p>
    <w:p>
      <w:pPr>
        <w:keepLines w:val="0"/>
        <w:pageBreakBefore w:val="0"/>
        <w:kinsoku/>
        <w:wordWrap/>
        <w:overflowPunct/>
        <w:topLinePunct w:val="0"/>
        <w:bidi w:val="0"/>
        <w:spacing w:line="600" w:lineRule="exact"/>
        <w:jc w:val="both"/>
        <w:rPr>
          <w:rFonts w:hint="eastAsia" w:ascii="宋体" w:hAnsi="宋体"/>
          <w:b/>
          <w:color w:val="auto"/>
          <w:sz w:val="84"/>
          <w:szCs w:val="8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2617" w:leftChars="713" w:hanging="1120" w:hangingChars="400"/>
        <w:jc w:val="both"/>
        <w:textAlignment w:val="auto"/>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eastAsia="zh-CN"/>
        </w:rPr>
        <w:t>项目名称：</w:t>
      </w:r>
      <w:r>
        <w:rPr>
          <w:rFonts w:hint="eastAsia" w:ascii="仿宋" w:hAnsi="仿宋" w:eastAsia="仿宋" w:cs="仿宋"/>
          <w:sz w:val="28"/>
          <w:szCs w:val="28"/>
          <w:lang w:val="en-US" w:eastAsia="zh-CN"/>
        </w:rPr>
        <w:t>新疆铁道职业技术学院哈密新校区智能多媒体教室建设项目</w:t>
      </w:r>
    </w:p>
    <w:p>
      <w:pPr>
        <w:keepNext w:val="0"/>
        <w:keepLines w:val="0"/>
        <w:pageBreakBefore w:val="0"/>
        <w:widowControl w:val="0"/>
        <w:kinsoku/>
        <w:wordWrap/>
        <w:overflowPunct/>
        <w:topLinePunct w:val="0"/>
        <w:autoSpaceDE/>
        <w:autoSpaceDN/>
        <w:bidi w:val="0"/>
        <w:adjustRightInd/>
        <w:snapToGrid/>
        <w:spacing w:line="600" w:lineRule="exact"/>
        <w:ind w:firstLine="1400" w:firstLineChars="5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招标单位：哈密市公共资源交易服务中心</w:t>
      </w:r>
    </w:p>
    <w:p>
      <w:pPr>
        <w:keepNext w:val="0"/>
        <w:keepLines w:val="0"/>
        <w:pageBreakBefore w:val="0"/>
        <w:widowControl w:val="0"/>
        <w:kinsoku/>
        <w:wordWrap/>
        <w:overflowPunct/>
        <w:topLinePunct w:val="0"/>
        <w:autoSpaceDE/>
        <w:autoSpaceDN/>
        <w:bidi w:val="0"/>
        <w:adjustRightInd/>
        <w:snapToGrid/>
        <w:spacing w:line="600" w:lineRule="exact"/>
        <w:ind w:firstLine="1400" w:firstLineChars="500"/>
        <w:jc w:val="both"/>
        <w:textAlignment w:val="auto"/>
        <w:rPr>
          <w:rFonts w:hint="eastAsia" w:ascii="仿宋" w:hAnsi="仿宋" w:eastAsia="仿宋" w:cs="仿宋"/>
          <w:sz w:val="28"/>
          <w:szCs w:val="28"/>
          <w:lang w:val="en-US" w:eastAsia="zh-CN"/>
        </w:rPr>
      </w:pPr>
      <w:r>
        <w:rPr>
          <w:rFonts w:hint="eastAsia" w:ascii="仿宋" w:hAnsi="仿宋" w:eastAsia="仿宋" w:cs="仿宋"/>
          <w:color w:val="auto"/>
          <w:kern w:val="2"/>
          <w:sz w:val="28"/>
          <w:szCs w:val="28"/>
          <w:lang w:eastAsia="zh-CN"/>
        </w:rPr>
        <w:t>采购单位：</w:t>
      </w:r>
      <w:r>
        <w:rPr>
          <w:rFonts w:hint="eastAsia" w:ascii="仿宋" w:hAnsi="仿宋" w:eastAsia="仿宋" w:cs="仿宋"/>
          <w:sz w:val="28"/>
          <w:szCs w:val="28"/>
          <w:lang w:val="en-US" w:eastAsia="zh-CN"/>
        </w:rPr>
        <w:t>新疆铁道职业技术学院</w:t>
      </w:r>
    </w:p>
    <w:p>
      <w:pPr>
        <w:keepNext w:val="0"/>
        <w:keepLines w:val="0"/>
        <w:pageBreakBefore w:val="0"/>
        <w:widowControl w:val="0"/>
        <w:kinsoku/>
        <w:wordWrap/>
        <w:overflowPunct/>
        <w:topLinePunct w:val="0"/>
        <w:autoSpaceDE/>
        <w:autoSpaceDN/>
        <w:bidi w:val="0"/>
        <w:adjustRightInd/>
        <w:snapToGrid/>
        <w:spacing w:line="600" w:lineRule="exact"/>
        <w:ind w:firstLine="1400" w:firstLineChars="500"/>
        <w:jc w:val="both"/>
        <w:textAlignment w:val="auto"/>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eastAsia="zh-CN"/>
        </w:rPr>
        <w:t>文件编号：</w:t>
      </w:r>
      <w:r>
        <w:rPr>
          <w:rFonts w:hint="eastAsia" w:ascii="仿宋" w:hAnsi="仿宋" w:eastAsia="仿宋" w:cs="仿宋"/>
          <w:sz w:val="28"/>
          <w:szCs w:val="28"/>
        </w:rPr>
        <w:t>GGZY-（</w:t>
      </w:r>
      <w:r>
        <w:rPr>
          <w:rFonts w:hint="eastAsia" w:ascii="仿宋" w:hAnsi="仿宋" w:eastAsia="仿宋" w:cs="仿宋"/>
          <w:sz w:val="28"/>
          <w:szCs w:val="28"/>
          <w:lang w:val="en-US" w:eastAsia="zh-CN"/>
        </w:rPr>
        <w:t>CS</w:t>
      </w:r>
      <w:r>
        <w:rPr>
          <w:rFonts w:hint="eastAsia" w:ascii="仿宋" w:hAnsi="仿宋" w:eastAsia="仿宋" w:cs="仿宋"/>
          <w:sz w:val="28"/>
          <w:szCs w:val="28"/>
        </w:rPr>
        <w:t>）CG20</w:t>
      </w:r>
      <w:r>
        <w:rPr>
          <w:rFonts w:hint="eastAsia" w:ascii="仿宋" w:hAnsi="仿宋" w:eastAsia="仿宋" w:cs="仿宋"/>
          <w:sz w:val="28"/>
          <w:szCs w:val="28"/>
          <w:lang w:val="en-US" w:eastAsia="zh-CN"/>
        </w:rPr>
        <w:t>24036</w:t>
      </w:r>
    </w:p>
    <w:p>
      <w:pPr>
        <w:keepLines w:val="0"/>
        <w:pageBreakBefore w:val="0"/>
        <w:kinsoku/>
        <w:wordWrap/>
        <w:overflowPunct/>
        <w:topLinePunct w:val="0"/>
        <w:bidi w:val="0"/>
        <w:spacing w:line="600" w:lineRule="exact"/>
        <w:jc w:val="both"/>
        <w:rPr>
          <w:rFonts w:hint="eastAsia" w:ascii="宋体" w:hAnsi="宋体"/>
          <w:color w:val="auto"/>
          <w:sz w:val="28"/>
          <w:lang w:eastAsia="zh-CN"/>
        </w:rPr>
      </w:pPr>
    </w:p>
    <w:p>
      <w:pPr>
        <w:keepLines w:val="0"/>
        <w:pageBreakBefore w:val="0"/>
        <w:kinsoku/>
        <w:wordWrap/>
        <w:overflowPunct/>
        <w:topLinePunct w:val="0"/>
        <w:bidi w:val="0"/>
        <w:spacing w:line="600" w:lineRule="exact"/>
        <w:jc w:val="both"/>
        <w:rPr>
          <w:rFonts w:hint="eastAsia" w:ascii="宋体" w:hAnsi="宋体"/>
          <w:b/>
          <w:color w:val="auto"/>
          <w:sz w:val="44"/>
          <w:lang w:eastAsia="zh-CN"/>
        </w:rPr>
      </w:pPr>
    </w:p>
    <w:p>
      <w:pPr>
        <w:keepLines w:val="0"/>
        <w:pageBreakBefore w:val="0"/>
        <w:kinsoku/>
        <w:wordWrap/>
        <w:overflowPunct/>
        <w:topLinePunct w:val="0"/>
        <w:bidi w:val="0"/>
        <w:spacing w:line="600" w:lineRule="exact"/>
        <w:jc w:val="both"/>
        <w:rPr>
          <w:rFonts w:hint="eastAsia" w:ascii="宋体" w:hAnsi="宋体"/>
          <w:b/>
          <w:color w:val="auto"/>
          <w:sz w:val="44"/>
          <w:lang w:eastAsia="zh-CN"/>
        </w:rPr>
      </w:pPr>
    </w:p>
    <w:p>
      <w:pPr>
        <w:keepLines w:val="0"/>
        <w:pageBreakBefore w:val="0"/>
        <w:widowControl w:val="0"/>
        <w:kinsoku/>
        <w:wordWrap/>
        <w:overflowPunct/>
        <w:topLinePunct w:val="0"/>
        <w:bidi w:val="0"/>
        <w:spacing w:line="600" w:lineRule="exact"/>
        <w:jc w:val="center"/>
        <w:rPr>
          <w:rFonts w:hint="eastAsia" w:ascii="仿宋" w:hAnsi="仿宋" w:eastAsia="仿宋" w:cs="仿宋"/>
          <w:b/>
          <w:bCs w:val="0"/>
          <w:color w:val="auto"/>
          <w:kern w:val="2"/>
          <w:sz w:val="44"/>
          <w:szCs w:val="22"/>
          <w:lang w:eastAsia="zh-CN"/>
        </w:rPr>
        <w:sectPr>
          <w:headerReference r:id="rId5" w:type="first"/>
          <w:footerReference r:id="rId8" w:type="first"/>
          <w:headerReference r:id="rId3" w:type="default"/>
          <w:footerReference r:id="rId6" w:type="default"/>
          <w:headerReference r:id="rId4" w:type="even"/>
          <w:footerReference r:id="rId7" w:type="even"/>
          <w:pgSz w:w="11900" w:h="16840"/>
          <w:pgMar w:top="1440" w:right="1531" w:bottom="1440" w:left="1531" w:header="851" w:footer="992" w:gutter="0"/>
          <w:pgNumType w:fmt="decimal"/>
          <w:cols w:space="720" w:num="1"/>
          <w:titlePg/>
        </w:sectPr>
      </w:pPr>
      <w:r>
        <w:rPr>
          <w:rFonts w:hint="eastAsia" w:ascii="仿宋" w:hAnsi="仿宋" w:eastAsia="仿宋" w:cs="仿宋"/>
          <w:b/>
          <w:bCs w:val="0"/>
          <w:color w:val="auto"/>
          <w:kern w:val="2"/>
          <w:sz w:val="44"/>
          <w:szCs w:val="22"/>
          <w:lang w:eastAsia="zh-CN"/>
        </w:rPr>
        <w:t>二0二四年七月</w:t>
      </w:r>
    </w:p>
    <w:p>
      <w:pPr>
        <w:pStyle w:val="21"/>
        <w:keepLines w:val="0"/>
        <w:pageBreakBefore w:val="0"/>
        <w:kinsoku/>
        <w:wordWrap/>
        <w:overflowPunct/>
        <w:topLinePunct w:val="0"/>
        <w:bidi w:val="0"/>
        <w:spacing w:line="600" w:lineRule="exact"/>
        <w:jc w:val="both"/>
        <w:rPr>
          <w:rFonts w:hint="eastAsia" w:ascii="宋体" w:hAnsi="宋体" w:eastAsia="宋体"/>
          <w:color w:val="auto"/>
          <w:sz w:val="20"/>
          <w:szCs w:val="20"/>
          <w:lang w:eastAsia="zh-CN"/>
        </w:rPr>
      </w:pPr>
    </w:p>
    <w:p>
      <w:pPr>
        <w:keepNext w:val="0"/>
        <w:keepLines w:val="0"/>
        <w:pageBreakBefore w:val="0"/>
        <w:widowControl w:val="0"/>
        <w:kinsoku/>
        <w:wordWrap/>
        <w:overflowPunct/>
        <w:topLinePunct w:val="0"/>
        <w:bidi w:val="0"/>
        <w:snapToGrid/>
        <w:spacing w:line="560" w:lineRule="exact"/>
        <w:ind w:firstLine="3740" w:firstLineChars="850"/>
        <w:jc w:val="both"/>
        <w:textAlignment w:val="auto"/>
        <w:rPr>
          <w:rFonts w:hint="eastAsia" w:ascii="方正小标宋简体" w:hAnsi="方正小标宋简体" w:eastAsia="方正小标宋简体" w:cs="方正小标宋简体"/>
          <w:color w:val="auto"/>
          <w:kern w:val="2"/>
          <w:sz w:val="44"/>
          <w:szCs w:val="44"/>
          <w:lang w:eastAsia="zh-CN"/>
        </w:rPr>
      </w:pPr>
      <w:r>
        <w:rPr>
          <w:rFonts w:hint="eastAsia" w:ascii="方正小标宋简体" w:hAnsi="方正小标宋简体" w:eastAsia="方正小标宋简体" w:cs="方正小标宋简体"/>
          <w:color w:val="auto"/>
          <w:kern w:val="2"/>
          <w:sz w:val="44"/>
          <w:szCs w:val="44"/>
          <w:lang w:eastAsia="zh-CN"/>
        </w:rPr>
        <w:t>目    录</w:t>
      </w:r>
    </w:p>
    <w:p>
      <w:pPr>
        <w:pStyle w:val="21"/>
        <w:keepNext w:val="0"/>
        <w:keepLines w:val="0"/>
        <w:pageBreakBefore w:val="0"/>
        <w:kinsoku/>
        <w:wordWrap/>
        <w:overflowPunct/>
        <w:topLinePunct w:val="0"/>
        <w:bidi w:val="0"/>
        <w:snapToGrid/>
        <w:spacing w:line="560" w:lineRule="exact"/>
        <w:jc w:val="both"/>
        <w:textAlignment w:val="auto"/>
        <w:outlineLvl w:val="0"/>
        <w:rPr>
          <w:rFonts w:hint="eastAsia" w:ascii="宋体" w:hAnsi="宋体" w:eastAsia="宋体" w:cs="宋体"/>
          <w:b/>
          <w:bCs/>
          <w:color w:val="auto"/>
          <w:sz w:val="48"/>
          <w:szCs w:val="48"/>
          <w:lang w:eastAsia="zh-CN"/>
        </w:rPr>
      </w:pPr>
    </w:p>
    <w:p>
      <w:pPr>
        <w:pStyle w:val="22"/>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
          <w:bCs/>
          <w:color w:val="auto"/>
          <w:sz w:val="32"/>
          <w:szCs w:val="36"/>
        </w:rPr>
      </w:pPr>
      <w:bookmarkStart w:id="0" w:name="_Toc6685_WPSOffice_Type2"/>
      <w:r>
        <w:rPr>
          <w:rFonts w:hint="eastAsia" w:ascii="仿宋" w:hAnsi="仿宋" w:eastAsia="仿宋" w:cs="仿宋"/>
          <w:b/>
          <w:bCs/>
          <w:color w:val="auto"/>
          <w:sz w:val="32"/>
          <w:szCs w:val="36"/>
        </w:rPr>
        <w:fldChar w:fldCharType="begin"/>
      </w:r>
      <w:r>
        <w:rPr>
          <w:rFonts w:hint="eastAsia" w:ascii="仿宋" w:hAnsi="仿宋" w:eastAsia="仿宋" w:cs="仿宋"/>
          <w:b/>
          <w:bCs/>
          <w:color w:val="auto"/>
          <w:sz w:val="32"/>
          <w:szCs w:val="36"/>
        </w:rPr>
        <w:instrText xml:space="preserve"> HYPERLINK \l _Toc25102_WPSOffice_Level1 </w:instrText>
      </w:r>
      <w:r>
        <w:rPr>
          <w:rFonts w:hint="eastAsia" w:ascii="仿宋" w:hAnsi="仿宋" w:eastAsia="仿宋" w:cs="仿宋"/>
          <w:b/>
          <w:bCs/>
          <w:color w:val="auto"/>
          <w:sz w:val="32"/>
          <w:szCs w:val="36"/>
        </w:rPr>
        <w:fldChar w:fldCharType="separate"/>
      </w:r>
      <w:r>
        <w:rPr>
          <w:rFonts w:hint="eastAsia" w:ascii="仿宋" w:hAnsi="仿宋" w:eastAsia="仿宋" w:cs="仿宋"/>
          <w:b/>
          <w:bCs/>
          <w:color w:val="auto"/>
          <w:sz w:val="32"/>
          <w:szCs w:val="36"/>
        </w:rPr>
        <w:t>第一部分   竞争性磋商公告</w:t>
      </w:r>
      <w:r>
        <w:rPr>
          <w:rFonts w:hint="eastAsia" w:ascii="仿宋" w:hAnsi="仿宋" w:eastAsia="仿宋" w:cs="仿宋"/>
          <w:b/>
          <w:bCs/>
          <w:color w:val="auto"/>
          <w:sz w:val="32"/>
          <w:szCs w:val="36"/>
        </w:rPr>
        <w:tab/>
      </w:r>
      <w:r>
        <w:rPr>
          <w:rFonts w:hint="eastAsia" w:ascii="仿宋" w:hAnsi="仿宋" w:eastAsia="仿宋" w:cs="仿宋"/>
          <w:b/>
          <w:bCs/>
          <w:color w:val="auto"/>
          <w:sz w:val="32"/>
          <w:szCs w:val="36"/>
        </w:rPr>
        <w:fldChar w:fldCharType="end"/>
      </w:r>
    </w:p>
    <w:p>
      <w:pPr>
        <w:pStyle w:val="22"/>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
          <w:bCs/>
          <w:color w:val="auto"/>
          <w:sz w:val="32"/>
          <w:szCs w:val="36"/>
        </w:rPr>
      </w:pPr>
      <w:r>
        <w:rPr>
          <w:rFonts w:hint="eastAsia" w:ascii="仿宋" w:hAnsi="仿宋" w:eastAsia="仿宋" w:cs="仿宋"/>
          <w:b/>
          <w:bCs/>
          <w:color w:val="auto"/>
          <w:sz w:val="32"/>
          <w:szCs w:val="36"/>
        </w:rPr>
        <w:fldChar w:fldCharType="begin"/>
      </w:r>
      <w:r>
        <w:rPr>
          <w:rFonts w:hint="eastAsia" w:ascii="仿宋" w:hAnsi="仿宋" w:eastAsia="仿宋" w:cs="仿宋"/>
          <w:b/>
          <w:bCs/>
          <w:color w:val="auto"/>
          <w:sz w:val="32"/>
          <w:szCs w:val="36"/>
        </w:rPr>
        <w:instrText xml:space="preserve"> HYPERLINK \l _Toc32713_WPSOffice_Level1 </w:instrText>
      </w:r>
      <w:r>
        <w:rPr>
          <w:rFonts w:hint="eastAsia" w:ascii="仿宋" w:hAnsi="仿宋" w:eastAsia="仿宋" w:cs="仿宋"/>
          <w:b/>
          <w:bCs/>
          <w:color w:val="auto"/>
          <w:sz w:val="32"/>
          <w:szCs w:val="36"/>
        </w:rPr>
        <w:fldChar w:fldCharType="separate"/>
      </w:r>
      <w:r>
        <w:rPr>
          <w:rFonts w:hint="eastAsia" w:ascii="仿宋" w:hAnsi="仿宋" w:eastAsia="仿宋" w:cs="仿宋"/>
          <w:b/>
          <w:bCs/>
          <w:color w:val="auto"/>
          <w:sz w:val="32"/>
          <w:szCs w:val="36"/>
        </w:rPr>
        <w:t>第二部分   响应单位须知</w:t>
      </w:r>
      <w:r>
        <w:rPr>
          <w:rFonts w:hint="eastAsia" w:ascii="仿宋" w:hAnsi="仿宋" w:eastAsia="仿宋" w:cs="仿宋"/>
          <w:b/>
          <w:bCs/>
          <w:color w:val="auto"/>
          <w:sz w:val="32"/>
          <w:szCs w:val="36"/>
        </w:rPr>
        <w:tab/>
      </w:r>
      <w:r>
        <w:rPr>
          <w:rFonts w:hint="eastAsia" w:ascii="仿宋" w:hAnsi="仿宋" w:eastAsia="仿宋" w:cs="仿宋"/>
          <w:b/>
          <w:bCs/>
          <w:color w:val="auto"/>
          <w:sz w:val="32"/>
          <w:szCs w:val="36"/>
        </w:rPr>
        <w:fldChar w:fldCharType="end"/>
      </w:r>
    </w:p>
    <w:p>
      <w:pPr>
        <w:pStyle w:val="22"/>
        <w:keepNext w:val="0"/>
        <w:keepLines w:val="0"/>
        <w:pageBreakBefore w:val="0"/>
        <w:kinsoku/>
        <w:wordWrap/>
        <w:overflowPunct/>
        <w:topLinePunct w:val="0"/>
        <w:bidi w:val="0"/>
        <w:snapToGrid/>
        <w:spacing w:line="560" w:lineRule="exact"/>
        <w:jc w:val="both"/>
        <w:textAlignment w:val="auto"/>
        <w:rPr>
          <w:color w:val="auto"/>
          <w:sz w:val="28"/>
          <w:szCs w:val="28"/>
        </w:rPr>
      </w:pPr>
      <w:r>
        <w:rPr>
          <w:rFonts w:hint="eastAsia" w:ascii="仿宋" w:hAnsi="仿宋" w:eastAsia="仿宋" w:cs="仿宋"/>
          <w:b/>
          <w:bCs/>
          <w:color w:val="auto"/>
          <w:sz w:val="32"/>
          <w:szCs w:val="36"/>
        </w:rPr>
        <w:fldChar w:fldCharType="begin"/>
      </w:r>
      <w:r>
        <w:rPr>
          <w:rFonts w:hint="eastAsia" w:ascii="仿宋" w:hAnsi="仿宋" w:eastAsia="仿宋" w:cs="仿宋"/>
          <w:b/>
          <w:bCs/>
          <w:color w:val="auto"/>
          <w:sz w:val="32"/>
          <w:szCs w:val="36"/>
        </w:rPr>
        <w:instrText xml:space="preserve"> HYPERLINK \l _Toc11493_WPSOffice_Level1 </w:instrText>
      </w:r>
      <w:r>
        <w:rPr>
          <w:rFonts w:hint="eastAsia" w:ascii="仿宋" w:hAnsi="仿宋" w:eastAsia="仿宋" w:cs="仿宋"/>
          <w:b/>
          <w:bCs/>
          <w:color w:val="auto"/>
          <w:sz w:val="32"/>
          <w:szCs w:val="36"/>
        </w:rPr>
        <w:fldChar w:fldCharType="separate"/>
      </w:r>
      <w:r>
        <w:rPr>
          <w:rFonts w:hint="eastAsia" w:ascii="仿宋" w:hAnsi="仿宋" w:eastAsia="仿宋" w:cs="仿宋"/>
          <w:b/>
          <w:bCs/>
          <w:color w:val="auto"/>
          <w:sz w:val="32"/>
          <w:szCs w:val="36"/>
        </w:rPr>
        <w:t>第三部分   磋商说明</w:t>
      </w:r>
      <w:r>
        <w:rPr>
          <w:rFonts w:hint="eastAsia" w:ascii="仿宋" w:hAnsi="仿宋" w:eastAsia="仿宋" w:cs="仿宋"/>
          <w:b/>
          <w:bCs/>
          <w:color w:val="auto"/>
          <w:sz w:val="32"/>
          <w:szCs w:val="36"/>
        </w:rPr>
        <w:tab/>
      </w:r>
      <w:r>
        <w:rPr>
          <w:rFonts w:hint="eastAsia" w:ascii="仿宋" w:hAnsi="仿宋" w:eastAsia="仿宋" w:cs="仿宋"/>
          <w:b/>
          <w:bCs/>
          <w:color w:val="auto"/>
          <w:sz w:val="32"/>
          <w:szCs w:val="36"/>
        </w:rPr>
        <w:fldChar w:fldCharType="end"/>
      </w:r>
    </w:p>
    <w:p>
      <w:pPr>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Cs/>
          <w:color w:val="auto"/>
          <w:sz w:val="28"/>
        </w:rPr>
      </w:pPr>
      <w:r>
        <w:rPr>
          <w:rFonts w:hint="eastAsia" w:ascii="仿宋" w:hAnsi="仿宋" w:eastAsia="仿宋" w:cs="仿宋"/>
          <w:bCs/>
          <w:color w:val="auto"/>
          <w:sz w:val="28"/>
        </w:rPr>
        <w:t>第一章、对投标方的资质要求</w:t>
      </w:r>
      <w:r>
        <w:rPr>
          <w:rFonts w:hint="eastAsia" w:ascii="仿宋" w:hAnsi="仿宋" w:eastAsia="仿宋" w:cs="仿宋"/>
          <w:color w:val="auto"/>
          <w:sz w:val="11"/>
          <w:szCs w:val="36"/>
        </w:rPr>
        <w:t>……………………………………………………………………………………………………</w:t>
      </w:r>
    </w:p>
    <w:p>
      <w:pPr>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Cs/>
          <w:color w:val="auto"/>
          <w:sz w:val="28"/>
          <w:szCs w:val="32"/>
        </w:rPr>
      </w:pPr>
      <w:r>
        <w:rPr>
          <w:rFonts w:hint="eastAsia" w:ascii="仿宋" w:hAnsi="仿宋" w:eastAsia="仿宋" w:cs="仿宋"/>
          <w:bCs/>
          <w:color w:val="auto"/>
          <w:sz w:val="28"/>
          <w:szCs w:val="32"/>
        </w:rPr>
        <w:t>第二章、投标文件的编写</w:t>
      </w:r>
      <w:r>
        <w:rPr>
          <w:rFonts w:hint="eastAsia" w:ascii="仿宋" w:hAnsi="仿宋" w:eastAsia="仿宋" w:cs="仿宋"/>
          <w:color w:val="auto"/>
          <w:sz w:val="11"/>
          <w:szCs w:val="36"/>
        </w:rPr>
        <w:t>…………………………………………………………………………………………………………………</w:t>
      </w:r>
    </w:p>
    <w:p>
      <w:pPr>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Cs/>
          <w:color w:val="auto"/>
          <w:kern w:val="2"/>
          <w:sz w:val="28"/>
          <w:szCs w:val="22"/>
          <w:lang w:eastAsia="zh-CN"/>
        </w:rPr>
      </w:pPr>
      <w:r>
        <w:rPr>
          <w:rFonts w:hint="eastAsia" w:ascii="仿宋" w:hAnsi="仿宋" w:eastAsia="仿宋" w:cs="仿宋"/>
          <w:bCs/>
          <w:color w:val="auto"/>
          <w:sz w:val="28"/>
          <w:szCs w:val="32"/>
        </w:rPr>
        <w:t>第三章、投标文件的递交</w:t>
      </w:r>
      <w:r>
        <w:rPr>
          <w:rFonts w:hint="eastAsia" w:ascii="仿宋" w:hAnsi="仿宋" w:eastAsia="仿宋" w:cs="仿宋"/>
          <w:color w:val="auto"/>
          <w:sz w:val="11"/>
          <w:szCs w:val="36"/>
        </w:rPr>
        <w:t>…………………………………………………………………………………………………………………</w:t>
      </w:r>
    </w:p>
    <w:p>
      <w:pPr>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Cs/>
          <w:color w:val="auto"/>
          <w:kern w:val="2"/>
          <w:sz w:val="28"/>
          <w:szCs w:val="22"/>
          <w:lang w:eastAsia="zh-CN"/>
        </w:rPr>
      </w:pPr>
      <w:r>
        <w:rPr>
          <w:rFonts w:hint="eastAsia" w:ascii="仿宋" w:hAnsi="仿宋" w:eastAsia="仿宋" w:cs="仿宋"/>
          <w:bCs/>
          <w:color w:val="auto"/>
          <w:kern w:val="2"/>
          <w:sz w:val="28"/>
          <w:szCs w:val="22"/>
          <w:lang w:eastAsia="zh-CN"/>
        </w:rPr>
        <w:fldChar w:fldCharType="begin"/>
      </w:r>
      <w:r>
        <w:rPr>
          <w:rFonts w:hint="eastAsia" w:ascii="仿宋" w:hAnsi="仿宋" w:eastAsia="仿宋" w:cs="仿宋"/>
          <w:bCs/>
          <w:color w:val="auto"/>
          <w:kern w:val="2"/>
          <w:sz w:val="28"/>
          <w:szCs w:val="22"/>
          <w:lang w:eastAsia="zh-CN"/>
        </w:rPr>
        <w:instrText xml:space="preserve"> HYPERLINK \l _Toc11188_WPSOffice_Level2 </w:instrText>
      </w:r>
      <w:r>
        <w:rPr>
          <w:rFonts w:hint="eastAsia" w:ascii="仿宋" w:hAnsi="仿宋" w:eastAsia="仿宋" w:cs="仿宋"/>
          <w:bCs/>
          <w:color w:val="auto"/>
          <w:kern w:val="2"/>
          <w:sz w:val="28"/>
          <w:szCs w:val="22"/>
          <w:lang w:eastAsia="zh-CN"/>
        </w:rPr>
        <w:fldChar w:fldCharType="separate"/>
      </w:r>
      <w:r>
        <w:rPr>
          <w:rFonts w:hint="eastAsia" w:ascii="仿宋" w:hAnsi="仿宋" w:eastAsia="仿宋" w:cs="仿宋"/>
          <w:bCs/>
          <w:color w:val="auto"/>
          <w:kern w:val="2"/>
          <w:sz w:val="28"/>
          <w:szCs w:val="22"/>
          <w:lang w:eastAsia="zh-CN"/>
        </w:rPr>
        <w:t>第四章、开标、磋商及评标</w:t>
      </w:r>
      <w:r>
        <w:rPr>
          <w:rFonts w:hint="eastAsia" w:ascii="仿宋" w:hAnsi="仿宋" w:eastAsia="仿宋" w:cs="仿宋"/>
          <w:color w:val="auto"/>
          <w:sz w:val="11"/>
          <w:szCs w:val="36"/>
        </w:rPr>
        <w:t>……………………………………………………………………………………………………………………………</w:t>
      </w:r>
      <w:r>
        <w:rPr>
          <w:rFonts w:hint="eastAsia" w:ascii="仿宋" w:hAnsi="仿宋" w:eastAsia="仿宋" w:cs="仿宋"/>
          <w:bCs/>
          <w:color w:val="auto"/>
          <w:kern w:val="2"/>
          <w:sz w:val="28"/>
          <w:szCs w:val="22"/>
          <w:lang w:eastAsia="zh-CN"/>
        </w:rPr>
        <w:fldChar w:fldCharType="end"/>
      </w:r>
    </w:p>
    <w:p>
      <w:pPr>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sz w:val="11"/>
          <w:szCs w:val="36"/>
        </w:rPr>
      </w:pPr>
      <w:r>
        <w:rPr>
          <w:rFonts w:hint="eastAsia" w:ascii="仿宋" w:hAnsi="仿宋" w:eastAsia="仿宋" w:cs="仿宋"/>
          <w:bCs/>
          <w:color w:val="auto"/>
          <w:sz w:val="28"/>
          <w:szCs w:val="32"/>
        </w:rPr>
        <w:t>第五章、定　标</w:t>
      </w:r>
      <w:r>
        <w:rPr>
          <w:rFonts w:hint="eastAsia" w:ascii="仿宋" w:hAnsi="仿宋" w:eastAsia="仿宋" w:cs="仿宋"/>
          <w:color w:val="auto"/>
          <w:sz w:val="11"/>
          <w:szCs w:val="36"/>
        </w:rPr>
        <w:t>……………………………………………………………………………………………………………………………………………</w:t>
      </w:r>
    </w:p>
    <w:p>
      <w:pPr>
        <w:keepNext w:val="0"/>
        <w:keepLines w:val="0"/>
        <w:pageBreakBefore w:val="0"/>
        <w:kinsoku/>
        <w:wordWrap/>
        <w:overflowPunct/>
        <w:topLinePunct w:val="0"/>
        <w:bidi w:val="0"/>
        <w:snapToGrid/>
        <w:spacing w:line="560" w:lineRule="exact"/>
        <w:jc w:val="both"/>
        <w:textAlignment w:val="auto"/>
        <w:rPr>
          <w:color w:val="auto"/>
          <w:sz w:val="28"/>
          <w:szCs w:val="28"/>
        </w:rPr>
      </w:pPr>
      <w:r>
        <w:rPr>
          <w:rFonts w:hint="eastAsia" w:ascii="仿宋" w:hAnsi="仿宋" w:eastAsia="仿宋" w:cs="仿宋"/>
          <w:bCs/>
          <w:color w:val="auto"/>
          <w:sz w:val="28"/>
          <w:szCs w:val="32"/>
          <w:lang w:val="zh-CN"/>
        </w:rPr>
        <w:t>第六章、授予合同</w:t>
      </w:r>
      <w:r>
        <w:rPr>
          <w:rFonts w:hint="eastAsia" w:ascii="仿宋" w:hAnsi="仿宋" w:eastAsia="仿宋" w:cs="仿宋"/>
          <w:color w:val="auto"/>
          <w:sz w:val="11"/>
          <w:szCs w:val="36"/>
        </w:rPr>
        <w:t>……………………………………………………………………………………………………………………………………</w:t>
      </w:r>
    </w:p>
    <w:p>
      <w:pPr>
        <w:pStyle w:val="22"/>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
          <w:bCs/>
          <w:color w:val="auto"/>
          <w:sz w:val="32"/>
          <w:szCs w:val="36"/>
        </w:rPr>
      </w:pPr>
      <w:r>
        <w:rPr>
          <w:rFonts w:hint="eastAsia" w:ascii="仿宋" w:hAnsi="仿宋" w:eastAsia="仿宋" w:cs="仿宋"/>
          <w:b/>
          <w:bCs/>
          <w:color w:val="auto"/>
          <w:sz w:val="32"/>
          <w:szCs w:val="36"/>
        </w:rPr>
        <w:fldChar w:fldCharType="begin"/>
      </w:r>
      <w:r>
        <w:rPr>
          <w:rFonts w:hint="eastAsia" w:ascii="仿宋" w:hAnsi="仿宋" w:eastAsia="仿宋" w:cs="仿宋"/>
          <w:b/>
          <w:bCs/>
          <w:color w:val="auto"/>
          <w:sz w:val="32"/>
          <w:szCs w:val="36"/>
        </w:rPr>
        <w:instrText xml:space="preserve"> HYPERLINK \l _Toc19029_WPSOffice_Level1 </w:instrText>
      </w:r>
      <w:r>
        <w:rPr>
          <w:rFonts w:hint="eastAsia" w:ascii="仿宋" w:hAnsi="仿宋" w:eastAsia="仿宋" w:cs="仿宋"/>
          <w:b/>
          <w:bCs/>
          <w:color w:val="auto"/>
          <w:sz w:val="32"/>
          <w:szCs w:val="36"/>
        </w:rPr>
        <w:fldChar w:fldCharType="separate"/>
      </w:r>
      <w:r>
        <w:rPr>
          <w:rFonts w:hint="eastAsia" w:ascii="仿宋" w:hAnsi="仿宋" w:eastAsia="仿宋" w:cs="仿宋"/>
          <w:b/>
          <w:bCs/>
          <w:color w:val="auto"/>
          <w:sz w:val="32"/>
          <w:szCs w:val="36"/>
        </w:rPr>
        <w:t xml:space="preserve">第四部分   </w:t>
      </w:r>
      <w:r>
        <w:rPr>
          <w:rFonts w:hint="eastAsia" w:ascii="仿宋" w:hAnsi="仿宋" w:eastAsia="仿宋" w:cs="仿宋"/>
          <w:b/>
          <w:bCs/>
          <w:color w:val="auto"/>
          <w:sz w:val="32"/>
          <w:szCs w:val="36"/>
          <w:lang w:val="en-US" w:eastAsia="zh-CN"/>
        </w:rPr>
        <w:t>货物需求及技术规格指标说明</w:t>
      </w:r>
      <w:r>
        <w:rPr>
          <w:rFonts w:hint="eastAsia" w:ascii="仿宋" w:hAnsi="仿宋" w:eastAsia="仿宋" w:cs="仿宋"/>
          <w:b/>
          <w:bCs/>
          <w:color w:val="auto"/>
          <w:sz w:val="32"/>
          <w:szCs w:val="36"/>
        </w:rPr>
        <w:tab/>
      </w:r>
      <w:r>
        <w:rPr>
          <w:rFonts w:hint="eastAsia" w:ascii="仿宋" w:hAnsi="仿宋" w:eastAsia="仿宋" w:cs="仿宋"/>
          <w:b/>
          <w:bCs/>
          <w:color w:val="auto"/>
          <w:sz w:val="32"/>
          <w:szCs w:val="36"/>
        </w:rPr>
        <w:fldChar w:fldCharType="end"/>
      </w:r>
    </w:p>
    <w:p>
      <w:pPr>
        <w:pStyle w:val="22"/>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
          <w:bCs/>
          <w:color w:val="auto"/>
          <w:sz w:val="32"/>
          <w:szCs w:val="36"/>
        </w:rPr>
      </w:pPr>
      <w:r>
        <w:rPr>
          <w:rFonts w:hint="eastAsia" w:ascii="仿宋" w:hAnsi="仿宋" w:eastAsia="仿宋" w:cs="仿宋"/>
          <w:b/>
          <w:bCs/>
          <w:color w:val="auto"/>
          <w:sz w:val="32"/>
          <w:szCs w:val="36"/>
        </w:rPr>
        <w:fldChar w:fldCharType="begin"/>
      </w:r>
      <w:r>
        <w:rPr>
          <w:rFonts w:hint="eastAsia" w:ascii="仿宋" w:hAnsi="仿宋" w:eastAsia="仿宋" w:cs="仿宋"/>
          <w:b/>
          <w:bCs/>
          <w:color w:val="auto"/>
          <w:sz w:val="32"/>
          <w:szCs w:val="36"/>
        </w:rPr>
        <w:instrText xml:space="preserve"> HYPERLINK \l _Toc22153_WPSOffice_Level1 </w:instrText>
      </w:r>
      <w:r>
        <w:rPr>
          <w:rFonts w:hint="eastAsia" w:ascii="仿宋" w:hAnsi="仿宋" w:eastAsia="仿宋" w:cs="仿宋"/>
          <w:b/>
          <w:bCs/>
          <w:color w:val="auto"/>
          <w:sz w:val="32"/>
          <w:szCs w:val="36"/>
        </w:rPr>
        <w:fldChar w:fldCharType="separate"/>
      </w:r>
      <w:r>
        <w:rPr>
          <w:rFonts w:hint="eastAsia" w:ascii="仿宋" w:hAnsi="仿宋" w:eastAsia="仿宋" w:cs="仿宋"/>
          <w:b/>
          <w:bCs/>
          <w:color w:val="auto"/>
          <w:sz w:val="32"/>
          <w:szCs w:val="36"/>
        </w:rPr>
        <w:t>第五部分   采购合同</w:t>
      </w:r>
      <w:r>
        <w:rPr>
          <w:rFonts w:hint="eastAsia" w:ascii="仿宋" w:hAnsi="仿宋" w:eastAsia="仿宋" w:cs="仿宋"/>
          <w:b/>
          <w:bCs/>
          <w:color w:val="auto"/>
          <w:sz w:val="32"/>
          <w:szCs w:val="36"/>
        </w:rPr>
        <w:tab/>
      </w:r>
      <w:r>
        <w:rPr>
          <w:rFonts w:hint="eastAsia" w:ascii="仿宋" w:hAnsi="仿宋" w:eastAsia="仿宋" w:cs="仿宋"/>
          <w:b/>
          <w:bCs/>
          <w:color w:val="auto"/>
          <w:sz w:val="32"/>
          <w:szCs w:val="36"/>
        </w:rPr>
        <w:fldChar w:fldCharType="end"/>
      </w:r>
    </w:p>
    <w:p>
      <w:pPr>
        <w:pStyle w:val="22"/>
        <w:keepNext w:val="0"/>
        <w:keepLines w:val="0"/>
        <w:pageBreakBefore w:val="0"/>
        <w:kinsoku/>
        <w:wordWrap/>
        <w:overflowPunct/>
        <w:topLinePunct w:val="0"/>
        <w:bidi w:val="0"/>
        <w:snapToGrid/>
        <w:spacing w:line="560" w:lineRule="exact"/>
        <w:jc w:val="both"/>
        <w:textAlignment w:val="auto"/>
        <w:rPr>
          <w:color w:val="auto"/>
          <w:sz w:val="28"/>
          <w:szCs w:val="28"/>
        </w:rPr>
      </w:pPr>
      <w:r>
        <w:rPr>
          <w:rFonts w:hint="eastAsia" w:ascii="仿宋" w:hAnsi="仿宋" w:eastAsia="仿宋" w:cs="仿宋"/>
          <w:b/>
          <w:bCs/>
          <w:color w:val="auto"/>
          <w:sz w:val="32"/>
          <w:szCs w:val="36"/>
        </w:rPr>
        <w:fldChar w:fldCharType="begin"/>
      </w:r>
      <w:r>
        <w:rPr>
          <w:rFonts w:hint="eastAsia" w:ascii="仿宋" w:hAnsi="仿宋" w:eastAsia="仿宋" w:cs="仿宋"/>
          <w:b/>
          <w:bCs/>
          <w:color w:val="auto"/>
          <w:sz w:val="32"/>
          <w:szCs w:val="36"/>
        </w:rPr>
        <w:instrText xml:space="preserve"> HYPERLINK \l _Toc16318_WPSOffice_Level1 </w:instrText>
      </w:r>
      <w:r>
        <w:rPr>
          <w:rFonts w:hint="eastAsia" w:ascii="仿宋" w:hAnsi="仿宋" w:eastAsia="仿宋" w:cs="仿宋"/>
          <w:b/>
          <w:bCs/>
          <w:color w:val="auto"/>
          <w:sz w:val="32"/>
          <w:szCs w:val="36"/>
        </w:rPr>
        <w:fldChar w:fldCharType="separate"/>
      </w:r>
      <w:r>
        <w:rPr>
          <w:rFonts w:hint="eastAsia" w:ascii="仿宋" w:hAnsi="仿宋" w:eastAsia="仿宋" w:cs="仿宋"/>
          <w:b/>
          <w:bCs/>
          <w:color w:val="auto"/>
          <w:sz w:val="32"/>
          <w:szCs w:val="36"/>
        </w:rPr>
        <w:t>第六部分   竞争性磋商响应文件格式</w:t>
      </w:r>
      <w:r>
        <w:rPr>
          <w:rFonts w:hint="eastAsia" w:ascii="仿宋" w:hAnsi="仿宋" w:eastAsia="仿宋" w:cs="仿宋"/>
          <w:b/>
          <w:bCs/>
          <w:color w:val="auto"/>
          <w:sz w:val="32"/>
          <w:szCs w:val="36"/>
        </w:rPr>
        <w:tab/>
      </w:r>
      <w:r>
        <w:rPr>
          <w:rFonts w:hint="eastAsia" w:ascii="仿宋" w:hAnsi="仿宋" w:eastAsia="仿宋" w:cs="仿宋"/>
          <w:b/>
          <w:bCs/>
          <w:color w:val="auto"/>
          <w:sz w:val="32"/>
          <w:szCs w:val="36"/>
        </w:rPr>
        <w:fldChar w:fldCharType="end"/>
      </w:r>
    </w:p>
    <w:bookmarkEnd w:id="0"/>
    <w:p>
      <w:pPr>
        <w:pStyle w:val="21"/>
        <w:keepNext w:val="0"/>
        <w:keepLines w:val="0"/>
        <w:pageBreakBefore w:val="0"/>
        <w:kinsoku/>
        <w:wordWrap/>
        <w:overflowPunct/>
        <w:topLinePunct w:val="0"/>
        <w:bidi w:val="0"/>
        <w:snapToGrid/>
        <w:spacing w:line="560" w:lineRule="exact"/>
        <w:ind w:firstLine="0"/>
        <w:jc w:val="both"/>
        <w:textAlignment w:val="auto"/>
        <w:outlineLvl w:val="0"/>
        <w:rPr>
          <w:rFonts w:ascii="宋体" w:hAnsi="宋体" w:eastAsia="宋体" w:cs="宋体"/>
          <w:b/>
          <w:bCs/>
          <w:color w:val="auto"/>
        </w:rPr>
      </w:pPr>
    </w:p>
    <w:p>
      <w:pPr>
        <w:pStyle w:val="21"/>
        <w:keepNext w:val="0"/>
        <w:keepLines w:val="0"/>
        <w:pageBreakBefore w:val="0"/>
        <w:kinsoku/>
        <w:wordWrap/>
        <w:overflowPunct/>
        <w:topLinePunct w:val="0"/>
        <w:bidi w:val="0"/>
        <w:snapToGrid/>
        <w:spacing w:line="560" w:lineRule="exact"/>
        <w:ind w:firstLine="1807" w:firstLineChars="600"/>
        <w:jc w:val="both"/>
        <w:textAlignment w:val="auto"/>
        <w:rPr>
          <w:rFonts w:ascii="宋体" w:hAnsi="宋体" w:eastAsia="宋体" w:cs="宋体"/>
          <w:b/>
          <w:bCs/>
          <w:color w:val="auto"/>
          <w:sz w:val="30"/>
          <w:szCs w:val="30"/>
        </w:rPr>
      </w:pPr>
    </w:p>
    <w:p>
      <w:pPr>
        <w:pStyle w:val="21"/>
        <w:keepNext w:val="0"/>
        <w:keepLines w:val="0"/>
        <w:pageBreakBefore w:val="0"/>
        <w:kinsoku/>
        <w:wordWrap/>
        <w:overflowPunct/>
        <w:topLinePunct w:val="0"/>
        <w:bidi w:val="0"/>
        <w:snapToGrid/>
        <w:spacing w:line="560" w:lineRule="exact"/>
        <w:ind w:firstLine="1807" w:firstLineChars="600"/>
        <w:jc w:val="both"/>
        <w:textAlignment w:val="auto"/>
        <w:rPr>
          <w:rFonts w:hint="eastAsia" w:ascii="宋体" w:hAnsi="宋体" w:eastAsia="宋体"/>
          <w:color w:val="auto"/>
          <w:sz w:val="20"/>
          <w:szCs w:val="20"/>
          <w:lang w:eastAsia="zh-CN"/>
        </w:rPr>
      </w:pPr>
      <w:r>
        <w:rPr>
          <w:rFonts w:ascii="宋体" w:hAnsi="宋体" w:eastAsia="宋体" w:cs="宋体"/>
          <w:b/>
          <w:bCs/>
          <w:color w:val="auto"/>
          <w:sz w:val="30"/>
          <w:szCs w:val="30"/>
        </w:rPr>
        <w:br w:type="page"/>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auto"/>
          <w:kern w:val="2"/>
          <w:sz w:val="40"/>
          <w:szCs w:val="40"/>
          <w:lang w:eastAsia="zh-CN"/>
        </w:rPr>
      </w:pPr>
      <w:bookmarkStart w:id="1" w:name="_Toc25102_WPSOffice_Level1"/>
      <w:bookmarkStart w:id="2" w:name="_Toc16588_WPSOffice_Level1"/>
      <w:r>
        <w:rPr>
          <w:rFonts w:hint="eastAsia" w:ascii="方正小标宋简体" w:hAnsi="方正小标宋简体" w:eastAsia="方正小标宋简体" w:cs="方正小标宋简体"/>
          <w:b w:val="0"/>
          <w:bCs/>
          <w:color w:val="auto"/>
          <w:kern w:val="2"/>
          <w:sz w:val="40"/>
          <w:szCs w:val="40"/>
          <w:lang w:eastAsia="zh-CN"/>
        </w:rPr>
        <w:t>第一部分  竞争性磋商公告</w:t>
      </w:r>
      <w:bookmarkEnd w:id="1"/>
      <w:bookmarkEnd w:id="2"/>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仿宋" w:hAnsi="仿宋" w:eastAsia="仿宋" w:cs="仿宋"/>
          <w:b/>
          <w:bCs/>
          <w:color w:val="auto"/>
          <w:sz w:val="28"/>
          <w:szCs w:val="28"/>
          <w:highlight w:val="none"/>
          <w:lang w:val="en-US"/>
        </w:rPr>
      </w:pPr>
      <w:r>
        <w:rPr>
          <w:rFonts w:hint="eastAsia" w:ascii="仿宋" w:hAnsi="仿宋" w:eastAsia="仿宋" w:cs="仿宋"/>
          <w:color w:val="auto"/>
          <w:kern w:val="2"/>
          <w:sz w:val="30"/>
          <w:szCs w:val="30"/>
          <w:lang w:eastAsia="zh-CN"/>
        </w:rPr>
        <w:t>1、项目名称：</w:t>
      </w:r>
      <w:r>
        <w:rPr>
          <w:rFonts w:hint="eastAsia" w:ascii="仿宋" w:hAnsi="仿宋" w:eastAsia="仿宋" w:cs="仿宋"/>
          <w:sz w:val="28"/>
          <w:szCs w:val="28"/>
          <w:lang w:val="en-US" w:eastAsia="zh-CN"/>
        </w:rPr>
        <w:t>新疆铁道职业技术学院哈密新校区智能多媒体教室建设项目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30"/>
          <w:szCs w:val="30"/>
          <w:lang w:eastAsia="zh-CN"/>
        </w:rPr>
        <w:t>2、磋商文件编号：</w:t>
      </w:r>
      <w:r>
        <w:rPr>
          <w:rFonts w:hint="eastAsia" w:ascii="仿宋" w:hAnsi="仿宋" w:eastAsia="仿宋" w:cs="仿宋"/>
          <w:sz w:val="28"/>
          <w:szCs w:val="28"/>
        </w:rPr>
        <w:t>GGZY-（</w:t>
      </w:r>
      <w:r>
        <w:rPr>
          <w:rFonts w:hint="eastAsia" w:ascii="仿宋" w:hAnsi="仿宋" w:eastAsia="仿宋" w:cs="仿宋"/>
          <w:sz w:val="28"/>
          <w:szCs w:val="28"/>
          <w:lang w:val="en-US" w:eastAsia="zh-CN"/>
        </w:rPr>
        <w:t>CS</w:t>
      </w:r>
      <w:r>
        <w:rPr>
          <w:rFonts w:hint="eastAsia" w:ascii="仿宋" w:hAnsi="仿宋" w:eastAsia="仿宋" w:cs="仿宋"/>
          <w:sz w:val="28"/>
          <w:szCs w:val="28"/>
        </w:rPr>
        <w:t>）CG202</w:t>
      </w:r>
      <w:r>
        <w:rPr>
          <w:rFonts w:hint="eastAsia" w:ascii="仿宋" w:hAnsi="仿宋" w:eastAsia="仿宋" w:cs="仿宋"/>
          <w:sz w:val="28"/>
          <w:szCs w:val="28"/>
          <w:lang w:val="en-US" w:eastAsia="zh-CN"/>
        </w:rPr>
        <w:t>4036</w:t>
      </w:r>
    </w:p>
    <w:p>
      <w:pPr>
        <w:keepNext w:val="0"/>
        <w:keepLines w:val="0"/>
        <w:pageBreakBefore w:val="0"/>
        <w:widowControl w:val="0"/>
        <w:kinsoku/>
        <w:wordWrap/>
        <w:overflowPunct/>
        <w:topLinePunct w:val="0"/>
        <w:autoSpaceDE/>
        <w:autoSpaceDN/>
        <w:bidi w:val="0"/>
        <w:adjustRightInd/>
        <w:snapToGrid/>
        <w:spacing w:line="560" w:lineRule="exact"/>
        <w:ind w:left="525" w:leftChars="250" w:firstLine="0" w:firstLineChars="0"/>
        <w:jc w:val="both"/>
        <w:textAlignment w:val="auto"/>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3、招标单位名称：哈密市公共资源交易服务中心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sz w:val="30"/>
          <w:szCs w:val="30"/>
          <w:lang w:val="en-US"/>
        </w:rPr>
      </w:pPr>
      <w:r>
        <w:rPr>
          <w:rFonts w:hint="eastAsia" w:ascii="仿宋" w:hAnsi="仿宋" w:eastAsia="仿宋" w:cs="仿宋"/>
          <w:color w:val="auto"/>
          <w:kern w:val="2"/>
          <w:sz w:val="30"/>
          <w:szCs w:val="30"/>
          <w:lang w:eastAsia="zh-CN"/>
        </w:rPr>
        <w:t>4、招标单位地址：</w:t>
      </w:r>
      <w:r>
        <w:rPr>
          <w:rFonts w:hint="eastAsia" w:ascii="仿宋" w:hAnsi="仿宋" w:eastAsia="仿宋" w:cs="仿宋"/>
          <w:color w:val="auto"/>
          <w:sz w:val="30"/>
          <w:szCs w:val="30"/>
          <w:lang w:eastAsia="zh-CN"/>
        </w:rPr>
        <w:t>哈密市</w:t>
      </w:r>
      <w:r>
        <w:rPr>
          <w:rFonts w:hint="eastAsia" w:ascii="仿宋" w:hAnsi="仿宋" w:eastAsia="仿宋" w:cs="仿宋"/>
          <w:color w:val="auto"/>
          <w:sz w:val="30"/>
          <w:szCs w:val="30"/>
          <w:lang w:val="en-US" w:eastAsia="zh-CN"/>
        </w:rPr>
        <w:t>光明路2号院建设大厦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5、邮编：839000</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微软雅黑" w:cs="仿宋"/>
          <w:color w:val="FF0000"/>
          <w:kern w:val="2"/>
          <w:sz w:val="30"/>
          <w:szCs w:val="30"/>
          <w:highlight w:val="none"/>
          <w:lang w:val="en-US" w:eastAsia="zh-CN"/>
        </w:rPr>
      </w:pPr>
      <w:r>
        <w:rPr>
          <w:rFonts w:hint="eastAsia" w:ascii="仿宋" w:hAnsi="仿宋" w:eastAsia="仿宋" w:cs="仿宋"/>
          <w:color w:val="auto"/>
          <w:sz w:val="30"/>
          <w:szCs w:val="30"/>
          <w:highlight w:val="none"/>
        </w:rPr>
        <w:t>6、采购内容及预算金额</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kern w:val="2"/>
          <w:sz w:val="30"/>
          <w:szCs w:val="30"/>
          <w:highlight w:val="none"/>
          <w:lang w:eastAsia="zh-CN"/>
        </w:rPr>
        <w:t xml:space="preserve"> </w:t>
      </w:r>
      <w:r>
        <w:rPr>
          <w:rFonts w:hint="eastAsia" w:ascii="仿宋" w:hAnsi="仿宋" w:eastAsia="仿宋" w:cs="仿宋"/>
          <w:sz w:val="28"/>
          <w:szCs w:val="28"/>
          <w:lang w:val="en-US" w:eastAsia="zh-CN"/>
        </w:rPr>
        <w:t>新疆铁道职业技术学院哈密新校区智能多媒体教室建设。</w:t>
      </w:r>
      <w:r>
        <w:rPr>
          <w:rFonts w:hint="eastAsia" w:ascii="仿宋" w:hAnsi="仿宋" w:eastAsia="仿宋" w:cs="仿宋"/>
          <w:color w:val="FF0000"/>
          <w:kern w:val="2"/>
          <w:sz w:val="30"/>
          <w:szCs w:val="30"/>
          <w:highlight w:val="none"/>
          <w:lang w:val="en-US" w:eastAsia="zh-CN"/>
        </w:rPr>
        <w:t xml:space="preserve">    </w:t>
      </w:r>
      <w:r>
        <w:rPr>
          <w:rFonts w:hint="eastAsia" w:ascii="仿宋" w:hAnsi="仿宋" w:eastAsia="仿宋" w:cs="仿宋"/>
          <w:color w:val="auto"/>
          <w:kern w:val="2"/>
          <w:sz w:val="30"/>
          <w:szCs w:val="30"/>
          <w:highlight w:val="none"/>
          <w:lang w:val="en-US" w:eastAsia="zh-CN"/>
        </w:rPr>
        <w:t>预算金额：5000000元。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kern w:val="2"/>
          <w:sz w:val="30"/>
          <w:szCs w:val="30"/>
          <w:highlight w:val="none"/>
          <w:lang w:val="en-US" w:eastAsia="zh-CN"/>
        </w:rPr>
      </w:pPr>
      <w:r>
        <w:rPr>
          <w:rFonts w:hint="eastAsia" w:ascii="仿宋" w:hAnsi="仿宋" w:eastAsia="仿宋" w:cs="仿宋"/>
          <w:color w:val="auto"/>
          <w:kern w:val="2"/>
          <w:sz w:val="30"/>
          <w:szCs w:val="30"/>
          <w:highlight w:val="none"/>
          <w:lang w:val="en-US" w:eastAsia="zh-CN"/>
        </w:rPr>
        <w:t>7、</w:t>
      </w:r>
      <w:r>
        <w:rPr>
          <w:rFonts w:hint="eastAsia" w:ascii="仿宋" w:hAnsi="仿宋" w:eastAsia="仿宋" w:cs="仿宋"/>
          <w:color w:val="auto"/>
          <w:sz w:val="30"/>
          <w:szCs w:val="30"/>
          <w:highlight w:val="none"/>
        </w:rPr>
        <w:t>投标</w:t>
      </w:r>
      <w:r>
        <w:rPr>
          <w:rFonts w:hint="eastAsia" w:ascii="仿宋" w:hAnsi="仿宋" w:eastAsia="仿宋" w:cs="仿宋"/>
          <w:color w:val="auto"/>
          <w:sz w:val="30"/>
          <w:szCs w:val="30"/>
          <w:highlight w:val="none"/>
          <w:lang w:eastAsia="zh-CN"/>
        </w:rPr>
        <w:t>保函</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预算金额</w:t>
      </w:r>
      <w:r>
        <w:rPr>
          <w:rFonts w:hint="eastAsia" w:ascii="仿宋" w:hAnsi="仿宋" w:eastAsia="仿宋" w:cs="仿宋"/>
          <w:color w:val="auto"/>
          <w:sz w:val="30"/>
          <w:szCs w:val="30"/>
          <w:highlight w:val="none"/>
          <w:lang w:val="en-US" w:eastAsia="zh-CN"/>
        </w:rPr>
        <w:t>1%提交投标保函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kern w:val="2"/>
          <w:sz w:val="30"/>
          <w:szCs w:val="30"/>
          <w:lang w:val="en-US" w:eastAsia="zh-CN"/>
        </w:rPr>
        <w:t>8</w:t>
      </w:r>
      <w:r>
        <w:rPr>
          <w:rFonts w:hint="eastAsia" w:ascii="仿宋" w:hAnsi="仿宋" w:eastAsia="仿宋" w:cs="仿宋"/>
          <w:color w:val="auto"/>
          <w:kern w:val="2"/>
          <w:sz w:val="30"/>
          <w:szCs w:val="30"/>
          <w:lang w:eastAsia="zh-CN"/>
        </w:rPr>
        <w:t>、</w:t>
      </w:r>
      <w:r>
        <w:rPr>
          <w:rFonts w:hint="eastAsia" w:ascii="仿宋" w:hAnsi="仿宋" w:eastAsia="仿宋" w:cs="仿宋"/>
          <w:color w:val="auto"/>
          <w:sz w:val="30"/>
          <w:szCs w:val="30"/>
          <w:lang w:val="en-US" w:eastAsia="zh-CN"/>
        </w:rPr>
        <w:t>投标文件线上递交至：</w:t>
      </w:r>
      <w:r>
        <w:rPr>
          <w:rFonts w:hint="eastAsia" w:ascii="仿宋" w:hAnsi="仿宋" w:eastAsia="仿宋" w:cs="仿宋"/>
          <w:color w:val="auto"/>
          <w:sz w:val="30"/>
          <w:szCs w:val="30"/>
          <w:lang w:val="zh-CN" w:eastAsia="zh-CN"/>
        </w:rPr>
        <w:t>新疆政府采购网</w:t>
      </w:r>
      <w:r>
        <w:rPr>
          <w:rFonts w:hint="eastAsia" w:ascii="仿宋" w:hAnsi="仿宋" w:eastAsia="仿宋" w:cs="仿宋"/>
          <w:color w:val="auto"/>
          <w:sz w:val="28"/>
          <w:szCs w:val="28"/>
          <w:lang w:val="zh-CN" w:eastAsia="zh-CN"/>
        </w:rPr>
        <w:t>指定栏目（http://www.ccgp-xinjiang.gov.cn）</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9</w:t>
      </w:r>
      <w:r>
        <w:rPr>
          <w:rFonts w:hint="eastAsia" w:ascii="仿宋" w:hAnsi="仿宋" w:eastAsia="仿宋" w:cs="仿宋"/>
          <w:color w:val="auto"/>
          <w:kern w:val="2"/>
          <w:sz w:val="30"/>
          <w:szCs w:val="30"/>
          <w:lang w:eastAsia="zh-CN"/>
        </w:rPr>
        <w:t>、投标文件有效期：90天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10、</w:t>
      </w:r>
      <w:r>
        <w:rPr>
          <w:rFonts w:hint="eastAsia" w:ascii="仿宋" w:hAnsi="仿宋" w:eastAsia="仿宋" w:cs="仿宋"/>
          <w:color w:val="auto"/>
          <w:kern w:val="2"/>
          <w:sz w:val="30"/>
          <w:szCs w:val="30"/>
          <w:lang w:eastAsia="zh-CN"/>
        </w:rPr>
        <w:t>评标办法：</w:t>
      </w:r>
      <w:r>
        <w:rPr>
          <w:rFonts w:hint="eastAsia" w:ascii="仿宋" w:hAnsi="仿宋" w:eastAsia="仿宋" w:cs="仿宋"/>
          <w:color w:val="auto"/>
          <w:kern w:val="2"/>
          <w:sz w:val="30"/>
          <w:szCs w:val="30"/>
          <w:lang w:val="en-US" w:eastAsia="zh-CN"/>
        </w:rPr>
        <w:t>综合评分法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FF0000"/>
          <w:kern w:val="2"/>
          <w:sz w:val="30"/>
          <w:szCs w:val="30"/>
          <w:highlight w:val="yellow"/>
          <w:lang w:eastAsia="zh-CN"/>
        </w:rPr>
      </w:pPr>
      <w:r>
        <w:rPr>
          <w:rFonts w:hint="eastAsia" w:ascii="仿宋" w:hAnsi="仿宋" w:eastAsia="仿宋" w:cs="仿宋"/>
          <w:color w:val="auto"/>
          <w:kern w:val="2"/>
          <w:sz w:val="30"/>
          <w:szCs w:val="30"/>
          <w:lang w:eastAsia="zh-CN"/>
        </w:rPr>
        <w:t>1</w:t>
      </w: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lang w:eastAsia="zh-CN"/>
        </w:rPr>
        <w:t>、磋商文件发放日期：</w:t>
      </w:r>
      <w:r>
        <w:rPr>
          <w:rFonts w:hint="eastAsia" w:ascii="仿宋" w:hAnsi="仿宋" w:eastAsia="仿宋" w:cs="仿宋"/>
          <w:color w:val="FF0000"/>
          <w:kern w:val="2"/>
          <w:sz w:val="30"/>
          <w:szCs w:val="30"/>
          <w:highlight w:val="none"/>
          <w:lang w:val="en-US" w:eastAsia="zh-CN"/>
        </w:rPr>
        <w:t>2024年7月16日至</w:t>
      </w:r>
      <w:r>
        <w:rPr>
          <w:rFonts w:hint="default" w:ascii="仿宋" w:hAnsi="仿宋" w:eastAsia="仿宋" w:cs="仿宋"/>
          <w:color w:val="FF0000"/>
          <w:kern w:val="2"/>
          <w:sz w:val="30"/>
          <w:szCs w:val="30"/>
          <w:highlight w:val="none"/>
          <w:lang w:val="en-US" w:eastAsia="zh-CN"/>
        </w:rPr>
        <w:t>2024</w:t>
      </w:r>
      <w:r>
        <w:rPr>
          <w:rFonts w:hint="eastAsia" w:ascii="仿宋" w:hAnsi="仿宋" w:eastAsia="仿宋" w:cs="仿宋"/>
          <w:color w:val="FF0000"/>
          <w:kern w:val="2"/>
          <w:sz w:val="30"/>
          <w:szCs w:val="30"/>
          <w:highlight w:val="none"/>
          <w:lang w:val="en-US" w:eastAsia="zh-CN"/>
        </w:rPr>
        <w:t>年7月23日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FF0000"/>
          <w:kern w:val="2"/>
          <w:sz w:val="30"/>
          <w:szCs w:val="30"/>
          <w:highlight w:val="none"/>
          <w:lang w:val="en-US" w:eastAsia="zh-CN"/>
        </w:rPr>
      </w:pPr>
      <w:r>
        <w:rPr>
          <w:rFonts w:hint="eastAsia" w:ascii="仿宋" w:hAnsi="仿宋" w:eastAsia="仿宋" w:cs="仿宋"/>
          <w:color w:val="auto"/>
          <w:kern w:val="2"/>
          <w:sz w:val="30"/>
          <w:szCs w:val="30"/>
          <w:lang w:eastAsia="zh-CN"/>
        </w:rPr>
        <w:t>1</w:t>
      </w: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磋商</w:t>
      </w:r>
      <w:r>
        <w:rPr>
          <w:rFonts w:hint="eastAsia" w:ascii="仿宋" w:hAnsi="仿宋" w:eastAsia="仿宋" w:cs="仿宋"/>
          <w:color w:val="auto"/>
          <w:kern w:val="2"/>
          <w:sz w:val="30"/>
          <w:szCs w:val="30"/>
          <w:lang w:eastAsia="zh-CN"/>
        </w:rPr>
        <w:t>日期:</w:t>
      </w:r>
      <w:r>
        <w:rPr>
          <w:rFonts w:hint="eastAsia" w:ascii="仿宋" w:hAnsi="仿宋" w:eastAsia="仿宋" w:cs="仿宋"/>
          <w:color w:val="auto"/>
          <w:kern w:val="2"/>
          <w:sz w:val="30"/>
          <w:szCs w:val="30"/>
          <w:highlight w:val="none"/>
          <w:lang w:eastAsia="zh-CN"/>
        </w:rPr>
        <w:t xml:space="preserve"> </w:t>
      </w:r>
      <w:r>
        <w:rPr>
          <w:rFonts w:hint="default" w:ascii="仿宋" w:hAnsi="仿宋" w:eastAsia="仿宋" w:cs="仿宋"/>
          <w:color w:val="FF0000"/>
          <w:kern w:val="2"/>
          <w:sz w:val="30"/>
          <w:szCs w:val="30"/>
          <w:highlight w:val="none"/>
          <w:lang w:val="en-US" w:eastAsia="zh-CN"/>
        </w:rPr>
        <w:t>2024</w:t>
      </w:r>
      <w:r>
        <w:rPr>
          <w:rFonts w:hint="eastAsia" w:ascii="仿宋" w:hAnsi="仿宋" w:eastAsia="仿宋" w:cs="仿宋"/>
          <w:color w:val="FF0000"/>
          <w:kern w:val="2"/>
          <w:sz w:val="30"/>
          <w:szCs w:val="30"/>
          <w:highlight w:val="none"/>
          <w:lang w:val="en-US" w:eastAsia="zh-CN"/>
        </w:rPr>
        <w:t>年7月26日上午10：00（北京时间）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kern w:val="2"/>
          <w:sz w:val="30"/>
          <w:szCs w:val="30"/>
          <w:lang w:eastAsia="zh-CN"/>
        </w:rPr>
        <w:t>1</w:t>
      </w:r>
      <w:r>
        <w:rPr>
          <w:rFonts w:hint="eastAsia" w:ascii="仿宋" w:hAnsi="仿宋" w:eastAsia="仿宋" w:cs="仿宋"/>
          <w:color w:val="auto"/>
          <w:kern w:val="2"/>
          <w:sz w:val="30"/>
          <w:szCs w:val="30"/>
          <w:lang w:val="en-US" w:eastAsia="zh-CN"/>
        </w:rPr>
        <w:t>3</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磋商</w:t>
      </w:r>
      <w:r>
        <w:rPr>
          <w:rFonts w:hint="eastAsia" w:ascii="仿宋" w:hAnsi="仿宋" w:eastAsia="仿宋" w:cs="仿宋"/>
          <w:color w:val="auto"/>
          <w:kern w:val="2"/>
          <w:sz w:val="30"/>
          <w:szCs w:val="30"/>
          <w:lang w:eastAsia="zh-CN"/>
        </w:rPr>
        <w:t>地点：</w:t>
      </w:r>
      <w:r>
        <w:rPr>
          <w:rFonts w:hint="eastAsia" w:ascii="仿宋" w:hAnsi="仿宋" w:eastAsia="仿宋" w:cs="仿宋"/>
          <w:color w:val="auto"/>
          <w:spacing w:val="0"/>
          <w:w w:val="90"/>
          <w:sz w:val="30"/>
          <w:szCs w:val="30"/>
          <w:lang w:val="zh-CN" w:eastAsia="zh-CN"/>
        </w:rPr>
        <w:t>政采云线上开标厅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sz w:val="30"/>
          <w:szCs w:val="30"/>
          <w:u w:val="single"/>
        </w:rPr>
      </w:pPr>
      <w:r>
        <w:rPr>
          <w:rFonts w:hint="eastAsia" w:ascii="仿宋" w:hAnsi="仿宋" w:eastAsia="仿宋" w:cs="仿宋"/>
          <w:color w:val="auto"/>
          <w:kern w:val="2"/>
          <w:sz w:val="30"/>
          <w:szCs w:val="30"/>
          <w:lang w:eastAsia="zh-CN"/>
        </w:rPr>
        <w:t>1</w:t>
      </w:r>
      <w:r>
        <w:rPr>
          <w:rFonts w:hint="eastAsia" w:ascii="仿宋" w:hAnsi="仿宋" w:eastAsia="仿宋" w:cs="仿宋"/>
          <w:color w:val="auto"/>
          <w:kern w:val="2"/>
          <w:sz w:val="30"/>
          <w:szCs w:val="30"/>
          <w:lang w:val="en-US" w:eastAsia="zh-CN"/>
        </w:rPr>
        <w:t>4</w:t>
      </w:r>
      <w:r>
        <w:rPr>
          <w:rFonts w:hint="eastAsia" w:ascii="仿宋" w:hAnsi="仿宋" w:eastAsia="仿宋" w:cs="仿宋"/>
          <w:color w:val="auto"/>
          <w:kern w:val="2"/>
          <w:sz w:val="30"/>
          <w:szCs w:val="30"/>
          <w:lang w:eastAsia="zh-CN"/>
        </w:rPr>
        <w:t>、联系电话：</w:t>
      </w:r>
      <w:r>
        <w:rPr>
          <w:rFonts w:hint="eastAsia" w:ascii="仿宋" w:hAnsi="仿宋" w:eastAsia="仿宋" w:cs="仿宋"/>
          <w:color w:val="auto"/>
          <w:sz w:val="30"/>
          <w:szCs w:val="30"/>
        </w:rPr>
        <w:t>0902-</w:t>
      </w:r>
      <w:r>
        <w:rPr>
          <w:rFonts w:hint="eastAsia" w:ascii="仿宋" w:hAnsi="仿宋" w:eastAsia="仿宋" w:cs="仿宋"/>
          <w:color w:val="auto"/>
          <w:sz w:val="30"/>
          <w:szCs w:val="30"/>
          <w:lang w:val="en-US" w:eastAsia="zh-CN"/>
        </w:rPr>
        <w:t>2206007</w:t>
      </w:r>
      <w:r>
        <w:rPr>
          <w:rFonts w:hint="eastAsia" w:ascii="仿宋" w:hAnsi="仿宋" w:eastAsia="仿宋" w:cs="仿宋"/>
          <w:color w:val="auto"/>
          <w:sz w:val="30"/>
          <w:szCs w:val="30"/>
        </w:rPr>
        <w:t>（哈密市</w:t>
      </w:r>
      <w:r>
        <w:rPr>
          <w:rFonts w:hint="eastAsia" w:ascii="仿宋" w:hAnsi="仿宋" w:eastAsia="仿宋" w:cs="仿宋"/>
          <w:color w:val="auto"/>
          <w:sz w:val="30"/>
          <w:szCs w:val="30"/>
          <w:lang w:eastAsia="zh-CN"/>
        </w:rPr>
        <w:t>公共资源交易服务</w:t>
      </w:r>
      <w:r>
        <w:rPr>
          <w:rFonts w:hint="eastAsia" w:ascii="仿宋" w:hAnsi="仿宋" w:eastAsia="仿宋" w:cs="仿宋"/>
          <w:color w:val="auto"/>
          <w:sz w:val="30"/>
          <w:szCs w:val="30"/>
        </w:rPr>
        <w:t>中心）</w:t>
      </w:r>
    </w:p>
    <w:p>
      <w:pPr>
        <w:pStyle w:val="22"/>
        <w:keepNext w:val="0"/>
        <w:keepLines w:val="0"/>
        <w:pageBreakBefore w:val="0"/>
        <w:kinsoku/>
        <w:wordWrap/>
        <w:overflowPunct/>
        <w:topLinePunct w:val="0"/>
        <w:bidi w:val="0"/>
        <w:snapToGrid/>
        <w:spacing w:line="560" w:lineRule="exact"/>
        <w:ind w:firstLine="600" w:firstLineChars="200"/>
        <w:jc w:val="both"/>
        <w:textAlignment w:val="auto"/>
        <w:rPr>
          <w:rFonts w:hint="eastAsia" w:ascii="仿宋" w:hAnsi="仿宋" w:eastAsia="仿宋" w:cs="仿宋"/>
          <w:color w:val="FF0000"/>
          <w:sz w:val="28"/>
          <w:szCs w:val="28"/>
          <w:lang w:val="en-US" w:eastAsia="zh-CN"/>
        </w:rPr>
      </w:pPr>
      <w:r>
        <w:rPr>
          <w:rFonts w:hint="eastAsia" w:ascii="仿宋" w:hAnsi="仿宋" w:eastAsia="仿宋" w:cs="仿宋"/>
          <w:color w:val="auto"/>
          <w:kern w:val="2"/>
          <w:sz w:val="30"/>
          <w:szCs w:val="30"/>
          <w:lang w:eastAsia="zh-CN"/>
        </w:rPr>
        <w:t>1</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w:t>
      </w:r>
      <w:r>
        <w:rPr>
          <w:rFonts w:hint="eastAsia" w:ascii="仿宋" w:hAnsi="仿宋" w:eastAsia="仿宋" w:cs="仿宋"/>
          <w:color w:val="auto"/>
          <w:sz w:val="30"/>
          <w:szCs w:val="30"/>
          <w:lang w:eastAsia="zh-CN"/>
        </w:rPr>
        <w:t>采购单位联系人及联系电话：</w:t>
      </w:r>
      <w:r>
        <w:rPr>
          <w:rFonts w:hint="eastAsia" w:ascii="仿宋" w:hAnsi="仿宋" w:eastAsia="仿宋" w:cs="仿宋"/>
          <w:sz w:val="28"/>
          <w:szCs w:val="28"/>
          <w:lang w:val="en-US" w:eastAsia="zh-CN"/>
        </w:rPr>
        <w:t>张俊</w:t>
      </w:r>
      <w:r>
        <w:rPr>
          <w:rFonts w:hint="eastAsia" w:ascii="仿宋" w:hAnsi="仿宋" w:eastAsia="仿宋" w:cs="仿宋"/>
          <w:color w:val="FF0000"/>
          <w:sz w:val="28"/>
          <w:szCs w:val="28"/>
          <w:lang w:val="en-US" w:eastAsia="zh-CN"/>
        </w:rPr>
        <w:t xml:space="preserve">  </w:t>
      </w:r>
      <w:r>
        <w:rPr>
          <w:rFonts w:hint="eastAsia" w:ascii="仿宋" w:hAnsi="仿宋" w:eastAsia="仿宋" w:cs="仿宋"/>
          <w:sz w:val="28"/>
          <w:szCs w:val="28"/>
          <w:lang w:val="en-US" w:eastAsia="zh-CN"/>
        </w:rPr>
        <w:t>18690221596</w:t>
      </w:r>
    </w:p>
    <w:p>
      <w:pPr>
        <w:pStyle w:val="22"/>
        <w:keepNext w:val="0"/>
        <w:keepLines w:val="0"/>
        <w:pageBreakBefore w:val="0"/>
        <w:kinsoku/>
        <w:wordWrap/>
        <w:overflowPunct/>
        <w:topLinePunct w:val="0"/>
        <w:bidi w:val="0"/>
        <w:snapToGrid/>
        <w:spacing w:line="560" w:lineRule="exact"/>
        <w:ind w:firstLine="560" w:firstLineChars="200"/>
        <w:jc w:val="both"/>
        <w:textAlignment w:val="auto"/>
        <w:rPr>
          <w:rFonts w:hint="eastAsia" w:ascii="仿宋" w:hAnsi="仿宋" w:eastAsia="仿宋" w:cs="仿宋"/>
          <w:sz w:val="28"/>
          <w:szCs w:val="28"/>
          <w:lang w:val="en-US" w:eastAsia="zh-CN"/>
        </w:rPr>
      </w:pPr>
    </w:p>
    <w:p>
      <w:pPr>
        <w:pStyle w:val="22"/>
        <w:keepNext w:val="0"/>
        <w:keepLines w:val="0"/>
        <w:pageBreakBefore w:val="0"/>
        <w:kinsoku/>
        <w:wordWrap/>
        <w:overflowPunct/>
        <w:topLinePunct w:val="0"/>
        <w:bidi w:val="0"/>
        <w:snapToGrid/>
        <w:spacing w:line="560" w:lineRule="exact"/>
        <w:ind w:firstLine="560" w:firstLineChars="200"/>
        <w:jc w:val="both"/>
        <w:textAlignment w:val="auto"/>
        <w:rPr>
          <w:rFonts w:hint="eastAsia" w:ascii="仿宋" w:hAnsi="仿宋" w:eastAsia="仿宋" w:cs="仿宋"/>
          <w:sz w:val="28"/>
          <w:szCs w:val="28"/>
          <w:lang w:val="en-US" w:eastAsia="zh-CN"/>
        </w:rPr>
      </w:pPr>
    </w:p>
    <w:p>
      <w:pPr>
        <w:pStyle w:val="22"/>
        <w:keepNext w:val="0"/>
        <w:keepLines w:val="0"/>
        <w:pageBreakBefore w:val="0"/>
        <w:kinsoku/>
        <w:wordWrap/>
        <w:overflowPunct/>
        <w:topLinePunct w:val="0"/>
        <w:bidi w:val="0"/>
        <w:snapToGrid/>
        <w:spacing w:line="560" w:lineRule="exact"/>
        <w:ind w:firstLine="560" w:firstLineChars="200"/>
        <w:jc w:val="both"/>
        <w:textAlignment w:val="auto"/>
        <w:rPr>
          <w:rFonts w:hint="eastAsia" w:ascii="仿宋" w:hAnsi="仿宋" w:eastAsia="仿宋" w:cs="仿宋"/>
          <w:sz w:val="28"/>
          <w:szCs w:val="28"/>
          <w:lang w:val="en-US" w:eastAsia="zh-CN"/>
        </w:rPr>
      </w:pPr>
    </w:p>
    <w:p>
      <w:pPr>
        <w:pStyle w:val="22"/>
        <w:keepNext w:val="0"/>
        <w:keepLines w:val="0"/>
        <w:pageBreakBefore w:val="0"/>
        <w:kinsoku/>
        <w:wordWrap/>
        <w:overflowPunct/>
        <w:topLinePunct w:val="0"/>
        <w:bidi w:val="0"/>
        <w:snapToGrid/>
        <w:spacing w:line="560" w:lineRule="exact"/>
        <w:ind w:firstLine="560" w:firstLineChars="200"/>
        <w:jc w:val="both"/>
        <w:textAlignment w:val="auto"/>
        <w:rPr>
          <w:rFonts w:hint="eastAsia" w:ascii="仿宋" w:hAnsi="仿宋" w:eastAsia="仿宋" w:cs="仿宋"/>
          <w:sz w:val="28"/>
          <w:szCs w:val="28"/>
          <w:lang w:val="en-US" w:eastAsia="zh-CN"/>
        </w:rPr>
      </w:pPr>
    </w:p>
    <w:p>
      <w:pPr>
        <w:pStyle w:val="22"/>
        <w:keepNext w:val="0"/>
        <w:keepLines w:val="0"/>
        <w:pageBreakBefore w:val="0"/>
        <w:numPr>
          <w:ilvl w:val="0"/>
          <w:numId w:val="1"/>
        </w:numPr>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auto"/>
          <w:kern w:val="2"/>
          <w:sz w:val="40"/>
          <w:szCs w:val="40"/>
        </w:rPr>
      </w:pPr>
      <w:bookmarkStart w:id="3" w:name="_Toc32713_WPSOffice_Level1"/>
      <w:bookmarkStart w:id="4" w:name="_Toc8782_WPSOffice_Level1"/>
      <w:r>
        <w:rPr>
          <w:rFonts w:hint="eastAsia" w:ascii="方正小标宋简体" w:hAnsi="方正小标宋简体" w:eastAsia="方正小标宋简体" w:cs="方正小标宋简体"/>
          <w:b w:val="0"/>
          <w:bCs/>
          <w:color w:val="auto"/>
          <w:kern w:val="2"/>
          <w:sz w:val="40"/>
          <w:szCs w:val="40"/>
        </w:rPr>
        <w:t>响应单位须知</w:t>
      </w:r>
      <w:bookmarkEnd w:id="3"/>
      <w:bookmarkEnd w:id="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小标宋简体" w:hAnsi="方正小标宋简体" w:eastAsia="方正小标宋简体" w:cs="方正小标宋简体"/>
          <w:b w:val="0"/>
          <w:bCs/>
          <w:color w:val="auto"/>
          <w:kern w:val="2"/>
          <w:sz w:val="40"/>
          <w:szCs w:val="40"/>
        </w:rPr>
      </w:pPr>
      <w:r>
        <w:rPr>
          <w:rFonts w:hint="eastAsia" w:ascii="仿宋" w:hAnsi="仿宋" w:eastAsia="仿宋" w:cs="仿宋"/>
          <w:b/>
          <w:bCs/>
          <w:color w:val="auto"/>
          <w:sz w:val="32"/>
          <w:szCs w:val="32"/>
        </w:rPr>
        <w:t>1.  适用范围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1.1　本磋商文件仅适用于在磋商文件中所叙述的新疆铁道职业技术学院哈密新校区智能多媒体教室建设项目进行采购，欢迎有供货能力的合格供应商参加投标。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5" w:name="_Toc26934_WPSOffice_Level2"/>
      <w:bookmarkStart w:id="6" w:name="_Toc20066_WPSOffice_Level2"/>
      <w:r>
        <w:rPr>
          <w:rFonts w:hint="eastAsia" w:ascii="仿宋" w:hAnsi="仿宋" w:eastAsia="仿宋" w:cs="仿宋"/>
          <w:b/>
          <w:bCs/>
          <w:color w:val="auto"/>
          <w:sz w:val="32"/>
          <w:szCs w:val="32"/>
          <w:lang w:val="en-US" w:eastAsia="zh-CN"/>
        </w:rPr>
        <w:t>2.投标资质</w:t>
      </w:r>
      <w:bookmarkEnd w:id="5"/>
      <w:bookmarkEnd w:id="6"/>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kern w:val="2"/>
          <w:sz w:val="30"/>
          <w:szCs w:val="30"/>
          <w:lang w:val="en-US" w:eastAsia="zh-CN" w:bidi="ar-SA"/>
        </w:rPr>
        <w:t>2.1　</w:t>
      </w:r>
      <w:r>
        <w:rPr>
          <w:rFonts w:hint="eastAsia" w:ascii="仿宋" w:hAnsi="仿宋" w:eastAsia="仿宋" w:cs="仿宋"/>
          <w:color w:val="auto"/>
          <w:sz w:val="30"/>
          <w:szCs w:val="30"/>
        </w:rPr>
        <w:t>投标人应遵守中华人民共和国法律、法规和行政规章。信誉良好，没有处于被责令停业，投标资格被取消，财产被接管、冻结、破产状态；在最近三年内没有骗取中标、严重违约或重大工程质量事故的不良记录。</w:t>
      </w:r>
      <w:r>
        <w:rPr>
          <w:rFonts w:hint="eastAsia" w:ascii="仿宋" w:hAnsi="仿宋" w:eastAsia="仿宋" w:cs="仿宋"/>
          <w:color w:val="auto"/>
          <w:sz w:val="30"/>
          <w:szCs w:val="30"/>
          <w:lang w:val="zh-CN" w:eastAsia="zh-CN"/>
        </w:rPr>
        <w:t>上一年度</w:t>
      </w:r>
      <w:r>
        <w:rPr>
          <w:rFonts w:hint="eastAsia" w:ascii="仿宋" w:hAnsi="仿宋" w:eastAsia="仿宋" w:cs="仿宋"/>
          <w:color w:val="auto"/>
          <w:sz w:val="30"/>
          <w:szCs w:val="30"/>
        </w:rPr>
        <w:t>财务状况良好。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7" w:name="_Toc32679_WPSOffice_Level2"/>
      <w:bookmarkStart w:id="8" w:name="_Toc4906_WPSOffice_Level2"/>
      <w:r>
        <w:rPr>
          <w:rFonts w:hint="eastAsia" w:ascii="仿宋" w:hAnsi="仿宋" w:eastAsia="仿宋" w:cs="仿宋"/>
          <w:b/>
          <w:bCs/>
          <w:color w:val="auto"/>
          <w:sz w:val="32"/>
          <w:szCs w:val="32"/>
          <w:lang w:val="en-US" w:eastAsia="zh-CN"/>
        </w:rPr>
        <w:t>3. 定义</w:t>
      </w:r>
      <w:bookmarkEnd w:id="7"/>
      <w:bookmarkEnd w:id="8"/>
    </w:p>
    <w:p>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下列术语和缩写的定义为：</w:t>
      </w:r>
    </w:p>
    <w:p>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3.1 “招标方”系指哈密市公共资源交易服务中心。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3.2 “采购人”系指新疆铁道职业技术学院。</w:t>
      </w:r>
    </w:p>
    <w:p>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3.3 “投标方”、“投标人”系指有资格的供应商（制造商和代理商）及投标表现人。</w:t>
      </w:r>
    </w:p>
    <w:p>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3.4 “货物”系指磋商文件规定的，投标方须向招标方提供的一切设备、附件、备品备件、工具、手册及其它有关资料和材料。</w:t>
      </w:r>
    </w:p>
    <w:p>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3.5 “服务”系指磋商文件规定投标方须承担的保修、技术协助、培训及其他类似的责任。</w:t>
      </w:r>
    </w:p>
    <w:p>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3.6“行业”系指</w:t>
      </w:r>
      <w:r>
        <w:rPr>
          <w:rFonts w:hint="eastAsia" w:ascii="仿宋" w:hAnsi="仿宋" w:eastAsia="仿宋" w:cs="仿宋"/>
          <w:color w:val="FF0000"/>
          <w:kern w:val="2"/>
          <w:sz w:val="30"/>
          <w:szCs w:val="30"/>
          <w:lang w:val="en-US" w:eastAsia="zh-CN" w:bidi="ar-SA"/>
        </w:rPr>
        <w:t>工</w:t>
      </w:r>
      <w:r>
        <w:rPr>
          <w:rFonts w:hint="eastAsia" w:ascii="仿宋" w:hAnsi="仿宋" w:eastAsia="仿宋" w:cs="仿宋"/>
          <w:color w:val="FF0000"/>
          <w:kern w:val="2"/>
          <w:sz w:val="30"/>
          <w:szCs w:val="30"/>
          <w:highlight w:val="none"/>
          <w:lang w:val="en-US" w:eastAsia="zh-CN" w:bidi="ar-SA"/>
        </w:rPr>
        <w:t>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9" w:name="_Toc12935_WPSOffice_Level2"/>
      <w:bookmarkStart w:id="10" w:name="_Toc31559_WPSOffice_Level2"/>
      <w:r>
        <w:rPr>
          <w:rFonts w:hint="eastAsia" w:ascii="仿宋" w:hAnsi="仿宋" w:eastAsia="仿宋" w:cs="仿宋"/>
          <w:b/>
          <w:bCs/>
          <w:color w:val="auto"/>
          <w:sz w:val="32"/>
          <w:szCs w:val="32"/>
          <w:lang w:val="en-US" w:eastAsia="zh-CN"/>
        </w:rPr>
        <w:t>4.  投标费用</w:t>
      </w:r>
      <w:bookmarkEnd w:id="9"/>
      <w:bookmarkEnd w:id="10"/>
    </w:p>
    <w:p>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4.1  无论投标结果如何，凡参与招标、投标活动有关的所有费用将由投标方自行承担。</w:t>
      </w:r>
    </w:p>
    <w:p>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4.2　投标人被视为熟悉本招标项目的各种情况以及与履行合同有关的一切情况。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11" w:name="_Toc20546_WPSOffice_Level2"/>
      <w:bookmarkStart w:id="12" w:name="_Toc1799_WPSOffice_Level2"/>
      <w:r>
        <w:rPr>
          <w:rFonts w:hint="eastAsia" w:ascii="仿宋" w:hAnsi="仿宋" w:eastAsia="仿宋" w:cs="仿宋"/>
          <w:b/>
          <w:bCs/>
          <w:color w:val="auto"/>
          <w:sz w:val="32"/>
          <w:szCs w:val="32"/>
          <w:lang w:val="en-US" w:eastAsia="zh-CN"/>
        </w:rPr>
        <w:t>5. 磋商文件的构成</w:t>
      </w:r>
      <w:bookmarkEnd w:id="11"/>
      <w:bookmarkEnd w:id="12"/>
    </w:p>
    <w:p>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5.1　磋商文件由下述部分组成：</w:t>
      </w:r>
    </w:p>
    <w:p>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第一部分 竞争性磋商公告</w:t>
      </w:r>
    </w:p>
    <w:p>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第二部分 响应单位须知</w:t>
      </w:r>
    </w:p>
    <w:p>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第三部分 磋商说明</w:t>
      </w:r>
    </w:p>
    <w:p>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
          <w:bCs/>
          <w:color w:val="auto"/>
          <w:sz w:val="32"/>
          <w:szCs w:val="36"/>
          <w:lang w:val="en-US" w:eastAsia="zh-CN"/>
        </w:rPr>
      </w:pPr>
      <w:r>
        <w:rPr>
          <w:rFonts w:hint="eastAsia" w:ascii="仿宋" w:hAnsi="仿宋" w:eastAsia="仿宋" w:cs="仿宋"/>
          <w:color w:val="auto"/>
          <w:kern w:val="2"/>
          <w:sz w:val="30"/>
          <w:szCs w:val="30"/>
          <w:lang w:val="en-US" w:eastAsia="zh-CN" w:bidi="ar-SA"/>
        </w:rPr>
        <w:t>第四部分 货物需求及技术规格指标说明</w:t>
      </w:r>
    </w:p>
    <w:p>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第五部分 采购合同</w:t>
      </w:r>
    </w:p>
    <w:p>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第六部分 竞争性磋商响应文件格式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13" w:name="_Toc8499_WPSOffice_Level2"/>
      <w:bookmarkStart w:id="14" w:name="_Toc18732_WPSOffice_Level2"/>
      <w:r>
        <w:rPr>
          <w:rFonts w:hint="eastAsia" w:ascii="仿宋" w:hAnsi="仿宋" w:eastAsia="仿宋" w:cs="仿宋"/>
          <w:b/>
          <w:bCs/>
          <w:color w:val="auto"/>
          <w:sz w:val="32"/>
          <w:szCs w:val="32"/>
          <w:lang w:val="en-US" w:eastAsia="zh-CN"/>
        </w:rPr>
        <w:t>6. 磋商文件的澄清</w:t>
      </w:r>
      <w:bookmarkEnd w:id="13"/>
      <w:bookmarkEnd w:id="14"/>
    </w:p>
    <w:p>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6.1　投标人对磋商文件如有疑点，可在投标截止日前的7日内按招标书中载明的地址以书面形式（包括信函、电报或传真，不包括电子邮件，下同）通知招标方要求澄清。招标方将视情况确定采用适当方式予以澄清或以书面形式予以答复。招标方认为有必要时，可将答复内容（包括原提出问题，但不包括问题的来源）分发给所有拟投标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15" w:name="_Toc18567_WPSOffice_Level2"/>
      <w:bookmarkStart w:id="16" w:name="_Toc15707_WPSOffice_Level2"/>
      <w:r>
        <w:rPr>
          <w:rFonts w:hint="eastAsia" w:ascii="仿宋" w:hAnsi="仿宋" w:eastAsia="仿宋" w:cs="仿宋"/>
          <w:b/>
          <w:bCs/>
          <w:color w:val="auto"/>
          <w:sz w:val="32"/>
          <w:szCs w:val="32"/>
          <w:lang w:val="en-US" w:eastAsia="zh-CN"/>
        </w:rPr>
        <w:t>7. 磋商文件的修改或补充</w:t>
      </w:r>
      <w:bookmarkEnd w:id="15"/>
      <w:bookmarkEnd w:id="16"/>
    </w:p>
    <w:p>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7.1　在投标截止期的7日内的任何时间，招标方可主动或依据投标人要求澄清的问题而修改或补充招标书，并以书面形式通知所有投标人，投标人在收到该通知后应立即以电报或传真的形式予以确认。</w:t>
      </w:r>
    </w:p>
    <w:p>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7.2　为使投标人在准备投标时有适当的时间考虑投标文件的修改，招标方有权决定推迟投标截止日期和开标日期，并将此变更通知所有的投标人。</w:t>
      </w:r>
    </w:p>
    <w:p>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7.3　磋商文件的修改和补充文件将构成磋商文件的一部分，并且对投标人具有优先约束力。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17" w:name="_Toc13_WPSOffice_Level2"/>
      <w:bookmarkStart w:id="18" w:name="_Toc10976_WPSOffice_Level2"/>
      <w:r>
        <w:rPr>
          <w:rFonts w:hint="eastAsia" w:ascii="仿宋" w:hAnsi="仿宋" w:eastAsia="仿宋" w:cs="仿宋"/>
          <w:b/>
          <w:bCs/>
          <w:color w:val="auto"/>
          <w:sz w:val="32"/>
          <w:szCs w:val="32"/>
          <w:lang w:val="en-US" w:eastAsia="zh-CN"/>
        </w:rPr>
        <w:t>8、廉洁自律承诺要求</w:t>
      </w:r>
      <w:bookmarkEnd w:id="17"/>
      <w:bookmarkEnd w:id="18"/>
    </w:p>
    <w:p>
      <w:pPr>
        <w:pStyle w:val="22"/>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xml:space="preserve">    按照财政厅颁发《政府采购预防职务违法违纪工作规程》的要求，在本次招标活动中，公共资源交易服务中心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要求参加本次项目的采购单位、评标专家要填写《廉洁自律承诺书》，所有投标单位（供应商）必须要填写反商业贿赂承诺书（不填视为无效投标处理）。</w:t>
      </w:r>
    </w:p>
    <w:p>
      <w:pPr>
        <w:pStyle w:val="22"/>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auto"/>
          <w:kern w:val="2"/>
          <w:sz w:val="40"/>
          <w:szCs w:val="40"/>
        </w:rPr>
      </w:pPr>
      <w:bookmarkStart w:id="19" w:name="_Toc11493_WPSOffice_Level1"/>
      <w:bookmarkStart w:id="20" w:name="_Toc18058_WPSOffice_Level1"/>
    </w:p>
    <w:p>
      <w:pPr>
        <w:pStyle w:val="22"/>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auto"/>
          <w:kern w:val="2"/>
          <w:sz w:val="40"/>
          <w:szCs w:val="40"/>
        </w:rPr>
      </w:pPr>
    </w:p>
    <w:p>
      <w:pPr>
        <w:pStyle w:val="22"/>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auto"/>
          <w:kern w:val="2"/>
          <w:sz w:val="40"/>
          <w:szCs w:val="40"/>
          <w:lang w:val="en-US" w:eastAsia="zh-CN"/>
        </w:rPr>
      </w:pPr>
      <w:r>
        <w:rPr>
          <w:rFonts w:hint="eastAsia" w:ascii="方正小标宋简体" w:hAnsi="方正小标宋简体" w:eastAsia="方正小标宋简体" w:cs="方正小标宋简体"/>
          <w:b w:val="0"/>
          <w:bCs/>
          <w:color w:val="auto"/>
          <w:kern w:val="2"/>
          <w:sz w:val="40"/>
          <w:szCs w:val="40"/>
        </w:rPr>
        <w:t>第</w:t>
      </w:r>
      <w:r>
        <w:rPr>
          <w:rFonts w:hint="eastAsia" w:ascii="方正小标宋简体" w:hAnsi="方正小标宋简体" w:eastAsia="方正小标宋简体" w:cs="方正小标宋简体"/>
          <w:b w:val="0"/>
          <w:bCs/>
          <w:color w:val="auto"/>
          <w:kern w:val="2"/>
          <w:sz w:val="40"/>
          <w:szCs w:val="40"/>
          <w:lang w:val="en-US" w:eastAsia="zh-CN"/>
        </w:rPr>
        <w:t>三</w:t>
      </w:r>
      <w:r>
        <w:rPr>
          <w:rFonts w:hint="eastAsia" w:ascii="方正小标宋简体" w:hAnsi="方正小标宋简体" w:eastAsia="方正小标宋简体" w:cs="方正小标宋简体"/>
          <w:b w:val="0"/>
          <w:bCs/>
          <w:color w:val="auto"/>
          <w:kern w:val="2"/>
          <w:sz w:val="40"/>
          <w:szCs w:val="40"/>
        </w:rPr>
        <w:t xml:space="preserve">部分  </w:t>
      </w:r>
      <w:r>
        <w:rPr>
          <w:rFonts w:hint="eastAsia" w:ascii="方正小标宋简体" w:hAnsi="方正小标宋简体" w:eastAsia="方正小标宋简体" w:cs="方正小标宋简体"/>
          <w:b w:val="0"/>
          <w:bCs/>
          <w:color w:val="auto"/>
          <w:kern w:val="2"/>
          <w:sz w:val="40"/>
          <w:szCs w:val="40"/>
          <w:lang w:val="en-US" w:eastAsia="zh-CN"/>
        </w:rPr>
        <w:t>磋商说明</w:t>
      </w:r>
      <w:bookmarkEnd w:id="19"/>
      <w:bookmarkEnd w:id="20"/>
    </w:p>
    <w:p>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b/>
          <w:bCs w:val="0"/>
          <w:color w:val="auto"/>
          <w:kern w:val="2"/>
          <w:sz w:val="32"/>
          <w:szCs w:val="32"/>
          <w:lang w:eastAsia="zh-CN"/>
        </w:rPr>
      </w:pPr>
      <w:bookmarkStart w:id="21" w:name="_Toc16279_WPSOffice_Level2"/>
      <w:bookmarkStart w:id="22" w:name="_Toc22600_WPSOffice_Level2"/>
      <w:r>
        <w:rPr>
          <w:rFonts w:hint="eastAsia" w:ascii="仿宋" w:hAnsi="仿宋" w:eastAsia="仿宋" w:cs="仿宋"/>
          <w:b/>
          <w:bCs w:val="0"/>
          <w:color w:val="auto"/>
          <w:kern w:val="2"/>
          <w:sz w:val="32"/>
          <w:szCs w:val="32"/>
          <w:lang w:eastAsia="zh-CN"/>
        </w:rPr>
        <w:t>第一章、对投标方的资质要求</w:t>
      </w:r>
      <w:bookmarkEnd w:id="21"/>
      <w:bookmarkEnd w:id="22"/>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 w:hAnsi="仿宋" w:eastAsia="仿宋" w:cs="仿宋"/>
          <w:b/>
          <w:bCs/>
          <w:color w:val="auto"/>
          <w:kern w:val="2"/>
          <w:sz w:val="32"/>
          <w:szCs w:val="32"/>
          <w:lang w:eastAsia="zh-CN"/>
        </w:rPr>
      </w:pPr>
      <w:r>
        <w:rPr>
          <w:rFonts w:hint="eastAsia" w:ascii="仿宋" w:hAnsi="仿宋" w:eastAsia="仿宋" w:cs="仿宋"/>
          <w:b/>
          <w:bCs/>
          <w:color w:val="auto"/>
          <w:kern w:val="2"/>
          <w:sz w:val="32"/>
          <w:szCs w:val="32"/>
          <w:lang w:eastAsia="zh-CN"/>
        </w:rPr>
        <w:t>1、投标资质</w:t>
      </w:r>
    </w:p>
    <w:p>
      <w:pPr>
        <w:pStyle w:val="23"/>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投标人必须提交能够证明其具有履行本招标项目合同能力的资质证明文件，作为投标文件的一部分。</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）凡拟参加本次招标项目的投标公司，应提供年审合格的法人营业执照国税、地税税务登记证及法人机构代码证副本原件（或三证合一营业执照副本原件）。</w:t>
      </w:r>
    </w:p>
    <w:p>
      <w:pPr>
        <w:pStyle w:val="23"/>
        <w:keepNext w:val="0"/>
        <w:keepLines w:val="0"/>
        <w:pageBreakBefore w:val="0"/>
        <w:kinsoku/>
        <w:wordWrap/>
        <w:overflowPunct/>
        <w:topLinePunct w:val="0"/>
        <w:autoSpaceDE w:val="0"/>
        <w:autoSpaceDN w:val="0"/>
        <w:bidi w:val="0"/>
        <w:snapToGrid/>
        <w:spacing w:line="60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zh-CN" w:eastAsia="zh-CN"/>
        </w:rPr>
        <w:t>具有良好的商业信誉和健全的财务会计制度。</w:t>
      </w:r>
      <w:r>
        <w:rPr>
          <w:rFonts w:hint="eastAsia" w:ascii="仿宋" w:hAnsi="仿宋" w:eastAsia="仿宋" w:cs="仿宋"/>
          <w:color w:val="auto"/>
          <w:sz w:val="28"/>
          <w:szCs w:val="28"/>
          <w:lang w:val="en-US" w:eastAsia="zh-CN"/>
        </w:rPr>
        <w:t>投标人不能是被列入“信用中国”网站、国家企业信用信息公示系统失信被执行人、重大税收违法案件当事人名单（尚在处罚期内）的供应商；不能是被列入“中国政府政采购网”网站政府采购严重违法失信行为记录名单中仍在处罚期被禁止参加政府采购活动的供应商。（详见附件五</w:t>
      </w:r>
      <w:r>
        <w:rPr>
          <w:rFonts w:hint="eastAsia" w:ascii="仿宋" w:hAnsi="仿宋" w:eastAsia="仿宋" w:cs="仿宋"/>
          <w:color w:val="auto"/>
          <w:sz w:val="30"/>
          <w:szCs w:val="30"/>
          <w:lang w:val="en-US" w:eastAsia="zh-CN"/>
        </w:rPr>
        <w:t>；网页截图需加盖公章）</w:t>
      </w:r>
      <w:r>
        <w:rPr>
          <w:rFonts w:hint="eastAsia" w:ascii="仿宋" w:hAnsi="仿宋" w:eastAsia="仿宋" w:cs="仿宋"/>
          <w:color w:val="auto"/>
          <w:sz w:val="28"/>
          <w:szCs w:val="28"/>
          <w:lang w:val="en-US" w:eastAsia="zh-CN"/>
        </w:rPr>
        <w:t>。</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（3）具有履行合同所必需的设备和专业技术能力。（</w:t>
      </w:r>
      <w:r>
        <w:rPr>
          <w:rFonts w:hint="eastAsia" w:ascii="仿宋" w:hAnsi="仿宋" w:eastAsia="仿宋" w:cs="仿宋"/>
          <w:color w:val="auto"/>
          <w:sz w:val="30"/>
          <w:szCs w:val="30"/>
          <w:lang w:val="en-US" w:eastAsia="zh-CN"/>
        </w:rPr>
        <w:t>提供声明或承诺书原件扫描件</w:t>
      </w:r>
      <w:r>
        <w:rPr>
          <w:rFonts w:hint="eastAsia" w:ascii="仿宋" w:hAnsi="仿宋" w:eastAsia="仿宋" w:cs="仿宋"/>
          <w:color w:val="auto"/>
          <w:sz w:val="28"/>
          <w:szCs w:val="28"/>
          <w:lang w:val="en-US" w:eastAsia="zh-CN"/>
        </w:rPr>
        <w:t>）</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（4）有依法缴纳税收和社会保障资金的良好记录。（</w:t>
      </w:r>
      <w:r>
        <w:rPr>
          <w:rFonts w:hint="eastAsia" w:ascii="仿宋" w:hAnsi="仿宋" w:eastAsia="仿宋" w:cs="仿宋"/>
          <w:color w:val="auto"/>
          <w:sz w:val="30"/>
          <w:szCs w:val="30"/>
          <w:lang w:val="en-US" w:eastAsia="zh-CN"/>
        </w:rPr>
        <w:t>提供截图加盖公章</w:t>
      </w:r>
      <w:r>
        <w:rPr>
          <w:rFonts w:hint="eastAsia" w:ascii="仿宋" w:hAnsi="仿宋" w:eastAsia="仿宋" w:cs="仿宋"/>
          <w:color w:val="auto"/>
          <w:sz w:val="28"/>
          <w:szCs w:val="28"/>
          <w:lang w:val="en-US" w:eastAsia="zh-CN"/>
        </w:rPr>
        <w:t>）</w:t>
      </w:r>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28"/>
          <w:szCs w:val="28"/>
          <w:lang w:val="en-US" w:eastAsia="zh-CN"/>
        </w:rPr>
        <w:t>（5）参加政府采购活动前三年内，在经营活动中没有重大违法记录。</w:t>
      </w:r>
      <w:r>
        <w:rPr>
          <w:rFonts w:hint="eastAsia" w:ascii="仿宋" w:hAnsi="仿宋" w:eastAsia="仿宋" w:cs="仿宋"/>
          <w:color w:val="auto"/>
          <w:sz w:val="30"/>
          <w:szCs w:val="30"/>
          <w:lang w:val="en-US" w:eastAsia="zh-CN"/>
        </w:rPr>
        <w:t>（提供声明或承诺书原件扫描件）</w:t>
      </w:r>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法人代表授权委托书原件及被授权人《居民身份证》。</w:t>
      </w:r>
      <w:r>
        <w:rPr>
          <w:rFonts w:hint="eastAsia" w:ascii="仿宋" w:hAnsi="仿宋" w:eastAsia="仿宋" w:cs="仿宋"/>
          <w:color w:val="auto"/>
          <w:sz w:val="30"/>
          <w:szCs w:val="30"/>
          <w:lang w:val="zh-CN"/>
        </w:rPr>
        <w:t>（</w:t>
      </w:r>
      <w:r>
        <w:rPr>
          <w:rFonts w:hint="eastAsia" w:ascii="仿宋" w:hAnsi="仿宋" w:eastAsia="仿宋" w:cs="仿宋"/>
          <w:color w:val="auto"/>
          <w:sz w:val="30"/>
          <w:szCs w:val="30"/>
          <w:lang w:val="en-US" w:eastAsia="zh-CN"/>
        </w:rPr>
        <w:t>扫描件</w:t>
      </w:r>
      <w:r>
        <w:rPr>
          <w:rFonts w:hint="eastAsia" w:ascii="仿宋" w:hAnsi="仿宋" w:eastAsia="仿宋" w:cs="仿宋"/>
          <w:color w:val="auto"/>
          <w:sz w:val="30"/>
          <w:szCs w:val="30"/>
          <w:lang w:val="zh-CN"/>
        </w:rPr>
        <w:t>）</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）投标单位（供应商）《反商业贿赂承诺书》（</w:t>
      </w:r>
      <w:r>
        <w:rPr>
          <w:rFonts w:hint="eastAsia" w:ascii="仿宋" w:hAnsi="仿宋" w:eastAsia="仿宋" w:cs="仿宋"/>
          <w:color w:val="auto"/>
          <w:sz w:val="30"/>
          <w:szCs w:val="30"/>
          <w:lang w:val="zh-CN"/>
        </w:rPr>
        <w:t>原件</w:t>
      </w:r>
      <w:r>
        <w:rPr>
          <w:rFonts w:hint="eastAsia" w:ascii="仿宋" w:hAnsi="仿宋" w:eastAsia="仿宋" w:cs="仿宋"/>
          <w:color w:val="auto"/>
          <w:sz w:val="30"/>
          <w:szCs w:val="30"/>
          <w:lang w:val="en-US" w:eastAsia="zh-CN"/>
        </w:rPr>
        <w:t>扫描件</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 xml:space="preserve"> 。</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）本项目不接受联合体投标</w:t>
      </w:r>
      <w:r>
        <w:rPr>
          <w:rFonts w:hint="eastAsia" w:ascii="仿宋" w:hAnsi="仿宋" w:eastAsia="仿宋" w:cs="仿宋"/>
          <w:color w:val="auto"/>
          <w:sz w:val="28"/>
          <w:szCs w:val="28"/>
          <w:highlight w:val="none"/>
          <w:lang w:val="zh-CN" w:eastAsia="zh-CN"/>
        </w:rPr>
        <w:t>（提供承诺书原件扫描件）。</w:t>
      </w:r>
    </w:p>
    <w:p>
      <w:pPr>
        <w:rPr>
          <w:rFonts w:hint="eastAsia" w:ascii="仿宋" w:hAnsi="仿宋" w:eastAsia="仿宋" w:cs="仿宋"/>
          <w:color w:val="auto"/>
          <w:sz w:val="28"/>
          <w:szCs w:val="28"/>
          <w:highlight w:val="none"/>
          <w:lang w:val="zh-CN"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b/>
          <w:bCs w:val="0"/>
          <w:color w:val="auto"/>
          <w:kern w:val="2"/>
          <w:sz w:val="32"/>
          <w:szCs w:val="32"/>
          <w:lang w:eastAsia="zh-CN"/>
        </w:rPr>
      </w:pPr>
      <w:bookmarkStart w:id="23" w:name="_Toc20045_WPSOffice_Level2"/>
      <w:bookmarkStart w:id="24" w:name="_Toc29635_WPSOffice_Level2"/>
      <w:r>
        <w:rPr>
          <w:rFonts w:hint="eastAsia" w:ascii="仿宋" w:hAnsi="仿宋" w:eastAsia="仿宋" w:cs="仿宋"/>
          <w:b/>
          <w:bCs w:val="0"/>
          <w:color w:val="auto"/>
          <w:kern w:val="2"/>
          <w:sz w:val="32"/>
          <w:szCs w:val="32"/>
          <w:lang w:eastAsia="zh-CN"/>
        </w:rPr>
        <w:t>第二章、投标文件的编写</w:t>
      </w:r>
      <w:bookmarkEnd w:id="23"/>
      <w:bookmarkEnd w:id="24"/>
    </w:p>
    <w:p>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2、要求</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2.1   投标人应详细阅读磋商文件中的条款、规范、表示、条件和格式等所有内容，按磋商文件的要求份数提供投标书，并保证所提供全部材料的真实性，以使其投标对磋商文件做出实质性响应。否则，其投标可能被拒绝。</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2.2   允许投标人对本磋商文件中的所有包投标，也可根据本企业生产或代理产品的情况对部分包进行投标，但不允许投标人对某一包中的一项或部分项进行投标。</w:t>
      </w:r>
    </w:p>
    <w:p>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3、 投标文件语言和度量单位</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3.1   磋商文件及投标人和招标方就招标、投标交换的文件和往来信件，须以中文书写。</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3.2   除在磋商文件的技术规格中另有规定外，计量单位应使用中华人民共和国法定计量单位。</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4</w:t>
      </w:r>
      <w:r>
        <w:rPr>
          <w:rFonts w:hint="eastAsia" w:ascii="仿宋" w:hAnsi="仿宋" w:eastAsia="仿宋" w:cs="仿宋"/>
          <w:b/>
          <w:bCs/>
          <w:color w:val="auto"/>
          <w:sz w:val="32"/>
          <w:szCs w:val="32"/>
          <w:lang w:val="zh-CN"/>
        </w:rPr>
        <w:t>、投标文件的组成</w:t>
      </w:r>
    </w:p>
    <w:p>
      <w:pPr>
        <w:pStyle w:val="23"/>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4.1　投标人编写的投标文件应包括下列内容：</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zh-CN"/>
        </w:rPr>
        <w:t>资格性自查表</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zh-CN"/>
        </w:rPr>
        <w:t>投标函、投标声明</w:t>
      </w:r>
    </w:p>
    <w:p>
      <w:pPr>
        <w:pStyle w:val="23"/>
        <w:keepNext w:val="0"/>
        <w:keepLines w:val="0"/>
        <w:pageBreakBefore w:val="0"/>
        <w:kinsoku/>
        <w:wordWrap/>
        <w:overflowPunct/>
        <w:topLinePunct w:val="0"/>
        <w:autoSpaceDE w:val="0"/>
        <w:autoSpaceDN w:val="0"/>
        <w:bidi w:val="0"/>
        <w:snapToGrid/>
        <w:spacing w:line="5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投标保证金</w:t>
      </w:r>
      <w:r>
        <w:rPr>
          <w:rFonts w:hint="eastAsia" w:ascii="仿宋" w:hAnsi="仿宋" w:eastAsia="仿宋" w:cs="仿宋"/>
          <w:color w:val="auto"/>
          <w:sz w:val="28"/>
          <w:szCs w:val="28"/>
          <w:highlight w:val="none"/>
          <w:lang w:val="zh-CN" w:eastAsia="zh-CN"/>
        </w:rPr>
        <w:t>（保函）</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）投标人的基本情况及资格证明材料</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符合资格要求的相关文件及证明材料，包含但不限于含投标保证金</w:t>
      </w:r>
      <w:r>
        <w:rPr>
          <w:rFonts w:hint="eastAsia" w:ascii="仿宋" w:hAnsi="仿宋" w:eastAsia="仿宋" w:cs="仿宋"/>
          <w:color w:val="auto"/>
          <w:sz w:val="28"/>
          <w:szCs w:val="28"/>
          <w:lang w:val="zh-CN" w:eastAsia="zh-CN"/>
        </w:rPr>
        <w:t>（保函）</w:t>
      </w:r>
      <w:r>
        <w:rPr>
          <w:rFonts w:hint="eastAsia" w:ascii="仿宋" w:hAnsi="仿宋" w:eastAsia="仿宋" w:cs="仿宋"/>
          <w:color w:val="auto"/>
          <w:sz w:val="28"/>
          <w:szCs w:val="28"/>
          <w:lang w:val="zh-CN"/>
        </w:rPr>
        <w:t>证明、企业简介、财务报表、社保缴纳证明、具有履行合同所必需的设备和专业技术能力书面声明、无重大违法记录声明书、投标单位（供应商）反商业贿赂承诺书、信用中国查询结果打印件、中国政府采购网查询结果等。</w:t>
      </w:r>
    </w:p>
    <w:p>
      <w:pPr>
        <w:pStyle w:val="23"/>
        <w:keepNext w:val="0"/>
        <w:keepLines w:val="0"/>
        <w:pageBreakBefore w:val="0"/>
        <w:numPr>
          <w:ilvl w:val="0"/>
          <w:numId w:val="0"/>
        </w:numPr>
        <w:kinsoku/>
        <w:wordWrap/>
        <w:overflowPunct/>
        <w:topLinePunct w:val="0"/>
        <w:autoSpaceDE w:val="0"/>
        <w:autoSpaceDN w:val="0"/>
        <w:bidi w:val="0"/>
        <w:snapToGrid/>
        <w:spacing w:line="560" w:lineRule="exact"/>
        <w:ind w:firstLine="560" w:firstLineChars="200"/>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）项目实施方案</w:t>
      </w:r>
    </w:p>
    <w:p>
      <w:pPr>
        <w:keepNext w:val="0"/>
        <w:keepLines w:val="0"/>
        <w:pageBreakBefore w:val="0"/>
        <w:numPr>
          <w:ilvl w:val="0"/>
          <w:numId w:val="0"/>
        </w:numPr>
        <w:kinsoku/>
        <w:wordWrap/>
        <w:overflowPunct/>
        <w:topLinePunct w:val="0"/>
        <w:bidi w:val="0"/>
        <w:snapToGrid/>
        <w:spacing w:line="560" w:lineRule="exact"/>
        <w:ind w:firstLine="560" w:firstLineChars="200"/>
        <w:jc w:val="both"/>
        <w:textAlignment w:val="auto"/>
        <w:rPr>
          <w:rFonts w:hint="eastAsia" w:ascii="仿宋" w:hAnsi="仿宋" w:eastAsia="仿宋" w:cs="仿宋"/>
          <w:color w:val="auto"/>
          <w:kern w:val="0"/>
          <w:sz w:val="28"/>
          <w:szCs w:val="28"/>
          <w:lang w:val="zh-CN" w:eastAsia="zh-CN" w:bidi="ar-SA"/>
        </w:rPr>
      </w:pPr>
      <w:r>
        <w:rPr>
          <w:rFonts w:hint="eastAsia" w:ascii="仿宋" w:hAnsi="仿宋" w:eastAsia="仿宋" w:cs="仿宋"/>
          <w:color w:val="auto"/>
          <w:kern w:val="0"/>
          <w:sz w:val="28"/>
          <w:szCs w:val="28"/>
          <w:lang w:val="zh-CN" w:eastAsia="zh-CN" w:bidi="ar-SA"/>
        </w:rPr>
        <w:t>项目负责人简历表及拟投入本项目主要成员表、项目配备人员表、服务附表。</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eastAsia="zh-CN"/>
        </w:rPr>
        <w:t>）商务条款偏离表</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eastAsia="zh-CN"/>
        </w:rPr>
        <w:t>）技术参数、功能偏离表</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color w:val="auto"/>
          <w:lang w:val="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）开标</w:t>
      </w:r>
      <w:r>
        <w:rPr>
          <w:rFonts w:hint="eastAsia" w:ascii="仿宋" w:hAnsi="仿宋" w:eastAsia="仿宋" w:cs="仿宋"/>
          <w:color w:val="auto"/>
          <w:sz w:val="28"/>
          <w:szCs w:val="28"/>
          <w:lang w:val="zh-CN"/>
        </w:rPr>
        <w:t>一览表、</w:t>
      </w:r>
      <w:r>
        <w:rPr>
          <w:rFonts w:hint="eastAsia" w:ascii="仿宋" w:hAnsi="仿宋" w:eastAsia="仿宋" w:cs="仿宋"/>
          <w:bCs/>
          <w:color w:val="auto"/>
          <w:sz w:val="30"/>
          <w:szCs w:val="30"/>
          <w:lang w:eastAsia="zh-CN"/>
        </w:rPr>
        <w:t>设备分项报价表</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eastAsia="zh-CN"/>
        </w:rPr>
        <w:t>）设备简要说明一览表</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eastAsia="zh-CN"/>
        </w:rPr>
        <w:t>）法人代表授权书格式</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eastAsia="zh-CN"/>
        </w:rPr>
        <w:t>）销售业绩表</w:t>
      </w:r>
    </w:p>
    <w:p>
      <w:pPr>
        <w:pStyle w:val="23"/>
        <w:keepNext w:val="0"/>
        <w:keepLines w:val="0"/>
        <w:pageBreakBefore w:val="0"/>
        <w:kinsoku/>
        <w:wordWrap/>
        <w:overflowPunct/>
        <w:topLinePunct w:val="0"/>
        <w:autoSpaceDE w:val="0"/>
        <w:autoSpaceDN w:val="0"/>
        <w:bidi w:val="0"/>
        <w:snapToGrid/>
        <w:spacing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val="zh-CN"/>
        </w:rPr>
        <w:t>）中小企业声明函（非中小企业可不提供）</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）投标人认为需提供的其它资料</w:t>
      </w:r>
    </w:p>
    <w:p>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根据《政府采购法》第四十二条的规定，投标人无论中标与否，其投标文件正本留存。</w:t>
      </w:r>
    </w:p>
    <w:p>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5、投标文件格式</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5.1　投标方应按磋商文件范本格式中提供的投标文件格式认真填写投标书、开标一览表等。</w:t>
      </w:r>
    </w:p>
    <w:p>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6、投标报价</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6.1　投标方应在</w:t>
      </w:r>
      <w:r>
        <w:rPr>
          <w:rFonts w:hint="eastAsia" w:ascii="仿宋" w:hAnsi="仿宋" w:eastAsia="仿宋" w:cs="仿宋"/>
          <w:color w:val="auto"/>
          <w:sz w:val="28"/>
          <w:szCs w:val="28"/>
          <w:lang w:val="en-US" w:eastAsia="zh-CN" w:bidi="ar-SA"/>
        </w:rPr>
        <w:t>开标一览表</w:t>
      </w:r>
      <w:r>
        <w:rPr>
          <w:rFonts w:hint="eastAsia" w:ascii="仿宋" w:hAnsi="仿宋" w:eastAsia="仿宋" w:cs="仿宋"/>
          <w:color w:val="auto"/>
          <w:sz w:val="28"/>
          <w:szCs w:val="28"/>
          <w:lang w:val="zh-CN" w:eastAsia="zh-CN" w:bidi="ar-SA"/>
        </w:rPr>
        <w:t>上标明单价和总价。如单价和总价不符，以单价累计为准。小写和大写不符，以大写为准。投标方如果不同意上述修改原则，其投标将被拒绝。投标方应在投标报价表中标明其提供的所有</w:t>
      </w:r>
      <w:r>
        <w:rPr>
          <w:rFonts w:hint="eastAsia" w:ascii="仿宋" w:hAnsi="仿宋" w:eastAsia="仿宋" w:cs="仿宋"/>
          <w:color w:val="auto"/>
          <w:sz w:val="28"/>
          <w:szCs w:val="28"/>
          <w:lang w:val="en-US" w:eastAsia="zh-CN" w:bidi="ar-SA"/>
        </w:rPr>
        <w:t>服务</w:t>
      </w:r>
      <w:r>
        <w:rPr>
          <w:rFonts w:hint="eastAsia" w:ascii="仿宋" w:hAnsi="仿宋" w:eastAsia="仿宋" w:cs="仿宋"/>
          <w:color w:val="auto"/>
          <w:sz w:val="28"/>
          <w:szCs w:val="28"/>
          <w:lang w:val="zh-CN" w:eastAsia="zh-CN" w:bidi="ar-SA"/>
        </w:rPr>
        <w:t>及其相关工作范围内所有费用的总价，招标方不接受有任何选择性的报价。</w:t>
      </w:r>
    </w:p>
    <w:p>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7、投标报价的货币单位</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7.1　投标报价单位为人民币。</w:t>
      </w:r>
    </w:p>
    <w:p>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8、磋商文件规定的技术响应文件</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8.1　 投标方须提交证明拟供货物和服务符合磋商文件规定的技术响应文件，作为投标文件的一部分。</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8.2 上述文件可以是文字资料、图纸和数据，并提供：</w:t>
      </w:r>
    </w:p>
    <w:p>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（1）货物主要技术及性能特点的详细描述；</w:t>
      </w:r>
    </w:p>
    <w:p>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（2）货物主要部件的详细资料，包括检验报告等；</w:t>
      </w:r>
    </w:p>
    <w:p>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（3）一份在技术规格中规定的保证货物正常和连续运转期间所需要的所有备件和专业工具的详细清单包括价格及供货来源信息；</w:t>
      </w:r>
    </w:p>
    <w:p>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（4）规格、技术参数偏离表（见附件）</w:t>
      </w:r>
    </w:p>
    <w:p>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没有按要求提供资料或提供资料不完全的，将视为对磋商文件没有做出实质性响应，其风险由投标人自行承担。</w:t>
      </w:r>
    </w:p>
    <w:p>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9、投标有效期</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9.1　投标文件从开标之日起，投标有效期为90天（如不满足将导致废标）。</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9.2　在特殊情况下，招标方可与投标人协商延长投标文件的有效期。</w:t>
      </w:r>
    </w:p>
    <w:p>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10、投标文件的签署规定</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bookmarkStart w:id="25" w:name="_Toc1369_WPSOffice_Level3"/>
      <w:r>
        <w:rPr>
          <w:rFonts w:hint="eastAsia" w:ascii="仿宋" w:hAnsi="仿宋" w:eastAsia="仿宋" w:cs="仿宋"/>
          <w:color w:val="auto"/>
          <w:sz w:val="28"/>
          <w:szCs w:val="28"/>
          <w:lang w:val="zh-CN" w:eastAsia="zh-CN" w:bidi="ar-SA"/>
        </w:rPr>
        <w:t>10.</w:t>
      </w:r>
      <w:r>
        <w:rPr>
          <w:rFonts w:hint="eastAsia" w:ascii="仿宋" w:hAnsi="仿宋" w:eastAsia="仿宋" w:cs="仿宋"/>
          <w:color w:val="auto"/>
          <w:sz w:val="28"/>
          <w:szCs w:val="28"/>
          <w:lang w:val="en-US" w:eastAsia="zh-CN" w:bidi="ar-SA"/>
        </w:rPr>
        <w:t xml:space="preserve">1  </w:t>
      </w:r>
      <w:r>
        <w:rPr>
          <w:rFonts w:hint="eastAsia" w:ascii="仿宋" w:hAnsi="仿宋" w:eastAsia="仿宋" w:cs="仿宋"/>
          <w:color w:val="auto"/>
          <w:sz w:val="28"/>
          <w:szCs w:val="28"/>
          <w:lang w:val="zh-CN" w:eastAsia="zh-CN" w:bidi="ar-SA"/>
        </w:rPr>
        <w:t>投标文件应清楚工整，一般不准修改。个别非实质性修改之处应由投标方的被授权人或法人代表签章。</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10.</w:t>
      </w:r>
      <w:r>
        <w:rPr>
          <w:rFonts w:hint="eastAsia" w:ascii="仿宋" w:hAnsi="仿宋" w:eastAsia="仿宋" w:cs="仿宋"/>
          <w:color w:val="auto"/>
          <w:sz w:val="28"/>
          <w:szCs w:val="28"/>
          <w:lang w:val="en-US" w:eastAsia="zh-CN" w:bidi="ar-SA"/>
        </w:rPr>
        <w:t>2</w:t>
      </w:r>
      <w:r>
        <w:rPr>
          <w:rFonts w:hint="eastAsia" w:ascii="仿宋" w:hAnsi="仿宋" w:eastAsia="仿宋" w:cs="仿宋"/>
          <w:color w:val="auto"/>
          <w:sz w:val="28"/>
          <w:szCs w:val="28"/>
          <w:lang w:val="zh-CN" w:eastAsia="zh-CN" w:bidi="ar-SA"/>
        </w:rPr>
        <w:t>　投标文件应由法人代表或法人授权代表在规定的签章处逐一签署并加盖单位公章。所有投标人签字、法人代表签字、法人代表授权人签字和其它签字处必须加盖具有法律效力的投标方的印章后，投标文件方为有效。</w:t>
      </w:r>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28"/>
          <w:szCs w:val="28"/>
          <w:lang w:val="zh-CN" w:eastAsia="zh-CN" w:bidi="ar-SA"/>
        </w:rPr>
        <w:t>10.</w:t>
      </w:r>
      <w:r>
        <w:rPr>
          <w:rFonts w:hint="eastAsia" w:ascii="仿宋" w:hAnsi="仿宋" w:eastAsia="仿宋" w:cs="仿宋"/>
          <w:color w:val="auto"/>
          <w:sz w:val="28"/>
          <w:szCs w:val="28"/>
          <w:lang w:val="en-US" w:eastAsia="zh-CN" w:bidi="ar-SA"/>
        </w:rPr>
        <w:t>3</w:t>
      </w:r>
      <w:r>
        <w:rPr>
          <w:rFonts w:hint="eastAsia" w:ascii="仿宋" w:hAnsi="仿宋" w:eastAsia="仿宋" w:cs="仿宋"/>
          <w:color w:val="auto"/>
          <w:sz w:val="28"/>
          <w:szCs w:val="28"/>
          <w:lang w:val="zh-CN" w:eastAsia="zh-CN" w:bidi="ar-SA"/>
        </w:rPr>
        <w:t>　</w:t>
      </w:r>
      <w:r>
        <w:rPr>
          <w:rFonts w:hint="eastAsia" w:ascii="仿宋" w:hAnsi="仿宋" w:eastAsia="仿宋" w:cs="仿宋"/>
          <w:color w:val="auto"/>
          <w:sz w:val="30"/>
          <w:szCs w:val="30"/>
          <w:lang w:val="zh-CN"/>
        </w:rPr>
        <w:t>投标人中标后需提交投标文件正副本各一套。</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10.</w:t>
      </w:r>
      <w:r>
        <w:rPr>
          <w:rFonts w:hint="eastAsia" w:ascii="仿宋" w:hAnsi="仿宋" w:eastAsia="仿宋" w:cs="仿宋"/>
          <w:color w:val="auto"/>
          <w:sz w:val="28"/>
          <w:szCs w:val="28"/>
          <w:lang w:val="en-US" w:eastAsia="zh-CN" w:bidi="ar-SA"/>
        </w:rPr>
        <w:t>4</w:t>
      </w:r>
      <w:r>
        <w:rPr>
          <w:rFonts w:hint="eastAsia" w:ascii="仿宋" w:hAnsi="仿宋" w:eastAsia="仿宋" w:cs="仿宋"/>
          <w:color w:val="auto"/>
          <w:sz w:val="28"/>
          <w:szCs w:val="28"/>
          <w:lang w:val="zh-CN" w:eastAsia="zh-CN" w:bidi="ar-SA"/>
        </w:rPr>
        <w:t xml:space="preserve"> </w:t>
      </w:r>
      <w:r>
        <w:rPr>
          <w:rFonts w:hint="eastAsia" w:ascii="仿宋" w:hAnsi="仿宋" w:eastAsia="仿宋" w:cs="仿宋"/>
          <w:color w:val="auto"/>
          <w:sz w:val="28"/>
          <w:szCs w:val="28"/>
          <w:lang w:val="en-US" w:eastAsia="zh-CN" w:bidi="ar-SA"/>
        </w:rPr>
        <w:t xml:space="preserve"> </w:t>
      </w:r>
      <w:r>
        <w:rPr>
          <w:rFonts w:hint="eastAsia" w:ascii="仿宋" w:hAnsi="仿宋" w:eastAsia="仿宋" w:cs="仿宋"/>
          <w:color w:val="auto"/>
          <w:sz w:val="28"/>
          <w:szCs w:val="28"/>
          <w:lang w:val="zh-CN" w:eastAsia="zh-CN" w:bidi="ar-SA"/>
        </w:rPr>
        <w:t>投标文件的正本与副本应当完全一致。当正本和副本之间出现差异时，以正本为准。</w:t>
      </w:r>
    </w:p>
    <w:p>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10.</w:t>
      </w:r>
      <w:r>
        <w:rPr>
          <w:rFonts w:hint="eastAsia" w:ascii="仿宋" w:hAnsi="仿宋" w:eastAsia="仿宋" w:cs="仿宋"/>
          <w:color w:val="auto"/>
          <w:sz w:val="28"/>
          <w:szCs w:val="28"/>
          <w:lang w:val="en-US" w:eastAsia="zh-CN" w:bidi="ar-SA"/>
        </w:rPr>
        <w:t xml:space="preserve">5  </w:t>
      </w:r>
      <w:r>
        <w:rPr>
          <w:rFonts w:hint="eastAsia" w:ascii="仿宋" w:hAnsi="仿宋" w:eastAsia="仿宋" w:cs="仿宋"/>
          <w:color w:val="auto"/>
          <w:sz w:val="28"/>
          <w:szCs w:val="28"/>
          <w:lang w:val="zh-CN" w:eastAsia="zh-CN" w:bidi="ar-SA"/>
        </w:rPr>
        <w:t>电报、电话、传真、电子邮件等形式的投标概不接受。</w:t>
      </w:r>
    </w:p>
    <w:p>
      <w:pPr>
        <w:pStyle w:val="21"/>
        <w:keepNext w:val="0"/>
        <w:keepLines w:val="0"/>
        <w:pageBreakBefore w:val="0"/>
        <w:kinsoku/>
        <w:wordWrap/>
        <w:overflowPunct/>
        <w:topLinePunct w:val="0"/>
        <w:bidi w:val="0"/>
        <w:snapToGrid/>
        <w:spacing w:line="560" w:lineRule="exact"/>
        <w:ind w:left="0" w:leftChars="0" w:firstLine="643" w:firstLine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11.投标</w:t>
      </w:r>
      <w:bookmarkEnd w:id="25"/>
      <w:r>
        <w:rPr>
          <w:rFonts w:hint="eastAsia" w:ascii="仿宋" w:hAnsi="仿宋" w:eastAsia="仿宋" w:cs="仿宋"/>
          <w:b/>
          <w:bCs/>
          <w:color w:val="auto"/>
          <w:kern w:val="2"/>
          <w:sz w:val="32"/>
          <w:szCs w:val="32"/>
          <w:lang w:val="zh-CN" w:eastAsia="zh-CN" w:bidi="ar-SA"/>
        </w:rPr>
        <w:t>保函</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11.1投标人应按照</w:t>
      </w:r>
      <w:r>
        <w:rPr>
          <w:rFonts w:hint="eastAsia" w:ascii="仿宋" w:hAnsi="仿宋" w:eastAsia="仿宋" w:cs="仿宋"/>
          <w:color w:val="auto"/>
          <w:sz w:val="28"/>
          <w:szCs w:val="28"/>
          <w:lang w:val="zh-CN" w:eastAsia="zh-CN"/>
        </w:rPr>
        <w:t>招标文件要求</w:t>
      </w:r>
      <w:r>
        <w:rPr>
          <w:rFonts w:hint="eastAsia" w:ascii="仿宋" w:hAnsi="仿宋" w:eastAsia="仿宋" w:cs="仿宋"/>
          <w:color w:val="auto"/>
          <w:sz w:val="28"/>
          <w:szCs w:val="28"/>
          <w:lang w:val="zh-CN"/>
        </w:rPr>
        <w:t>提交投标保</w:t>
      </w:r>
      <w:r>
        <w:rPr>
          <w:rFonts w:hint="eastAsia" w:ascii="仿宋" w:hAnsi="仿宋" w:eastAsia="仿宋" w:cs="仿宋"/>
          <w:color w:val="auto"/>
          <w:sz w:val="28"/>
          <w:szCs w:val="28"/>
          <w:lang w:val="zh-CN" w:eastAsia="zh-CN"/>
        </w:rPr>
        <w:t>函</w:t>
      </w:r>
      <w:r>
        <w:rPr>
          <w:rFonts w:hint="eastAsia" w:ascii="仿宋" w:hAnsi="仿宋" w:eastAsia="仿宋" w:cs="仿宋"/>
          <w:color w:val="auto"/>
          <w:sz w:val="28"/>
          <w:szCs w:val="28"/>
          <w:lang w:val="zh-CN"/>
        </w:rPr>
        <w:t>，并于投标截止时间前向招标方送达，</w:t>
      </w:r>
      <w:r>
        <w:rPr>
          <w:rFonts w:hint="eastAsia" w:ascii="仿宋" w:hAnsi="仿宋" w:eastAsia="仿宋" w:cs="仿宋"/>
          <w:color w:val="auto"/>
          <w:sz w:val="28"/>
          <w:szCs w:val="28"/>
          <w:lang w:val="zh-CN" w:eastAsia="zh-CN" w:bidi="ar-SA"/>
        </w:rPr>
        <w:t>保函有效期与招标文件所规定的投标有效期</w:t>
      </w:r>
      <w:r>
        <w:rPr>
          <w:rFonts w:hint="eastAsia" w:ascii="仿宋" w:hAnsi="仿宋" w:eastAsia="仿宋" w:cs="仿宋"/>
          <w:color w:val="auto"/>
          <w:sz w:val="28"/>
          <w:szCs w:val="28"/>
          <w:lang w:val="en-US" w:eastAsia="zh-CN" w:bidi="ar-SA"/>
        </w:rPr>
        <w:t>一致</w:t>
      </w:r>
      <w:r>
        <w:rPr>
          <w:rFonts w:hint="eastAsia" w:ascii="仿宋" w:hAnsi="仿宋" w:eastAsia="仿宋" w:cs="仿宋"/>
          <w:color w:val="auto"/>
          <w:sz w:val="28"/>
          <w:szCs w:val="28"/>
          <w:lang w:val="zh-CN" w:eastAsia="zh-CN" w:bidi="ar-SA"/>
        </w:rPr>
        <w:t>。</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宋体"/>
          <w:bCs/>
          <w:color w:val="auto"/>
          <w:lang w:eastAsia="zh-CN"/>
        </w:rPr>
      </w:pPr>
      <w:r>
        <w:rPr>
          <w:rFonts w:hint="eastAsia" w:ascii="仿宋" w:hAnsi="仿宋" w:eastAsia="仿宋" w:cs="仿宋"/>
          <w:color w:val="auto"/>
          <w:sz w:val="28"/>
          <w:szCs w:val="28"/>
          <w:highlight w:val="none"/>
          <w:lang w:val="zh-CN" w:eastAsia="zh-CN" w:bidi="ar-SA"/>
        </w:rPr>
        <w:t>11.</w:t>
      </w:r>
      <w:r>
        <w:rPr>
          <w:rFonts w:hint="eastAsia" w:ascii="仿宋" w:hAnsi="仿宋" w:eastAsia="仿宋" w:cs="仿宋"/>
          <w:color w:val="auto"/>
          <w:sz w:val="28"/>
          <w:szCs w:val="28"/>
          <w:highlight w:val="none"/>
          <w:lang w:val="en-US" w:eastAsia="zh-CN" w:bidi="ar-SA"/>
        </w:rPr>
        <w:t>2</w:t>
      </w:r>
      <w:r>
        <w:rPr>
          <w:rFonts w:hint="eastAsia" w:ascii="仿宋" w:hAnsi="仿宋" w:eastAsia="仿宋" w:cs="仿宋"/>
          <w:color w:val="auto"/>
          <w:sz w:val="28"/>
          <w:szCs w:val="28"/>
          <w:highlight w:val="none"/>
          <w:lang w:val="zh-CN" w:eastAsia="zh-CN" w:bidi="ar-SA"/>
        </w:rPr>
        <w:t>　未按规定提交投标保函的投标，将被视为投标无效。</w:t>
      </w:r>
    </w:p>
    <w:p>
      <w:pPr>
        <w:keepNext w:val="0"/>
        <w:keepLines w:val="0"/>
        <w:pageBreakBefore w:val="0"/>
        <w:widowControl w:val="0"/>
        <w:numPr>
          <w:ilvl w:val="0"/>
          <w:numId w:val="2"/>
        </w:numPr>
        <w:kinsoku/>
        <w:wordWrap/>
        <w:overflowPunct/>
        <w:topLinePunct w:val="0"/>
        <w:bidi w:val="0"/>
        <w:snapToGrid/>
        <w:spacing w:line="560" w:lineRule="exact"/>
        <w:jc w:val="center"/>
        <w:textAlignment w:val="auto"/>
        <w:rPr>
          <w:rFonts w:hint="eastAsia" w:ascii="仿宋" w:hAnsi="仿宋" w:eastAsia="仿宋" w:cs="仿宋"/>
          <w:b/>
          <w:bCs w:val="0"/>
          <w:color w:val="auto"/>
          <w:kern w:val="2"/>
          <w:sz w:val="32"/>
          <w:szCs w:val="32"/>
          <w:lang w:eastAsia="zh-CN"/>
        </w:rPr>
      </w:pPr>
      <w:bookmarkStart w:id="26" w:name="_Toc6624_WPSOffice_Level2"/>
      <w:bookmarkStart w:id="27" w:name="_Toc12025_WPSOffice_Level2"/>
      <w:r>
        <w:rPr>
          <w:rFonts w:hint="eastAsia" w:ascii="仿宋" w:hAnsi="仿宋" w:eastAsia="仿宋" w:cs="仿宋"/>
          <w:b/>
          <w:bCs w:val="0"/>
          <w:color w:val="auto"/>
          <w:kern w:val="2"/>
          <w:sz w:val="32"/>
          <w:szCs w:val="32"/>
          <w:lang w:eastAsia="zh-CN"/>
        </w:rPr>
        <w:t>投标文件的递交</w:t>
      </w:r>
      <w:bookmarkEnd w:id="26"/>
      <w:bookmarkEnd w:id="27"/>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en-US" w:eastAsia="zh-CN"/>
        </w:rPr>
        <w:t xml:space="preserve">12.1  </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文件的密封和标记。电子</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文件的内容通过数字证书进行加密并签章。未按要求加密和数字证书认证的响应文件，电子评标系统将无法接受,采购代理机构不予受理。</w:t>
      </w:r>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eastAsia="zh-CN"/>
        </w:rPr>
      </w:pPr>
      <w:r>
        <w:rPr>
          <w:rFonts w:hint="eastAsia" w:ascii="仿宋" w:hAnsi="仿宋" w:eastAsia="仿宋" w:cs="仿宋"/>
          <w:color w:val="auto"/>
          <w:sz w:val="30"/>
          <w:szCs w:val="30"/>
          <w:lang w:val="en-US" w:eastAsia="zh-CN"/>
        </w:rPr>
        <w:t>12.2  本项目采用不见面开标方式，</w:t>
      </w:r>
      <w:r>
        <w:rPr>
          <w:rFonts w:hint="eastAsia" w:ascii="仿宋" w:hAnsi="仿宋" w:eastAsia="仿宋" w:cs="仿宋"/>
          <w:color w:val="auto"/>
          <w:sz w:val="30"/>
          <w:szCs w:val="30"/>
          <w:lang w:val="zh-CN" w:eastAsia="zh-CN"/>
        </w:rPr>
        <w:t>投标文件线上递交至新疆政府采购网（http://www.ccgp-xinjiang.gov.cn）的指定栏目，不得迟于</w:t>
      </w:r>
      <w:r>
        <w:rPr>
          <w:rFonts w:hint="default" w:ascii="仿宋" w:hAnsi="仿宋" w:eastAsia="仿宋" w:cs="仿宋"/>
          <w:color w:val="FF0000"/>
          <w:kern w:val="2"/>
          <w:sz w:val="30"/>
          <w:szCs w:val="30"/>
          <w:highlight w:val="none"/>
          <w:lang w:val="en-US" w:eastAsia="zh-CN"/>
        </w:rPr>
        <w:t>2024</w:t>
      </w:r>
      <w:r>
        <w:rPr>
          <w:rFonts w:hint="eastAsia" w:ascii="仿宋" w:hAnsi="仿宋" w:eastAsia="仿宋" w:cs="仿宋"/>
          <w:color w:val="FF0000"/>
          <w:kern w:val="2"/>
          <w:sz w:val="30"/>
          <w:szCs w:val="30"/>
          <w:highlight w:val="none"/>
          <w:lang w:val="en-US" w:eastAsia="zh-CN"/>
        </w:rPr>
        <w:t>年7月26日上午10：00</w:t>
      </w:r>
      <w:r>
        <w:rPr>
          <w:rFonts w:hint="eastAsia" w:ascii="仿宋" w:hAnsi="仿宋" w:eastAsia="仿宋" w:cs="仿宋"/>
          <w:color w:val="auto"/>
          <w:sz w:val="30"/>
          <w:szCs w:val="30"/>
          <w:lang w:val="zh-CN" w:eastAsia="zh-CN"/>
        </w:rPr>
        <w:t>（北京时间），逾期上传的或者未上传到平台的投标文件，不予受理。</w:t>
      </w:r>
    </w:p>
    <w:p>
      <w:pPr>
        <w:pStyle w:val="23"/>
        <w:keepNext w:val="0"/>
        <w:keepLines w:val="0"/>
        <w:pageBreakBefore w:val="0"/>
        <w:kinsoku/>
        <w:wordWrap/>
        <w:overflowPunct/>
        <w:topLinePunct w:val="0"/>
        <w:autoSpaceDE w:val="0"/>
        <w:autoSpaceDN w:val="0"/>
        <w:bidi w:val="0"/>
        <w:snapToGrid/>
        <w:spacing w:line="600" w:lineRule="exac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12.3  </w:t>
      </w:r>
      <w:r>
        <w:rPr>
          <w:rFonts w:hint="eastAsia" w:ascii="仿宋" w:hAnsi="仿宋" w:eastAsia="仿宋" w:cs="仿宋"/>
          <w:color w:val="auto"/>
          <w:sz w:val="30"/>
          <w:szCs w:val="30"/>
          <w:lang w:val="zh-CN"/>
        </w:rPr>
        <w:t>迟交的</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w:t>
      </w:r>
      <w:r>
        <w:rPr>
          <w:rFonts w:hint="eastAsia" w:ascii="仿宋" w:hAnsi="仿宋" w:eastAsia="仿宋" w:cs="仿宋"/>
          <w:color w:val="auto"/>
          <w:sz w:val="30"/>
          <w:szCs w:val="30"/>
          <w:lang w:val="zh-CN" w:eastAsia="zh-CN"/>
        </w:rPr>
        <w:t>。</w:t>
      </w:r>
      <w:r>
        <w:rPr>
          <w:rFonts w:hint="eastAsia" w:ascii="仿宋" w:hAnsi="仿宋" w:eastAsia="仿宋" w:cs="仿宋"/>
          <w:color w:val="auto"/>
          <w:sz w:val="30"/>
          <w:szCs w:val="30"/>
          <w:lang w:val="zh-CN"/>
        </w:rPr>
        <w:t>采购代理机构将拒绝并原封退回在规定的</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文件递交截止期后送达的任何</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文件。由于对网上招标操作不熟悉或自身电脑、网络的原因导致不能在</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文件递交截止时间之前上传</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文件，采购代理机构不负任何责任。建议于开标前1个工作日完成</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文件的制作与上传。</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1</w:t>
      </w: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val="zh-CN"/>
        </w:rPr>
        <w:t>、投标文件的修改和撤销</w:t>
      </w:r>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val="zh-CN"/>
        </w:rPr>
        <w:t>.1　投标人在递交投标文件后，可在规定的投标截止时间之前，对其投标文件以书面通知的形式进行修改或撤消。该通知须有投标代理人的签字，并得到招标方的确认。</w:t>
      </w:r>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val="zh-CN"/>
        </w:rPr>
        <w:t>.2　投标人对投标文件修改的书面材料或撤消通知应按招标文件要求进行线上递交，并注明“修改投标文件”或“撤消投标”字样，修改或撤销的内容须按招标文件的要求签署、盖章，并作为投标文件的组成部分。</w:t>
      </w:r>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val="zh-CN"/>
        </w:rPr>
        <w:t>.3　对投标文件修改的书面材料应于投标截止日前递交，投标截止时间以后不得修改投标文件。</w:t>
      </w:r>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lang w:val="zh-CN" w:eastAsia="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val="zh-CN"/>
        </w:rPr>
        <w:t>.4  投标方不得在开标后至投标有效期期满前撤销投标文件。否则招标方将没收其投标保函并按相关法律法规处理。</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b/>
          <w:bCs w:val="0"/>
          <w:color w:val="auto"/>
          <w:kern w:val="2"/>
          <w:sz w:val="32"/>
          <w:szCs w:val="32"/>
          <w:lang w:eastAsia="zh-CN"/>
        </w:rPr>
      </w:pPr>
      <w:bookmarkStart w:id="28" w:name="_Toc11188_WPSOffice_Level2"/>
      <w:bookmarkStart w:id="29" w:name="_Toc5398_WPSOffice_Level2"/>
      <w:r>
        <w:rPr>
          <w:rFonts w:hint="eastAsia" w:ascii="仿宋" w:hAnsi="仿宋" w:eastAsia="仿宋" w:cs="仿宋"/>
          <w:b/>
          <w:bCs w:val="0"/>
          <w:color w:val="auto"/>
          <w:kern w:val="2"/>
          <w:sz w:val="32"/>
          <w:szCs w:val="32"/>
          <w:lang w:eastAsia="zh-CN"/>
        </w:rPr>
        <w:t>第四章、</w:t>
      </w:r>
      <w:bookmarkEnd w:id="28"/>
      <w:bookmarkEnd w:id="29"/>
      <w:r>
        <w:rPr>
          <w:rFonts w:hint="eastAsia" w:ascii="仿宋" w:hAnsi="仿宋" w:eastAsia="仿宋" w:cs="仿宋"/>
          <w:b/>
          <w:bCs w:val="0"/>
          <w:color w:val="auto"/>
          <w:kern w:val="2"/>
          <w:sz w:val="32"/>
          <w:szCs w:val="32"/>
          <w:lang w:eastAsia="zh-CN"/>
        </w:rPr>
        <w:t>开标、</w:t>
      </w:r>
      <w:r>
        <w:rPr>
          <w:rFonts w:hint="eastAsia" w:ascii="仿宋" w:hAnsi="仿宋" w:eastAsia="仿宋" w:cs="仿宋"/>
          <w:b/>
          <w:bCs w:val="0"/>
          <w:color w:val="auto"/>
          <w:kern w:val="2"/>
          <w:sz w:val="32"/>
          <w:szCs w:val="32"/>
          <w:lang w:val="en-US" w:eastAsia="zh-CN"/>
        </w:rPr>
        <w:t>磋商</w:t>
      </w:r>
      <w:r>
        <w:rPr>
          <w:rFonts w:hint="eastAsia" w:ascii="仿宋" w:hAnsi="仿宋" w:eastAsia="仿宋" w:cs="仿宋"/>
          <w:b/>
          <w:bCs w:val="0"/>
          <w:color w:val="auto"/>
          <w:kern w:val="2"/>
          <w:sz w:val="32"/>
          <w:szCs w:val="32"/>
          <w:lang w:eastAsia="zh-CN"/>
        </w:rPr>
        <w:t>及评标</w:t>
      </w:r>
    </w:p>
    <w:p>
      <w:pPr>
        <w:pStyle w:val="21"/>
        <w:keepNext w:val="0"/>
        <w:keepLines w:val="0"/>
        <w:pageBreakBefore w:val="0"/>
        <w:kinsoku/>
        <w:wordWrap/>
        <w:overflowPunct/>
        <w:topLinePunct w:val="0"/>
        <w:bidi w:val="0"/>
        <w:snapToGrid/>
        <w:spacing w:line="560" w:lineRule="exact"/>
        <w:ind w:left="0" w:leftChars="0" w:firstLine="643" w:firstLine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en-US" w:eastAsia="zh-CN" w:bidi="ar-SA"/>
        </w:rPr>
        <w:t>14</w:t>
      </w:r>
      <w:r>
        <w:rPr>
          <w:rFonts w:hint="eastAsia" w:ascii="仿宋" w:hAnsi="仿宋" w:eastAsia="仿宋" w:cs="仿宋"/>
          <w:b/>
          <w:bCs/>
          <w:color w:val="auto"/>
          <w:kern w:val="2"/>
          <w:sz w:val="32"/>
          <w:szCs w:val="32"/>
          <w:lang w:val="zh-CN" w:eastAsia="zh-CN" w:bidi="ar-SA"/>
        </w:rPr>
        <w:t>、开标</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14</w:t>
      </w:r>
      <w:r>
        <w:rPr>
          <w:rFonts w:hint="eastAsia" w:ascii="仿宋" w:hAnsi="仿宋" w:eastAsia="仿宋" w:cs="仿宋"/>
          <w:color w:val="auto"/>
          <w:sz w:val="28"/>
          <w:szCs w:val="28"/>
          <w:lang w:val="zh-CN" w:eastAsia="zh-CN" w:bidi="ar-SA"/>
        </w:rPr>
        <w:t>.1　本次磋商按磋商文件中规定的时间和地点进行竞争性磋商，允许投标人的法定代表人或其授权人参加开标会。</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30"/>
          <w:szCs w:val="30"/>
          <w:lang w:val="zh-CN"/>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4</w:t>
      </w:r>
      <w:r>
        <w:rPr>
          <w:rFonts w:hint="eastAsia" w:ascii="仿宋" w:hAnsi="仿宋" w:eastAsia="仿宋" w:cs="仿宋"/>
          <w:color w:val="auto"/>
          <w:sz w:val="28"/>
          <w:szCs w:val="28"/>
          <w:lang w:val="zh-CN" w:eastAsia="zh-CN" w:bidi="ar-SA"/>
        </w:rPr>
        <w:t>.2　</w:t>
      </w:r>
      <w:r>
        <w:rPr>
          <w:rFonts w:hint="eastAsia" w:ascii="仿宋" w:hAnsi="仿宋" w:eastAsia="仿宋" w:cs="仿宋"/>
          <w:color w:val="auto"/>
          <w:sz w:val="30"/>
          <w:szCs w:val="30"/>
          <w:lang w:val="zh-CN"/>
        </w:rPr>
        <w:t>开标以投标方提交的投标文件中“开标一览表”的内容为准，并对开标内容作以记录。</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4</w:t>
      </w:r>
      <w:r>
        <w:rPr>
          <w:rFonts w:hint="eastAsia" w:ascii="仿宋" w:hAnsi="仿宋" w:eastAsia="仿宋" w:cs="仿宋"/>
          <w:color w:val="auto"/>
          <w:sz w:val="28"/>
          <w:szCs w:val="28"/>
          <w:lang w:val="zh-CN" w:eastAsia="zh-CN" w:bidi="ar-SA"/>
        </w:rPr>
        <w:t>.3　开标的顺序，按照递交投标文件的正顺序依次进行。</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4</w:t>
      </w:r>
      <w:r>
        <w:rPr>
          <w:rFonts w:hint="eastAsia" w:ascii="仿宋" w:hAnsi="仿宋" w:eastAsia="仿宋" w:cs="仿宋"/>
          <w:color w:val="auto"/>
          <w:sz w:val="28"/>
          <w:szCs w:val="28"/>
          <w:lang w:val="zh-CN" w:eastAsia="zh-CN" w:bidi="ar-SA"/>
        </w:rPr>
        <w:t>.4　投标时间截止后，提交投标文件的供应商不足三家时，按照政府采购的相关法规的处理。</w:t>
      </w:r>
    </w:p>
    <w:p>
      <w:pPr>
        <w:pStyle w:val="21"/>
        <w:keepNext w:val="0"/>
        <w:keepLines w:val="0"/>
        <w:pageBreakBefore w:val="0"/>
        <w:kinsoku/>
        <w:wordWrap/>
        <w:overflowPunct/>
        <w:topLinePunct w:val="0"/>
        <w:bidi w:val="0"/>
        <w:snapToGrid/>
        <w:spacing w:line="560" w:lineRule="exact"/>
        <w:ind w:left="0" w:leftChars="0" w:firstLine="643" w:firstLine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1</w:t>
      </w:r>
      <w:r>
        <w:rPr>
          <w:rFonts w:hint="eastAsia" w:ascii="仿宋" w:hAnsi="仿宋" w:eastAsia="仿宋" w:cs="仿宋"/>
          <w:b/>
          <w:bCs/>
          <w:color w:val="auto"/>
          <w:kern w:val="2"/>
          <w:sz w:val="32"/>
          <w:szCs w:val="32"/>
          <w:lang w:val="en-US" w:eastAsia="zh-CN" w:bidi="ar-SA"/>
        </w:rPr>
        <w:t>5</w:t>
      </w:r>
      <w:r>
        <w:rPr>
          <w:rFonts w:hint="eastAsia" w:ascii="仿宋" w:hAnsi="仿宋" w:eastAsia="仿宋" w:cs="仿宋"/>
          <w:b/>
          <w:bCs/>
          <w:color w:val="auto"/>
          <w:kern w:val="2"/>
          <w:sz w:val="32"/>
          <w:szCs w:val="32"/>
          <w:lang w:val="zh-CN" w:eastAsia="zh-CN" w:bidi="ar-SA"/>
        </w:rPr>
        <w:t>、磋商依据</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5</w:t>
      </w:r>
      <w:r>
        <w:rPr>
          <w:rFonts w:hint="eastAsia" w:ascii="仿宋" w:hAnsi="仿宋" w:eastAsia="仿宋" w:cs="仿宋"/>
          <w:color w:val="auto"/>
          <w:sz w:val="28"/>
          <w:szCs w:val="28"/>
          <w:lang w:val="zh-CN" w:eastAsia="zh-CN" w:bidi="ar-SA"/>
        </w:rPr>
        <w:t>.1   磋商的依据为磋商文件（包括招标方的竞争性磋商文件和投标方的投标文件）。</w:t>
      </w:r>
    </w:p>
    <w:p>
      <w:pPr>
        <w:pStyle w:val="21"/>
        <w:keepNext w:val="0"/>
        <w:keepLines w:val="0"/>
        <w:pageBreakBefore w:val="0"/>
        <w:kinsoku/>
        <w:wordWrap/>
        <w:overflowPunct/>
        <w:topLinePunct w:val="0"/>
        <w:bidi w:val="0"/>
        <w:snapToGrid/>
        <w:spacing w:line="560" w:lineRule="exact"/>
        <w:ind w:left="0" w:leftChars="0" w:firstLine="643" w:firstLine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1</w:t>
      </w:r>
      <w:r>
        <w:rPr>
          <w:rFonts w:hint="eastAsia" w:ascii="仿宋" w:hAnsi="仿宋" w:eastAsia="仿宋" w:cs="仿宋"/>
          <w:b/>
          <w:bCs/>
          <w:color w:val="auto"/>
          <w:kern w:val="2"/>
          <w:sz w:val="32"/>
          <w:szCs w:val="32"/>
          <w:lang w:val="en-US" w:eastAsia="zh-CN" w:bidi="ar-SA"/>
        </w:rPr>
        <w:t>6</w:t>
      </w:r>
      <w:r>
        <w:rPr>
          <w:rFonts w:hint="eastAsia" w:ascii="仿宋" w:hAnsi="仿宋" w:eastAsia="仿宋" w:cs="仿宋"/>
          <w:b/>
          <w:bCs/>
          <w:color w:val="auto"/>
          <w:kern w:val="2"/>
          <w:sz w:val="32"/>
          <w:szCs w:val="32"/>
          <w:lang w:val="zh-CN" w:eastAsia="zh-CN" w:bidi="ar-SA"/>
        </w:rPr>
        <w:t>、磋商</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6</w:t>
      </w:r>
      <w:r>
        <w:rPr>
          <w:rFonts w:hint="eastAsia" w:ascii="仿宋" w:hAnsi="仿宋" w:eastAsia="仿宋" w:cs="仿宋"/>
          <w:color w:val="auto"/>
          <w:sz w:val="28"/>
          <w:szCs w:val="28"/>
          <w:lang w:val="zh-CN" w:eastAsia="zh-CN" w:bidi="ar-SA"/>
        </w:rPr>
        <w:t>.1　磋商小组</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6</w:t>
      </w:r>
      <w:r>
        <w:rPr>
          <w:rFonts w:hint="eastAsia" w:ascii="仿宋" w:hAnsi="仿宋" w:eastAsia="仿宋" w:cs="仿宋"/>
          <w:color w:val="auto"/>
          <w:sz w:val="28"/>
          <w:szCs w:val="28"/>
          <w:lang w:val="zh-CN" w:eastAsia="zh-CN" w:bidi="ar-SA"/>
        </w:rPr>
        <w:t>.1.1　招标方将根据《中华人民共和国政府采购法》的规定，依法组建本次招标的磋商小组，负责本次招标的磋商活动。磋商小组应当根据综合评分情况，按照评审得分由高到低顺序推荐3名以上成交候选供应商，采购人从成交候选供应商中，按照排序由高到低的原则确定成交供应商。</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6</w:t>
      </w:r>
      <w:r>
        <w:rPr>
          <w:rFonts w:hint="eastAsia" w:ascii="仿宋" w:hAnsi="仿宋" w:eastAsia="仿宋" w:cs="仿宋"/>
          <w:color w:val="auto"/>
          <w:sz w:val="28"/>
          <w:szCs w:val="28"/>
          <w:lang w:val="zh-CN" w:eastAsia="zh-CN" w:bidi="ar-SA"/>
        </w:rPr>
        <w:t>.1.2 磋商小组人选于开标前确定。磋商小组成员名单在中标结果确定前保密。</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6</w:t>
      </w:r>
      <w:r>
        <w:rPr>
          <w:rFonts w:hint="eastAsia" w:ascii="仿宋" w:hAnsi="仿宋" w:eastAsia="仿宋" w:cs="仿宋"/>
          <w:color w:val="auto"/>
          <w:sz w:val="28"/>
          <w:szCs w:val="28"/>
          <w:lang w:val="zh-CN" w:eastAsia="zh-CN" w:bidi="ar-SA"/>
        </w:rPr>
        <w:t>.1.3 磋商小组有关技术、经济等方面的专家和采购人熟悉相关业务的代表人员组成，成员为三人以上的单数，其中技术、经济等方面的成员人数不少于成员总数的三分之二。</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6</w:t>
      </w:r>
      <w:r>
        <w:rPr>
          <w:rFonts w:hint="eastAsia" w:ascii="仿宋" w:hAnsi="仿宋" w:eastAsia="仿宋" w:cs="仿宋"/>
          <w:color w:val="auto"/>
          <w:sz w:val="28"/>
          <w:szCs w:val="28"/>
          <w:lang w:val="zh-CN" w:eastAsia="zh-CN" w:bidi="ar-SA"/>
        </w:rPr>
        <w:t>.1.4　按前款规定，磋商小组的成员，由招标方从哈密市政府采购专家库中采取随机抽取的方式确定。对于技术复杂、专业性要求较高或者国家有特殊要求的招标项目，采取随机抽取的方式抽取的专家不能满足磋商工作需要时，将采取直接确定的方式选定磋商小组的人选。</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6</w:t>
      </w:r>
      <w:r>
        <w:rPr>
          <w:rFonts w:hint="eastAsia" w:ascii="仿宋" w:hAnsi="仿宋" w:eastAsia="仿宋" w:cs="仿宋"/>
          <w:color w:val="auto"/>
          <w:sz w:val="28"/>
          <w:szCs w:val="28"/>
          <w:lang w:val="zh-CN" w:eastAsia="zh-CN" w:bidi="ar-SA"/>
        </w:rPr>
        <w:t>.1.5　磋商小组成员遵循法定的回避规定。</w:t>
      </w:r>
    </w:p>
    <w:p>
      <w:pPr>
        <w:pStyle w:val="21"/>
        <w:keepNext w:val="0"/>
        <w:keepLines w:val="0"/>
        <w:pageBreakBefore w:val="0"/>
        <w:kinsoku/>
        <w:wordWrap/>
        <w:overflowPunct/>
        <w:topLinePunct w:val="0"/>
        <w:bidi w:val="0"/>
        <w:snapToGrid/>
        <w:spacing w:line="560" w:lineRule="exact"/>
        <w:ind w:left="0" w:leftChars="0" w:firstLine="643" w:firstLine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en-US" w:eastAsia="zh-CN" w:bidi="ar-SA"/>
        </w:rPr>
        <w:t>17</w:t>
      </w:r>
      <w:r>
        <w:rPr>
          <w:rFonts w:hint="eastAsia" w:ascii="仿宋" w:hAnsi="仿宋" w:eastAsia="仿宋" w:cs="仿宋"/>
          <w:b/>
          <w:bCs/>
          <w:color w:val="auto"/>
          <w:kern w:val="2"/>
          <w:sz w:val="32"/>
          <w:szCs w:val="32"/>
          <w:lang w:val="zh-CN" w:eastAsia="zh-CN" w:bidi="ar-SA"/>
        </w:rPr>
        <w:t>、响应文件的初审</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17.1</w:t>
      </w:r>
      <w:r>
        <w:rPr>
          <w:rFonts w:hint="eastAsia" w:ascii="仿宋" w:hAnsi="仿宋" w:eastAsia="仿宋" w:cs="仿宋"/>
          <w:color w:val="auto"/>
          <w:sz w:val="28"/>
          <w:szCs w:val="28"/>
          <w:lang w:val="zh-CN" w:eastAsia="zh-CN" w:bidi="ar-SA"/>
        </w:rPr>
        <w:t>初审内容为响应文件是否符合磋商文件的要求，对各响应单位文件中的资质证明进行审查，以确定响应单位是否具备磋商资格；</w:t>
      </w:r>
    </w:p>
    <w:p>
      <w:pPr>
        <w:keepNext w:val="0"/>
        <w:keepLines w:val="0"/>
        <w:pageBreakBefore w:val="0"/>
        <w:kinsoku/>
        <w:wordWrap/>
        <w:overflowPunct/>
        <w:topLinePunct w:val="0"/>
        <w:autoSpaceDE w:val="0"/>
        <w:autoSpaceDN w:val="0"/>
        <w:bidi w:val="0"/>
        <w:adjustRightInd w:val="0"/>
        <w:snapToGrid/>
        <w:spacing w:line="560" w:lineRule="exact"/>
        <w:ind w:firstLine="480"/>
        <w:textAlignment w:val="auto"/>
        <w:rPr>
          <w:rFonts w:hint="eastAsia" w:ascii="仿宋" w:hAnsi="仿宋" w:eastAsia="仿宋" w:cs="仿宋"/>
          <w:color w:val="auto"/>
          <w:sz w:val="28"/>
          <w:szCs w:val="28"/>
          <w:highlight w:val="none"/>
          <w:lang w:val="zh-CN" w:eastAsia="zh-CN" w:bidi="ar-SA"/>
        </w:rPr>
      </w:pPr>
      <w:r>
        <w:rPr>
          <w:rFonts w:hint="eastAsia" w:ascii="仿宋" w:hAnsi="仿宋" w:eastAsia="仿宋" w:cs="仿宋"/>
          <w:color w:val="auto"/>
          <w:sz w:val="28"/>
          <w:szCs w:val="28"/>
          <w:lang w:val="zh-CN" w:eastAsia="zh-CN" w:bidi="ar-SA"/>
        </w:rPr>
        <w:t xml:space="preserve"> </w:t>
      </w:r>
      <w:r>
        <w:rPr>
          <w:rFonts w:hint="eastAsia" w:ascii="仿宋" w:hAnsi="仿宋" w:eastAsia="仿宋" w:cs="仿宋"/>
          <w:color w:val="auto"/>
          <w:sz w:val="28"/>
          <w:szCs w:val="28"/>
          <w:lang w:val="en-US" w:eastAsia="zh-CN" w:bidi="ar-SA"/>
        </w:rPr>
        <w:t>17.2</w:t>
      </w:r>
      <w:r>
        <w:rPr>
          <w:rFonts w:hint="eastAsia" w:ascii="仿宋" w:hAnsi="仿宋" w:eastAsia="仿宋" w:cs="仿宋"/>
          <w:color w:val="auto"/>
          <w:sz w:val="28"/>
          <w:szCs w:val="28"/>
          <w:lang w:val="zh-CN" w:eastAsia="zh-CN" w:bidi="ar-SA"/>
        </w:rPr>
        <w:t>响应单位及响应文件有效性和符合性审查，出现下列情况之一者（但不限于），按无效文件处理：</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A</w:t>
      </w:r>
      <w:r>
        <w:rPr>
          <w:rFonts w:hint="eastAsia" w:ascii="仿宋" w:hAnsi="仿宋" w:eastAsia="仿宋" w:cs="仿宋"/>
          <w:color w:val="auto"/>
          <w:sz w:val="28"/>
          <w:szCs w:val="28"/>
          <w:lang w:val="zh-CN" w:eastAsia="zh-CN" w:bidi="ar-SA"/>
        </w:rPr>
        <w:t>、响应单位的响应报价超过采购预算；</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B</w:t>
      </w:r>
      <w:r>
        <w:rPr>
          <w:rFonts w:hint="eastAsia" w:ascii="仿宋" w:hAnsi="仿宋" w:eastAsia="仿宋" w:cs="仿宋"/>
          <w:color w:val="auto"/>
          <w:sz w:val="28"/>
          <w:szCs w:val="28"/>
          <w:lang w:val="zh-CN" w:eastAsia="zh-CN" w:bidi="ar-SA"/>
        </w:rPr>
        <w:t>、响应单位未经过正常渠道购买磋商文件，或响应单位名称与购买磋商文件时登记的响应单位名称不符的；</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C</w:t>
      </w:r>
      <w:r>
        <w:rPr>
          <w:rFonts w:hint="eastAsia" w:ascii="仿宋" w:hAnsi="仿宋" w:eastAsia="仿宋" w:cs="仿宋"/>
          <w:color w:val="auto"/>
          <w:sz w:val="28"/>
          <w:szCs w:val="28"/>
          <w:lang w:val="zh-CN" w:eastAsia="zh-CN" w:bidi="ar-SA"/>
        </w:rPr>
        <w:t>、必备资质的有效性和符合性不符合要求的；</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D</w:t>
      </w:r>
      <w:r>
        <w:rPr>
          <w:rFonts w:hint="eastAsia" w:ascii="仿宋" w:hAnsi="仿宋" w:eastAsia="仿宋" w:cs="仿宋"/>
          <w:color w:val="auto"/>
          <w:sz w:val="28"/>
          <w:szCs w:val="28"/>
          <w:lang w:val="zh-CN" w:eastAsia="zh-CN" w:bidi="ar-SA"/>
        </w:rPr>
        <w:t>、响应单位针对同一项目递交两份或多份内容不同的响应文件，未书面声明哪一份是有效的或出现选择性报价的；</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E</w:t>
      </w:r>
      <w:r>
        <w:rPr>
          <w:rFonts w:hint="eastAsia" w:ascii="仿宋" w:hAnsi="仿宋" w:eastAsia="仿宋" w:cs="仿宋"/>
          <w:color w:val="auto"/>
          <w:sz w:val="28"/>
          <w:szCs w:val="28"/>
          <w:lang w:val="zh-CN" w:eastAsia="zh-CN" w:bidi="ar-SA"/>
        </w:rPr>
        <w:t>、提供虚假资质、虚假证明（包括第三方提供的虚假证明）、出现虚假应答的，除按无效响应文件处理外，还将按照政府采购的有关规定进行处罚；</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F</w:t>
      </w:r>
      <w:r>
        <w:rPr>
          <w:rFonts w:hint="eastAsia" w:ascii="仿宋" w:hAnsi="仿宋" w:eastAsia="仿宋" w:cs="仿宋"/>
          <w:color w:val="auto"/>
          <w:sz w:val="28"/>
          <w:szCs w:val="28"/>
          <w:lang w:val="zh-CN" w:eastAsia="zh-CN" w:bidi="ar-SA"/>
        </w:rPr>
        <w:t>、响应文件在商务响应方面附加了采购单位难以接受的条件或条款的；</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G</w:t>
      </w:r>
      <w:r>
        <w:rPr>
          <w:rFonts w:hint="eastAsia" w:ascii="仿宋" w:hAnsi="仿宋" w:eastAsia="仿宋" w:cs="仿宋"/>
          <w:color w:val="auto"/>
          <w:sz w:val="28"/>
          <w:szCs w:val="28"/>
          <w:lang w:val="zh-CN" w:eastAsia="zh-CN" w:bidi="ar-SA"/>
        </w:rPr>
        <w:t>、在政府采购或其它重大项目履约过程中有不良记录，未能按期履约的</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H</w:t>
      </w:r>
      <w:r>
        <w:rPr>
          <w:rFonts w:hint="eastAsia" w:ascii="仿宋" w:hAnsi="仿宋" w:eastAsia="仿宋" w:cs="仿宋"/>
          <w:color w:val="auto"/>
          <w:sz w:val="28"/>
          <w:szCs w:val="28"/>
          <w:lang w:val="zh-CN" w:eastAsia="zh-CN" w:bidi="ar-SA"/>
        </w:rPr>
        <w:t>、磋商报价与市场价格偏离较大、低于成本、形成不正当竞争的；</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I</w:t>
      </w:r>
      <w:r>
        <w:rPr>
          <w:rFonts w:hint="eastAsia" w:ascii="仿宋" w:hAnsi="仿宋" w:eastAsia="仿宋" w:cs="仿宋"/>
          <w:color w:val="auto"/>
          <w:sz w:val="28"/>
          <w:szCs w:val="28"/>
          <w:lang w:val="zh-CN" w:eastAsia="zh-CN" w:bidi="ar-SA"/>
        </w:rPr>
        <w:t>、报价出现漏项或报价数量与要求不符的；</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J</w:t>
      </w:r>
      <w:r>
        <w:rPr>
          <w:rFonts w:hint="eastAsia" w:ascii="仿宋" w:hAnsi="仿宋" w:eastAsia="仿宋" w:cs="仿宋"/>
          <w:color w:val="auto"/>
          <w:sz w:val="28"/>
          <w:szCs w:val="28"/>
          <w:lang w:val="zh-CN" w:eastAsia="zh-CN" w:bidi="ar-SA"/>
        </w:rPr>
        <w:t>、技术参数、性能指标与磋商文件要求出现重大负偏差的；</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K</w:t>
      </w:r>
      <w:r>
        <w:rPr>
          <w:rFonts w:hint="eastAsia" w:ascii="仿宋" w:hAnsi="仿宋" w:eastAsia="仿宋" w:cs="仿宋"/>
          <w:color w:val="auto"/>
          <w:sz w:val="28"/>
          <w:szCs w:val="28"/>
          <w:lang w:val="zh-CN" w:eastAsia="zh-CN" w:bidi="ar-SA"/>
        </w:rPr>
        <w:t>、提供虚假技术性能指标。</w:t>
      </w:r>
    </w:p>
    <w:p>
      <w:pPr>
        <w:pStyle w:val="21"/>
        <w:keepNext w:val="0"/>
        <w:keepLines w:val="0"/>
        <w:pageBreakBefore w:val="0"/>
        <w:numPr>
          <w:ilvl w:val="0"/>
          <w:numId w:val="0"/>
        </w:numPr>
        <w:kinsoku/>
        <w:wordWrap/>
        <w:overflowPunct/>
        <w:topLinePunct w:val="0"/>
        <w:bidi w:val="0"/>
        <w:snapToGrid/>
        <w:spacing w:line="560" w:lineRule="exact"/>
        <w:ind w:left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en-US" w:eastAsia="zh-CN" w:bidi="ar-SA"/>
        </w:rPr>
        <w:t>18、</w:t>
      </w:r>
      <w:r>
        <w:rPr>
          <w:rFonts w:hint="eastAsia" w:ascii="仿宋" w:hAnsi="仿宋" w:eastAsia="仿宋" w:cs="仿宋"/>
          <w:b/>
          <w:bCs/>
          <w:color w:val="auto"/>
          <w:kern w:val="2"/>
          <w:sz w:val="32"/>
          <w:szCs w:val="32"/>
          <w:lang w:val="zh-CN" w:eastAsia="zh-CN" w:bidi="ar-SA"/>
        </w:rPr>
        <w:t>澄清</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18.1</w:t>
      </w:r>
      <w:r>
        <w:rPr>
          <w:rFonts w:hint="eastAsia" w:ascii="仿宋" w:hAnsi="仿宋" w:eastAsia="仿宋" w:cs="仿宋"/>
          <w:color w:val="auto"/>
          <w:sz w:val="28"/>
          <w:szCs w:val="28"/>
          <w:lang w:val="zh-CN" w:eastAsia="zh-CN" w:bidi="ar-SA"/>
        </w:rPr>
        <w:t>磋商小组有权就响应文件中含混之处向上述步骤初审合格的响应单位提出询问或澄清要求；响应单位将有关询标澄清、补正、说明的内容应以书面形式提交；</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18.2</w:t>
      </w:r>
      <w:r>
        <w:rPr>
          <w:rFonts w:hint="eastAsia" w:ascii="仿宋" w:hAnsi="仿宋" w:eastAsia="仿宋" w:cs="仿宋"/>
          <w:color w:val="auto"/>
          <w:sz w:val="28"/>
          <w:szCs w:val="28"/>
          <w:lang w:val="zh-CN" w:eastAsia="zh-CN" w:bidi="ar-SA"/>
        </w:rPr>
        <w:t>磋商文件、响应文件作为磋商的依据，澄清、补正、说明的内容只作为磋商参考。澄清时响应单位只作说明和解释，不得借此对磋商报价、项目完工期、主要技术指标等实质性内容做任何修改；如澄清、补正、说明的内容与响应文件内容有重大相悖或矛盾，将被认定为无效文件；</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18.3</w:t>
      </w:r>
      <w:r>
        <w:rPr>
          <w:rFonts w:hint="eastAsia" w:ascii="仿宋" w:hAnsi="仿宋" w:eastAsia="仿宋" w:cs="仿宋"/>
          <w:color w:val="auto"/>
          <w:sz w:val="28"/>
          <w:szCs w:val="28"/>
          <w:lang w:val="zh-CN" w:eastAsia="zh-CN" w:bidi="ar-SA"/>
        </w:rPr>
        <w:t>响应单位对响应文件的澄清不得改变磋商价格及实质内容。</w:t>
      </w:r>
    </w:p>
    <w:p>
      <w:pPr>
        <w:pStyle w:val="21"/>
        <w:keepNext w:val="0"/>
        <w:keepLines w:val="0"/>
        <w:pageBreakBefore w:val="0"/>
        <w:kinsoku/>
        <w:wordWrap/>
        <w:overflowPunct/>
        <w:topLinePunct w:val="0"/>
        <w:bidi w:val="0"/>
        <w:snapToGrid/>
        <w:spacing w:line="560" w:lineRule="exact"/>
        <w:ind w:left="0" w:leftChars="0" w:firstLine="643" w:firstLine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en-US" w:eastAsia="zh-CN" w:bidi="ar-SA"/>
        </w:rPr>
        <w:t>19</w:t>
      </w:r>
      <w:r>
        <w:rPr>
          <w:rFonts w:hint="eastAsia" w:ascii="仿宋" w:hAnsi="仿宋" w:eastAsia="仿宋" w:cs="仿宋"/>
          <w:b/>
          <w:bCs/>
          <w:color w:val="auto"/>
          <w:kern w:val="2"/>
          <w:sz w:val="32"/>
          <w:szCs w:val="32"/>
          <w:lang w:val="zh-CN" w:eastAsia="zh-CN" w:bidi="ar-SA"/>
        </w:rPr>
        <w:t>、评审方法及内容</w:t>
      </w:r>
    </w:p>
    <w:p>
      <w:pPr>
        <w:autoSpaceDE w:val="0"/>
        <w:autoSpaceDN w:val="0"/>
        <w:adjustRightInd w:val="0"/>
        <w:spacing w:line="560" w:lineRule="exact"/>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19.1采用综合评分法：二次报价为最终报价，最终报价后按照磋商文件中规定的各项因素进行综合评审后，以磋商总得分最高的响应单位作为成交单位的磋商方法。若有两个或两个以上最高得分相同，推荐其中报价最低的响应单位为成交候选单位。</w:t>
      </w:r>
    </w:p>
    <w:p>
      <w:pPr>
        <w:autoSpaceDE w:val="0"/>
        <w:autoSpaceDN w:val="0"/>
        <w:adjustRightInd w:val="0"/>
        <w:spacing w:line="560" w:lineRule="exact"/>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19.2汇总磋商小组对每个响应人的赋分，计算出每个响应人的综合得分，按从高到低依次排序，推荐前3名为成交候选人。</w:t>
      </w:r>
    </w:p>
    <w:p>
      <w:pPr>
        <w:autoSpaceDE w:val="0"/>
        <w:autoSpaceDN w:val="0"/>
        <w:adjustRightInd w:val="0"/>
        <w:spacing w:line="560" w:lineRule="exact"/>
        <w:ind w:firstLine="60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30"/>
          <w:szCs w:val="30"/>
          <w:highlight w:val="none"/>
          <w:lang w:val="zh-CN" w:eastAsia="zh-CN"/>
        </w:rPr>
        <w:t>19.3</w:t>
      </w:r>
      <w:r>
        <w:rPr>
          <w:rFonts w:hint="eastAsia" w:ascii="仿宋" w:hAnsi="仿宋" w:eastAsia="仿宋" w:cs="仿宋"/>
          <w:color w:val="auto"/>
          <w:sz w:val="28"/>
          <w:szCs w:val="28"/>
          <w:lang w:val="en-US" w:eastAsia="zh-CN"/>
        </w:rPr>
        <w:t>根据中华人民共和国财政部、中华人民共和国工业和信息化部《政府采购促进中小企业发展暂行办法》（财库[2022]19号）文件的规定，属于中小企业评审优惠内容及幅度如下：</w:t>
      </w:r>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（一）中小企业（含中型、小型、微型企业）应当同时符合以下条件：</w:t>
      </w:r>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①符合中小企业划分标准（按《关于印发中小企业划型标准规定的通知》（工信部联企业〔2011〕300号）执行）；</w:t>
      </w:r>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②提供本企业制造的货物、承担的项目或者服务，或者提供其他中小企业制造的货物。本项所称货物不包括使用大型企业注册商标的货物；</w:t>
      </w:r>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（二）价格扣除办法：</w:t>
      </w:r>
    </w:p>
    <w:p>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①对于非专门面向中小企业的项目，对小型和微型企业（或联合体各方均为小型、微型企业的）产品的价格给予10%的扣除，用扣除后的价格参与价格分的评审。</w:t>
      </w:r>
    </w:p>
    <w:p>
      <w:pPr>
        <w:autoSpaceDE w:val="0"/>
        <w:autoSpaceDN w:val="0"/>
        <w:adjustRightInd w:val="0"/>
        <w:spacing w:line="560" w:lineRule="exact"/>
        <w:ind w:firstLine="560" w:firstLineChars="200"/>
        <w:rPr>
          <w:rFonts w:hint="eastAsia" w:ascii="仿宋" w:hAnsi="仿宋" w:eastAsia="仿宋" w:cs="仿宋"/>
          <w:color w:val="FF0000"/>
          <w:sz w:val="30"/>
          <w:szCs w:val="30"/>
          <w:highlight w:val="none"/>
          <w:lang w:val="en-US" w:eastAsia="zh-CN"/>
        </w:rPr>
      </w:pPr>
      <w:r>
        <w:rPr>
          <w:rFonts w:hint="eastAsia" w:ascii="仿宋" w:hAnsi="仿宋" w:eastAsia="仿宋" w:cs="仿宋"/>
          <w:color w:val="auto"/>
          <w:sz w:val="28"/>
          <w:szCs w:val="28"/>
          <w:lang w:val="en-US" w:eastAsia="zh-CN"/>
        </w:rPr>
        <w:t>小型和微型企业适用价格扣除办法时应提供相关资料。</w:t>
      </w:r>
    </w:p>
    <w:p>
      <w:pPr>
        <w:autoSpaceDE w:val="0"/>
        <w:autoSpaceDN w:val="0"/>
        <w:adjustRightInd w:val="0"/>
        <w:spacing w:line="560" w:lineRule="exact"/>
        <w:ind w:firstLine="600"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sz w:val="30"/>
          <w:szCs w:val="30"/>
          <w:lang w:val="en-US" w:eastAsia="zh-CN" w:bidi="ar-SA"/>
        </w:rPr>
        <w:t>19.4</w:t>
      </w:r>
      <w:r>
        <w:rPr>
          <w:rFonts w:hint="default" w:ascii="仿宋" w:hAnsi="仿宋" w:eastAsia="仿宋" w:cs="仿宋"/>
          <w:b w:val="0"/>
          <w:bCs w:val="0"/>
          <w:sz w:val="30"/>
          <w:szCs w:val="30"/>
          <w:lang w:val="en-US" w:eastAsia="zh-CN" w:bidi="ar-SA"/>
        </w:rPr>
        <w:t xml:space="preserve">  </w:t>
      </w:r>
      <w:r>
        <w:rPr>
          <w:rFonts w:hint="eastAsia" w:ascii="仿宋" w:hAnsi="仿宋" w:eastAsia="仿宋" w:cs="仿宋"/>
          <w:b w:val="0"/>
          <w:bCs w:val="0"/>
          <w:sz w:val="30"/>
          <w:szCs w:val="30"/>
          <w:lang w:val="en-US" w:eastAsia="zh-CN" w:bidi="ar-SA"/>
        </w:rPr>
        <w:t>按规定享受扶持政策获得政府采购合同的，小微企业不得将合同分包给大中型企业，中型企业不得将合同分包个大型企业。</w:t>
      </w:r>
      <w:bookmarkStart w:id="30" w:name="_Toc19029_WPSOffice_Level1"/>
      <w:bookmarkStart w:id="31" w:name="_Toc10254_WPSOffice_Level1"/>
    </w:p>
    <w:p>
      <w:pPr>
        <w:pStyle w:val="21"/>
        <w:keepLines w:val="0"/>
        <w:pageBreakBefore w:val="0"/>
        <w:kinsoku/>
        <w:wordWrap/>
        <w:overflowPunct/>
        <w:topLinePunct w:val="0"/>
        <w:bidi w:val="0"/>
        <w:spacing w:line="560" w:lineRule="exact"/>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第五章、定　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color w:val="auto"/>
          <w:kern w:val="2"/>
          <w:sz w:val="32"/>
          <w:szCs w:val="32"/>
          <w:lang w:val="en-US" w:eastAsia="zh-CN"/>
        </w:rPr>
      </w:pPr>
      <w:r>
        <w:rPr>
          <w:rFonts w:hint="eastAsia" w:ascii="仿宋" w:hAnsi="仿宋" w:eastAsia="仿宋" w:cs="仿宋"/>
          <w:b/>
          <w:color w:val="auto"/>
          <w:kern w:val="2"/>
          <w:sz w:val="32"/>
          <w:szCs w:val="32"/>
          <w:lang w:val="en-US" w:eastAsia="zh-CN"/>
        </w:rPr>
        <w:t>20、定标标准</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20.1　合同将授予被确定为实质上响应磋商文件要求，经评定认件要求的、对买方最为有利的投标方。</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　最低投标价不一定是被授予合同的保证。</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20.3　如果确定该投标方无条件圆满履行合同，磋商小组将对下一个可能中标的投标方资格做出类似的审查。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color w:val="auto"/>
          <w:kern w:val="2"/>
          <w:sz w:val="32"/>
          <w:szCs w:val="32"/>
          <w:lang w:val="en-US" w:eastAsia="zh-CN"/>
        </w:rPr>
      </w:pPr>
      <w:r>
        <w:rPr>
          <w:rFonts w:hint="eastAsia" w:ascii="仿宋" w:hAnsi="仿宋" w:eastAsia="仿宋" w:cs="仿宋"/>
          <w:b/>
          <w:color w:val="auto"/>
          <w:kern w:val="2"/>
          <w:sz w:val="32"/>
          <w:szCs w:val="32"/>
          <w:lang w:val="en-US" w:eastAsia="zh-CN"/>
        </w:rPr>
        <w:t>21、接受和拒绝任何或所有投标的权力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21.1　为维护国家利益，磋商小组在授予合同之前仍有选择或拒绝任何投标的权力。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color w:val="auto"/>
          <w:kern w:val="2"/>
          <w:sz w:val="32"/>
          <w:szCs w:val="32"/>
          <w:lang w:val="en-US" w:eastAsia="zh-CN"/>
        </w:rPr>
      </w:pPr>
      <w:r>
        <w:rPr>
          <w:rFonts w:hint="eastAsia" w:ascii="仿宋" w:hAnsi="仿宋" w:eastAsia="仿宋" w:cs="仿宋"/>
          <w:b/>
          <w:color w:val="auto"/>
          <w:kern w:val="2"/>
          <w:sz w:val="32"/>
          <w:szCs w:val="32"/>
          <w:lang w:val="en-US" w:eastAsia="zh-CN"/>
        </w:rPr>
        <w:t>22、中标通知书</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22.1　磋商结束后7个工作日内，公共资源交易服务中心将以书面形式发出《中标通知书》。《中标通知书》一经发出即发生法律效力。</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b/>
          <w:bCs/>
          <w:color w:val="auto"/>
          <w:kern w:val="2"/>
          <w:sz w:val="32"/>
          <w:szCs w:val="32"/>
          <w:lang w:val="en-US" w:eastAsia="zh-CN" w:bidi="ar-SA"/>
        </w:rPr>
      </w:pPr>
      <w:r>
        <w:rPr>
          <w:rFonts w:hint="eastAsia" w:ascii="仿宋" w:hAnsi="仿宋" w:eastAsia="仿宋" w:cs="仿宋"/>
          <w:color w:val="auto"/>
          <w:kern w:val="2"/>
          <w:sz w:val="28"/>
          <w:szCs w:val="28"/>
          <w:lang w:val="en-US" w:eastAsia="zh-CN" w:bidi="ar-SA"/>
        </w:rPr>
        <w:t>22.2　《中标通知书》将作为签订合同的依据。</w:t>
      </w:r>
      <w:bookmarkStart w:id="32" w:name="_Toc1144_WPSOffice_Level2"/>
      <w:bookmarkStart w:id="33" w:name="_Toc28029_WPSOffice_Level2"/>
    </w:p>
    <w:p>
      <w:pPr>
        <w:pStyle w:val="21"/>
        <w:keepLines w:val="0"/>
        <w:pageBreakBefore w:val="0"/>
        <w:kinsoku/>
        <w:wordWrap/>
        <w:overflowPunct/>
        <w:topLinePunct w:val="0"/>
        <w:bidi w:val="0"/>
        <w:spacing w:line="560" w:lineRule="exact"/>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第六章、授予合同</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color w:val="auto"/>
          <w:kern w:val="2"/>
          <w:sz w:val="32"/>
          <w:szCs w:val="32"/>
          <w:lang w:val="en-US" w:eastAsia="zh-CN"/>
        </w:rPr>
      </w:pPr>
      <w:r>
        <w:rPr>
          <w:rFonts w:hint="eastAsia" w:ascii="仿宋" w:hAnsi="仿宋" w:eastAsia="仿宋" w:cs="仿宋"/>
          <w:b/>
          <w:color w:val="auto"/>
          <w:kern w:val="2"/>
          <w:sz w:val="32"/>
          <w:szCs w:val="32"/>
          <w:lang w:val="en-US" w:eastAsia="zh-CN"/>
        </w:rPr>
        <w:t>23、签订合同</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23.1　中标方收到招标方的《中标通知书》后7日内，按照磋商文件的约定和中标方投标书中的承诺与采购单位签订书面合同，所签订的合同不得对磋商文件和中标方的投标文件作实质性修改。</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23.2  招标方在授予合同时，有权对招标书中规定的服务的数量在10%的幅度内予以增加或减少。</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23.3  如中标方拒签合同，则按违约处理。招标方没收其投标保证金。</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23.4  磋商文件、中标方的投标文件及其澄清文件等，均为签订经济合同的依据。</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23.5  不允许中标人将中标项目分包或转交他人承担。特殊情况下，中标人必须与招标方协商后共同决定将合同标的中的部分由第三方承担供货和服务责任，但中标方必须对合同标的的全部内容向招标方负责，并保证第三方提供的供货和服务符合磋商文件的约定和投标文件的承诺及相关约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color w:val="auto"/>
          <w:kern w:val="2"/>
          <w:sz w:val="32"/>
          <w:szCs w:val="32"/>
          <w:lang w:val="en-US" w:eastAsia="zh-CN"/>
        </w:rPr>
      </w:pPr>
      <w:r>
        <w:rPr>
          <w:rFonts w:hint="eastAsia" w:ascii="仿宋" w:hAnsi="仿宋" w:eastAsia="仿宋" w:cs="仿宋"/>
          <w:b/>
          <w:color w:val="auto"/>
          <w:kern w:val="2"/>
          <w:sz w:val="32"/>
          <w:szCs w:val="32"/>
          <w:lang w:val="en-US" w:eastAsia="zh-CN"/>
        </w:rPr>
        <w:t>24、质疑</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24.1投标文件发售后，参与采购活动的投标人如发现招标文件的商务条款、技术要求存在倾向性、错误、遗漏、含混不清等问题，可在招标文件规定的时间之前，向招标人提出质疑，要求修改或澄清。投标人已经参与投标，并于开标后对招标文件提出质疑的，其质疑应当被视为无效质疑。</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24.2中标公告发布后，参与投标的投标人对中标公告有异议的，应该在中标公告发布之日起三日内向招标人或采购中心书面提出质疑并书面送达，逾期招标人或采购中心有权不予受理。</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24.3质疑书应当包括以下主要内容：</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（一）被质疑人的名称、地址、电话、邮编；</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（二）采购项目名称、项目编号；</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（三）具体的质疑事项、事实和法律依据（具体条款）；</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（四）提起质疑的投标人名称、地址、有效联系方式（包括手机、传真号码）；</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（五）质疑的日期；</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（六）法定代表人签字，并加盖公章。</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按照“谁主张、谁举证”的原则，质疑书应当附上相关证明材料，否则质疑将视为无有效证据支持，将被予以驳回。</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24.4有下列情形之一的，属于无效质疑，招标人或采购中心可不予受理：</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（一）未在有效期限内提出质疑的；</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（二）质疑未以书面形式提出的；</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（三）所提交材料未明示属于质疑材料的；</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（四）质疑书没有法定代表人签字，并加盖公章；质疑书加盖合同专用章的；</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（五）质疑书未提供有效联系人或联系方式的；</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（六）质疑事项已经进入投诉或者诉讼程序的；</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（七）其它不符合受理条件的情形。</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24.5招标人或公共资源交易服务中心将在收到书面质疑后7个工作日内审查质疑事项，做出答复或相关处理决定，并以书面形式通知质疑投标人和其他有关投标人，但答复的内容不涉及商业秘密。</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24.6参与政府采购活动的投标人对评审过程或者结果提出质疑的，招标人或采购中心可以组织原评审委员会协助处理质疑事项，并依据评审委员会出具的意见进行答复。质疑答复导致中标结果改变的，招标人或采购中心应当将相关情况报政府采购监督管理部门备案。</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24.7质疑人有下列情形之一的，招标人或公共资源交易服务中心应驳</w:t>
      </w:r>
    </w:p>
    <w:p>
      <w:pPr>
        <w:pStyle w:val="21"/>
        <w:keepLines w:val="0"/>
        <w:pageBreakBefore w:val="0"/>
        <w:kinsoku/>
        <w:wordWrap/>
        <w:overflowPunct/>
        <w:topLinePunct w:val="0"/>
        <w:bidi w:val="0"/>
        <w:spacing w:line="560" w:lineRule="exact"/>
        <w:ind w:left="0" w:leftChars="0" w:firstLine="0" w:firstLineChars="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回质疑：</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（1）质疑缺乏事实和法律依据的；</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（2）质疑人捏造事实、提供虚假材料，或在一定期限内多次质疑而无实据的；</w:t>
      </w:r>
    </w:p>
    <w:p>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（3）质疑已经处理并答复后，质疑人就同一事项又提起质疑且未提供新的有效证据的；</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（4）其他根据相关法律、法规应当予以驳回的情形。</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24.8投标人进行虚假和恶意质疑的，公共资源交易服务中心可以提请有关部门将其列入不良记录名单，在一至三年内禁止参加政府采购活动，并将处理决定在相关政府采购媒体上公布。</w:t>
      </w:r>
    </w:p>
    <w:p>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24.9质疑投标人对招标人或公共资源交易服务中心的答复不满意以及招标人或采购中心未在规定的时间内做出答复的，可以在答复期满后15个工作日内按有关规定，向同级政府采购监督管理部门进行投诉。</w:t>
      </w:r>
    </w:p>
    <w:p>
      <w:pPr>
        <w:pStyle w:val="21"/>
        <w:keepLines w:val="0"/>
        <w:pageBreakBefore w:val="0"/>
        <w:kinsoku/>
        <w:wordWrap/>
        <w:overflowPunct/>
        <w:topLinePunct w:val="0"/>
        <w:bidi w:val="0"/>
        <w:spacing w:line="560" w:lineRule="exact"/>
        <w:ind w:left="0" w:leftChars="0" w:firstLine="0" w:firstLineChars="0"/>
        <w:jc w:val="both"/>
        <w:rPr>
          <w:rFonts w:hint="eastAsia" w:ascii="仿宋" w:hAnsi="仿宋" w:eastAsia="仿宋" w:cs="仿宋"/>
          <w:color w:val="auto"/>
          <w:kern w:val="2"/>
          <w:sz w:val="28"/>
          <w:szCs w:val="28"/>
          <w:lang w:val="en-US" w:eastAsia="zh-CN" w:bidi="ar-SA"/>
        </w:rPr>
      </w:pPr>
    </w:p>
    <w:p>
      <w:pPr>
        <w:pStyle w:val="21"/>
        <w:keepLines w:val="0"/>
        <w:pageBreakBefore w:val="0"/>
        <w:kinsoku/>
        <w:wordWrap/>
        <w:overflowPunct/>
        <w:topLinePunct w:val="0"/>
        <w:bidi w:val="0"/>
        <w:spacing w:line="560" w:lineRule="exact"/>
        <w:ind w:left="0" w:leftChars="0" w:firstLine="800" w:firstLineChars="200"/>
        <w:jc w:val="both"/>
        <w:rPr>
          <w:rFonts w:hint="eastAsia" w:ascii="仿宋" w:hAnsi="仿宋" w:eastAsia="仿宋" w:cs="仿宋"/>
          <w:color w:val="auto"/>
          <w:kern w:val="2"/>
          <w:sz w:val="28"/>
          <w:szCs w:val="28"/>
          <w:lang w:val="en-US" w:eastAsia="zh-CN" w:bidi="ar-SA"/>
        </w:rPr>
      </w:pPr>
      <w:r>
        <w:rPr>
          <w:rFonts w:hint="eastAsia" w:ascii="方正小标宋简体" w:hAnsi="方正小标宋简体" w:eastAsia="方正小标宋简体" w:cs="方正小标宋简体"/>
          <w:b w:val="0"/>
          <w:bCs/>
          <w:color w:val="auto"/>
          <w:kern w:val="2"/>
          <w:sz w:val="40"/>
          <w:szCs w:val="40"/>
        </w:rPr>
        <w:t>第</w:t>
      </w:r>
      <w:r>
        <w:rPr>
          <w:rFonts w:hint="eastAsia" w:ascii="方正小标宋简体" w:hAnsi="方正小标宋简体" w:eastAsia="方正小标宋简体" w:cs="方正小标宋简体"/>
          <w:b w:val="0"/>
          <w:bCs/>
          <w:color w:val="auto"/>
          <w:kern w:val="2"/>
          <w:sz w:val="40"/>
          <w:szCs w:val="40"/>
          <w:lang w:val="en-US" w:eastAsia="zh-CN"/>
        </w:rPr>
        <w:t>四</w:t>
      </w:r>
      <w:r>
        <w:rPr>
          <w:rFonts w:hint="eastAsia" w:ascii="方正小标宋简体" w:hAnsi="方正小标宋简体" w:eastAsia="方正小标宋简体" w:cs="方正小标宋简体"/>
          <w:b w:val="0"/>
          <w:bCs/>
          <w:color w:val="auto"/>
          <w:kern w:val="2"/>
          <w:sz w:val="40"/>
          <w:szCs w:val="40"/>
        </w:rPr>
        <w:t xml:space="preserve">部分 </w:t>
      </w:r>
      <w:r>
        <w:rPr>
          <w:rFonts w:hint="eastAsia" w:ascii="方正小标宋简体" w:hAnsi="方正小标宋简体" w:eastAsia="方正小标宋简体" w:cs="方正小标宋简体"/>
          <w:b w:val="0"/>
          <w:bCs/>
          <w:color w:val="auto"/>
          <w:kern w:val="2"/>
          <w:sz w:val="40"/>
          <w:szCs w:val="40"/>
          <w:lang w:val="en-US" w:eastAsia="zh-CN"/>
        </w:rPr>
        <w:t>货物需求及技术规格指标说明</w:t>
      </w:r>
    </w:p>
    <w:bookmarkEnd w:id="30"/>
    <w:bookmarkEnd w:id="31"/>
    <w:p>
      <w:pPr>
        <w:pStyle w:val="2"/>
        <w:numPr>
          <w:ilvl w:val="0"/>
          <w:numId w:val="3"/>
        </w:numPr>
        <w:spacing w:line="276" w:lineRule="auto"/>
        <w:rPr>
          <w:rFonts w:ascii="宋体" w:hAnsi="宋体" w:eastAsia="宋体"/>
          <w:sz w:val="32"/>
          <w:szCs w:val="32"/>
        </w:rPr>
      </w:pPr>
      <w:bookmarkStart w:id="34" w:name="_Toc26749_WPSOffice_Level1"/>
      <w:bookmarkStart w:id="35" w:name="_Toc22153_WPSOffice_Level1"/>
      <w:r>
        <w:rPr>
          <w:rFonts w:hint="eastAsia" w:ascii="宋体" w:hAnsi="宋体" w:eastAsia="宋体"/>
          <w:sz w:val="32"/>
          <w:szCs w:val="32"/>
        </w:rPr>
        <w:t>项目建设背景</w:t>
      </w:r>
      <w:bookmarkStart w:id="36" w:name="_Toc9383"/>
    </w:p>
    <w:p>
      <w:pPr>
        <w:pStyle w:val="3"/>
        <w:ind w:left="420"/>
      </w:pPr>
      <w:r>
        <w:rPr>
          <w:rFonts w:hint="eastAsia" w:ascii="楷体" w:hAnsi="楷体" w:eastAsia="楷体" w:cs="楷体"/>
          <w:b w:val="0"/>
          <w:bCs w:val="0"/>
        </w:rPr>
        <w:t>（一）项目建设的必要性</w:t>
      </w:r>
    </w:p>
    <w:p>
      <w:pPr>
        <w:widowControl/>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国家中长期教育改革和发展规划纲要（2010-2020年）》明确指出，加快教育信息基础设施建设，以信息技术提高教学质量和效率，是教育信息化发展的方向。《国家教育事业发展“十三五”规划》鼓励教师利用信息技术提升教学水平，创学模式，形成线上线下有机结合的网络化泛在研究新模式。</w:t>
      </w:r>
    </w:p>
    <w:p>
      <w:pPr>
        <w:widowControl/>
        <w:ind w:firstLine="620" w:firstLineChars="200"/>
        <w:jc w:val="left"/>
        <w:rPr>
          <w:rFonts w:ascii="仿宋" w:hAnsi="仿宋" w:eastAsia="仿宋" w:cs="仿宋"/>
          <w:color w:val="000000"/>
          <w:kern w:val="0"/>
          <w:sz w:val="31"/>
          <w:szCs w:val="31"/>
          <w:lang w:bidi="ar"/>
        </w:rPr>
      </w:pPr>
      <w:r>
        <w:rPr>
          <w:rFonts w:ascii="仿宋" w:hAnsi="仿宋" w:eastAsia="仿宋" w:cs="仿宋"/>
          <w:color w:val="000000"/>
          <w:kern w:val="0"/>
          <w:sz w:val="31"/>
          <w:szCs w:val="31"/>
          <w:lang w:bidi="ar"/>
        </w:rPr>
        <w:t>本次</w:t>
      </w:r>
      <w:r>
        <w:rPr>
          <w:rFonts w:hint="eastAsia" w:ascii="仿宋" w:hAnsi="仿宋" w:eastAsia="仿宋" w:cs="仿宋"/>
          <w:color w:val="000000"/>
          <w:kern w:val="0"/>
          <w:sz w:val="31"/>
          <w:szCs w:val="31"/>
          <w:lang w:bidi="ar"/>
        </w:rPr>
        <w:t>哈密新校区智能多媒体教室建设项目，将根据教育部信息化标杆学校的标准，改善办学条件，对教室进行建设达到信息化、智慧化的要求，提升新校区信息化的整体水平，实现教育、教学的智能化。</w:t>
      </w:r>
    </w:p>
    <w:p>
      <w:pPr>
        <w:pStyle w:val="3"/>
        <w:ind w:left="420"/>
        <w:rPr>
          <w:rFonts w:ascii="楷体" w:hAnsi="楷体" w:eastAsia="楷体" w:cs="楷体"/>
          <w:b w:val="0"/>
          <w:bCs w:val="0"/>
        </w:rPr>
      </w:pPr>
      <w:r>
        <w:rPr>
          <w:rFonts w:hint="eastAsia" w:ascii="楷体" w:hAnsi="楷体" w:eastAsia="楷体" w:cs="楷体"/>
          <w:b w:val="0"/>
          <w:bCs w:val="0"/>
        </w:rPr>
        <w:t>（二）项目建设基本思路</w:t>
      </w:r>
      <w:bookmarkEnd w:id="36"/>
    </w:p>
    <w:p>
      <w:pPr>
        <w:widowControl/>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本着“服务教学，解决急需，完善配套，突出重点，避免重复”的原则，针对学院哈密新校区智慧多媒体教室建设项目进行充分的调查，</w:t>
      </w:r>
      <w:r>
        <w:rPr>
          <w:rFonts w:hint="eastAsia" w:ascii="仿宋" w:hAnsi="仿宋" w:eastAsia="仿宋" w:cs="仿宋"/>
          <w:color w:val="000000"/>
          <w:kern w:val="0"/>
          <w:sz w:val="31"/>
          <w:szCs w:val="31"/>
          <w:lang w:val="en-US" w:eastAsia="zh-CN" w:bidi="ar"/>
        </w:rPr>
        <w:t>在认真听取二级学院的使用需求和对</w:t>
      </w:r>
      <w:r>
        <w:rPr>
          <w:rFonts w:hint="eastAsia" w:ascii="仿宋" w:hAnsi="仿宋" w:eastAsia="仿宋" w:cs="仿宋"/>
          <w:color w:val="000000"/>
          <w:kern w:val="0"/>
          <w:sz w:val="31"/>
          <w:szCs w:val="31"/>
          <w:lang w:bidi="ar"/>
        </w:rPr>
        <w:t>疆内各同类院校</w:t>
      </w:r>
      <w:r>
        <w:rPr>
          <w:rFonts w:hint="eastAsia" w:ascii="仿宋" w:hAnsi="仿宋" w:eastAsia="仿宋" w:cs="仿宋"/>
          <w:color w:val="000000"/>
          <w:kern w:val="0"/>
          <w:sz w:val="31"/>
          <w:szCs w:val="31"/>
          <w:lang w:val="en-US" w:eastAsia="zh-CN" w:bidi="ar"/>
        </w:rPr>
        <w:t>智能</w:t>
      </w:r>
      <w:r>
        <w:rPr>
          <w:rFonts w:hint="eastAsia" w:ascii="仿宋" w:hAnsi="仿宋" w:eastAsia="仿宋" w:cs="仿宋"/>
          <w:color w:val="000000"/>
          <w:kern w:val="0"/>
          <w:sz w:val="31"/>
          <w:szCs w:val="31"/>
          <w:lang w:bidi="ar"/>
        </w:rPr>
        <w:t>多媒体教室</w:t>
      </w:r>
      <w:r>
        <w:rPr>
          <w:rFonts w:hint="eastAsia" w:ascii="仿宋" w:hAnsi="仿宋" w:eastAsia="仿宋" w:cs="仿宋"/>
          <w:color w:val="000000"/>
          <w:kern w:val="0"/>
          <w:sz w:val="31"/>
          <w:szCs w:val="31"/>
          <w:lang w:val="en-US" w:eastAsia="zh-CN" w:bidi="ar"/>
        </w:rPr>
        <w:t>的</w:t>
      </w:r>
      <w:r>
        <w:rPr>
          <w:rFonts w:hint="eastAsia" w:ascii="仿宋" w:hAnsi="仿宋" w:eastAsia="仿宋" w:cs="仿宋"/>
          <w:color w:val="000000"/>
          <w:kern w:val="0"/>
          <w:sz w:val="31"/>
          <w:szCs w:val="31"/>
          <w:lang w:bidi="ar"/>
        </w:rPr>
        <w:t>考察，结合各大公司方案的优缺点和前期专家评审意见，</w:t>
      </w:r>
      <w:r>
        <w:rPr>
          <w:rFonts w:hint="eastAsia" w:ascii="仿宋" w:hAnsi="仿宋" w:eastAsia="仿宋" w:cs="仿宋"/>
          <w:color w:val="000000"/>
          <w:kern w:val="0"/>
          <w:sz w:val="31"/>
          <w:szCs w:val="31"/>
          <w:lang w:val="en-US" w:eastAsia="zh-CN" w:bidi="ar"/>
        </w:rPr>
        <w:t>根据我校的实际</w:t>
      </w:r>
      <w:r>
        <w:rPr>
          <w:rFonts w:hint="eastAsia" w:ascii="仿宋" w:hAnsi="仿宋" w:eastAsia="仿宋" w:cs="仿宋"/>
          <w:color w:val="000000"/>
          <w:kern w:val="0"/>
          <w:sz w:val="31"/>
          <w:szCs w:val="31"/>
          <w:lang w:bidi="ar"/>
        </w:rPr>
        <w:t>情况</w:t>
      </w:r>
      <w:r>
        <w:rPr>
          <w:rFonts w:hint="eastAsia" w:ascii="仿宋" w:hAnsi="仿宋" w:eastAsia="仿宋" w:cs="仿宋"/>
          <w:color w:val="000000"/>
          <w:kern w:val="0"/>
          <w:sz w:val="31"/>
          <w:szCs w:val="31"/>
          <w:lang w:eastAsia="zh-CN" w:bidi="ar"/>
        </w:rPr>
        <w:t>，</w:t>
      </w:r>
      <w:r>
        <w:rPr>
          <w:rFonts w:hint="eastAsia" w:ascii="仿宋" w:hAnsi="仿宋" w:eastAsia="仿宋" w:cs="仿宋"/>
          <w:color w:val="000000"/>
          <w:kern w:val="0"/>
          <w:sz w:val="31"/>
          <w:szCs w:val="31"/>
          <w:lang w:bidi="ar"/>
        </w:rPr>
        <w:t>按照建设的相关规定和质量标准要求，并经过论证和资金预算，</w:t>
      </w:r>
      <w:r>
        <w:rPr>
          <w:rFonts w:hint="eastAsia" w:ascii="仿宋" w:hAnsi="仿宋" w:eastAsia="仿宋" w:cs="仿宋"/>
          <w:color w:val="000000"/>
          <w:kern w:val="0"/>
          <w:sz w:val="31"/>
          <w:szCs w:val="31"/>
          <w:lang w:val="en-US" w:eastAsia="zh-CN" w:bidi="ar"/>
        </w:rPr>
        <w:t>最终完善我校的</w:t>
      </w:r>
      <w:r>
        <w:rPr>
          <w:rFonts w:hint="eastAsia" w:ascii="仿宋" w:hAnsi="仿宋" w:eastAsia="仿宋" w:cs="仿宋"/>
          <w:color w:val="000000"/>
          <w:kern w:val="0"/>
          <w:sz w:val="31"/>
          <w:szCs w:val="31"/>
          <w:lang w:bidi="ar"/>
        </w:rPr>
        <w:t>智能化教室建设招标方案。</w:t>
      </w:r>
    </w:p>
    <w:p>
      <w:pPr>
        <w:pStyle w:val="3"/>
        <w:ind w:left="420"/>
        <w:rPr>
          <w:rFonts w:ascii="楷体" w:hAnsi="楷体" w:eastAsia="楷体" w:cs="楷体"/>
          <w:b w:val="0"/>
          <w:bCs w:val="0"/>
        </w:rPr>
      </w:pPr>
      <w:r>
        <w:rPr>
          <w:rFonts w:hint="eastAsia" w:ascii="楷体" w:hAnsi="楷体" w:eastAsia="楷体" w:cs="楷体"/>
          <w:b w:val="0"/>
          <w:bCs w:val="0"/>
        </w:rPr>
        <w:t>（三）建设目标</w:t>
      </w:r>
    </w:p>
    <w:p>
      <w:pPr>
        <w:pStyle w:val="7"/>
        <w:spacing w:line="560" w:lineRule="exact"/>
        <w:ind w:firstLine="62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建设完成后</w:t>
      </w:r>
      <w:r>
        <w:rPr>
          <w:rFonts w:hint="eastAsia" w:ascii="仿宋" w:hAnsi="仿宋" w:eastAsia="仿宋" w:cs="仿宋"/>
          <w:color w:val="000000"/>
          <w:kern w:val="0"/>
          <w:sz w:val="31"/>
          <w:szCs w:val="31"/>
          <w:lang w:val="en-US" w:eastAsia="zh-CN" w:bidi="ar"/>
        </w:rPr>
        <w:t>普通</w:t>
      </w:r>
      <w:r>
        <w:rPr>
          <w:rFonts w:hint="eastAsia" w:ascii="仿宋" w:hAnsi="仿宋" w:eastAsia="仿宋" w:cs="仿宋"/>
          <w:color w:val="000000"/>
          <w:kern w:val="0"/>
          <w:sz w:val="31"/>
          <w:szCs w:val="31"/>
          <w:lang w:bidi="ar"/>
        </w:rPr>
        <w:t>教室</w:t>
      </w:r>
      <w:r>
        <w:rPr>
          <w:rFonts w:hint="eastAsia" w:ascii="仿宋" w:hAnsi="仿宋" w:eastAsia="仿宋" w:cs="仿宋"/>
          <w:color w:val="000000"/>
          <w:kern w:val="0"/>
          <w:sz w:val="31"/>
          <w:szCs w:val="31"/>
          <w:lang w:val="en-US" w:eastAsia="zh-CN" w:bidi="ar"/>
        </w:rPr>
        <w:t>和阶梯教室</w:t>
      </w:r>
      <w:r>
        <w:rPr>
          <w:rFonts w:hint="eastAsia" w:ascii="仿宋" w:hAnsi="仿宋" w:eastAsia="仿宋" w:cs="仿宋"/>
          <w:color w:val="000000"/>
          <w:kern w:val="0"/>
          <w:sz w:val="31"/>
          <w:szCs w:val="31"/>
          <w:lang w:bidi="ar"/>
        </w:rPr>
        <w:t>的功能总体达到空间布局合理、配置得当、安全适用、配套齐全、节能环保的要求，高质量完成项目建设，为师生提供现代化的教学、学习环境。</w:t>
      </w:r>
    </w:p>
    <w:p>
      <w:pPr>
        <w:widowControl/>
        <w:ind w:firstLine="420" w:firstLineChars="200"/>
        <w:jc w:val="left"/>
        <w:rPr>
          <w:rFonts w:hint="eastAsia"/>
        </w:rPr>
      </w:pPr>
    </w:p>
    <w:p>
      <w:pPr>
        <w:pStyle w:val="3"/>
        <w:keepNext/>
        <w:keepLines/>
        <w:pageBreakBefore w:val="0"/>
        <w:widowControl w:val="0"/>
        <w:kinsoku/>
        <w:wordWrap/>
        <w:overflowPunct/>
        <w:topLinePunct w:val="0"/>
        <w:autoSpaceDE/>
        <w:autoSpaceDN/>
        <w:bidi w:val="0"/>
        <w:adjustRightInd/>
        <w:snapToGrid/>
        <w:spacing w:before="0" w:after="0" w:line="416" w:lineRule="auto"/>
        <w:ind w:left="420" w:firstLine="640" w:firstLineChars="200"/>
        <w:textAlignment w:val="auto"/>
        <w:rPr>
          <w:rFonts w:hint="eastAsia" w:ascii="仿宋" w:hAnsi="仿宋" w:eastAsia="仿宋" w:cs="仿宋"/>
          <w:b w:val="0"/>
          <w:bCs w:val="0"/>
          <w:color w:val="000000"/>
          <w:kern w:val="0"/>
          <w:sz w:val="31"/>
          <w:szCs w:val="31"/>
          <w:lang w:val="en-US" w:eastAsia="zh-CN" w:bidi="ar"/>
        </w:rPr>
      </w:pPr>
      <w:r>
        <w:rPr>
          <w:rFonts w:hint="eastAsia" w:ascii="楷体" w:hAnsi="楷体" w:eastAsia="楷体" w:cs="楷体"/>
          <w:b w:val="0"/>
          <w:bCs w:val="0"/>
        </w:rPr>
        <w:t>（四）建设依据</w:t>
      </w:r>
      <w:r>
        <w:rPr>
          <w:rFonts w:ascii="仿宋" w:hAnsi="仿宋" w:eastAsia="仿宋" w:cs="仿宋"/>
          <w:color w:val="000000"/>
          <w:kern w:val="0"/>
          <w:sz w:val="31"/>
          <w:szCs w:val="31"/>
          <w:lang w:bidi="ar"/>
        </w:rPr>
        <w:br w:type="textWrapping"/>
      </w:r>
      <w:r>
        <w:rPr>
          <w:rFonts w:ascii="仿宋" w:hAnsi="仿宋" w:eastAsia="仿宋" w:cs="仿宋"/>
          <w:color w:val="000000"/>
          <w:kern w:val="0"/>
          <w:sz w:val="31"/>
          <w:szCs w:val="31"/>
          <w:lang w:bidi="ar"/>
        </w:rPr>
        <w:t xml:space="preserve"> </w:t>
      </w:r>
      <w:r>
        <w:rPr>
          <w:rFonts w:hint="eastAsia" w:ascii="仿宋" w:hAnsi="仿宋" w:eastAsia="仿宋" w:cs="仿宋"/>
          <w:b w:val="0"/>
          <w:bCs w:val="0"/>
          <w:color w:val="000000"/>
          <w:kern w:val="0"/>
          <w:sz w:val="31"/>
          <w:szCs w:val="31"/>
          <w:lang w:val="en-US" w:eastAsia="zh-CN" w:bidi="ar"/>
        </w:rPr>
        <w:t>《通信线路工程设计规范》GB 51158-2015</w:t>
      </w:r>
      <w:r>
        <w:rPr>
          <w:rFonts w:hint="eastAsia" w:ascii="仿宋" w:hAnsi="仿宋" w:eastAsia="仿宋" w:cs="仿宋"/>
          <w:b w:val="0"/>
          <w:bCs w:val="0"/>
          <w:color w:val="000000"/>
          <w:kern w:val="0"/>
          <w:sz w:val="31"/>
          <w:szCs w:val="31"/>
          <w:lang w:val="en-US" w:eastAsia="zh-CN" w:bidi="ar"/>
        </w:rPr>
        <w:br w:type="textWrapping"/>
      </w:r>
      <w:r>
        <w:rPr>
          <w:rFonts w:hint="eastAsia" w:ascii="仿宋" w:hAnsi="仿宋" w:eastAsia="仿宋" w:cs="仿宋"/>
          <w:b w:val="0"/>
          <w:bCs w:val="0"/>
          <w:color w:val="000000"/>
          <w:kern w:val="0"/>
          <w:sz w:val="31"/>
          <w:szCs w:val="31"/>
          <w:lang w:val="en-US" w:eastAsia="zh-CN" w:bidi="ar"/>
        </w:rPr>
        <w:t xml:space="preserve"> 《工业企业通信接地设计规范》GBJ115-87</w:t>
      </w:r>
      <w:r>
        <w:rPr>
          <w:rFonts w:hint="eastAsia" w:ascii="仿宋" w:hAnsi="仿宋" w:eastAsia="仿宋" w:cs="仿宋"/>
          <w:b w:val="0"/>
          <w:bCs w:val="0"/>
          <w:color w:val="000000"/>
          <w:kern w:val="0"/>
          <w:sz w:val="31"/>
          <w:szCs w:val="31"/>
          <w:lang w:val="en-US" w:eastAsia="zh-CN" w:bidi="ar"/>
        </w:rPr>
        <w:br w:type="textWrapping"/>
      </w:r>
      <w:r>
        <w:rPr>
          <w:rFonts w:hint="eastAsia" w:ascii="仿宋" w:hAnsi="仿宋" w:eastAsia="仿宋" w:cs="仿宋"/>
          <w:b w:val="0"/>
          <w:bCs w:val="0"/>
          <w:color w:val="000000"/>
          <w:kern w:val="0"/>
          <w:sz w:val="31"/>
          <w:szCs w:val="31"/>
          <w:lang w:val="en-US" w:eastAsia="zh-CN" w:bidi="ar"/>
        </w:rPr>
        <w:t xml:space="preserve"> 《厅堂扩声系统声学特性指标》GYJ25-86</w:t>
      </w:r>
      <w:r>
        <w:rPr>
          <w:rFonts w:hint="eastAsia" w:ascii="仿宋" w:hAnsi="仿宋" w:eastAsia="仿宋" w:cs="仿宋"/>
          <w:b w:val="0"/>
          <w:bCs w:val="0"/>
          <w:color w:val="000000"/>
          <w:kern w:val="0"/>
          <w:sz w:val="31"/>
          <w:szCs w:val="31"/>
          <w:lang w:val="en-US" w:eastAsia="zh-CN" w:bidi="ar"/>
        </w:rPr>
        <w:br w:type="textWrapping"/>
      </w:r>
      <w:r>
        <w:rPr>
          <w:rFonts w:hint="eastAsia" w:ascii="仿宋" w:hAnsi="仿宋" w:eastAsia="仿宋" w:cs="仿宋"/>
          <w:b w:val="0"/>
          <w:bCs w:val="0"/>
          <w:color w:val="000000"/>
          <w:kern w:val="0"/>
          <w:sz w:val="31"/>
          <w:szCs w:val="31"/>
          <w:lang w:val="en-US" w:eastAsia="zh-CN" w:bidi="ar"/>
        </w:rPr>
        <w:t xml:space="preserve"> 《厅堂扩声特性测量法》GB/T4959-1995</w:t>
      </w:r>
      <w:r>
        <w:rPr>
          <w:rFonts w:hint="eastAsia" w:ascii="仿宋" w:hAnsi="仿宋" w:eastAsia="仿宋" w:cs="仿宋"/>
          <w:b w:val="0"/>
          <w:bCs w:val="0"/>
          <w:color w:val="000000"/>
          <w:kern w:val="0"/>
          <w:sz w:val="31"/>
          <w:szCs w:val="31"/>
          <w:lang w:val="en-US" w:eastAsia="zh-CN" w:bidi="ar"/>
        </w:rPr>
        <w:br w:type="textWrapping"/>
      </w:r>
      <w:r>
        <w:rPr>
          <w:rFonts w:hint="eastAsia" w:ascii="仿宋" w:hAnsi="仿宋" w:eastAsia="仿宋" w:cs="仿宋"/>
          <w:b w:val="0"/>
          <w:bCs w:val="0"/>
          <w:color w:val="000000"/>
          <w:kern w:val="0"/>
          <w:sz w:val="31"/>
          <w:szCs w:val="31"/>
          <w:lang w:val="en-US" w:eastAsia="zh-CN" w:bidi="ar"/>
        </w:rPr>
        <w:t xml:space="preserve"> 《客观评价厅堂语言可懂度的RASTI法》GB/T14476-93</w:t>
      </w:r>
      <w:r>
        <w:rPr>
          <w:rFonts w:hint="eastAsia" w:ascii="仿宋" w:hAnsi="仿宋" w:eastAsia="仿宋" w:cs="仿宋"/>
          <w:b w:val="0"/>
          <w:bCs w:val="0"/>
          <w:color w:val="000000"/>
          <w:kern w:val="0"/>
          <w:sz w:val="31"/>
          <w:szCs w:val="31"/>
          <w:lang w:val="en-US" w:eastAsia="zh-CN" w:bidi="ar"/>
        </w:rPr>
        <w:br w:type="textWrapping"/>
      </w:r>
      <w:r>
        <w:rPr>
          <w:rFonts w:hint="eastAsia" w:ascii="仿宋" w:hAnsi="仿宋" w:eastAsia="仿宋" w:cs="仿宋"/>
          <w:b w:val="0"/>
          <w:bCs w:val="0"/>
          <w:color w:val="000000"/>
          <w:kern w:val="0"/>
          <w:sz w:val="31"/>
          <w:szCs w:val="31"/>
          <w:lang w:val="en-US" w:eastAsia="zh-CN" w:bidi="ar"/>
        </w:rPr>
        <w:t xml:space="preserve"> 《电工电子产品基本环境试验规程总则》（GB242）</w:t>
      </w:r>
      <w:r>
        <w:rPr>
          <w:rFonts w:hint="eastAsia" w:ascii="仿宋" w:hAnsi="仿宋" w:eastAsia="仿宋" w:cs="仿宋"/>
          <w:b w:val="0"/>
          <w:bCs w:val="0"/>
          <w:color w:val="000000"/>
          <w:kern w:val="0"/>
          <w:sz w:val="31"/>
          <w:szCs w:val="31"/>
          <w:lang w:val="en-US" w:eastAsia="zh-CN" w:bidi="ar"/>
        </w:rPr>
        <w:br w:type="textWrapping"/>
      </w:r>
      <w:r>
        <w:rPr>
          <w:rFonts w:hint="eastAsia" w:ascii="仿宋" w:hAnsi="仿宋" w:eastAsia="仿宋" w:cs="仿宋"/>
          <w:b w:val="0"/>
          <w:bCs w:val="0"/>
          <w:color w:val="000000"/>
          <w:kern w:val="0"/>
          <w:sz w:val="31"/>
          <w:szCs w:val="31"/>
          <w:lang w:val="en-US" w:eastAsia="zh-CN" w:bidi="ar"/>
        </w:rPr>
        <w:t xml:space="preserve"> 《电工电子产品基本环境试验规程名词术语》（GB2422）</w:t>
      </w:r>
      <w:r>
        <w:rPr>
          <w:rFonts w:hint="eastAsia" w:ascii="仿宋" w:hAnsi="仿宋" w:eastAsia="仿宋" w:cs="仿宋"/>
          <w:b w:val="0"/>
          <w:bCs w:val="0"/>
          <w:color w:val="000000"/>
          <w:kern w:val="0"/>
          <w:sz w:val="31"/>
          <w:szCs w:val="31"/>
          <w:lang w:val="en-US" w:eastAsia="zh-CN" w:bidi="ar"/>
        </w:rPr>
        <w:br w:type="textWrapping"/>
      </w:r>
      <w:r>
        <w:rPr>
          <w:rFonts w:hint="eastAsia" w:ascii="仿宋" w:hAnsi="仿宋" w:eastAsia="仿宋" w:cs="仿宋"/>
          <w:b w:val="0"/>
          <w:bCs w:val="0"/>
          <w:color w:val="000000"/>
          <w:kern w:val="0"/>
          <w:sz w:val="31"/>
          <w:szCs w:val="31"/>
          <w:lang w:val="en-US" w:eastAsia="zh-CN" w:bidi="ar"/>
        </w:rPr>
        <w:t xml:space="preserve"> 《电工电子产品基本产品试验规程，低温试验方法》（GB2423.l）</w:t>
      </w:r>
      <w:r>
        <w:rPr>
          <w:rFonts w:hint="eastAsia" w:ascii="仿宋" w:hAnsi="仿宋" w:eastAsia="仿宋" w:cs="仿宋"/>
          <w:b w:val="0"/>
          <w:bCs w:val="0"/>
          <w:color w:val="000000"/>
          <w:kern w:val="0"/>
          <w:sz w:val="31"/>
          <w:szCs w:val="31"/>
          <w:lang w:val="en-US" w:eastAsia="zh-CN" w:bidi="ar"/>
        </w:rPr>
        <w:br w:type="textWrapping"/>
      </w:r>
      <w:r>
        <w:rPr>
          <w:rFonts w:hint="eastAsia" w:ascii="仿宋" w:hAnsi="仿宋" w:eastAsia="仿宋" w:cs="仿宋"/>
          <w:b w:val="0"/>
          <w:bCs w:val="0"/>
          <w:color w:val="000000"/>
          <w:kern w:val="0"/>
          <w:sz w:val="31"/>
          <w:szCs w:val="31"/>
          <w:lang w:val="en-US" w:eastAsia="zh-CN" w:bidi="ar"/>
        </w:rPr>
        <w:t xml:space="preserve"> 《电工电子产品基本环境试验规程，高温试验方法》（GB2421.2）</w:t>
      </w:r>
      <w:r>
        <w:rPr>
          <w:rFonts w:hint="eastAsia" w:ascii="仿宋" w:hAnsi="仿宋" w:eastAsia="仿宋" w:cs="仿宋"/>
          <w:b w:val="0"/>
          <w:bCs w:val="0"/>
          <w:color w:val="000000"/>
          <w:kern w:val="0"/>
          <w:sz w:val="31"/>
          <w:szCs w:val="31"/>
          <w:lang w:val="en-US" w:eastAsia="zh-CN" w:bidi="ar"/>
        </w:rPr>
        <w:br w:type="textWrapping"/>
      </w:r>
      <w:r>
        <w:rPr>
          <w:rFonts w:hint="eastAsia" w:ascii="仿宋" w:hAnsi="仿宋" w:eastAsia="仿宋" w:cs="仿宋"/>
          <w:b w:val="0"/>
          <w:bCs w:val="0"/>
          <w:color w:val="000000"/>
          <w:kern w:val="0"/>
          <w:sz w:val="31"/>
          <w:szCs w:val="31"/>
          <w:lang w:val="en-US" w:eastAsia="zh-CN" w:bidi="ar"/>
        </w:rPr>
        <w:t xml:space="preserve"> 《数据处理设备的安全》（GB4943） IEC950</w:t>
      </w:r>
    </w:p>
    <w:p>
      <w:pPr>
        <w:pageBreakBefore w:val="0"/>
        <w:widowControl/>
        <w:kinsoku/>
        <w:wordWrap/>
        <w:overflowPunct/>
        <w:topLinePunct w:val="0"/>
        <w:autoSpaceDE/>
        <w:autoSpaceDN/>
        <w:bidi w:val="0"/>
        <w:adjustRightInd/>
        <w:snapToGrid/>
        <w:ind w:firstLine="620" w:firstLineChars="200"/>
        <w:jc w:val="left"/>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IEEE802.3 10Base-T网络标准</w:t>
      </w:r>
    </w:p>
    <w:p>
      <w:pPr>
        <w:pageBreakBefore w:val="0"/>
        <w:widowControl/>
        <w:kinsoku/>
        <w:wordWrap/>
        <w:overflowPunct/>
        <w:topLinePunct w:val="0"/>
        <w:autoSpaceDE/>
        <w:autoSpaceDN/>
        <w:bidi w:val="0"/>
        <w:adjustRightInd/>
        <w:snapToGrid/>
        <w:ind w:firstLine="620" w:firstLineChars="200"/>
        <w:jc w:val="left"/>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IEEE802.3 100Base-TX快速以太网标准</w:t>
      </w:r>
    </w:p>
    <w:p>
      <w:pPr>
        <w:pageBreakBefore w:val="0"/>
        <w:widowControl/>
        <w:kinsoku/>
        <w:wordWrap/>
        <w:overflowPunct/>
        <w:topLinePunct w:val="0"/>
        <w:autoSpaceDE/>
        <w:autoSpaceDN/>
        <w:bidi w:val="0"/>
        <w:adjustRightInd/>
        <w:snapToGrid/>
        <w:ind w:firstLine="620" w:firstLineChars="200"/>
        <w:jc w:val="left"/>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网络层和传输层TCP/IP协议并兼容IPX协议，支持PPP和SLIP协议  </w:t>
      </w:r>
    </w:p>
    <w:p>
      <w:pPr>
        <w:pageBreakBefore w:val="0"/>
        <w:widowControl/>
        <w:kinsoku/>
        <w:wordWrap/>
        <w:overflowPunct/>
        <w:topLinePunct w:val="0"/>
        <w:autoSpaceDE/>
        <w:autoSpaceDN/>
        <w:bidi w:val="0"/>
        <w:adjustRightInd/>
        <w:snapToGrid/>
        <w:ind w:firstLine="620" w:firstLineChars="200"/>
        <w:jc w:val="left"/>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国家、省、行业有关技术标准和规范</w:t>
      </w:r>
    </w:p>
    <w:p>
      <w:pPr>
        <w:pStyle w:val="3"/>
        <w:rPr>
          <w:rFonts w:ascii="宋体" w:hAnsi="宋体" w:eastAsia="宋体" w:cs="Times New Roman"/>
          <w:kern w:val="44"/>
        </w:rPr>
      </w:pPr>
      <w:bookmarkStart w:id="37" w:name="_Toc29125"/>
      <w:r>
        <w:rPr>
          <w:rFonts w:hint="eastAsia" w:ascii="宋体" w:hAnsi="宋体" w:eastAsia="宋体" w:cs="Times New Roman"/>
          <w:kern w:val="44"/>
        </w:rPr>
        <w:t>二、项目建设内容及</w:t>
      </w:r>
      <w:bookmarkEnd w:id="37"/>
      <w:r>
        <w:rPr>
          <w:rFonts w:hint="eastAsia" w:ascii="宋体" w:hAnsi="宋体" w:eastAsia="宋体" w:cs="Times New Roman"/>
          <w:kern w:val="44"/>
        </w:rPr>
        <w:t>功能要求</w:t>
      </w:r>
    </w:p>
    <w:p>
      <w:pPr>
        <w:pStyle w:val="3"/>
        <w:ind w:left="420"/>
        <w:rPr>
          <w:rFonts w:ascii="楷体" w:hAnsi="楷体" w:eastAsia="楷体" w:cs="楷体"/>
          <w:b w:val="0"/>
          <w:bCs w:val="0"/>
        </w:rPr>
      </w:pPr>
      <w:r>
        <w:rPr>
          <w:rFonts w:hint="eastAsia" w:ascii="楷体" w:hAnsi="楷体" w:eastAsia="楷体" w:cs="楷体"/>
          <w:b w:val="0"/>
          <w:bCs w:val="0"/>
        </w:rPr>
        <w:t>（一）建设内容</w:t>
      </w:r>
    </w:p>
    <w:p>
      <w:pPr>
        <w:widowControl/>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新疆铁道职业技术学院哈密新校区</w:t>
      </w:r>
      <w:r>
        <w:rPr>
          <w:rFonts w:hint="eastAsia" w:ascii="仿宋" w:hAnsi="仿宋" w:eastAsia="仿宋" w:cs="仿宋"/>
          <w:color w:val="000000"/>
          <w:kern w:val="0"/>
          <w:sz w:val="31"/>
          <w:szCs w:val="31"/>
          <w:lang w:val="en-US" w:eastAsia="zh-CN" w:bidi="ar"/>
        </w:rPr>
        <w:t>160</w:t>
      </w:r>
      <w:r>
        <w:rPr>
          <w:rFonts w:hint="eastAsia" w:ascii="仿宋" w:hAnsi="仿宋" w:eastAsia="仿宋" w:cs="仿宋"/>
          <w:color w:val="000000"/>
          <w:kern w:val="0"/>
          <w:sz w:val="31"/>
          <w:szCs w:val="31"/>
          <w:lang w:bidi="ar"/>
        </w:rPr>
        <w:t>间智能多媒体教室采用一体化纳米智慧黑板+智慧电子班牌+智能中控相结合的建设方案</w:t>
      </w:r>
      <w:r>
        <w:rPr>
          <w:rFonts w:hint="eastAsia" w:ascii="仿宋" w:hAnsi="仿宋" w:eastAsia="仿宋" w:cs="仿宋"/>
          <w:color w:val="000000"/>
          <w:kern w:val="0"/>
          <w:sz w:val="31"/>
          <w:szCs w:val="31"/>
          <w:lang w:eastAsia="zh-CN" w:bidi="ar"/>
        </w:rPr>
        <w:t>，</w:t>
      </w:r>
      <w:r>
        <w:rPr>
          <w:rFonts w:hint="eastAsia" w:ascii="仿宋" w:hAnsi="仿宋" w:eastAsia="仿宋" w:cs="仿宋"/>
          <w:color w:val="000000"/>
          <w:kern w:val="0"/>
          <w:sz w:val="31"/>
          <w:szCs w:val="31"/>
          <w:lang w:bidi="ar"/>
        </w:rPr>
        <w:t>打造基本的无尘、多媒体、智能化教学环境。</w:t>
      </w:r>
      <w:r>
        <w:rPr>
          <w:rFonts w:hint="eastAsia" w:ascii="仿宋" w:hAnsi="仿宋" w:eastAsia="仿宋" w:cs="仿宋"/>
          <w:color w:val="000000"/>
          <w:kern w:val="0"/>
          <w:sz w:val="31"/>
          <w:szCs w:val="31"/>
          <w:lang w:val="en-US" w:eastAsia="zh-CN" w:bidi="ar"/>
        </w:rPr>
        <w:t>将智慧黑板、电子班牌、多媒体教室教学过程的数据进行采集，通过与现有智慧校园数据中心对接，实现教学过程数据的统一管理并按标准完成数据监测、质量评估，满足国家数字化试点校和信息化标杆校的职教大脑数据的自动对接和上报，促进学校整体信息化教学质量和水平的提升。</w:t>
      </w:r>
      <w:r>
        <w:rPr>
          <w:rFonts w:hint="eastAsia" w:ascii="仿宋" w:hAnsi="仿宋" w:eastAsia="仿宋" w:cs="仿宋"/>
          <w:color w:val="000000"/>
          <w:kern w:val="0"/>
          <w:sz w:val="31"/>
          <w:szCs w:val="31"/>
          <w:lang w:bidi="ar"/>
        </w:rPr>
        <w:t>方案涵盖了终端、资源、应用、</w:t>
      </w:r>
      <w:r>
        <w:rPr>
          <w:rFonts w:hint="eastAsia" w:ascii="仿宋" w:hAnsi="仿宋" w:eastAsia="仿宋" w:cs="仿宋"/>
          <w:color w:val="000000"/>
          <w:kern w:val="0"/>
          <w:sz w:val="31"/>
          <w:szCs w:val="31"/>
          <w:lang w:val="en-US" w:eastAsia="zh-CN" w:bidi="ar"/>
        </w:rPr>
        <w:t>数据、</w:t>
      </w:r>
      <w:r>
        <w:rPr>
          <w:rFonts w:hint="eastAsia" w:ascii="仿宋" w:hAnsi="仿宋" w:eastAsia="仿宋" w:cs="仿宋"/>
          <w:color w:val="000000"/>
          <w:kern w:val="0"/>
          <w:sz w:val="31"/>
          <w:szCs w:val="31"/>
          <w:lang w:bidi="ar"/>
        </w:rPr>
        <w:t>平台，涉及整个教学活动和管理活动。通过搭配相关配套产品及软件系统，具备互联互通及可扩展的功能，提供智慧教学、智慧管理的手段，完成智慧教室的信息化建设</w:t>
      </w:r>
      <w:r>
        <w:rPr>
          <w:rFonts w:hint="eastAsia" w:ascii="仿宋" w:hAnsi="仿宋" w:eastAsia="仿宋" w:cs="仿宋"/>
          <w:color w:val="000000"/>
          <w:kern w:val="0"/>
          <w:sz w:val="31"/>
          <w:szCs w:val="31"/>
          <w:lang w:val="en-US" w:eastAsia="zh-CN" w:bidi="ar"/>
        </w:rPr>
        <w:t>和教学质量的全面评价及优化</w:t>
      </w:r>
      <w:r>
        <w:rPr>
          <w:rFonts w:hint="eastAsia" w:ascii="仿宋" w:hAnsi="仿宋" w:eastAsia="仿宋" w:cs="仿宋"/>
          <w:color w:val="000000"/>
          <w:kern w:val="0"/>
          <w:sz w:val="31"/>
          <w:szCs w:val="31"/>
          <w:lang w:bidi="ar"/>
        </w:rPr>
        <w:t>。</w:t>
      </w:r>
    </w:p>
    <w:p>
      <w:pPr>
        <w:pStyle w:val="3"/>
        <w:ind w:left="420"/>
        <w:rPr>
          <w:rFonts w:ascii="楷体" w:hAnsi="楷体" w:eastAsia="楷体" w:cs="楷体"/>
          <w:b w:val="0"/>
          <w:bCs w:val="0"/>
        </w:rPr>
      </w:pPr>
      <w:r>
        <w:rPr>
          <w:rFonts w:hint="eastAsia" w:ascii="楷体" w:hAnsi="楷体" w:eastAsia="楷体" w:cs="楷体"/>
          <w:b w:val="0"/>
          <w:bCs w:val="0"/>
        </w:rPr>
        <w:t>（二）功能要求</w:t>
      </w:r>
    </w:p>
    <w:p>
      <w:pPr>
        <w:widowControl/>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普通教室</w:t>
      </w:r>
    </w:p>
    <w:p>
      <w:pPr>
        <w:widowControl/>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1.每间</w:t>
      </w:r>
      <w:r>
        <w:rPr>
          <w:rFonts w:hint="eastAsia" w:ascii="仿宋" w:hAnsi="仿宋" w:eastAsia="仿宋" w:cs="仿宋"/>
          <w:color w:val="000000"/>
          <w:kern w:val="0"/>
          <w:sz w:val="31"/>
          <w:szCs w:val="31"/>
          <w:lang w:val="en-US" w:eastAsia="zh-CN" w:bidi="ar"/>
        </w:rPr>
        <w:t>普通</w:t>
      </w:r>
      <w:r>
        <w:rPr>
          <w:rFonts w:hint="eastAsia" w:ascii="仿宋" w:hAnsi="仿宋" w:eastAsia="仿宋" w:cs="仿宋"/>
          <w:color w:val="000000"/>
          <w:kern w:val="0"/>
          <w:sz w:val="31"/>
          <w:szCs w:val="31"/>
          <w:lang w:bidi="ar"/>
        </w:rPr>
        <w:t>教室配置整机外观尺寸长度≥4200mm，高≥1200mm一体化电容式纳米智慧黑板，内置≥86英寸显示屏，实现抗暴、防水、防尘及无尘书写、智能手势识别、多点互动触控、护眼防蓝光、采用双系统（安卓+Windows）、多媒体教学及备课、实现平台集控、支持蓝牙双路WIFI、支持一键进行硬件自检、配≥1300万</w:t>
      </w:r>
      <w:r>
        <w:rPr>
          <w:rFonts w:hint="eastAsia" w:ascii="仿宋" w:hAnsi="仿宋" w:eastAsia="仿宋" w:cs="仿宋"/>
          <w:color w:val="000000"/>
          <w:kern w:val="0"/>
          <w:sz w:val="31"/>
          <w:szCs w:val="31"/>
          <w:lang w:val="en-US" w:eastAsia="zh-CN" w:bidi="ar"/>
        </w:rPr>
        <w:t>像素</w:t>
      </w:r>
      <w:r>
        <w:rPr>
          <w:rFonts w:hint="eastAsia" w:ascii="仿宋" w:hAnsi="仿宋" w:eastAsia="仿宋" w:cs="仿宋"/>
          <w:color w:val="000000"/>
          <w:kern w:val="0"/>
          <w:sz w:val="31"/>
          <w:szCs w:val="31"/>
          <w:lang w:bidi="ar"/>
        </w:rPr>
        <w:t>摄像头实现互动、远程控制关机、老师教学互动等功能。</w:t>
      </w:r>
    </w:p>
    <w:p>
      <w:pPr>
        <w:widowControl/>
        <w:ind w:firstLine="620" w:firstLineChars="200"/>
        <w:jc w:val="left"/>
        <w:rPr>
          <w:rFonts w:hint="eastAsia" w:ascii="仿宋" w:hAnsi="仿宋" w:eastAsia="仿宋" w:cs="仿宋"/>
          <w:b w:val="0"/>
          <w:bCs w:val="0"/>
          <w:color w:val="000000"/>
          <w:kern w:val="0"/>
          <w:sz w:val="31"/>
          <w:szCs w:val="31"/>
          <w:lang w:bidi="ar"/>
        </w:rPr>
      </w:pPr>
      <w:r>
        <w:rPr>
          <w:rFonts w:hint="eastAsia" w:ascii="仿宋" w:hAnsi="仿宋" w:eastAsia="仿宋" w:cs="仿宋"/>
          <w:b w:val="0"/>
          <w:bCs w:val="0"/>
          <w:color w:val="000000"/>
          <w:kern w:val="0"/>
          <w:sz w:val="31"/>
          <w:szCs w:val="31"/>
          <w:lang w:bidi="ar"/>
        </w:rPr>
        <w:t>2.配置智能电子班牌，具有蓝牙+WiFi模块，实现人脸考勤（支持离线缓存）、身份识别认证、支持语音交互、支持多媒体视频播放、支持刷卡签到、支持定时开关机、班级模板\专业课室模板、班级展示、课程表、支持个人课表考试日程查询、支持班牌端控制智能门锁、支持紧急通知模式\上课模式\考试模式\考场模式\补签模式、支持管理端紧急通知下发、支持发布满级作业\通知\动态、支持远程维护定时开关机、可控可管，电子班牌系统支持与学校现有智慧校园平台系统实现数据的无缝对接。</w:t>
      </w:r>
    </w:p>
    <w:p>
      <w:pPr>
        <w:widowControl/>
        <w:ind w:firstLine="620" w:firstLineChars="200"/>
        <w:jc w:val="left"/>
        <w:rPr>
          <w:rFonts w:hint="eastAsia" w:ascii="仿宋" w:hAnsi="仿宋" w:eastAsia="仿宋" w:cs="仿宋"/>
          <w:b w:val="0"/>
          <w:bCs w:val="0"/>
          <w:color w:val="000000"/>
          <w:kern w:val="0"/>
          <w:sz w:val="31"/>
          <w:szCs w:val="31"/>
          <w:lang w:bidi="ar"/>
        </w:rPr>
      </w:pPr>
      <w:r>
        <w:rPr>
          <w:rFonts w:hint="eastAsia" w:ascii="仿宋" w:hAnsi="仿宋" w:eastAsia="仿宋" w:cs="仿宋"/>
          <w:b w:val="0"/>
          <w:bCs w:val="0"/>
          <w:color w:val="000000"/>
          <w:kern w:val="0"/>
          <w:sz w:val="31"/>
          <w:szCs w:val="31"/>
          <w:lang w:bidi="ar"/>
        </w:rPr>
        <w:t>3.配置智能讲台，符合人体力学设计，讲台桌面高度合适老师放置教学用品，讲台产品外观桌面平整，悬浮式设计，边缘光滑，无棱角处理，绿色环保等特性，具有高度集成性，触控面板感应式按键，实现对黑板电子班牌一键开关机、支持音量调节等具体详见参数表。</w:t>
      </w:r>
    </w:p>
    <w:p>
      <w:pPr>
        <w:widowControl/>
        <w:ind w:firstLine="620" w:firstLineChars="200"/>
        <w:jc w:val="left"/>
        <w:rPr>
          <w:rFonts w:ascii="仿宋" w:hAnsi="仿宋" w:eastAsia="仿宋" w:cs="仿宋"/>
          <w:b w:val="0"/>
          <w:bCs w:val="0"/>
          <w:color w:val="000000"/>
          <w:kern w:val="0"/>
          <w:sz w:val="31"/>
          <w:szCs w:val="31"/>
          <w:lang w:bidi="ar"/>
        </w:rPr>
      </w:pPr>
      <w:r>
        <w:rPr>
          <w:rFonts w:hint="eastAsia" w:ascii="仿宋" w:hAnsi="仿宋" w:eastAsia="仿宋" w:cs="仿宋"/>
          <w:b w:val="0"/>
          <w:bCs w:val="0"/>
          <w:color w:val="000000"/>
          <w:kern w:val="0"/>
          <w:sz w:val="31"/>
          <w:szCs w:val="31"/>
          <w:lang w:bidi="ar"/>
        </w:rPr>
        <w:t>4.配置阵列麦克风（辅助教学扩声），环形麦克风阵列设计，360°全向拾音；远距离清晰拾音，拾音距离≥4米，自动对准发言人，实现语音智能跟踪和语音增强，自适应声场环境，抗干扰能力好降低环境噪声，消除回声和抑制啸叫；内置音频处理单元，无需额外机柜放置机架式音频处理器，易于快速安装部署。</w:t>
      </w:r>
    </w:p>
    <w:p>
      <w:pPr>
        <w:pStyle w:val="3"/>
        <w:ind w:left="420" w:firstLine="620" w:firstLineChars="200"/>
        <w:rPr>
          <w:rFonts w:hint="eastAsia" w:ascii="仿宋" w:hAnsi="仿宋" w:eastAsia="仿宋" w:cs="仿宋"/>
          <w:b w:val="0"/>
          <w:bCs w:val="0"/>
          <w:color w:val="000000"/>
          <w:kern w:val="0"/>
          <w:sz w:val="31"/>
          <w:szCs w:val="31"/>
          <w:lang w:bidi="ar"/>
        </w:rPr>
      </w:pPr>
      <w:r>
        <w:rPr>
          <w:rFonts w:hint="eastAsia" w:ascii="仿宋" w:hAnsi="仿宋" w:eastAsia="仿宋" w:cs="仿宋"/>
          <w:b w:val="0"/>
          <w:bCs w:val="0"/>
          <w:color w:val="000000"/>
          <w:kern w:val="0"/>
          <w:sz w:val="31"/>
          <w:szCs w:val="31"/>
          <w:lang w:bidi="ar"/>
        </w:rPr>
        <w:t>5.组建教学专网，所有教室需采用光纤接入，独立于其他物联形成高性能教学专用网络，便于统一管理，集中控制，支持后期功能的可扩展扩容等功能。</w:t>
      </w:r>
    </w:p>
    <w:p>
      <w:pPr>
        <w:pStyle w:val="3"/>
        <w:ind w:left="420" w:firstLine="620" w:firstLineChars="200"/>
        <w:rPr>
          <w:rFonts w:hint="default"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6.建设数据采集监测系统。将智慧黑板、电子班牌及多媒体教室在教学过程的数据进行统一、定期采集。并与现有智慧校园数据中心进行数据对接，联通教务管理与教学过程的数据，将教学数据按标准进行数据监测和质量评估，实现国家职教大脑数据自动对接和上报，促进学校整体信息化教学质量和水平的提升。</w:t>
      </w:r>
    </w:p>
    <w:p>
      <w:pPr>
        <w:rPr>
          <w:rFonts w:hint="eastAsia"/>
        </w:rPr>
      </w:pPr>
    </w:p>
    <w:p>
      <w:pPr>
        <w:pStyle w:val="3"/>
        <w:rPr>
          <w:rFonts w:ascii="宋体" w:hAnsi="宋体" w:eastAsia="宋体" w:cs="Times New Roman"/>
          <w:kern w:val="44"/>
        </w:rPr>
      </w:pPr>
      <w:r>
        <w:rPr>
          <w:rFonts w:hint="eastAsia" w:ascii="宋体" w:hAnsi="宋体" w:eastAsia="宋体" w:cs="Times New Roman"/>
          <w:kern w:val="44"/>
        </w:rPr>
        <w:t>三、建设进度</w:t>
      </w:r>
    </w:p>
    <w:p>
      <w:pPr>
        <w:pStyle w:val="3"/>
        <w:ind w:firstLine="620" w:firstLineChars="200"/>
        <w:rPr>
          <w:rFonts w:ascii="仿宋" w:hAnsi="仿宋" w:eastAsia="仿宋" w:cs="仿宋"/>
          <w:b w:val="0"/>
          <w:bCs w:val="0"/>
          <w:color w:val="000000"/>
          <w:kern w:val="0"/>
          <w:sz w:val="31"/>
          <w:szCs w:val="31"/>
          <w:lang w:val="zh-CN" w:bidi="ar"/>
        </w:rPr>
      </w:pPr>
      <w:r>
        <w:rPr>
          <w:rFonts w:hint="eastAsia" w:ascii="仿宋" w:hAnsi="仿宋" w:eastAsia="仿宋" w:cs="仿宋"/>
          <w:b w:val="0"/>
          <w:bCs w:val="0"/>
          <w:color w:val="000000"/>
          <w:kern w:val="0"/>
          <w:sz w:val="31"/>
          <w:szCs w:val="31"/>
          <w:lang w:bidi="ar"/>
        </w:rPr>
        <w:t>1.</w:t>
      </w:r>
      <w:r>
        <w:rPr>
          <w:rFonts w:hint="eastAsia" w:ascii="仿宋" w:hAnsi="仿宋" w:eastAsia="仿宋" w:cs="仿宋"/>
          <w:b w:val="0"/>
          <w:bCs w:val="0"/>
          <w:color w:val="000000"/>
          <w:kern w:val="0"/>
          <w:sz w:val="31"/>
          <w:szCs w:val="31"/>
          <w:lang w:val="zh-CN" w:bidi="ar"/>
        </w:rPr>
        <w:t>为最大程度减少对教学的影响，施工阶段计划争取在20</w:t>
      </w:r>
      <w:r>
        <w:rPr>
          <w:rFonts w:hint="eastAsia" w:ascii="仿宋" w:hAnsi="仿宋" w:eastAsia="仿宋" w:cs="仿宋"/>
          <w:b w:val="0"/>
          <w:bCs w:val="0"/>
          <w:color w:val="000000"/>
          <w:kern w:val="0"/>
          <w:sz w:val="31"/>
          <w:szCs w:val="31"/>
          <w:lang w:bidi="ar"/>
        </w:rPr>
        <w:t>24</w:t>
      </w:r>
      <w:r>
        <w:rPr>
          <w:rFonts w:hint="eastAsia" w:ascii="仿宋" w:hAnsi="仿宋" w:eastAsia="仿宋" w:cs="仿宋"/>
          <w:b w:val="0"/>
          <w:bCs w:val="0"/>
          <w:color w:val="000000"/>
          <w:kern w:val="0"/>
          <w:sz w:val="31"/>
          <w:szCs w:val="31"/>
          <w:lang w:val="zh-CN" w:bidi="ar"/>
        </w:rPr>
        <w:t>年</w:t>
      </w:r>
      <w:r>
        <w:rPr>
          <w:rFonts w:hint="eastAsia" w:ascii="仿宋" w:hAnsi="仿宋" w:eastAsia="仿宋" w:cs="仿宋"/>
          <w:b w:val="0"/>
          <w:bCs w:val="0"/>
          <w:color w:val="000000"/>
          <w:kern w:val="0"/>
          <w:sz w:val="31"/>
          <w:szCs w:val="31"/>
          <w:lang w:val="en-US" w:eastAsia="zh-CN" w:bidi="ar"/>
        </w:rPr>
        <w:t>9</w:t>
      </w:r>
      <w:r>
        <w:rPr>
          <w:rFonts w:hint="eastAsia" w:ascii="仿宋" w:hAnsi="仿宋" w:eastAsia="仿宋" w:cs="仿宋"/>
          <w:b w:val="0"/>
          <w:bCs w:val="0"/>
          <w:color w:val="000000"/>
          <w:kern w:val="0"/>
          <w:sz w:val="31"/>
          <w:szCs w:val="31"/>
          <w:lang w:bidi="ar"/>
        </w:rPr>
        <w:t>月前</w:t>
      </w:r>
      <w:r>
        <w:rPr>
          <w:rFonts w:hint="eastAsia" w:ascii="仿宋" w:hAnsi="仿宋" w:eastAsia="仿宋" w:cs="仿宋"/>
          <w:b w:val="0"/>
          <w:bCs w:val="0"/>
          <w:color w:val="000000"/>
          <w:kern w:val="0"/>
          <w:sz w:val="31"/>
          <w:szCs w:val="31"/>
          <w:lang w:val="zh-CN" w:bidi="ar"/>
        </w:rPr>
        <w:t>完成</w:t>
      </w:r>
      <w:r>
        <w:rPr>
          <w:rFonts w:hint="eastAsia" w:ascii="仿宋" w:hAnsi="仿宋" w:eastAsia="仿宋" w:cs="仿宋"/>
          <w:b w:val="0"/>
          <w:bCs w:val="0"/>
          <w:color w:val="000000"/>
          <w:kern w:val="0"/>
          <w:sz w:val="31"/>
          <w:szCs w:val="31"/>
          <w:lang w:bidi="ar"/>
        </w:rPr>
        <w:t>建设任务</w:t>
      </w:r>
      <w:r>
        <w:rPr>
          <w:rFonts w:hint="eastAsia" w:ascii="仿宋" w:hAnsi="仿宋" w:eastAsia="仿宋" w:cs="仿宋"/>
          <w:b w:val="0"/>
          <w:bCs w:val="0"/>
          <w:color w:val="000000"/>
          <w:kern w:val="0"/>
          <w:sz w:val="31"/>
          <w:szCs w:val="31"/>
          <w:lang w:val="zh-CN" w:bidi="ar"/>
        </w:rPr>
        <w:t>。</w:t>
      </w:r>
    </w:p>
    <w:p>
      <w:pPr>
        <w:pStyle w:val="3"/>
        <w:ind w:firstLine="620" w:firstLineChars="200"/>
        <w:rPr>
          <w:rFonts w:ascii="仿宋" w:hAnsi="仿宋" w:eastAsia="仿宋" w:cs="仿宋"/>
          <w:b w:val="0"/>
          <w:bCs w:val="0"/>
          <w:color w:val="000000"/>
          <w:kern w:val="0"/>
          <w:sz w:val="31"/>
          <w:szCs w:val="31"/>
          <w:lang w:val="zh-CN" w:bidi="ar"/>
        </w:rPr>
      </w:pPr>
      <w:r>
        <w:rPr>
          <w:rFonts w:hint="eastAsia" w:ascii="仿宋" w:hAnsi="仿宋" w:eastAsia="仿宋" w:cs="仿宋"/>
          <w:b w:val="0"/>
          <w:bCs w:val="0"/>
          <w:color w:val="000000"/>
          <w:kern w:val="0"/>
          <w:sz w:val="31"/>
          <w:szCs w:val="31"/>
          <w:lang w:bidi="ar"/>
        </w:rPr>
        <w:t>2.</w:t>
      </w:r>
      <w:r>
        <w:rPr>
          <w:rFonts w:hint="eastAsia" w:ascii="仿宋" w:hAnsi="仿宋" w:eastAsia="仿宋" w:cs="仿宋"/>
          <w:b w:val="0"/>
          <w:bCs w:val="0"/>
          <w:color w:val="000000"/>
          <w:kern w:val="0"/>
          <w:sz w:val="31"/>
          <w:szCs w:val="31"/>
          <w:lang w:val="zh-CN" w:bidi="ar"/>
        </w:rPr>
        <w:t>竣工阶段分为竣工验收及期内保修，在 20</w:t>
      </w:r>
      <w:r>
        <w:rPr>
          <w:rFonts w:hint="eastAsia" w:ascii="仿宋" w:hAnsi="仿宋" w:eastAsia="仿宋" w:cs="仿宋"/>
          <w:b w:val="0"/>
          <w:bCs w:val="0"/>
          <w:color w:val="000000"/>
          <w:kern w:val="0"/>
          <w:sz w:val="31"/>
          <w:szCs w:val="31"/>
          <w:lang w:bidi="ar"/>
        </w:rPr>
        <w:t>24</w:t>
      </w:r>
      <w:r>
        <w:rPr>
          <w:rFonts w:hint="eastAsia" w:ascii="仿宋" w:hAnsi="仿宋" w:eastAsia="仿宋" w:cs="仿宋"/>
          <w:b w:val="0"/>
          <w:bCs w:val="0"/>
          <w:color w:val="000000"/>
          <w:kern w:val="0"/>
          <w:sz w:val="31"/>
          <w:szCs w:val="31"/>
          <w:lang w:val="zh-CN" w:bidi="ar"/>
        </w:rPr>
        <w:t xml:space="preserve"> 年 </w:t>
      </w:r>
      <w:r>
        <w:rPr>
          <w:rFonts w:hint="eastAsia" w:ascii="仿宋" w:hAnsi="仿宋" w:eastAsia="仿宋" w:cs="仿宋"/>
          <w:b w:val="0"/>
          <w:bCs w:val="0"/>
          <w:color w:val="000000"/>
          <w:kern w:val="0"/>
          <w:sz w:val="31"/>
          <w:szCs w:val="31"/>
          <w:lang w:val="en-US" w:eastAsia="zh-CN" w:bidi="ar"/>
        </w:rPr>
        <w:t>9</w:t>
      </w:r>
      <w:r>
        <w:rPr>
          <w:rFonts w:hint="eastAsia" w:ascii="仿宋" w:hAnsi="仿宋" w:eastAsia="仿宋" w:cs="仿宋"/>
          <w:b w:val="0"/>
          <w:bCs w:val="0"/>
          <w:color w:val="000000"/>
          <w:kern w:val="0"/>
          <w:sz w:val="31"/>
          <w:szCs w:val="31"/>
          <w:lang w:val="zh-CN" w:bidi="ar"/>
        </w:rPr>
        <w:t xml:space="preserve"> 月</w:t>
      </w:r>
      <w:r>
        <w:rPr>
          <w:rFonts w:hint="eastAsia" w:ascii="仿宋" w:hAnsi="仿宋" w:eastAsia="仿宋" w:cs="仿宋"/>
          <w:b w:val="0"/>
          <w:bCs w:val="0"/>
          <w:color w:val="000000"/>
          <w:kern w:val="0"/>
          <w:sz w:val="31"/>
          <w:szCs w:val="31"/>
          <w:lang w:bidi="ar"/>
        </w:rPr>
        <w:t>前</w:t>
      </w:r>
      <w:r>
        <w:rPr>
          <w:rFonts w:hint="eastAsia" w:ascii="仿宋" w:hAnsi="仿宋" w:eastAsia="仿宋" w:cs="仿宋"/>
          <w:b w:val="0"/>
          <w:bCs w:val="0"/>
          <w:color w:val="000000"/>
          <w:kern w:val="0"/>
          <w:sz w:val="31"/>
          <w:szCs w:val="31"/>
          <w:lang w:val="zh-CN" w:bidi="ar"/>
        </w:rPr>
        <w:t>验收并交付使用，并按合同规定的保修期限对</w:t>
      </w:r>
      <w:r>
        <w:rPr>
          <w:rFonts w:hint="eastAsia" w:ascii="仿宋" w:hAnsi="仿宋" w:eastAsia="仿宋" w:cs="仿宋"/>
          <w:b w:val="0"/>
          <w:bCs w:val="0"/>
          <w:color w:val="000000"/>
          <w:kern w:val="0"/>
          <w:sz w:val="31"/>
          <w:szCs w:val="31"/>
          <w:lang w:bidi="ar"/>
        </w:rPr>
        <w:t>设备</w:t>
      </w:r>
      <w:r>
        <w:rPr>
          <w:rFonts w:hint="eastAsia" w:ascii="仿宋" w:hAnsi="仿宋" w:eastAsia="仿宋" w:cs="仿宋"/>
          <w:b w:val="0"/>
          <w:bCs w:val="0"/>
          <w:color w:val="000000"/>
          <w:kern w:val="0"/>
          <w:sz w:val="31"/>
          <w:szCs w:val="31"/>
          <w:lang w:val="zh-CN" w:bidi="ar"/>
        </w:rPr>
        <w:t>进行使用期维护。</w:t>
      </w:r>
    </w:p>
    <w:p>
      <w:pPr>
        <w:pStyle w:val="3"/>
        <w:rPr>
          <w:rFonts w:hint="eastAsia"/>
        </w:rPr>
      </w:pPr>
      <w:r>
        <w:rPr>
          <w:rFonts w:hint="eastAsia" w:ascii="宋体" w:hAnsi="宋体" w:eastAsia="宋体" w:cs="Times New Roman"/>
          <w:kern w:val="44"/>
        </w:rPr>
        <w:t>四、设备采购清单</w:t>
      </w:r>
    </w:p>
    <w:tbl>
      <w:tblPr>
        <w:tblStyle w:val="1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48"/>
        <w:gridCol w:w="5165"/>
        <w:gridCol w:w="92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78" w:type="dxa"/>
            <w:noWrap w:val="0"/>
            <w:vAlign w:val="center"/>
          </w:tcPr>
          <w:p>
            <w:pPr>
              <w:jc w:val="center"/>
              <w:rPr>
                <w:rFonts w:hint="eastAsia"/>
              </w:rPr>
            </w:pPr>
            <w:r>
              <w:rPr>
                <w:rFonts w:hint="eastAsia"/>
              </w:rPr>
              <w:t>序号</w:t>
            </w:r>
          </w:p>
        </w:tc>
        <w:tc>
          <w:tcPr>
            <w:tcW w:w="1248" w:type="dxa"/>
            <w:noWrap w:val="0"/>
            <w:vAlign w:val="center"/>
          </w:tcPr>
          <w:p>
            <w:pPr>
              <w:jc w:val="center"/>
              <w:rPr>
                <w:rFonts w:hint="eastAsia"/>
              </w:rPr>
            </w:pPr>
            <w:r>
              <w:rPr>
                <w:rFonts w:hint="eastAsia"/>
              </w:rPr>
              <w:t>名称</w:t>
            </w:r>
          </w:p>
        </w:tc>
        <w:tc>
          <w:tcPr>
            <w:tcW w:w="5165" w:type="dxa"/>
            <w:noWrap w:val="0"/>
            <w:vAlign w:val="center"/>
          </w:tcPr>
          <w:p>
            <w:pPr>
              <w:jc w:val="center"/>
              <w:rPr>
                <w:rFonts w:hint="eastAsia"/>
              </w:rPr>
            </w:pPr>
            <w:r>
              <w:rPr>
                <w:rFonts w:hint="eastAsia"/>
              </w:rPr>
              <w:t>规格</w:t>
            </w:r>
          </w:p>
        </w:tc>
        <w:tc>
          <w:tcPr>
            <w:tcW w:w="926" w:type="dxa"/>
            <w:noWrap w:val="0"/>
            <w:vAlign w:val="center"/>
          </w:tcPr>
          <w:p>
            <w:pPr>
              <w:jc w:val="center"/>
              <w:rPr>
                <w:rFonts w:hint="eastAsia"/>
              </w:rPr>
            </w:pPr>
            <w:r>
              <w:rPr>
                <w:rFonts w:hint="eastAsia"/>
              </w:rPr>
              <w:t>数量</w:t>
            </w:r>
          </w:p>
        </w:tc>
        <w:tc>
          <w:tcPr>
            <w:tcW w:w="1241" w:type="dxa"/>
            <w:noWrap w:val="0"/>
            <w:vAlign w:val="center"/>
          </w:tcPr>
          <w:p>
            <w:pPr>
              <w:jc w:val="center"/>
              <w:rPr>
                <w:rFonts w:hint="eastAsia"/>
              </w:rPr>
            </w:pPr>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78" w:type="dxa"/>
            <w:noWrap w:val="0"/>
            <w:vAlign w:val="center"/>
          </w:tcPr>
          <w:p>
            <w:pPr>
              <w:jc w:val="center"/>
              <w:rPr>
                <w:rFonts w:hint="eastAsia"/>
              </w:rPr>
            </w:pPr>
            <w:r>
              <w:rPr>
                <w:rFonts w:hint="eastAsia"/>
              </w:rPr>
              <w:t>1</w:t>
            </w:r>
          </w:p>
        </w:tc>
        <w:tc>
          <w:tcPr>
            <w:tcW w:w="1248" w:type="dxa"/>
            <w:noWrap w:val="0"/>
            <w:vAlign w:val="center"/>
          </w:tcPr>
          <w:p>
            <w:pPr>
              <w:jc w:val="center"/>
              <w:rPr>
                <w:rFonts w:hint="eastAsia"/>
              </w:rPr>
            </w:pPr>
            <w:r>
              <w:rPr>
                <w:rFonts w:hint="eastAsia"/>
              </w:rPr>
              <w:t>智慧黑板</w:t>
            </w:r>
          </w:p>
        </w:tc>
        <w:tc>
          <w:tcPr>
            <w:tcW w:w="5165" w:type="dxa"/>
            <w:noWrap w:val="0"/>
            <w:vAlign w:val="center"/>
          </w:tcPr>
          <w:p>
            <w:pPr>
              <w:jc w:val="left"/>
              <w:rPr>
                <w:rFonts w:hint="eastAsia"/>
              </w:rPr>
            </w:pPr>
            <w:r>
              <w:rPr>
                <w:rFonts w:hint="eastAsia"/>
              </w:rPr>
              <w:t>86寸电容智慧黑板，安卓11.0</w:t>
            </w:r>
          </w:p>
          <w:p>
            <w:pPr>
              <w:jc w:val="left"/>
              <w:rPr>
                <w:rFonts w:hint="eastAsia"/>
              </w:rPr>
            </w:pPr>
            <w:r>
              <w:rPr>
                <w:rFonts w:hint="eastAsia"/>
              </w:rPr>
              <w:t>I5-10代\8g\256G、</w:t>
            </w:r>
          </w:p>
          <w:p>
            <w:pPr>
              <w:jc w:val="left"/>
              <w:rPr>
                <w:rFonts w:hint="eastAsia"/>
              </w:rPr>
            </w:pPr>
            <w:r>
              <w:rPr>
                <w:rFonts w:hint="eastAsia"/>
              </w:rPr>
              <w:t>1300W摄像头阵列麦</w:t>
            </w:r>
          </w:p>
        </w:tc>
        <w:tc>
          <w:tcPr>
            <w:tcW w:w="926" w:type="dxa"/>
            <w:noWrap w:val="0"/>
            <w:vAlign w:val="center"/>
          </w:tcPr>
          <w:p>
            <w:pPr>
              <w:jc w:val="center"/>
              <w:rPr>
                <w:rFonts w:hint="default" w:eastAsia="宋体"/>
                <w:lang w:val="en-US" w:eastAsia="zh-CN"/>
              </w:rPr>
            </w:pPr>
            <w:r>
              <w:rPr>
                <w:rFonts w:hint="eastAsia"/>
              </w:rPr>
              <w:t>1</w:t>
            </w:r>
            <w:r>
              <w:rPr>
                <w:rFonts w:hint="eastAsia"/>
                <w:lang w:val="en-US" w:eastAsia="zh-CN"/>
              </w:rPr>
              <w:t>60</w:t>
            </w:r>
          </w:p>
        </w:tc>
        <w:tc>
          <w:tcPr>
            <w:tcW w:w="1241" w:type="dxa"/>
            <w:noWrap w:val="0"/>
            <w:vAlign w:val="center"/>
          </w:tcPr>
          <w:p>
            <w:pPr>
              <w:jc w:val="center"/>
              <w:rPr>
                <w:rFonts w:hint="eastAsia"/>
              </w:rP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78" w:type="dxa"/>
            <w:noWrap w:val="0"/>
            <w:vAlign w:val="center"/>
          </w:tcPr>
          <w:p>
            <w:pPr>
              <w:jc w:val="center"/>
              <w:rPr>
                <w:rFonts w:hint="eastAsia"/>
              </w:rPr>
            </w:pPr>
            <w:r>
              <w:rPr>
                <w:rFonts w:hint="eastAsia"/>
              </w:rPr>
              <w:t>2</w:t>
            </w:r>
          </w:p>
        </w:tc>
        <w:tc>
          <w:tcPr>
            <w:tcW w:w="1248" w:type="dxa"/>
            <w:noWrap w:val="0"/>
            <w:vAlign w:val="center"/>
          </w:tcPr>
          <w:p>
            <w:pPr>
              <w:jc w:val="center"/>
              <w:rPr>
                <w:rFonts w:hint="eastAsia"/>
              </w:rPr>
            </w:pPr>
            <w:r>
              <w:rPr>
                <w:rFonts w:hint="eastAsia"/>
              </w:rPr>
              <w:t>电子班牌</w:t>
            </w:r>
          </w:p>
        </w:tc>
        <w:tc>
          <w:tcPr>
            <w:tcW w:w="5165" w:type="dxa"/>
            <w:noWrap w:val="0"/>
            <w:vAlign w:val="center"/>
          </w:tcPr>
          <w:p>
            <w:pPr>
              <w:jc w:val="left"/>
              <w:rPr>
                <w:rFonts w:hint="eastAsia"/>
              </w:rPr>
            </w:pPr>
            <w:r>
              <w:rPr>
                <w:rFonts w:hint="eastAsia"/>
              </w:rPr>
              <w:t>21.5英寸电容显示屏、</w:t>
            </w:r>
          </w:p>
          <w:p>
            <w:pPr>
              <w:jc w:val="left"/>
              <w:rPr>
                <w:rFonts w:hint="eastAsia"/>
              </w:rPr>
            </w:pPr>
            <w:r>
              <w:rPr>
                <w:rFonts w:hint="eastAsia"/>
              </w:rPr>
              <w:t>人脸识别、信息发布</w:t>
            </w:r>
          </w:p>
        </w:tc>
        <w:tc>
          <w:tcPr>
            <w:tcW w:w="926" w:type="dxa"/>
            <w:noWrap w:val="0"/>
            <w:vAlign w:val="center"/>
          </w:tcPr>
          <w:p>
            <w:pPr>
              <w:jc w:val="center"/>
              <w:rPr>
                <w:rFonts w:hint="default" w:eastAsia="宋体"/>
                <w:lang w:val="en-US" w:eastAsia="zh-CN"/>
              </w:rPr>
            </w:pPr>
            <w:r>
              <w:rPr>
                <w:rFonts w:hint="eastAsia"/>
              </w:rPr>
              <w:t>1</w:t>
            </w:r>
            <w:r>
              <w:rPr>
                <w:rFonts w:hint="eastAsia"/>
                <w:lang w:val="en-US" w:eastAsia="zh-CN"/>
              </w:rPr>
              <w:t>60</w:t>
            </w:r>
          </w:p>
        </w:tc>
        <w:tc>
          <w:tcPr>
            <w:tcW w:w="1241" w:type="dxa"/>
            <w:noWrap w:val="0"/>
            <w:vAlign w:val="center"/>
          </w:tcPr>
          <w:p>
            <w:pPr>
              <w:jc w:val="center"/>
              <w:rPr>
                <w:rFonts w:hint="eastAsia"/>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78" w:type="dxa"/>
            <w:noWrap w:val="0"/>
            <w:vAlign w:val="center"/>
          </w:tcPr>
          <w:p>
            <w:pPr>
              <w:jc w:val="center"/>
              <w:rPr>
                <w:rFonts w:hint="eastAsia"/>
              </w:rPr>
            </w:pPr>
            <w:r>
              <w:rPr>
                <w:rFonts w:hint="eastAsia"/>
              </w:rPr>
              <w:t>3</w:t>
            </w:r>
          </w:p>
        </w:tc>
        <w:tc>
          <w:tcPr>
            <w:tcW w:w="1248" w:type="dxa"/>
            <w:noWrap w:val="0"/>
            <w:vAlign w:val="center"/>
          </w:tcPr>
          <w:p>
            <w:pPr>
              <w:jc w:val="center"/>
              <w:rPr>
                <w:rFonts w:hint="eastAsia" w:eastAsia="宋体"/>
                <w:lang w:val="en-US" w:eastAsia="zh-CN"/>
              </w:rPr>
            </w:pPr>
            <w:r>
              <w:rPr>
                <w:rFonts w:hint="eastAsia"/>
              </w:rPr>
              <w:t>智能讲台</w:t>
            </w:r>
          </w:p>
        </w:tc>
        <w:tc>
          <w:tcPr>
            <w:tcW w:w="5165" w:type="dxa"/>
            <w:noWrap w:val="0"/>
            <w:vAlign w:val="center"/>
          </w:tcPr>
          <w:p>
            <w:pPr>
              <w:jc w:val="left"/>
              <w:rPr>
                <w:rFonts w:hint="eastAsia"/>
              </w:rPr>
            </w:pPr>
            <w:r>
              <w:rPr>
                <w:rFonts w:hint="eastAsia"/>
              </w:rPr>
              <w:t>21.5英寸电容触摸屏幕、同屏控制</w:t>
            </w:r>
          </w:p>
        </w:tc>
        <w:tc>
          <w:tcPr>
            <w:tcW w:w="926" w:type="dxa"/>
            <w:noWrap w:val="0"/>
            <w:vAlign w:val="center"/>
          </w:tcPr>
          <w:p>
            <w:pPr>
              <w:jc w:val="center"/>
              <w:rPr>
                <w:rFonts w:hint="default" w:eastAsia="宋体"/>
                <w:lang w:val="en-US" w:eastAsia="zh-CN"/>
              </w:rPr>
            </w:pPr>
            <w:r>
              <w:rPr>
                <w:rFonts w:hint="eastAsia"/>
              </w:rPr>
              <w:t>1</w:t>
            </w:r>
            <w:r>
              <w:rPr>
                <w:rFonts w:hint="eastAsia"/>
                <w:lang w:val="en-US" w:eastAsia="zh-CN"/>
              </w:rPr>
              <w:t>60</w:t>
            </w:r>
          </w:p>
        </w:tc>
        <w:tc>
          <w:tcPr>
            <w:tcW w:w="1241" w:type="dxa"/>
            <w:noWrap w:val="0"/>
            <w:vAlign w:val="center"/>
          </w:tcPr>
          <w:p>
            <w:pPr>
              <w:jc w:val="center"/>
              <w:rPr>
                <w:rFonts w:hint="eastAsia"/>
              </w:rP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78" w:type="dxa"/>
            <w:noWrap w:val="0"/>
            <w:vAlign w:val="center"/>
          </w:tcPr>
          <w:p>
            <w:pPr>
              <w:jc w:val="center"/>
              <w:rPr>
                <w:rFonts w:hint="eastAsia"/>
              </w:rPr>
            </w:pPr>
            <w:r>
              <w:rPr>
                <w:rFonts w:hint="eastAsia"/>
              </w:rPr>
              <w:t>4</w:t>
            </w:r>
          </w:p>
        </w:tc>
        <w:tc>
          <w:tcPr>
            <w:tcW w:w="1248" w:type="dxa"/>
            <w:noWrap w:val="0"/>
            <w:vAlign w:val="center"/>
          </w:tcPr>
          <w:p>
            <w:pPr>
              <w:jc w:val="center"/>
              <w:rPr>
                <w:rFonts w:hint="eastAsia"/>
                <w:color w:val="auto"/>
              </w:rPr>
            </w:pPr>
            <w:r>
              <w:rPr>
                <w:rFonts w:hint="eastAsia"/>
                <w:color w:val="auto"/>
              </w:rPr>
              <w:t>扩声音箱</w:t>
            </w:r>
          </w:p>
        </w:tc>
        <w:tc>
          <w:tcPr>
            <w:tcW w:w="5165" w:type="dxa"/>
            <w:noWrap w:val="0"/>
            <w:vAlign w:val="center"/>
          </w:tcPr>
          <w:p>
            <w:pPr>
              <w:jc w:val="left"/>
              <w:rPr>
                <w:rFonts w:hint="eastAsia"/>
                <w:color w:val="auto"/>
              </w:rPr>
            </w:pPr>
            <w:r>
              <w:rPr>
                <w:rFonts w:hint="eastAsia"/>
                <w:color w:val="auto"/>
              </w:rPr>
              <w:t>50W扩声音箱</w:t>
            </w:r>
          </w:p>
        </w:tc>
        <w:tc>
          <w:tcPr>
            <w:tcW w:w="926" w:type="dxa"/>
            <w:noWrap w:val="0"/>
            <w:vAlign w:val="center"/>
          </w:tcPr>
          <w:p>
            <w:pPr>
              <w:jc w:val="center"/>
              <w:rPr>
                <w:rFonts w:hint="default" w:eastAsia="宋体"/>
                <w:color w:val="auto"/>
                <w:lang w:val="en-US" w:eastAsia="zh-CN"/>
              </w:rPr>
            </w:pPr>
            <w:r>
              <w:rPr>
                <w:rFonts w:hint="eastAsia"/>
                <w:color w:val="auto"/>
              </w:rPr>
              <w:t>1</w:t>
            </w:r>
            <w:r>
              <w:rPr>
                <w:rFonts w:hint="eastAsia"/>
                <w:color w:val="auto"/>
                <w:lang w:val="en-US" w:eastAsia="zh-CN"/>
              </w:rPr>
              <w:t>60</w:t>
            </w:r>
          </w:p>
        </w:tc>
        <w:tc>
          <w:tcPr>
            <w:tcW w:w="1241" w:type="dxa"/>
            <w:noWrap w:val="0"/>
            <w:vAlign w:val="center"/>
          </w:tcPr>
          <w:p>
            <w:pPr>
              <w:jc w:val="center"/>
              <w:rPr>
                <w:rFonts w:hint="eastAsia"/>
                <w:color w:val="auto"/>
              </w:rPr>
            </w:pPr>
            <w:r>
              <w:rPr>
                <w:rFonts w:hint="eastAsia"/>
                <w:color w:val="auto"/>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78" w:type="dxa"/>
            <w:noWrap w:val="0"/>
            <w:vAlign w:val="center"/>
          </w:tcPr>
          <w:p>
            <w:pPr>
              <w:jc w:val="center"/>
              <w:rPr>
                <w:rFonts w:hint="eastAsia"/>
              </w:rPr>
            </w:pPr>
            <w:r>
              <w:rPr>
                <w:rFonts w:hint="eastAsia"/>
              </w:rPr>
              <w:t>5</w:t>
            </w:r>
          </w:p>
        </w:tc>
        <w:tc>
          <w:tcPr>
            <w:tcW w:w="1248" w:type="dxa"/>
            <w:noWrap w:val="0"/>
            <w:vAlign w:val="center"/>
          </w:tcPr>
          <w:p>
            <w:pPr>
              <w:jc w:val="center"/>
              <w:rPr>
                <w:rFonts w:hint="eastAsia"/>
                <w:color w:val="auto"/>
              </w:rPr>
            </w:pPr>
            <w:r>
              <w:rPr>
                <w:rFonts w:hint="eastAsia"/>
                <w:color w:val="auto"/>
              </w:rPr>
              <w:t>数字阵列麦克风</w:t>
            </w:r>
          </w:p>
        </w:tc>
        <w:tc>
          <w:tcPr>
            <w:tcW w:w="5165" w:type="dxa"/>
            <w:noWrap w:val="0"/>
            <w:vAlign w:val="center"/>
          </w:tcPr>
          <w:p>
            <w:pPr>
              <w:jc w:val="left"/>
              <w:rPr>
                <w:rFonts w:hint="eastAsia"/>
                <w:color w:val="auto"/>
              </w:rPr>
            </w:pPr>
            <w:r>
              <w:rPr>
                <w:rFonts w:hint="eastAsia"/>
                <w:color w:val="auto"/>
              </w:rPr>
              <w:t>全向阵列麦克风</w:t>
            </w:r>
          </w:p>
        </w:tc>
        <w:tc>
          <w:tcPr>
            <w:tcW w:w="926" w:type="dxa"/>
            <w:noWrap w:val="0"/>
            <w:vAlign w:val="center"/>
          </w:tcPr>
          <w:p>
            <w:pPr>
              <w:jc w:val="center"/>
              <w:rPr>
                <w:rFonts w:hint="default" w:eastAsia="宋体"/>
                <w:color w:val="auto"/>
                <w:lang w:val="en-US" w:eastAsia="zh-CN"/>
              </w:rPr>
            </w:pPr>
            <w:r>
              <w:rPr>
                <w:rFonts w:hint="eastAsia"/>
                <w:color w:val="auto"/>
              </w:rPr>
              <w:t>1</w:t>
            </w:r>
            <w:r>
              <w:rPr>
                <w:rFonts w:hint="eastAsia"/>
                <w:color w:val="auto"/>
                <w:lang w:val="en-US" w:eastAsia="zh-CN"/>
              </w:rPr>
              <w:t>60</w:t>
            </w:r>
          </w:p>
        </w:tc>
        <w:tc>
          <w:tcPr>
            <w:tcW w:w="1241" w:type="dxa"/>
            <w:noWrap w:val="0"/>
            <w:vAlign w:val="center"/>
          </w:tcPr>
          <w:p>
            <w:pPr>
              <w:jc w:val="center"/>
              <w:rPr>
                <w:rFonts w:hint="eastAsia"/>
                <w:color w:val="auto"/>
              </w:rPr>
            </w:pP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78" w:type="dxa"/>
            <w:noWrap w:val="0"/>
            <w:vAlign w:val="center"/>
          </w:tcPr>
          <w:p>
            <w:pPr>
              <w:jc w:val="center"/>
              <w:rPr>
                <w:rFonts w:hint="default" w:eastAsia="宋体"/>
                <w:color w:val="auto"/>
                <w:lang w:val="en-US" w:eastAsia="zh-CN"/>
              </w:rPr>
            </w:pPr>
            <w:r>
              <w:rPr>
                <w:rFonts w:hint="eastAsia"/>
                <w:color w:val="auto"/>
                <w:lang w:val="en-US" w:eastAsia="zh-CN"/>
              </w:rPr>
              <w:t>6</w:t>
            </w:r>
          </w:p>
        </w:tc>
        <w:tc>
          <w:tcPr>
            <w:tcW w:w="1248" w:type="dxa"/>
            <w:noWrap w:val="0"/>
            <w:vAlign w:val="center"/>
          </w:tcPr>
          <w:p>
            <w:pPr>
              <w:jc w:val="center"/>
              <w:rPr>
                <w:rFonts w:hint="eastAsia"/>
                <w:color w:val="auto"/>
              </w:rPr>
            </w:pPr>
            <w:r>
              <w:rPr>
                <w:rFonts w:ascii="宋体" w:hAnsi="宋体" w:eastAsia="宋体" w:cs="宋体"/>
                <w:color w:val="auto"/>
                <w:sz w:val="24"/>
                <w:szCs w:val="24"/>
              </w:rPr>
              <w:t>教师两人组合办公桌</w:t>
            </w:r>
          </w:p>
        </w:tc>
        <w:tc>
          <w:tcPr>
            <w:tcW w:w="5165" w:type="dxa"/>
            <w:noWrap w:val="0"/>
            <w:vAlign w:val="center"/>
          </w:tcPr>
          <w:p>
            <w:pPr>
              <w:widowControl/>
              <w:jc w:val="left"/>
              <w:textAlignment w:val="center"/>
              <w:rPr>
                <w:rFonts w:hint="eastAsia" w:eastAsia="宋体"/>
                <w:color w:val="auto"/>
                <w:lang w:eastAsia="zh-CN"/>
              </w:rPr>
            </w:pPr>
            <w:r>
              <w:rPr>
                <w:rFonts w:hint="eastAsia" w:ascii="宋体" w:hAnsi="宋体" w:cs="宋体"/>
                <w:color w:val="auto"/>
                <w:kern w:val="0"/>
                <w:szCs w:val="21"/>
                <w:lang w:bidi="ar"/>
              </w:rPr>
              <w:t>规格</w:t>
            </w:r>
            <w:r>
              <w:rPr>
                <w:rFonts w:ascii="宋体" w:hAnsi="宋体" w:eastAsia="宋体" w:cs="宋体"/>
                <w:color w:val="auto"/>
                <w:sz w:val="24"/>
                <w:szCs w:val="24"/>
              </w:rPr>
              <w:t>尺寸:1400*1400*760mm</w:t>
            </w:r>
          </w:p>
        </w:tc>
        <w:tc>
          <w:tcPr>
            <w:tcW w:w="926" w:type="dxa"/>
            <w:noWrap w:val="0"/>
            <w:vAlign w:val="center"/>
          </w:tcPr>
          <w:p>
            <w:pPr>
              <w:jc w:val="center"/>
              <w:rPr>
                <w:rFonts w:hint="eastAsia" w:eastAsia="宋体"/>
                <w:color w:val="auto"/>
                <w:lang w:val="en-US" w:eastAsia="zh-CN"/>
              </w:rPr>
            </w:pPr>
            <w:r>
              <w:rPr>
                <w:rFonts w:hint="default"/>
                <w:color w:val="auto"/>
                <w:lang w:eastAsia="zh-CN"/>
              </w:rPr>
              <w:t>50</w:t>
            </w:r>
          </w:p>
        </w:tc>
        <w:tc>
          <w:tcPr>
            <w:tcW w:w="1241" w:type="dxa"/>
            <w:noWrap w:val="0"/>
            <w:vAlign w:val="center"/>
          </w:tcPr>
          <w:p>
            <w:pPr>
              <w:jc w:val="center"/>
              <w:rPr>
                <w:rFonts w:hint="eastAsia"/>
                <w:color w:val="auto"/>
              </w:rPr>
            </w:pPr>
            <w:r>
              <w:rPr>
                <w:rFonts w:hint="default"/>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78" w:type="dxa"/>
            <w:noWrap w:val="0"/>
            <w:vAlign w:val="center"/>
          </w:tcPr>
          <w:p>
            <w:pPr>
              <w:jc w:val="center"/>
              <w:rPr>
                <w:rFonts w:hint="eastAsia"/>
                <w:color w:val="auto"/>
                <w:lang w:val="en-US" w:eastAsia="zh-CN"/>
              </w:rPr>
            </w:pPr>
            <w:r>
              <w:rPr>
                <w:rFonts w:hint="eastAsia"/>
                <w:color w:val="auto"/>
                <w:lang w:val="en-US" w:eastAsia="zh-CN"/>
              </w:rPr>
              <w:t>7</w:t>
            </w:r>
          </w:p>
        </w:tc>
        <w:tc>
          <w:tcPr>
            <w:tcW w:w="1248" w:type="dxa"/>
            <w:noWrap w:val="0"/>
            <w:vAlign w:val="center"/>
          </w:tcPr>
          <w:p>
            <w:pPr>
              <w:ind w:left="0" w:leftChars="0" w:firstLine="0" w:firstLineChars="0"/>
              <w:jc w:val="center"/>
              <w:rPr>
                <w:rFonts w:hint="eastAsia"/>
                <w:color w:val="auto"/>
                <w:vertAlign w:val="baseline"/>
                <w:lang w:val="en-US" w:eastAsia="zh-CN"/>
              </w:rPr>
            </w:pPr>
            <w:r>
              <w:rPr>
                <w:rFonts w:ascii="宋体" w:hAnsi="宋体" w:eastAsia="宋体" w:cs="宋体"/>
                <w:color w:val="auto"/>
                <w:sz w:val="24"/>
                <w:szCs w:val="24"/>
              </w:rPr>
              <w:t>培训桌椅</w:t>
            </w:r>
          </w:p>
        </w:tc>
        <w:tc>
          <w:tcPr>
            <w:tcW w:w="5165" w:type="dxa"/>
            <w:noWrap w:val="0"/>
            <w:vAlign w:val="center"/>
          </w:tcPr>
          <w:p>
            <w:pPr>
              <w:widowControl/>
              <w:ind w:left="0" w:leftChars="0" w:firstLine="0" w:firstLineChars="0"/>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规格</w:t>
            </w:r>
            <w:r>
              <w:rPr>
                <w:rFonts w:ascii="宋体" w:hAnsi="宋体" w:eastAsia="宋体" w:cs="宋体"/>
                <w:color w:val="auto"/>
                <w:sz w:val="24"/>
                <w:szCs w:val="24"/>
              </w:rPr>
              <w:t>尺寸:510*560*860mm</w:t>
            </w:r>
          </w:p>
        </w:tc>
        <w:tc>
          <w:tcPr>
            <w:tcW w:w="926" w:type="dxa"/>
            <w:noWrap w:val="0"/>
            <w:vAlign w:val="center"/>
          </w:tcPr>
          <w:p>
            <w:pPr>
              <w:ind w:left="0" w:leftChars="0" w:firstLine="0" w:firstLineChars="0"/>
              <w:jc w:val="center"/>
              <w:rPr>
                <w:rFonts w:hint="eastAsia"/>
                <w:color w:val="auto"/>
                <w:lang w:val="en-US" w:eastAsia="zh-CN"/>
              </w:rPr>
            </w:pPr>
            <w:r>
              <w:rPr>
                <w:rFonts w:hint="default"/>
                <w:color w:val="auto"/>
                <w:lang w:eastAsia="zh-CN"/>
              </w:rPr>
              <w:t>46</w:t>
            </w:r>
          </w:p>
        </w:tc>
        <w:tc>
          <w:tcPr>
            <w:tcW w:w="1241" w:type="dxa"/>
            <w:noWrap w:val="0"/>
            <w:vAlign w:val="center"/>
          </w:tcPr>
          <w:p>
            <w:pPr>
              <w:ind w:left="0" w:leftChars="0" w:firstLine="0" w:firstLineChars="0"/>
              <w:jc w:val="center"/>
              <w:rPr>
                <w:rFonts w:hint="eastAsia"/>
                <w:color w:val="auto"/>
              </w:rPr>
            </w:pPr>
            <w:r>
              <w:rPr>
                <w:rFonts w:hint="default"/>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78" w:type="dxa"/>
            <w:noWrap w:val="0"/>
            <w:vAlign w:val="center"/>
          </w:tcPr>
          <w:p>
            <w:pPr>
              <w:jc w:val="center"/>
              <w:rPr>
                <w:rFonts w:hint="default"/>
                <w:color w:val="auto"/>
                <w:lang w:val="en-US" w:eastAsia="zh-CN"/>
              </w:rPr>
            </w:pPr>
            <w:r>
              <w:rPr>
                <w:rFonts w:hint="eastAsia"/>
                <w:color w:val="auto"/>
                <w:lang w:val="en-US" w:eastAsia="zh-CN"/>
              </w:rPr>
              <w:t>8</w:t>
            </w:r>
          </w:p>
        </w:tc>
        <w:tc>
          <w:tcPr>
            <w:tcW w:w="1248" w:type="dxa"/>
            <w:noWrap w:val="0"/>
            <w:vAlign w:val="center"/>
          </w:tcPr>
          <w:p>
            <w:pPr>
              <w:jc w:val="center"/>
              <w:rPr>
                <w:rFonts w:hint="default"/>
                <w:color w:val="auto"/>
                <w:lang w:val="en-US" w:eastAsia="zh-CN"/>
              </w:rPr>
            </w:pPr>
            <w:r>
              <w:rPr>
                <w:rFonts w:hint="eastAsia"/>
                <w:color w:val="auto"/>
                <w:lang w:val="en-US" w:eastAsia="zh-CN"/>
              </w:rPr>
              <w:t>数据采集监测系统</w:t>
            </w:r>
          </w:p>
        </w:tc>
        <w:tc>
          <w:tcPr>
            <w:tcW w:w="5165" w:type="dxa"/>
            <w:noWrap w:val="0"/>
            <w:vAlign w:val="center"/>
          </w:tcPr>
          <w:p>
            <w:pPr>
              <w:jc w:val="left"/>
              <w:rPr>
                <w:rFonts w:hint="eastAsia"/>
                <w:color w:val="auto"/>
              </w:rPr>
            </w:pPr>
            <w:r>
              <w:rPr>
                <w:rFonts w:hint="eastAsia"/>
                <w:color w:val="auto"/>
                <w:lang w:val="en-US" w:eastAsia="zh-CN"/>
              </w:rPr>
              <w:t>打通教学数据与智慧校园数据中心，并进行数据监测和评估，满足国家职教大脑数据的对接和上报。</w:t>
            </w:r>
          </w:p>
        </w:tc>
        <w:tc>
          <w:tcPr>
            <w:tcW w:w="926" w:type="dxa"/>
            <w:noWrap w:val="0"/>
            <w:vAlign w:val="center"/>
          </w:tcPr>
          <w:p>
            <w:pPr>
              <w:ind w:left="0" w:leftChars="0"/>
              <w:jc w:val="center"/>
              <w:rPr>
                <w:rFonts w:hint="default"/>
                <w:color w:val="auto"/>
                <w:vertAlign w:val="baseline"/>
                <w:lang w:val="en-US" w:eastAsia="zh-CN"/>
              </w:rPr>
            </w:pPr>
            <w:r>
              <w:rPr>
                <w:rFonts w:hint="eastAsia"/>
                <w:color w:val="auto"/>
                <w:vertAlign w:val="baseline"/>
                <w:lang w:val="en-US" w:eastAsia="zh-CN"/>
              </w:rPr>
              <w:t>1</w:t>
            </w:r>
          </w:p>
        </w:tc>
        <w:tc>
          <w:tcPr>
            <w:tcW w:w="1241" w:type="dxa"/>
            <w:noWrap w:val="0"/>
            <w:vAlign w:val="center"/>
          </w:tcPr>
          <w:p>
            <w:pPr>
              <w:ind w:left="0" w:leftChars="0"/>
              <w:jc w:val="center"/>
              <w:rPr>
                <w:rFonts w:hint="default"/>
                <w:color w:val="auto"/>
                <w:vertAlign w:val="baseline"/>
                <w:lang w:val="en-US" w:eastAsia="zh-CN"/>
              </w:rPr>
            </w:pPr>
            <w:r>
              <w:rPr>
                <w:rFonts w:hint="eastAsia"/>
                <w:color w:val="auto"/>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78" w:type="dxa"/>
            <w:noWrap w:val="0"/>
            <w:vAlign w:val="center"/>
          </w:tcPr>
          <w:p>
            <w:pPr>
              <w:jc w:val="center"/>
              <w:rPr>
                <w:rFonts w:hint="default"/>
                <w:color w:val="auto"/>
                <w:lang w:val="en-US" w:eastAsia="zh-CN"/>
              </w:rPr>
            </w:pPr>
            <w:r>
              <w:rPr>
                <w:rFonts w:hint="eastAsia"/>
                <w:color w:val="auto"/>
                <w:lang w:val="en-US" w:eastAsia="zh-CN"/>
              </w:rPr>
              <w:t>9</w:t>
            </w:r>
          </w:p>
        </w:tc>
        <w:tc>
          <w:tcPr>
            <w:tcW w:w="124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网络、平台调试设备</w:t>
            </w:r>
          </w:p>
        </w:tc>
        <w:tc>
          <w:tcPr>
            <w:tcW w:w="5165" w:type="dxa"/>
            <w:noWrap w:val="0"/>
            <w:vAlign w:val="center"/>
          </w:tcPr>
          <w:p>
            <w:pPr>
              <w:numPr>
                <w:ilvl w:val="0"/>
                <w:numId w:val="0"/>
              </w:numPr>
              <w:jc w:val="both"/>
              <w:rPr>
                <w:rFonts w:hint="eastAsia"/>
                <w:color w:val="auto"/>
              </w:rPr>
            </w:pPr>
            <w:r>
              <w:rPr>
                <w:rFonts w:hint="eastAsia" w:ascii="宋体" w:hAnsi="宋体" w:eastAsia="宋体" w:cs="宋体"/>
                <w:color w:val="auto"/>
                <w:sz w:val="20"/>
                <w:szCs w:val="20"/>
                <w:u w:val="none"/>
                <w:lang w:val="en-US" w:eastAsia="zh-CN"/>
              </w:rPr>
              <w:t>CPU Intel 酷睿 Ultra 5 125H ，最高睿频4.5GHz运行流畅 核心/线程数14核心/18线程；内存容量≥16GB；硬盘SSD固态≥512GB；屏幕尺寸≥14.5英寸</w:t>
            </w:r>
          </w:p>
        </w:tc>
        <w:tc>
          <w:tcPr>
            <w:tcW w:w="926" w:type="dxa"/>
            <w:noWrap w:val="0"/>
            <w:vAlign w:val="center"/>
          </w:tcPr>
          <w:p>
            <w:pPr>
              <w:ind w:left="0" w:leftChars="0"/>
              <w:jc w:val="center"/>
              <w:rPr>
                <w:rFonts w:hint="default"/>
                <w:color w:val="auto"/>
                <w:vertAlign w:val="baseline"/>
                <w:lang w:val="en-US" w:eastAsia="zh-CN"/>
              </w:rPr>
            </w:pPr>
            <w:r>
              <w:rPr>
                <w:rFonts w:hint="eastAsia"/>
                <w:color w:val="auto"/>
                <w:vertAlign w:val="baseline"/>
                <w:lang w:val="en-US" w:eastAsia="zh-CN"/>
              </w:rPr>
              <w:t>1</w:t>
            </w:r>
          </w:p>
        </w:tc>
        <w:tc>
          <w:tcPr>
            <w:tcW w:w="1241" w:type="dxa"/>
            <w:noWrap w:val="0"/>
            <w:vAlign w:val="center"/>
          </w:tcPr>
          <w:p>
            <w:pPr>
              <w:ind w:left="0" w:leftChars="0"/>
              <w:jc w:val="center"/>
              <w:rPr>
                <w:rFonts w:hint="default"/>
                <w:color w:val="auto"/>
                <w:vertAlign w:val="baseline"/>
                <w:lang w:val="en-US" w:eastAsia="zh-CN"/>
              </w:rPr>
            </w:pPr>
            <w:r>
              <w:rPr>
                <w:rFonts w:hint="eastAsia"/>
                <w:color w:val="auto"/>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78" w:type="dxa"/>
            <w:noWrap w:val="0"/>
            <w:vAlign w:val="center"/>
          </w:tcPr>
          <w:p>
            <w:pPr>
              <w:jc w:val="center"/>
              <w:rPr>
                <w:rFonts w:hint="default"/>
                <w:color w:val="auto"/>
                <w:lang w:val="en-US" w:eastAsia="zh-CN"/>
              </w:rPr>
            </w:pPr>
            <w:r>
              <w:rPr>
                <w:rFonts w:hint="eastAsia"/>
                <w:color w:val="auto"/>
                <w:lang w:val="en-US" w:eastAsia="zh-CN"/>
              </w:rPr>
              <w:t>10</w:t>
            </w:r>
          </w:p>
        </w:tc>
        <w:tc>
          <w:tcPr>
            <w:tcW w:w="1248" w:type="dxa"/>
            <w:noWrap w:val="0"/>
            <w:vAlign w:val="center"/>
          </w:tcPr>
          <w:p>
            <w:pPr>
              <w:ind w:left="0" w:leftChars="0"/>
              <w:jc w:val="both"/>
              <w:rPr>
                <w:rFonts w:hint="eastAsia"/>
                <w:color w:val="auto"/>
                <w:vertAlign w:val="baseline"/>
                <w:lang w:val="en-US" w:eastAsia="zh-CN"/>
              </w:rPr>
            </w:pPr>
            <w:r>
              <w:rPr>
                <w:rFonts w:hint="eastAsia"/>
                <w:color w:val="auto"/>
                <w:vertAlign w:val="baseline"/>
                <w:lang w:val="en-US" w:eastAsia="zh-CN"/>
              </w:rPr>
              <w:t>数据报表专用打印机</w:t>
            </w:r>
          </w:p>
        </w:tc>
        <w:tc>
          <w:tcPr>
            <w:tcW w:w="5165" w:type="dxa"/>
            <w:noWrap w:val="0"/>
            <w:vAlign w:val="center"/>
          </w:tcPr>
          <w:p>
            <w:pPr>
              <w:ind w:left="0" w:leftChars="0"/>
              <w:jc w:val="left"/>
              <w:rPr>
                <w:rFonts w:hint="eastAsia"/>
                <w:color w:val="auto"/>
              </w:rPr>
            </w:pPr>
            <w:r>
              <w:rPr>
                <w:rFonts w:hint="eastAsia"/>
                <w:color w:val="auto"/>
              </w:rPr>
              <w:t>A3黑白数码多功能一体机，打印/复印/扫描；.支持自动双面打印</w:t>
            </w:r>
            <w:r>
              <w:rPr>
                <w:rFonts w:hint="eastAsia"/>
                <w:color w:val="auto"/>
                <w:lang w:eastAsia="zh-CN"/>
              </w:rPr>
              <w:t>；</w:t>
            </w:r>
            <w:r>
              <w:rPr>
                <w:rFonts w:hint="eastAsia"/>
                <w:color w:val="auto"/>
              </w:rPr>
              <w:t>平板扫描</w:t>
            </w:r>
          </w:p>
        </w:tc>
        <w:tc>
          <w:tcPr>
            <w:tcW w:w="926" w:type="dxa"/>
            <w:noWrap w:val="0"/>
            <w:vAlign w:val="center"/>
          </w:tcPr>
          <w:p>
            <w:pPr>
              <w:ind w:left="0" w:leftChars="0"/>
              <w:jc w:val="center"/>
              <w:rPr>
                <w:rFonts w:hint="eastAsia" w:ascii="Calibri" w:hAnsi="Calibri" w:eastAsia="宋体" w:cs="Times New Roman"/>
                <w:color w:val="auto"/>
                <w:kern w:val="2"/>
                <w:sz w:val="21"/>
                <w:szCs w:val="22"/>
                <w:vertAlign w:val="baseline"/>
                <w:lang w:val="en-US" w:eastAsia="zh-CN" w:bidi="ar-SA"/>
              </w:rPr>
            </w:pPr>
            <w:r>
              <w:rPr>
                <w:rFonts w:hint="eastAsia"/>
                <w:color w:val="auto"/>
                <w:vertAlign w:val="baseline"/>
                <w:lang w:val="en-US" w:eastAsia="zh-CN"/>
              </w:rPr>
              <w:t>1</w:t>
            </w:r>
          </w:p>
        </w:tc>
        <w:tc>
          <w:tcPr>
            <w:tcW w:w="1241" w:type="dxa"/>
            <w:noWrap w:val="0"/>
            <w:vAlign w:val="center"/>
          </w:tcPr>
          <w:p>
            <w:pPr>
              <w:ind w:left="0" w:leftChars="0"/>
              <w:jc w:val="center"/>
              <w:rPr>
                <w:rFonts w:hint="eastAsia" w:ascii="Calibri" w:hAnsi="Calibri" w:eastAsia="宋体" w:cs="Times New Roman"/>
                <w:color w:val="auto"/>
                <w:kern w:val="2"/>
                <w:sz w:val="21"/>
                <w:szCs w:val="22"/>
                <w:vertAlign w:val="baseline"/>
                <w:lang w:val="en-US" w:eastAsia="zh-CN" w:bidi="ar-SA"/>
              </w:rPr>
            </w:pPr>
            <w:r>
              <w:rPr>
                <w:rFonts w:hint="eastAsia"/>
                <w:color w:val="auto"/>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78" w:type="dxa"/>
            <w:noWrap w:val="0"/>
            <w:vAlign w:val="center"/>
          </w:tcPr>
          <w:p>
            <w:pPr>
              <w:jc w:val="center"/>
              <w:rPr>
                <w:rFonts w:hint="default"/>
                <w:lang w:val="en-US" w:eastAsia="zh-CN"/>
              </w:rPr>
            </w:pPr>
            <w:r>
              <w:rPr>
                <w:rFonts w:hint="eastAsia"/>
                <w:lang w:val="en-US" w:eastAsia="zh-CN"/>
              </w:rPr>
              <w:t>11</w:t>
            </w:r>
          </w:p>
        </w:tc>
        <w:tc>
          <w:tcPr>
            <w:tcW w:w="1248" w:type="dxa"/>
            <w:noWrap w:val="0"/>
            <w:vAlign w:val="center"/>
          </w:tcPr>
          <w:p>
            <w:pPr>
              <w:ind w:left="0" w:leftChars="0"/>
              <w:jc w:val="center"/>
              <w:rPr>
                <w:rFonts w:hint="default"/>
                <w:vertAlign w:val="baseline"/>
                <w:lang w:val="en-US" w:eastAsia="zh-CN"/>
              </w:rPr>
            </w:pPr>
            <w:r>
              <w:rPr>
                <w:rFonts w:hint="eastAsia"/>
                <w:vertAlign w:val="baseline"/>
                <w:lang w:val="en-US" w:eastAsia="zh-CN"/>
              </w:rPr>
              <w:t>施工安装服务</w:t>
            </w:r>
          </w:p>
        </w:tc>
        <w:tc>
          <w:tcPr>
            <w:tcW w:w="5165" w:type="dxa"/>
            <w:noWrap w:val="0"/>
            <w:vAlign w:val="center"/>
          </w:tcPr>
          <w:p>
            <w:pPr>
              <w:ind w:left="0" w:leftChars="0"/>
              <w:jc w:val="left"/>
              <w:rPr>
                <w:rFonts w:hint="default" w:eastAsia="宋体"/>
                <w:vertAlign w:val="baseline"/>
                <w:lang w:val="en-US" w:eastAsia="zh-CN"/>
              </w:rPr>
            </w:pPr>
            <w:r>
              <w:rPr>
                <w:rFonts w:hint="eastAsia"/>
              </w:rPr>
              <w:t>包含</w:t>
            </w:r>
            <w:r>
              <w:rPr>
                <w:rFonts w:hint="eastAsia"/>
                <w:lang w:val="en-US" w:eastAsia="zh-CN"/>
              </w:rPr>
              <w:t>160间</w:t>
            </w:r>
            <w:r>
              <w:rPr>
                <w:rFonts w:hint="eastAsia"/>
              </w:rPr>
              <w:t>专网架设、集控管理</w:t>
            </w:r>
            <w:r>
              <w:rPr>
                <w:rFonts w:hint="eastAsia"/>
                <w:lang w:val="en-US" w:eastAsia="zh-CN"/>
              </w:rPr>
              <w:t>平台</w:t>
            </w:r>
            <w:r>
              <w:rPr>
                <w:rFonts w:hint="eastAsia"/>
              </w:rPr>
              <w:t>、施工安装</w:t>
            </w:r>
            <w:r>
              <w:rPr>
                <w:rFonts w:hint="eastAsia"/>
                <w:lang w:eastAsia="zh-CN"/>
              </w:rPr>
              <w:t>（</w:t>
            </w:r>
            <w:r>
              <w:rPr>
                <w:rFonts w:hint="eastAsia"/>
                <w:lang w:val="en-US" w:eastAsia="zh-CN"/>
              </w:rPr>
              <w:t>含辅材</w:t>
            </w:r>
            <w:r>
              <w:rPr>
                <w:rFonts w:hint="eastAsia"/>
                <w:lang w:eastAsia="zh-CN"/>
              </w:rPr>
              <w:t>）</w:t>
            </w:r>
            <w:r>
              <w:rPr>
                <w:rFonts w:hint="eastAsia"/>
                <w:lang w:val="en-US" w:eastAsia="zh-CN"/>
              </w:rPr>
              <w:t>服务等</w:t>
            </w:r>
          </w:p>
        </w:tc>
        <w:tc>
          <w:tcPr>
            <w:tcW w:w="926" w:type="dxa"/>
            <w:noWrap w:val="0"/>
            <w:vAlign w:val="center"/>
          </w:tcPr>
          <w:p>
            <w:pPr>
              <w:ind w:left="0" w:leftChars="0"/>
              <w:jc w:val="center"/>
              <w:rPr>
                <w:rFonts w:hint="default"/>
                <w:vertAlign w:val="baseline"/>
                <w:lang w:val="en-US" w:eastAsia="zh-CN"/>
              </w:rPr>
            </w:pPr>
            <w:r>
              <w:rPr>
                <w:rFonts w:hint="eastAsia"/>
                <w:vertAlign w:val="baseline"/>
                <w:lang w:val="en-US" w:eastAsia="zh-CN"/>
              </w:rPr>
              <w:t>160</w:t>
            </w:r>
          </w:p>
        </w:tc>
        <w:tc>
          <w:tcPr>
            <w:tcW w:w="1241" w:type="dxa"/>
            <w:noWrap w:val="0"/>
            <w:vAlign w:val="center"/>
          </w:tcPr>
          <w:p>
            <w:pPr>
              <w:ind w:left="0" w:leftChars="0"/>
              <w:jc w:val="center"/>
              <w:rPr>
                <w:rFonts w:hint="default"/>
                <w:vertAlign w:val="baseline"/>
                <w:lang w:val="en-US" w:eastAsia="zh-CN"/>
              </w:rPr>
            </w:pPr>
            <w:r>
              <w:rPr>
                <w:rFonts w:hint="eastAsia"/>
                <w:vertAlign w:val="baseline"/>
                <w:lang w:val="en-US" w:eastAsia="zh-CN"/>
              </w:rPr>
              <w:t>间</w:t>
            </w:r>
          </w:p>
        </w:tc>
      </w:tr>
    </w:tbl>
    <w:p>
      <w:pPr>
        <w:rPr>
          <w:rFonts w:hint="eastAsia"/>
        </w:rPr>
      </w:pPr>
    </w:p>
    <w:p>
      <w:pPr>
        <w:pStyle w:val="3"/>
        <w:rPr>
          <w:rFonts w:ascii="宋体" w:hAnsi="宋体" w:eastAsia="宋体" w:cs="Times New Roman"/>
          <w:kern w:val="44"/>
        </w:rPr>
      </w:pPr>
      <w:r>
        <w:rPr>
          <w:rFonts w:hint="eastAsia" w:ascii="宋体" w:hAnsi="宋体" w:eastAsia="宋体" w:cs="Times New Roman"/>
          <w:kern w:val="44"/>
        </w:rPr>
        <w:t>五、设备主要技术参数要求</w:t>
      </w:r>
    </w:p>
    <w:tbl>
      <w:tblPr>
        <w:tblStyle w:val="18"/>
        <w:tblW w:w="10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57"/>
        <w:gridCol w:w="6615"/>
        <w:gridCol w:w="931"/>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top"/>
          </w:tcPr>
          <w:p>
            <w:pPr>
              <w:jc w:val="center"/>
              <w:rPr>
                <w:rFonts w:hint="eastAsia"/>
                <w:color w:val="auto"/>
              </w:rPr>
            </w:pPr>
            <w:r>
              <w:rPr>
                <w:rFonts w:hint="eastAsia"/>
                <w:color w:val="auto"/>
              </w:rPr>
              <w:t>序号</w:t>
            </w:r>
          </w:p>
        </w:tc>
        <w:tc>
          <w:tcPr>
            <w:tcW w:w="1157" w:type="dxa"/>
            <w:noWrap w:val="0"/>
            <w:vAlign w:val="top"/>
          </w:tcPr>
          <w:p>
            <w:pPr>
              <w:jc w:val="center"/>
              <w:rPr>
                <w:rFonts w:hint="eastAsia"/>
                <w:color w:val="auto"/>
              </w:rPr>
            </w:pPr>
            <w:r>
              <w:rPr>
                <w:rFonts w:hint="eastAsia"/>
                <w:color w:val="auto"/>
              </w:rPr>
              <w:t>名称</w:t>
            </w:r>
          </w:p>
        </w:tc>
        <w:tc>
          <w:tcPr>
            <w:tcW w:w="6615" w:type="dxa"/>
            <w:noWrap w:val="0"/>
            <w:vAlign w:val="top"/>
          </w:tcPr>
          <w:p>
            <w:pPr>
              <w:rPr>
                <w:rFonts w:hint="eastAsia"/>
                <w:color w:val="auto"/>
              </w:rPr>
            </w:pPr>
            <w:r>
              <w:rPr>
                <w:rFonts w:hint="eastAsia"/>
                <w:color w:val="auto"/>
              </w:rPr>
              <w:t>规格参数</w:t>
            </w:r>
          </w:p>
        </w:tc>
        <w:tc>
          <w:tcPr>
            <w:tcW w:w="931" w:type="dxa"/>
            <w:noWrap w:val="0"/>
            <w:vAlign w:val="top"/>
          </w:tcPr>
          <w:p>
            <w:pPr>
              <w:jc w:val="center"/>
              <w:rPr>
                <w:rFonts w:hint="eastAsia"/>
                <w:color w:val="auto"/>
              </w:rPr>
            </w:pPr>
            <w:r>
              <w:rPr>
                <w:rFonts w:hint="eastAsia"/>
                <w:color w:val="auto"/>
              </w:rPr>
              <w:t>数量</w:t>
            </w:r>
          </w:p>
        </w:tc>
        <w:tc>
          <w:tcPr>
            <w:tcW w:w="819" w:type="dxa"/>
            <w:noWrap w:val="0"/>
            <w:vAlign w:val="top"/>
          </w:tcPr>
          <w:p>
            <w:pPr>
              <w:jc w:val="center"/>
              <w:rPr>
                <w:rFonts w:hint="eastAsia"/>
                <w:color w:val="auto"/>
              </w:rPr>
            </w:pPr>
            <w:r>
              <w:rPr>
                <w:rFonts w:hint="eastAsia"/>
                <w:color w:val="auto"/>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jc w:val="center"/>
              <w:rPr>
                <w:rFonts w:hint="eastAsia"/>
                <w:color w:val="auto"/>
              </w:rPr>
            </w:pPr>
            <w:r>
              <w:rPr>
                <w:rFonts w:hint="eastAsia"/>
                <w:color w:val="auto"/>
              </w:rPr>
              <w:t>1</w:t>
            </w:r>
          </w:p>
        </w:tc>
        <w:tc>
          <w:tcPr>
            <w:tcW w:w="1157" w:type="dxa"/>
            <w:noWrap w:val="0"/>
            <w:vAlign w:val="center"/>
          </w:tcPr>
          <w:p>
            <w:pPr>
              <w:jc w:val="center"/>
              <w:rPr>
                <w:rFonts w:hint="eastAsia"/>
                <w:color w:val="auto"/>
              </w:rPr>
            </w:pPr>
            <w:r>
              <w:rPr>
                <w:rFonts w:hint="eastAsia"/>
                <w:color w:val="auto"/>
              </w:rPr>
              <w:t>智慧黑板</w:t>
            </w:r>
          </w:p>
        </w:tc>
        <w:tc>
          <w:tcPr>
            <w:tcW w:w="6615" w:type="dxa"/>
            <w:noWrap w:val="0"/>
            <w:vAlign w:val="top"/>
          </w:tcPr>
          <w:p>
            <w:pPr>
              <w:spacing w:line="360" w:lineRule="exact"/>
              <w:rPr>
                <w:rFonts w:ascii="宋体" w:hAnsi="宋体" w:eastAsia="宋体" w:cs="宋体"/>
                <w:b/>
                <w:bCs/>
                <w:color w:val="auto"/>
                <w:szCs w:val="21"/>
              </w:rPr>
            </w:pPr>
            <w:r>
              <w:rPr>
                <w:rFonts w:hint="eastAsia" w:ascii="宋体" w:hAnsi="宋体" w:eastAsia="宋体" w:cs="宋体"/>
                <w:b/>
                <w:bCs/>
                <w:color w:val="auto"/>
                <w:szCs w:val="21"/>
              </w:rPr>
              <w:t>硬件参数：</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 xml:space="preserve">1.整机采用一体化设计，主屏与副屏边框高度、外观一致，可实现整块黑板统一屏幕书写，外部无任何可见内部功能模块的连接线；采用阻燃材质外壳，表面无尖锐边缘或凸起。整机外观尺寸长度≥4200mm，高≥1200mm。 </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rPr>
              <w:t>2.主屏采用电容触摸技术，</w:t>
            </w:r>
            <w:r>
              <w:rPr>
                <w:rFonts w:hint="eastAsia" w:ascii="宋体" w:hAnsi="宋体" w:eastAsia="宋体" w:cs="宋体"/>
                <w:color w:val="auto"/>
                <w:sz w:val="20"/>
                <w:szCs w:val="20"/>
                <w:u w:val="none"/>
                <w:lang w:val="en-US" w:eastAsia="zh-CN"/>
              </w:rPr>
              <w:t>整机接口需包括 Type-c、TOUCH USB ，HDMI IN，不少于 3 路 USB3.0，</w:t>
            </w:r>
            <w:r>
              <w:rPr>
                <w:rFonts w:hint="eastAsia" w:ascii="宋体" w:hAnsi="宋体" w:eastAsia="宋体" w:cs="宋体"/>
                <w:color w:val="auto"/>
                <w:sz w:val="20"/>
                <w:szCs w:val="20"/>
                <w:u w:val="none"/>
              </w:rPr>
              <w:t>需要同时支持安卓和 Windows 双系统，</w:t>
            </w:r>
            <w:r>
              <w:rPr>
                <w:rFonts w:hint="eastAsia" w:ascii="宋体" w:hAnsi="宋体" w:eastAsia="宋体" w:cs="宋体"/>
                <w:color w:val="auto"/>
                <w:sz w:val="20"/>
                <w:szCs w:val="20"/>
                <w:u w:val="single"/>
              </w:rPr>
              <w:t>≥86 英寸液晶屏</w:t>
            </w:r>
            <w:r>
              <w:rPr>
                <w:rFonts w:hint="eastAsia" w:ascii="宋体" w:hAnsi="宋体" w:eastAsia="宋体" w:cs="宋体"/>
                <w:color w:val="auto"/>
                <w:sz w:val="20"/>
                <w:szCs w:val="20"/>
                <w:u w:val="none"/>
              </w:rPr>
              <w:t xml:space="preserve">，4K 分辨率，最大可支持 20 点触控，触控笔接触面积直径≤6mm，触摸响应时间≤10ms，书写精度≤2mm。，采用保护玻璃具备防眩光效果。 </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3. 整机支持壁挂和支架安装方式，黑板挂墙结构具有容错机制，支持左右微调，微调距离±20cm，方便安装调节。</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rPr>
              <w:t>4. 整机具备2.1</w:t>
            </w:r>
            <w:r>
              <w:rPr>
                <w:rFonts w:hint="eastAsia" w:ascii="宋体" w:hAnsi="宋体" w:eastAsia="宋体" w:cs="宋体"/>
                <w:color w:val="auto"/>
                <w:sz w:val="20"/>
                <w:szCs w:val="20"/>
                <w:u w:val="none"/>
                <w:lang w:val="en-US" w:eastAsia="zh-CN"/>
              </w:rPr>
              <w:t>以上</w:t>
            </w:r>
            <w:r>
              <w:rPr>
                <w:rFonts w:hint="eastAsia" w:ascii="宋体" w:hAnsi="宋体" w:eastAsia="宋体" w:cs="宋体"/>
                <w:color w:val="auto"/>
                <w:sz w:val="20"/>
                <w:szCs w:val="20"/>
                <w:u w:val="none"/>
              </w:rPr>
              <w:t>声道音箱，支持单独听功</w:t>
            </w:r>
            <w:r>
              <w:rPr>
                <w:rFonts w:hint="eastAsia" w:ascii="宋体" w:hAnsi="宋体" w:eastAsia="宋体" w:cs="宋体"/>
                <w:color w:val="auto"/>
                <w:sz w:val="20"/>
                <w:szCs w:val="20"/>
                <w:u w:val="none"/>
                <w:lang w:val="en-US" w:eastAsia="zh-CN"/>
              </w:rPr>
              <w:t>能，让声音无阻碍传播，完全覆盖整个教室，无声音盲区，满足每个学生听课需求。</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 xml:space="preserve">5.副屏书写板与主屏屏幕为通体黑色，均采用纯平拼接设计，不积灰，整体外观简洁大方一体化。 </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 xml:space="preserve">6.智慧黑板为方便老师教学书写面积无限扩展，可在显示区域任意位置书写，关闭屏幕的同时，触摸功能也自动关闭，防止误操作。 </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 xml:space="preserve">7.产品具备智能护眼组合功能，可自主选择护眼书写、护眼光控等多种护眼模式,兼顾师生视力保护与使用习惯。 </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 xml:space="preserve">8.隐藏式菜单功能：整机在任意通道下，边栏虚拟设计，可打开批注、运行列表、子菜单等功能。 </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 xml:space="preserve">9.人性化设计：支持 HDMI、window 等信号源模式下，液晶显示屏窗口可通过触摸一键下移，适应不同身高老师的需求。 </w:t>
            </w:r>
          </w:p>
          <w:p>
            <w:pPr>
              <w:jc w:val="both"/>
              <w:rPr>
                <w:rFonts w:hint="eastAsia" w:ascii="宋体" w:hAnsi="宋体" w:eastAsia="宋体" w:cs="宋体"/>
                <w:color w:val="auto"/>
                <w:sz w:val="20"/>
                <w:szCs w:val="20"/>
                <w:u w:val="none"/>
                <w:lang w:eastAsia="zh-CN"/>
              </w:rPr>
            </w:pPr>
            <w:r>
              <w:rPr>
                <w:rFonts w:hint="eastAsia" w:ascii="宋体" w:hAnsi="宋体" w:eastAsia="宋体" w:cs="宋体"/>
                <w:color w:val="auto"/>
                <w:sz w:val="20"/>
                <w:szCs w:val="20"/>
                <w:u w:val="none"/>
              </w:rPr>
              <w:t>10.支持在各信号通道下的批注和保存功能，防止因 windows 电脑故障无法展开教学</w:t>
            </w:r>
            <w:r>
              <w:rPr>
                <w:rFonts w:hint="eastAsia" w:ascii="宋体" w:hAnsi="宋体" w:eastAsia="宋体" w:cs="宋体"/>
                <w:color w:val="auto"/>
                <w:sz w:val="20"/>
                <w:szCs w:val="20"/>
                <w:u w:val="none"/>
                <w:lang w:eastAsia="zh-CN"/>
              </w:rPr>
              <w:t>。</w:t>
            </w:r>
          </w:p>
          <w:p>
            <w:pPr>
              <w:jc w:val="both"/>
              <w:rPr>
                <w:rFonts w:hint="eastAsia" w:ascii="宋体" w:hAnsi="宋体" w:eastAsia="宋体" w:cs="宋体"/>
                <w:color w:val="auto"/>
                <w:sz w:val="20"/>
                <w:szCs w:val="20"/>
                <w:u w:val="none"/>
                <w:lang w:eastAsia="zh-CN"/>
              </w:rPr>
            </w:pPr>
            <w:r>
              <w:rPr>
                <w:rFonts w:hint="eastAsia" w:ascii="宋体" w:hAnsi="宋体" w:eastAsia="宋体" w:cs="宋体"/>
                <w:color w:val="auto"/>
                <w:sz w:val="20"/>
                <w:szCs w:val="20"/>
                <w:u w:val="none"/>
              </w:rPr>
              <w:t>11.为便于维护使用方便，</w:t>
            </w:r>
            <w:r>
              <w:rPr>
                <w:rFonts w:hint="eastAsia" w:ascii="宋体" w:hAnsi="宋体" w:eastAsia="宋体" w:cs="宋体"/>
                <w:color w:val="auto"/>
                <w:sz w:val="20"/>
                <w:szCs w:val="20"/>
                <w:u w:val="none"/>
                <w:lang w:val="en-US" w:eastAsia="zh-CN"/>
              </w:rPr>
              <w:t>设备支持一键还原功能，</w:t>
            </w:r>
            <w:r>
              <w:rPr>
                <w:rFonts w:hint="eastAsia" w:ascii="宋体" w:hAnsi="宋体" w:eastAsia="宋体" w:cs="宋体"/>
                <w:color w:val="auto"/>
                <w:sz w:val="20"/>
                <w:szCs w:val="20"/>
                <w:u w:val="none"/>
              </w:rPr>
              <w:t>智慧黑板支持免拆卸的维护</w:t>
            </w:r>
            <w:r>
              <w:rPr>
                <w:rFonts w:hint="eastAsia" w:ascii="宋体" w:hAnsi="宋体" w:eastAsia="宋体" w:cs="宋体"/>
                <w:color w:val="auto"/>
                <w:sz w:val="20"/>
                <w:szCs w:val="20"/>
                <w:u w:val="none"/>
                <w:lang w:eastAsia="zh-CN"/>
              </w:rPr>
              <w:t>。</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12.设备具备 PC 和安卓恢复原厂设置的双系统备份，且 PC 的 Windows 及 Android 双系统可以仅通过教室的一根网线同时上网，不需要外加任何其它设备。</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 xml:space="preserve">13.支持蓝牙 Bluetooth 5.0 </w:t>
            </w:r>
            <w:r>
              <w:rPr>
                <w:rFonts w:hint="eastAsia" w:ascii="宋体" w:hAnsi="宋体" w:eastAsia="宋体" w:cs="宋体"/>
                <w:color w:val="auto"/>
                <w:sz w:val="20"/>
                <w:szCs w:val="20"/>
                <w:u w:val="none"/>
                <w:lang w:val="en-US" w:eastAsia="zh-CN"/>
              </w:rPr>
              <w:t>以上</w:t>
            </w:r>
            <w:r>
              <w:rPr>
                <w:rFonts w:hint="eastAsia" w:ascii="宋体" w:hAnsi="宋体" w:eastAsia="宋体" w:cs="宋体"/>
                <w:color w:val="auto"/>
                <w:sz w:val="20"/>
                <w:szCs w:val="20"/>
                <w:u w:val="none"/>
              </w:rPr>
              <w:t xml:space="preserve">标准，整机可通过蓝牙模块与蓝牙音箱连接，通过蓝牙音箱播放整机音频。 </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rPr>
              <w:t>14. 产品需内置安卓教学辅助系统，</w:t>
            </w:r>
            <w:r>
              <w:rPr>
                <w:rFonts w:hint="eastAsia" w:ascii="宋体" w:hAnsi="宋体" w:eastAsia="宋体" w:cs="宋体"/>
                <w:color w:val="auto"/>
                <w:sz w:val="20"/>
                <w:szCs w:val="20"/>
                <w:u w:val="single"/>
              </w:rPr>
              <w:t>采用CPU不少于四核，主频不低于1.9GHz，</w:t>
            </w:r>
            <w:r>
              <w:rPr>
                <w:rFonts w:hint="eastAsia" w:ascii="宋体" w:hAnsi="宋体" w:eastAsia="宋体" w:cs="宋体"/>
                <w:color w:val="auto"/>
                <w:sz w:val="20"/>
                <w:szCs w:val="20"/>
                <w:u w:val="none"/>
              </w:rPr>
              <w:t>安卓系统版本不低于11.0，RAM不低于2G,ROM不低于8G。</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 xml:space="preserve">15.整机嵌入安卓系统下，能对多媒体 USB 所读取到的课件文件进行自动归类，可快速分类查找office 文档、音乐、视频、图片等文件，检索后可直接在界面中打开。 </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rPr>
              <w:t>1</w:t>
            </w:r>
            <w:r>
              <w:rPr>
                <w:rFonts w:hint="eastAsia" w:ascii="宋体" w:hAnsi="宋体" w:eastAsia="宋体" w:cs="宋体"/>
                <w:color w:val="auto"/>
                <w:sz w:val="20"/>
                <w:szCs w:val="20"/>
                <w:u w:val="none"/>
                <w:lang w:val="en-US" w:eastAsia="zh-CN"/>
              </w:rPr>
              <w:t>6</w:t>
            </w:r>
            <w:r>
              <w:rPr>
                <w:rFonts w:hint="eastAsia" w:ascii="宋体" w:hAnsi="宋体" w:eastAsia="宋体" w:cs="宋体"/>
                <w:color w:val="auto"/>
                <w:sz w:val="20"/>
                <w:szCs w:val="20"/>
                <w:u w:val="none"/>
              </w:rPr>
              <w:t>.整机</w:t>
            </w:r>
            <w:r>
              <w:rPr>
                <w:rFonts w:hint="eastAsia" w:ascii="宋体" w:hAnsi="宋体" w:eastAsia="宋体" w:cs="宋体"/>
                <w:color w:val="auto"/>
                <w:sz w:val="20"/>
                <w:szCs w:val="20"/>
                <w:u w:val="none"/>
                <w:lang w:val="en-US" w:eastAsia="zh-CN"/>
              </w:rPr>
              <w:t>需有</w:t>
            </w:r>
            <w:r>
              <w:rPr>
                <w:rFonts w:hint="eastAsia" w:ascii="宋体" w:hAnsi="宋体" w:eastAsia="宋体" w:cs="宋体"/>
                <w:color w:val="auto"/>
                <w:sz w:val="20"/>
                <w:szCs w:val="20"/>
                <w:u w:val="none"/>
              </w:rPr>
              <w:t>一体化摄像头和阵列麦，</w:t>
            </w:r>
            <w:r>
              <w:rPr>
                <w:rFonts w:hint="eastAsia" w:ascii="宋体" w:hAnsi="宋体" w:eastAsia="宋体" w:cs="宋体"/>
                <w:color w:val="auto"/>
                <w:sz w:val="20"/>
                <w:szCs w:val="20"/>
                <w:u w:val="single"/>
              </w:rPr>
              <w:t>要求摄像头像素≥1300万像素，≥6阵列麦克风</w:t>
            </w:r>
            <w:r>
              <w:rPr>
                <w:rFonts w:hint="eastAsia" w:ascii="宋体" w:hAnsi="宋体" w:eastAsia="宋体" w:cs="宋体"/>
                <w:color w:val="auto"/>
                <w:sz w:val="20"/>
                <w:szCs w:val="20"/>
                <w:u w:val="none"/>
              </w:rPr>
              <w:t>，保证清晰高品质的音质输出效果。</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17.整机具有触控悬浮菜单，方便教学使用提供不少于 6 个快捷功能，可通过此触摸调用悬浮菜单到屏幕任意位置；悬浮菜单具有快速批注功能、快速切换到 OPS 系统，并可根据教学需要自定义功能，悬浮菜单中主页且可一键直达安卓主页。</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18.设备支持内置双WiFi6无线网卡（不接受外接）；</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19.整机支持文件传输，需能支持多人同时将手机文件传输到整机上，文件传输时根据账号匹配情况需做接收确认，保障传输安全。</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内置电脑：</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lang w:val="en-US" w:eastAsia="zh-CN"/>
              </w:rPr>
              <w:t>1.</w:t>
            </w:r>
            <w:r>
              <w:rPr>
                <w:rFonts w:hint="eastAsia" w:ascii="宋体" w:hAnsi="宋体" w:eastAsia="宋体" w:cs="宋体"/>
                <w:color w:val="auto"/>
                <w:sz w:val="20"/>
                <w:szCs w:val="20"/>
                <w:u w:val="none"/>
              </w:rPr>
              <w:t>插拔式OPS微型PC设计，CPU ：I5（10代或以上）；</w:t>
            </w:r>
            <w:r>
              <w:rPr>
                <w:rFonts w:hint="eastAsia" w:ascii="宋体" w:hAnsi="宋体" w:eastAsia="宋体" w:cs="宋体"/>
                <w:color w:val="auto"/>
                <w:sz w:val="20"/>
                <w:szCs w:val="20"/>
                <w:u w:val="single"/>
              </w:rPr>
              <w:t>内存：≥8GB；硬盘：≥256G固态</w:t>
            </w:r>
            <w:r>
              <w:rPr>
                <w:rFonts w:hint="eastAsia" w:ascii="宋体" w:hAnsi="宋体" w:eastAsia="宋体" w:cs="宋体"/>
                <w:color w:val="auto"/>
                <w:sz w:val="20"/>
                <w:szCs w:val="20"/>
                <w:u w:val="none"/>
              </w:rPr>
              <w:t>；开放式可插接INTEL规范接口（OPS接口），双面合计80针。支持WIFI无线网络，带双天线，带RJ45接口100M/1000Mbs。接口：LINE OUT≥1，MIC IN≥1，HDMI≥1，RJ45≥1，WIFI≥2，USB≥6(其中USB3.0≥3)。</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2.支持保护模式，系统能运行在无痕模式。</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教学软件：</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1.基于手势操作开发，简单易用，手指单点或使用触控笔就能一键快速调取教学软件及工具；</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2.支持橡皮功能，可设置擦除的面积，可一键清空画布中的笔迹和形状。</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3.支持清空笔迹和一键清屏功能，支持全屏幕漫游，可一键复位至漫游初始界面，支持撤销和恢复功能，协助老师在误操作删除板书后，快速找回板书；</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4</w:t>
            </w:r>
            <w:r>
              <w:rPr>
                <w:rFonts w:hint="eastAsia" w:ascii="宋体" w:hAnsi="宋体" w:eastAsia="宋体" w:cs="宋体"/>
                <w:color w:val="auto"/>
                <w:sz w:val="20"/>
                <w:szCs w:val="20"/>
                <w:u w:val="none"/>
              </w:rPr>
              <w:t>.移动端、电脑文件双向互传功能：通过</w:t>
            </w:r>
            <w:r>
              <w:rPr>
                <w:rFonts w:hint="eastAsia" w:ascii="宋体" w:hAnsi="宋体" w:eastAsia="宋体" w:cs="宋体"/>
                <w:color w:val="auto"/>
                <w:sz w:val="20"/>
                <w:szCs w:val="20"/>
                <w:u w:val="none"/>
                <w:lang w:val="en-US" w:eastAsia="zh-CN"/>
              </w:rPr>
              <w:t>软件</w:t>
            </w:r>
            <w:r>
              <w:rPr>
                <w:rFonts w:hint="eastAsia" w:ascii="宋体" w:hAnsi="宋体" w:eastAsia="宋体" w:cs="宋体"/>
                <w:color w:val="auto"/>
                <w:sz w:val="20"/>
                <w:szCs w:val="20"/>
                <w:u w:val="none"/>
              </w:rPr>
              <w:t>能随时随地连接一体机电脑硬盘，找到想要的文件，支持从手机上传照片、视频、微信中收发的文件到电脑；一键上传文件，在电脑上，任意文件</w:t>
            </w:r>
            <w:r>
              <w:rPr>
                <w:rFonts w:hint="eastAsia" w:ascii="宋体" w:hAnsi="宋体" w:eastAsia="宋体" w:cs="宋体"/>
                <w:color w:val="auto"/>
                <w:sz w:val="20"/>
                <w:szCs w:val="20"/>
                <w:u w:val="none"/>
                <w:lang w:val="en-US" w:eastAsia="zh-CN"/>
              </w:rPr>
              <w:t>操作</w:t>
            </w:r>
            <w:r>
              <w:rPr>
                <w:rFonts w:hint="eastAsia" w:ascii="宋体" w:hAnsi="宋体" w:eastAsia="宋体" w:cs="宋体"/>
                <w:color w:val="auto"/>
                <w:sz w:val="20"/>
                <w:szCs w:val="20"/>
                <w:u w:val="none"/>
              </w:rPr>
              <w:t>，即可一键把文件从PC上传发送到手机。</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5</w:t>
            </w:r>
            <w:r>
              <w:rPr>
                <w:rFonts w:hint="eastAsia" w:ascii="宋体" w:hAnsi="宋体" w:eastAsia="宋体" w:cs="宋体"/>
                <w:color w:val="auto"/>
                <w:sz w:val="20"/>
                <w:szCs w:val="20"/>
                <w:u w:val="none"/>
              </w:rPr>
              <w:t>.快速录制屏幕，支持同时录制屏幕，麦克风声音以及摄像头人像画面；录制画面可以自定义区域；</w:t>
            </w:r>
          </w:p>
          <w:p>
            <w:pPr>
              <w:jc w:val="both"/>
              <w:rPr>
                <w:rFonts w:hint="eastAsia" w:ascii="宋体" w:hAnsi="宋体" w:eastAsia="宋体" w:cs="宋体"/>
                <w:color w:val="auto"/>
                <w:sz w:val="20"/>
                <w:szCs w:val="20"/>
                <w:u w:val="none"/>
                <w:lang w:eastAsia="zh-CN"/>
              </w:rPr>
            </w:pPr>
            <w:r>
              <w:rPr>
                <w:rFonts w:hint="eastAsia" w:ascii="宋体" w:hAnsi="宋体" w:eastAsia="宋体" w:cs="宋体"/>
                <w:color w:val="auto"/>
                <w:sz w:val="20"/>
                <w:szCs w:val="20"/>
                <w:u w:val="none"/>
                <w:lang w:val="en-US" w:eastAsia="zh-CN"/>
              </w:rPr>
              <w:t>6</w:t>
            </w:r>
            <w:r>
              <w:rPr>
                <w:rFonts w:hint="eastAsia" w:ascii="宋体" w:hAnsi="宋体" w:eastAsia="宋体" w:cs="宋体"/>
                <w:color w:val="auto"/>
                <w:sz w:val="20"/>
                <w:szCs w:val="20"/>
                <w:u w:val="none"/>
              </w:rPr>
              <w:t>.微课录制完成后视频支持选择存储在本地或者云空间，</w:t>
            </w:r>
            <w:r>
              <w:rPr>
                <w:rFonts w:hint="eastAsia" w:ascii="宋体" w:hAnsi="宋体" w:eastAsia="宋体" w:cs="宋体"/>
                <w:color w:val="auto"/>
                <w:sz w:val="20"/>
                <w:szCs w:val="20"/>
                <w:u w:val="none"/>
                <w:lang w:val="en-US" w:eastAsia="zh-CN"/>
              </w:rPr>
              <w:t>可</w:t>
            </w:r>
            <w:r>
              <w:rPr>
                <w:rFonts w:hint="eastAsia" w:ascii="宋体" w:hAnsi="宋体" w:eastAsia="宋体" w:cs="宋体"/>
                <w:color w:val="auto"/>
                <w:sz w:val="20"/>
                <w:szCs w:val="20"/>
                <w:u w:val="none"/>
              </w:rPr>
              <w:t>修改录制文件的名称</w:t>
            </w:r>
            <w:r>
              <w:rPr>
                <w:rFonts w:hint="eastAsia" w:ascii="宋体" w:hAnsi="宋体" w:eastAsia="宋体" w:cs="宋体"/>
                <w:color w:val="auto"/>
                <w:sz w:val="20"/>
                <w:szCs w:val="20"/>
                <w:u w:val="none"/>
                <w:lang w:val="en-US" w:eastAsia="zh-CN"/>
              </w:rPr>
              <w:t>并</w:t>
            </w:r>
            <w:r>
              <w:rPr>
                <w:rFonts w:hint="eastAsia" w:ascii="宋体" w:hAnsi="宋体" w:eastAsia="宋体" w:cs="宋体"/>
                <w:color w:val="auto"/>
                <w:sz w:val="20"/>
                <w:szCs w:val="20"/>
                <w:u w:val="none"/>
              </w:rPr>
              <w:t>保存在云空间</w:t>
            </w:r>
            <w:r>
              <w:rPr>
                <w:rFonts w:hint="eastAsia" w:ascii="宋体" w:hAnsi="宋体" w:eastAsia="宋体" w:cs="宋体"/>
                <w:color w:val="auto"/>
                <w:sz w:val="20"/>
                <w:szCs w:val="20"/>
                <w:u w:val="none"/>
                <w:lang w:eastAsia="zh-CN"/>
              </w:rPr>
              <w:t>。</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7</w:t>
            </w:r>
            <w:r>
              <w:rPr>
                <w:rFonts w:hint="eastAsia" w:ascii="宋体" w:hAnsi="宋体" w:eastAsia="宋体" w:cs="宋体"/>
                <w:color w:val="auto"/>
                <w:sz w:val="20"/>
                <w:szCs w:val="20"/>
                <w:u w:val="none"/>
              </w:rPr>
              <w:t>.支持手机、笔记本电脑等移动端通过自动搜索接收端设备和识别码两种方式无线连接到智慧黑板</w:t>
            </w: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rPr>
              <w:t>无线投屏支持windows,mac,ios,android平台登录使用；PC端向移动端投屏时，可在移动端进行批注，批注内容同步显示在PC端；</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8</w:t>
            </w:r>
            <w:r>
              <w:rPr>
                <w:rFonts w:hint="eastAsia" w:ascii="宋体" w:hAnsi="宋体" w:eastAsia="宋体" w:cs="宋体"/>
                <w:color w:val="auto"/>
                <w:sz w:val="20"/>
                <w:szCs w:val="20"/>
                <w:u w:val="none"/>
              </w:rPr>
              <w:t>.支持教学端的备授课同步，支持后台备课云端同步授课；</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b/>
                <w:bCs/>
                <w:color w:val="auto"/>
                <w:sz w:val="20"/>
                <w:szCs w:val="20"/>
                <w:u w:val="none"/>
                <w:lang w:val="en-US" w:eastAsia="zh-CN"/>
              </w:rPr>
              <w:t>信息安全：</w:t>
            </w:r>
          </w:p>
          <w:p>
            <w:pPr>
              <w:numPr>
                <w:ilvl w:val="0"/>
                <w:numId w:val="0"/>
              </w:num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1.</w:t>
            </w:r>
            <w:r>
              <w:rPr>
                <w:rFonts w:hint="eastAsia" w:ascii="宋体" w:hAnsi="宋体" w:eastAsia="宋体" w:cs="宋体"/>
                <w:color w:val="auto"/>
                <w:sz w:val="20"/>
                <w:szCs w:val="20"/>
                <w:u w:val="none"/>
              </w:rPr>
              <w:t>产品具备HTTP信息过滤、网址过滤、图像过滤、网址库升级、网页内容信息过滤、网页内容信息过滤扩展、审计日志生成管理、在线游戏管理、定时抓屏等功能；</w:t>
            </w:r>
          </w:p>
          <w:p>
            <w:pPr>
              <w:numPr>
                <w:ilvl w:val="0"/>
                <w:numId w:val="0"/>
              </w:num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2.</w:t>
            </w:r>
            <w:r>
              <w:rPr>
                <w:rFonts w:hint="eastAsia" w:ascii="宋体" w:hAnsi="宋体" w:eastAsia="宋体" w:cs="宋体"/>
                <w:color w:val="auto"/>
                <w:sz w:val="20"/>
                <w:szCs w:val="20"/>
                <w:u w:val="none"/>
              </w:rPr>
              <w:t>产品支持对终端系统广告弹窗实时进行内容及特征分析，并对包含低俗信息的广告弹窗进行拦载处理，全面护航教学设备绿色上网，保障教师的正常授课环境；</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3.通过设置主动识别的判决门限，针对不同上网的人群，实现人性化高、中、低级别设置，浏览内容分级管理；</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4.设置学校管理权限，管理员权限可对软件进行统一管理操作；</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5.产品支持对终端运行的游戏进行策略管理，不允许运行的游戏会直接拦截游戏运行；</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6.产品具备对设备使用时间进行管理的功能，管理员可以根据需要设定使用设备的时间表，在设定的允许使用设备的时间区间使用设备，不允许使用设备的时候设备直接锁屏并关闭设备；</w:t>
            </w:r>
          </w:p>
          <w:p>
            <w:pPr>
              <w:rPr>
                <w:rFonts w:hint="eastAsia" w:ascii="宋体" w:hAnsi="宋体" w:eastAsia="宋体" w:cs="宋体"/>
                <w:color w:val="auto"/>
                <w:szCs w:val="21"/>
              </w:rPr>
            </w:pPr>
            <w:r>
              <w:rPr>
                <w:rFonts w:hint="eastAsia" w:ascii="宋体" w:hAnsi="宋体" w:eastAsia="宋体" w:cs="宋体"/>
                <w:b/>
                <w:bCs/>
                <w:color w:val="auto"/>
                <w:szCs w:val="21"/>
              </w:rPr>
              <w:t>设备集控管理</w:t>
            </w:r>
            <w:r>
              <w:rPr>
                <w:rFonts w:hint="eastAsia" w:ascii="宋体" w:hAnsi="宋体" w:eastAsia="宋体" w:cs="宋体"/>
                <w:b/>
                <w:bCs/>
                <w:color w:val="auto"/>
                <w:szCs w:val="21"/>
                <w:lang w:val="en-US" w:eastAsia="zh-CN"/>
              </w:rPr>
              <w:t>平台</w:t>
            </w:r>
            <w:r>
              <w:rPr>
                <w:rFonts w:hint="eastAsia" w:ascii="宋体" w:hAnsi="宋体" w:eastAsia="宋体" w:cs="宋体"/>
                <w:color w:val="auto"/>
                <w:szCs w:val="21"/>
              </w:rPr>
              <w:t>：</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l.支持在Windows、mac0S等多种主流操作系统上通过网页浏览器登录；</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2.批量开关机：支持对设备的单独和批量的定时开关机控制；</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3.远程巡课：可在线监看教室动态，支持多台设备同时巡课监看以及单台设备的大画面监看；</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4.设备控制：支持对局域网中的设备的控制，支持查看选中设备的屏幕画面、调节设备音量、切换设备输入的信号源、显示模式、切换设备触控功能的开关、切换屏幕的熄屏/亮屏状态、打铃；</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5.数据统计：管理平台可以实时监控大屏、智慧黑板等教学信息化设备状态信息。</w:t>
            </w:r>
            <w:r>
              <w:rPr>
                <w:rFonts w:hint="eastAsia"/>
                <w:color w:val="auto"/>
              </w:rPr>
              <w:t>支持通过设备类型、所在教室等条件进行搜索。</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6.数据可视化看板：可以对局域网中所有设备的使用时长、开机设备数量、设备使用率、设备预警状态等信息可视化数据展示；</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7.支持设备的异常状态监控和预警。</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8.支持对集控平台的密码修改、添加删除子用户，对子用户进行操作权限的授权管理。</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9.</w:t>
            </w:r>
            <w:r>
              <w:rPr>
                <w:rFonts w:hint="eastAsia" w:ascii="宋体" w:hAnsi="宋体" w:eastAsia="宋体" w:cs="宋体"/>
                <w:color w:val="auto"/>
                <w:sz w:val="20"/>
                <w:szCs w:val="20"/>
                <w:u w:val="none"/>
              </w:rPr>
              <w:t>要求支持批量安装软件，平台内置软件产品列表，可实现软件一键下发并安装。支持第三方软件安装，可自主上传应用。</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10.</w:t>
            </w:r>
            <w:r>
              <w:rPr>
                <w:rFonts w:hint="eastAsia" w:ascii="宋体" w:hAnsi="宋体" w:eastAsia="宋体" w:cs="宋体"/>
                <w:color w:val="auto"/>
                <w:sz w:val="20"/>
                <w:szCs w:val="20"/>
                <w:u w:val="none"/>
              </w:rPr>
              <w:t>.要求支持批量卸载软件，可查看当前学校设备中安装的全部应用列表，包含设备名称、软件版本等信息。支持选择应用和设备后一键卸载</w:t>
            </w:r>
            <w:r>
              <w:rPr>
                <w:rFonts w:hint="eastAsia" w:ascii="宋体" w:hAnsi="宋体" w:eastAsia="宋体" w:cs="宋体"/>
                <w:color w:val="auto"/>
                <w:sz w:val="20"/>
                <w:szCs w:val="20"/>
                <w:u w:val="none"/>
                <w:lang w:eastAsia="zh-CN"/>
              </w:rPr>
              <w:t>。</w:t>
            </w:r>
          </w:p>
          <w:p>
            <w:pPr>
              <w:jc w:val="both"/>
              <w:rPr>
                <w:rFonts w:hint="eastAsia"/>
                <w:color w:val="auto"/>
              </w:rPr>
            </w:pPr>
            <w:r>
              <w:rPr>
                <w:rFonts w:hint="eastAsia" w:ascii="宋体" w:hAnsi="宋体" w:eastAsia="宋体" w:cs="宋体"/>
                <w:color w:val="auto"/>
                <w:sz w:val="20"/>
                <w:szCs w:val="20"/>
                <w:u w:val="none"/>
                <w:lang w:val="en-US" w:eastAsia="zh-CN"/>
              </w:rPr>
              <w:t>11.需</w:t>
            </w:r>
            <w:r>
              <w:rPr>
                <w:rFonts w:hint="eastAsia" w:ascii="宋体" w:hAnsi="宋体" w:eastAsia="宋体" w:cs="宋体"/>
                <w:color w:val="auto"/>
                <w:sz w:val="20"/>
                <w:szCs w:val="20"/>
                <w:u w:val="none"/>
              </w:rPr>
              <w:t>与学校现有智慧校园</w:t>
            </w:r>
            <w:r>
              <w:rPr>
                <w:rFonts w:hint="eastAsia" w:ascii="宋体" w:hAnsi="宋体" w:eastAsia="宋体" w:cs="宋体"/>
                <w:color w:val="auto"/>
                <w:sz w:val="20"/>
                <w:szCs w:val="20"/>
                <w:u w:val="none"/>
                <w:lang w:val="en-US" w:eastAsia="zh-CN"/>
              </w:rPr>
              <w:t>数据中台</w:t>
            </w:r>
            <w:r>
              <w:rPr>
                <w:rFonts w:hint="eastAsia" w:ascii="宋体" w:hAnsi="宋体" w:eastAsia="宋体" w:cs="宋体"/>
                <w:color w:val="auto"/>
                <w:sz w:val="20"/>
                <w:szCs w:val="20"/>
                <w:u w:val="none"/>
              </w:rPr>
              <w:t>实现</w:t>
            </w:r>
            <w:r>
              <w:rPr>
                <w:rFonts w:hint="eastAsia" w:ascii="宋体" w:hAnsi="宋体" w:eastAsia="宋体" w:cs="宋体"/>
                <w:color w:val="auto"/>
                <w:sz w:val="20"/>
                <w:szCs w:val="20"/>
                <w:u w:val="none"/>
                <w:lang w:val="en-US" w:eastAsia="zh-CN"/>
              </w:rPr>
              <w:t>全面</w:t>
            </w:r>
            <w:r>
              <w:rPr>
                <w:rFonts w:hint="eastAsia" w:ascii="宋体" w:hAnsi="宋体" w:eastAsia="宋体" w:cs="宋体"/>
                <w:color w:val="auto"/>
                <w:sz w:val="20"/>
                <w:szCs w:val="20"/>
                <w:u w:val="none"/>
              </w:rPr>
              <w:t>无缝对接，且无额外接口费用。</w:t>
            </w:r>
          </w:p>
        </w:tc>
        <w:tc>
          <w:tcPr>
            <w:tcW w:w="931" w:type="dxa"/>
            <w:noWrap w:val="0"/>
            <w:vAlign w:val="center"/>
          </w:tcPr>
          <w:p>
            <w:pPr>
              <w:jc w:val="center"/>
              <w:rPr>
                <w:rFonts w:hint="eastAsia"/>
                <w:color w:val="auto"/>
              </w:rPr>
            </w:pPr>
          </w:p>
          <w:p>
            <w:pPr>
              <w:jc w:val="center"/>
              <w:rPr>
                <w:rFonts w:hint="default" w:eastAsia="宋体"/>
                <w:color w:val="auto"/>
                <w:lang w:val="en-US" w:eastAsia="zh-CN"/>
              </w:rPr>
            </w:pPr>
            <w:r>
              <w:rPr>
                <w:rFonts w:hint="eastAsia"/>
                <w:color w:val="auto"/>
              </w:rPr>
              <w:t>1</w:t>
            </w:r>
            <w:r>
              <w:rPr>
                <w:rFonts w:hint="eastAsia"/>
                <w:color w:val="auto"/>
                <w:lang w:val="en-US" w:eastAsia="zh-CN"/>
              </w:rPr>
              <w:t>60</w:t>
            </w:r>
          </w:p>
          <w:p>
            <w:pPr>
              <w:jc w:val="center"/>
              <w:rPr>
                <w:rFonts w:hint="eastAsia"/>
                <w:color w:val="auto"/>
              </w:rPr>
            </w:pPr>
          </w:p>
        </w:tc>
        <w:tc>
          <w:tcPr>
            <w:tcW w:w="819" w:type="dxa"/>
            <w:noWrap w:val="0"/>
            <w:vAlign w:val="center"/>
          </w:tcPr>
          <w:p>
            <w:pPr>
              <w:jc w:val="center"/>
              <w:rPr>
                <w:rFonts w:hint="eastAsia"/>
                <w:color w:val="auto"/>
              </w:rPr>
            </w:pP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jc w:val="center"/>
              <w:rPr>
                <w:rFonts w:hint="eastAsia"/>
                <w:color w:val="auto"/>
              </w:rPr>
            </w:pPr>
            <w:r>
              <w:rPr>
                <w:rFonts w:hint="eastAsia"/>
                <w:color w:val="auto"/>
              </w:rPr>
              <w:t>2</w:t>
            </w:r>
          </w:p>
        </w:tc>
        <w:tc>
          <w:tcPr>
            <w:tcW w:w="1157" w:type="dxa"/>
            <w:noWrap w:val="0"/>
            <w:vAlign w:val="center"/>
          </w:tcPr>
          <w:p>
            <w:pPr>
              <w:jc w:val="center"/>
              <w:rPr>
                <w:rFonts w:hint="eastAsia"/>
                <w:color w:val="auto"/>
              </w:rPr>
            </w:pPr>
            <w:r>
              <w:rPr>
                <w:rFonts w:hint="eastAsia"/>
                <w:color w:val="auto"/>
              </w:rPr>
              <w:t>电子班牌</w:t>
            </w:r>
          </w:p>
        </w:tc>
        <w:tc>
          <w:tcPr>
            <w:tcW w:w="6615" w:type="dxa"/>
            <w:noWrap w:val="0"/>
            <w:vAlign w:val="top"/>
          </w:tcPr>
          <w:p>
            <w:pPr>
              <w:rPr>
                <w:rFonts w:hint="eastAsia"/>
                <w:b/>
                <w:bCs/>
                <w:color w:val="auto"/>
              </w:rPr>
            </w:pPr>
            <w:r>
              <w:rPr>
                <w:rFonts w:hint="eastAsia"/>
                <w:b/>
                <w:bCs/>
                <w:color w:val="auto"/>
              </w:rPr>
              <w:t>整机硬件</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rPr>
              <w:t>1.LED背光显示屏，</w:t>
            </w:r>
            <w:r>
              <w:rPr>
                <w:rFonts w:hint="eastAsia" w:ascii="宋体" w:hAnsi="宋体" w:eastAsia="宋体" w:cs="宋体"/>
                <w:color w:val="auto"/>
                <w:sz w:val="20"/>
                <w:szCs w:val="20"/>
                <w:u w:val="single"/>
              </w:rPr>
              <w:t>≥21.5英寸电容式触摸屏</w:t>
            </w:r>
            <w:r>
              <w:rPr>
                <w:rFonts w:hint="eastAsia" w:ascii="宋体" w:hAnsi="宋体" w:eastAsia="宋体" w:cs="宋体"/>
                <w:color w:val="auto"/>
                <w:sz w:val="20"/>
                <w:szCs w:val="20"/>
                <w:u w:val="none"/>
              </w:rPr>
              <w:t>，横版，屏幕比例: 16:9 、点距: 0.282*0.282 、对比度≥1000:1，分辨率≥1920*1080。、屏幕亮度≥300cd/㎡、响应时间:标准8ms（灰阶至灰阶）、视角: 水平/垂直:178° 背光: LED背光；</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2. 整机设备厚度≤</w:t>
            </w:r>
            <w:r>
              <w:rPr>
                <w:rFonts w:hint="eastAsia" w:ascii="宋体" w:hAnsi="宋体" w:eastAsia="宋体" w:cs="宋体"/>
                <w:color w:val="auto"/>
                <w:sz w:val="20"/>
                <w:szCs w:val="20"/>
                <w:u w:val="none"/>
                <w:lang w:val="en-US" w:eastAsia="zh-CN"/>
              </w:rPr>
              <w:t>30</w:t>
            </w:r>
            <w:r>
              <w:rPr>
                <w:rFonts w:hint="eastAsia" w:ascii="宋体" w:hAnsi="宋体" w:eastAsia="宋体" w:cs="宋体"/>
                <w:color w:val="auto"/>
                <w:sz w:val="20"/>
                <w:szCs w:val="20"/>
                <w:u w:val="none"/>
              </w:rPr>
              <w:t>mm。机身底部的接口采用开合式保护板,采用钥匙锁扣固定护板方便维护</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3.有独立内置走线槽、保证设备纯贴合安装方式</w:t>
            </w:r>
          </w:p>
          <w:p>
            <w:pPr>
              <w:jc w:val="both"/>
              <w:rPr>
                <w:rFonts w:hint="eastAsia" w:ascii="宋体" w:hAnsi="宋体" w:eastAsia="宋体" w:cs="宋体"/>
                <w:color w:val="auto"/>
                <w:sz w:val="20"/>
                <w:szCs w:val="20"/>
                <w:u w:val="none"/>
                <w:lang w:eastAsia="zh-CN"/>
              </w:rPr>
            </w:pPr>
            <w:r>
              <w:rPr>
                <w:rFonts w:hint="eastAsia" w:ascii="宋体" w:hAnsi="宋体" w:eastAsia="宋体" w:cs="宋体"/>
                <w:color w:val="auto"/>
                <w:sz w:val="20"/>
                <w:szCs w:val="20"/>
                <w:u w:val="none"/>
              </w:rPr>
              <w:t>4.电源适配: 输入电源90-260V的电压范围内正常工作</w:t>
            </w:r>
            <w:r>
              <w:rPr>
                <w:rFonts w:hint="eastAsia" w:ascii="宋体" w:hAnsi="宋体" w:eastAsia="宋体" w:cs="宋体"/>
                <w:color w:val="auto"/>
                <w:sz w:val="20"/>
                <w:szCs w:val="20"/>
                <w:u w:val="none"/>
                <w:lang w:eastAsia="zh-CN"/>
              </w:rPr>
              <w:t>；</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5.可扩展智慧物联功能模块,可对教室内的灯光、投影、黑板、风扇灯电动装置进行管控</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6.具有人脸识别考勤、刷卡考勤及门禁功能,老师、学生可通过人脸识别、刷卡等打开教室门,同时可以满足考试人脸识别、刷卡签到。</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7.支持直播教室内监控画面，能实现同步预览教室内的内控画面。</w:t>
            </w:r>
          </w:p>
          <w:p>
            <w:pPr>
              <w:rPr>
                <w:rFonts w:hint="eastAsia"/>
                <w:b/>
                <w:bCs/>
                <w:color w:val="auto"/>
              </w:rPr>
            </w:pPr>
            <w:r>
              <w:rPr>
                <w:rFonts w:hint="eastAsia"/>
                <w:b/>
                <w:bCs/>
                <w:color w:val="auto"/>
                <w:lang w:val="en-US" w:eastAsia="zh-CN"/>
              </w:rPr>
              <w:t>电子班牌系统</w:t>
            </w:r>
            <w:r>
              <w:rPr>
                <w:rFonts w:hint="eastAsia"/>
                <w:b/>
                <w:bCs/>
                <w:color w:val="auto"/>
              </w:rPr>
              <w:t>软件</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rPr>
              <w:t>1.具有电子班牌管理系统计算机软件著作权登记证书并提供证明材料</w:t>
            </w:r>
            <w:r>
              <w:rPr>
                <w:rFonts w:hint="eastAsia" w:ascii="宋体" w:hAnsi="宋体" w:eastAsia="宋体" w:cs="宋体"/>
                <w:color w:val="auto"/>
                <w:sz w:val="20"/>
                <w:szCs w:val="20"/>
                <w:u w:val="none"/>
                <w:lang w:eastAsia="zh-CN"/>
              </w:rPr>
              <w:t>。</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2.系统需包含基础信息、教室管理、课表管理、信息发布管理、考试管理、考勤管理、请假公出管理等。</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3.需支持学校设置，需支持设置学校的校徽，校训，办学模式，主页地址，占地面积、学校建校年月、建筑面积、主管部门等学校基础信息。</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4.需支持导航示意图，需支持呈现楼宇导航图、楼层导航图、鸟瞰图等信息，可指示对应的教室、公共位置资源等信息，为陌生用户刚到学校提供强有力的帮助。（提供软件功能截图）</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5.需支持校园信息管理，支持发布学校的简介，校园领导的组织架构，校级活动内容，优秀教师信息，优秀学生信息，校园值班领导等信息。</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6.需支持考勤统计汇总信息，支持统计教职工授课出勤统计及明细、学生课程出勤统计及明细、学生课程考勤补填、学生每日到离校出勤表、教师每日出勤表、签到明细表、迟到汇总表等信息。（提供软件功能截图）</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7.需支持通知发布管理，可以根据不同内容快速编写和发布校级通知公告，班主任也可以发布班级公告（需支持优先级、按时置顶等功能），通知可以发送到电子班牌和手机app中。（提供软件功能截图）</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8.需支持考试管理，支持发布考试信息,录入考试座位,录入考试成绩等。（提供软件功能截图）</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9.需支持班牌管理，系统需具有班牌管理PC端系统软件，可以实现对班牌硬件进行管控，如添加或删除硬件、可实现开关机、设定班牌要显示的模板或内容等。（提供软件功能截图）</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10.需支持多作息时间管理，支持不同年级不同课节时间，支持单双周课表生成。（提供软件功能截图）</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11.可扩展智慧物联功能模块,可对教室内的灯光、投影、黑板、风扇等电动装置进行管控；不同物联设备可互相连通。（提供软件功能截图）</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12.需支持班牌自定义模板，具有完善的横、竖版UI风格自定义功能，根据学校不同样式的要求，可以进行班牌样式的自定义，对于画面中的功能模块、按钮、色彩风格、人脸识别窗口都可以进行任意位置及大小调整。同时具备内嵌H5的功能，可实现第三方应用的局部内嵌和全屏内嵌，满足第三方扩展应用。</w:t>
            </w:r>
          </w:p>
          <w:p>
            <w:pPr>
              <w:jc w:val="both"/>
              <w:rPr>
                <w:rFonts w:hint="eastAsia" w:ascii="宋体" w:hAnsi="宋体" w:eastAsia="宋体" w:cs="宋体"/>
                <w:color w:val="auto"/>
                <w:sz w:val="20"/>
                <w:szCs w:val="20"/>
                <w:u w:val="none"/>
              </w:rPr>
            </w:pPr>
            <w:r>
              <w:rPr>
                <w:rFonts w:hint="eastAsia"/>
                <w:color w:val="auto"/>
                <w:vertAlign w:val="baseline"/>
                <w:lang w:val="en-US" w:eastAsia="zh-CN"/>
              </w:rPr>
              <w:t>1</w:t>
            </w:r>
            <w:r>
              <w:rPr>
                <w:rFonts w:hint="eastAsia" w:ascii="宋体" w:hAnsi="宋体" w:eastAsia="宋体" w:cs="宋体"/>
                <w:color w:val="auto"/>
                <w:sz w:val="20"/>
                <w:szCs w:val="20"/>
                <w:u w:val="none"/>
                <w:lang w:val="en-US" w:eastAsia="zh-CN"/>
              </w:rPr>
              <w:t>3</w:t>
            </w:r>
            <w:r>
              <w:rPr>
                <w:rFonts w:hint="eastAsia" w:ascii="宋体" w:hAnsi="宋体" w:eastAsia="宋体" w:cs="宋体"/>
                <w:color w:val="auto"/>
                <w:sz w:val="20"/>
                <w:szCs w:val="20"/>
                <w:u w:val="none"/>
              </w:rPr>
              <w:t>.支持用户在后台直接预览班牌端当前展示内容。支持在后台将设备锁屏，锁屏状态下操作屏幕，会提示需要扫码解锁方可进一步操作屏幕。</w:t>
            </w:r>
          </w:p>
          <w:p>
            <w:pPr>
              <w:jc w:val="both"/>
              <w:rPr>
                <w:rFonts w:hint="eastAsia"/>
                <w:color w:val="auto"/>
              </w:rPr>
            </w:pPr>
            <w:r>
              <w:rPr>
                <w:rFonts w:hint="eastAsia" w:ascii="宋体" w:hAnsi="宋体" w:eastAsia="宋体" w:cs="宋体"/>
                <w:color w:val="auto"/>
                <w:sz w:val="20"/>
                <w:szCs w:val="20"/>
                <w:u w:val="none"/>
              </w:rPr>
              <w:t>1</w:t>
            </w:r>
            <w:r>
              <w:rPr>
                <w:rFonts w:hint="eastAsia" w:ascii="宋体" w:hAnsi="宋体" w:eastAsia="宋体" w:cs="宋体"/>
                <w:color w:val="auto"/>
                <w:sz w:val="20"/>
                <w:szCs w:val="20"/>
                <w:u w:val="none"/>
                <w:lang w:val="en-US" w:eastAsia="zh-CN"/>
              </w:rPr>
              <w:t>4</w:t>
            </w:r>
            <w:r>
              <w:rPr>
                <w:rFonts w:hint="eastAsia" w:ascii="宋体" w:hAnsi="宋体" w:eastAsia="宋体" w:cs="宋体"/>
                <w:color w:val="auto"/>
                <w:sz w:val="20"/>
                <w:szCs w:val="20"/>
                <w:u w:val="none"/>
              </w:rPr>
              <w:t>.电子班牌系统</w:t>
            </w:r>
            <w:r>
              <w:rPr>
                <w:rFonts w:hint="eastAsia" w:ascii="宋体" w:hAnsi="宋体" w:eastAsia="宋体" w:cs="宋体"/>
                <w:color w:val="auto"/>
                <w:sz w:val="20"/>
                <w:szCs w:val="20"/>
                <w:u w:val="none"/>
                <w:lang w:val="en-US" w:eastAsia="zh-CN"/>
              </w:rPr>
              <w:t>需</w:t>
            </w:r>
            <w:r>
              <w:rPr>
                <w:rFonts w:hint="eastAsia" w:ascii="宋体" w:hAnsi="宋体" w:eastAsia="宋体" w:cs="宋体"/>
                <w:color w:val="auto"/>
                <w:sz w:val="20"/>
                <w:szCs w:val="20"/>
                <w:u w:val="none"/>
              </w:rPr>
              <w:t>与学校现有智慧校园</w:t>
            </w:r>
            <w:r>
              <w:rPr>
                <w:rFonts w:hint="eastAsia" w:ascii="宋体" w:hAnsi="宋体" w:eastAsia="宋体" w:cs="宋体"/>
                <w:color w:val="auto"/>
                <w:sz w:val="20"/>
                <w:szCs w:val="20"/>
                <w:u w:val="none"/>
                <w:lang w:val="en-US" w:eastAsia="zh-CN"/>
              </w:rPr>
              <w:t>数据中台和应用平台</w:t>
            </w:r>
            <w:r>
              <w:rPr>
                <w:rFonts w:hint="eastAsia" w:ascii="宋体" w:hAnsi="宋体" w:eastAsia="宋体" w:cs="宋体"/>
                <w:color w:val="auto"/>
                <w:sz w:val="20"/>
                <w:szCs w:val="20"/>
                <w:u w:val="none"/>
              </w:rPr>
              <w:t>实现</w:t>
            </w:r>
            <w:r>
              <w:rPr>
                <w:rFonts w:hint="eastAsia" w:ascii="宋体" w:hAnsi="宋体" w:eastAsia="宋体" w:cs="宋体"/>
                <w:color w:val="auto"/>
                <w:sz w:val="20"/>
                <w:szCs w:val="20"/>
                <w:u w:val="none"/>
                <w:lang w:val="en-US" w:eastAsia="zh-CN"/>
              </w:rPr>
              <w:t>全面</w:t>
            </w:r>
            <w:r>
              <w:rPr>
                <w:rFonts w:hint="eastAsia" w:ascii="宋体" w:hAnsi="宋体" w:eastAsia="宋体" w:cs="宋体"/>
                <w:color w:val="auto"/>
                <w:sz w:val="20"/>
                <w:szCs w:val="20"/>
                <w:u w:val="none"/>
              </w:rPr>
              <w:t>无缝对接，且无额外接口费用。</w:t>
            </w:r>
          </w:p>
        </w:tc>
        <w:tc>
          <w:tcPr>
            <w:tcW w:w="931" w:type="dxa"/>
            <w:noWrap w:val="0"/>
            <w:vAlign w:val="center"/>
          </w:tcPr>
          <w:p>
            <w:pPr>
              <w:jc w:val="both"/>
              <w:rPr>
                <w:rFonts w:hint="eastAsia"/>
                <w:color w:val="auto"/>
              </w:rPr>
            </w:pPr>
          </w:p>
          <w:p>
            <w:pPr>
              <w:ind w:firstLine="210" w:firstLineChars="100"/>
              <w:jc w:val="both"/>
              <w:rPr>
                <w:rFonts w:hint="default" w:eastAsia="宋体"/>
                <w:color w:val="auto"/>
                <w:lang w:val="en-US" w:eastAsia="zh-CN"/>
              </w:rPr>
            </w:pPr>
            <w:r>
              <w:rPr>
                <w:rFonts w:hint="eastAsia"/>
                <w:color w:val="auto"/>
              </w:rPr>
              <w:t>1</w:t>
            </w:r>
            <w:r>
              <w:rPr>
                <w:rFonts w:hint="eastAsia"/>
                <w:color w:val="auto"/>
                <w:lang w:val="en-US" w:eastAsia="zh-CN"/>
              </w:rPr>
              <w:t>60</w:t>
            </w:r>
          </w:p>
          <w:p>
            <w:pPr>
              <w:jc w:val="center"/>
              <w:rPr>
                <w:rFonts w:hint="eastAsia"/>
                <w:color w:val="auto"/>
              </w:rPr>
            </w:pPr>
          </w:p>
        </w:tc>
        <w:tc>
          <w:tcPr>
            <w:tcW w:w="819" w:type="dxa"/>
            <w:noWrap w:val="0"/>
            <w:vAlign w:val="center"/>
          </w:tcPr>
          <w:p>
            <w:pPr>
              <w:jc w:val="center"/>
              <w:rPr>
                <w:rFonts w:hint="eastAsia"/>
                <w:color w:val="auto"/>
              </w:rPr>
            </w:pPr>
          </w:p>
          <w:p>
            <w:pPr>
              <w:jc w:val="center"/>
              <w:rPr>
                <w:rFonts w:hint="eastAsia"/>
                <w:color w:val="auto"/>
              </w:rPr>
            </w:pP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jc w:val="center"/>
              <w:rPr>
                <w:rFonts w:hint="eastAsia"/>
                <w:color w:val="auto"/>
              </w:rPr>
            </w:pPr>
            <w:r>
              <w:rPr>
                <w:rFonts w:hint="eastAsia"/>
                <w:color w:val="auto"/>
              </w:rPr>
              <w:t>3</w:t>
            </w:r>
          </w:p>
        </w:tc>
        <w:tc>
          <w:tcPr>
            <w:tcW w:w="1157" w:type="dxa"/>
            <w:noWrap w:val="0"/>
            <w:vAlign w:val="center"/>
          </w:tcPr>
          <w:p>
            <w:pPr>
              <w:jc w:val="center"/>
              <w:rPr>
                <w:rFonts w:hint="eastAsia" w:eastAsia="宋体"/>
                <w:color w:val="auto"/>
                <w:lang w:val="en-US" w:eastAsia="zh-CN"/>
              </w:rPr>
            </w:pPr>
            <w:r>
              <w:rPr>
                <w:rFonts w:hint="eastAsia"/>
                <w:color w:val="auto"/>
              </w:rPr>
              <w:t>智能讲台</w:t>
            </w:r>
          </w:p>
        </w:tc>
        <w:tc>
          <w:tcPr>
            <w:tcW w:w="6615" w:type="dxa"/>
            <w:noWrap w:val="0"/>
            <w:vAlign w:val="top"/>
          </w:tcPr>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1.智能讲台结构：木结构部分均采用E0级木质板材结构。甲醛释放量≤0.05mg/m3。桌面防静电；</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2.智能讲台根据人体力学设计，讲台桌面高度合适老师放置教学用品，讲台产品外观桌面平整，边缘光滑，无棱角处理，保护师生安全；</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rPr>
              <w:t xml:space="preserve">3. </w:t>
            </w:r>
            <w:r>
              <w:rPr>
                <w:rFonts w:hint="eastAsia" w:ascii="宋体" w:hAnsi="宋体" w:eastAsia="宋体" w:cs="宋体"/>
                <w:color w:val="auto"/>
                <w:sz w:val="20"/>
                <w:szCs w:val="20"/>
                <w:u w:val="single"/>
              </w:rPr>
              <w:t>采用≥21.5英寸电容式触摸屏，</w:t>
            </w:r>
            <w:r>
              <w:rPr>
                <w:rFonts w:hint="eastAsia" w:ascii="宋体" w:hAnsi="宋体" w:eastAsia="宋体" w:cs="宋体"/>
                <w:color w:val="auto"/>
                <w:sz w:val="20"/>
                <w:szCs w:val="20"/>
                <w:u w:val="none"/>
              </w:rPr>
              <w:t>支持10点触控，屏幕亮度≥300cd/㎡；对比度≥1000:1，分辨率≥1920*1080。</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4. 正面屏幕采用物理防爆钢化玻璃，表面硬度值7H，不易受尖物刮伤及磨损,耐重物冲击</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5.智能讲台触控屏幕稳定固定在讲台中，无突出边角，屏幕无法在没有工具的情况下拆除。</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6.智能讲台支持通过讲台屏幕对一体机的画面进行控制，同时支持同步显示一体机画面，老师讲课无需转身背对学生，提高授课效率；</w:t>
            </w:r>
          </w:p>
          <w:p>
            <w:pPr>
              <w:jc w:val="both"/>
              <w:rPr>
                <w:rFonts w:hint="eastAsia" w:ascii="宋体" w:hAnsi="宋体" w:eastAsia="宋体" w:cs="宋体"/>
                <w:color w:val="auto"/>
                <w:sz w:val="20"/>
                <w:szCs w:val="20"/>
                <w:u w:val="none"/>
                <w:lang w:eastAsia="zh-CN"/>
              </w:rPr>
            </w:pPr>
            <w:r>
              <w:rPr>
                <w:rFonts w:hint="eastAsia" w:ascii="宋体" w:hAnsi="宋体" w:eastAsia="宋体" w:cs="宋体"/>
                <w:color w:val="auto"/>
                <w:sz w:val="20"/>
                <w:szCs w:val="20"/>
                <w:u w:val="none"/>
              </w:rPr>
              <w:t>9.讲桌桌面内置弹射式接口面板，包含≥1个HDMI接口、≥1个VGA接口、≥1个USB口、≥1个网络接口、≥1个音频接口等，不使用时，可按下与桌面平齐，避免受到撞击，支持笔记本电脑接入</w:t>
            </w:r>
            <w:r>
              <w:rPr>
                <w:rFonts w:hint="eastAsia" w:ascii="宋体" w:hAnsi="宋体" w:eastAsia="宋体" w:cs="宋体"/>
                <w:color w:val="auto"/>
                <w:sz w:val="20"/>
                <w:szCs w:val="20"/>
                <w:u w:val="none"/>
                <w:lang w:eastAsia="zh-CN"/>
              </w:rPr>
              <w:t>。</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10.智能讲台支持</w:t>
            </w:r>
            <w:r>
              <w:rPr>
                <w:rFonts w:hint="eastAsia" w:ascii="宋体" w:hAnsi="宋体" w:eastAsia="宋体" w:cs="宋体"/>
                <w:color w:val="auto"/>
                <w:sz w:val="20"/>
                <w:szCs w:val="20"/>
                <w:u w:val="none"/>
                <w:lang w:val="en-US" w:eastAsia="zh-CN"/>
              </w:rPr>
              <w:t>扩展</w:t>
            </w:r>
            <w:r>
              <w:rPr>
                <w:rFonts w:hint="eastAsia" w:ascii="宋体" w:hAnsi="宋体" w:eastAsia="宋体" w:cs="宋体"/>
                <w:color w:val="auto"/>
                <w:sz w:val="20"/>
                <w:szCs w:val="20"/>
                <w:u w:val="none"/>
              </w:rPr>
              <w:t>蓝牙BLE功能，</w:t>
            </w:r>
            <w:r>
              <w:rPr>
                <w:rFonts w:hint="eastAsia" w:ascii="宋体" w:hAnsi="宋体" w:eastAsia="宋体" w:cs="宋体"/>
                <w:color w:val="auto"/>
                <w:sz w:val="20"/>
                <w:szCs w:val="20"/>
                <w:u w:val="none"/>
                <w:lang w:val="en-US" w:eastAsia="zh-CN"/>
              </w:rPr>
              <w:t>可</w:t>
            </w:r>
            <w:r>
              <w:rPr>
                <w:rFonts w:hint="eastAsia" w:ascii="宋体" w:hAnsi="宋体" w:eastAsia="宋体" w:cs="宋体"/>
                <w:color w:val="auto"/>
                <w:sz w:val="20"/>
                <w:szCs w:val="20"/>
                <w:u w:val="none"/>
              </w:rPr>
              <w:t>无线控制支持</w:t>
            </w:r>
            <w:r>
              <w:rPr>
                <w:rFonts w:hint="eastAsia" w:ascii="宋体" w:hAnsi="宋体" w:eastAsia="宋体" w:cs="宋体"/>
                <w:color w:val="auto"/>
                <w:sz w:val="20"/>
                <w:szCs w:val="20"/>
                <w:u w:val="none"/>
                <w:lang w:val="en-US" w:eastAsia="zh-CN"/>
              </w:rPr>
              <w:t>扩展</w:t>
            </w:r>
            <w:r>
              <w:rPr>
                <w:rFonts w:hint="eastAsia" w:ascii="宋体" w:hAnsi="宋体" w:eastAsia="宋体" w:cs="宋体"/>
                <w:color w:val="auto"/>
                <w:sz w:val="20"/>
                <w:szCs w:val="20"/>
                <w:u w:val="none"/>
              </w:rPr>
              <w:t>蓝牙功能的一体机产品，减少额外连线或二次装修部署；</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11.质保：提供10年原厂质保服务；提供实施安装集成调试服务；提供原厂终生售后服务承诺函。</w:t>
            </w:r>
          </w:p>
        </w:tc>
        <w:tc>
          <w:tcPr>
            <w:tcW w:w="931" w:type="dxa"/>
            <w:noWrap w:val="0"/>
            <w:vAlign w:val="center"/>
          </w:tcPr>
          <w:p>
            <w:pPr>
              <w:jc w:val="center"/>
              <w:rPr>
                <w:rFonts w:hint="default"/>
                <w:color w:val="auto"/>
                <w:lang w:val="en-US" w:eastAsia="zh-CN"/>
              </w:rPr>
            </w:pPr>
            <w:r>
              <w:rPr>
                <w:rFonts w:hint="eastAsia"/>
                <w:color w:val="auto"/>
              </w:rPr>
              <w:t>1</w:t>
            </w:r>
            <w:r>
              <w:rPr>
                <w:rFonts w:hint="eastAsia"/>
                <w:color w:val="auto"/>
                <w:lang w:val="en-US" w:eastAsia="zh-CN"/>
              </w:rPr>
              <w:t>60</w:t>
            </w:r>
          </w:p>
          <w:p>
            <w:pPr>
              <w:jc w:val="center"/>
              <w:rPr>
                <w:rFonts w:hint="eastAsia"/>
                <w:color w:val="auto"/>
              </w:rPr>
            </w:pPr>
          </w:p>
        </w:tc>
        <w:tc>
          <w:tcPr>
            <w:tcW w:w="819" w:type="dxa"/>
            <w:noWrap w:val="0"/>
            <w:vAlign w:val="center"/>
          </w:tcPr>
          <w:p>
            <w:pPr>
              <w:ind w:firstLine="210" w:firstLineChars="100"/>
              <w:jc w:val="both"/>
              <w:rPr>
                <w:rFonts w:hint="eastAsia"/>
                <w:color w:val="auto"/>
              </w:rPr>
            </w:pPr>
            <w:r>
              <w:rPr>
                <w:rFonts w:hint="eastAsia"/>
                <w:color w:val="auto"/>
              </w:rPr>
              <w:t>套</w:t>
            </w:r>
          </w:p>
          <w:p>
            <w:pPr>
              <w:ind w:firstLine="210" w:firstLineChars="100"/>
              <w:jc w:val="both"/>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jc w:val="center"/>
              <w:rPr>
                <w:rFonts w:hint="eastAsia"/>
                <w:color w:val="auto"/>
              </w:rPr>
            </w:pPr>
            <w:r>
              <w:rPr>
                <w:rFonts w:hint="eastAsia"/>
                <w:color w:val="auto"/>
              </w:rPr>
              <w:t>4</w:t>
            </w:r>
          </w:p>
        </w:tc>
        <w:tc>
          <w:tcPr>
            <w:tcW w:w="1157" w:type="dxa"/>
            <w:noWrap w:val="0"/>
            <w:vAlign w:val="center"/>
          </w:tcPr>
          <w:p>
            <w:pPr>
              <w:jc w:val="center"/>
              <w:rPr>
                <w:rFonts w:hint="eastAsia"/>
                <w:color w:val="auto"/>
              </w:rPr>
            </w:pPr>
            <w:r>
              <w:rPr>
                <w:rFonts w:hint="eastAsia"/>
                <w:color w:val="auto"/>
              </w:rPr>
              <w:t>扩声音箱</w:t>
            </w:r>
          </w:p>
        </w:tc>
        <w:tc>
          <w:tcPr>
            <w:tcW w:w="6615" w:type="dxa"/>
            <w:noWrap w:val="0"/>
            <w:vAlign w:val="top"/>
          </w:tcPr>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1.两分频设计；</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2.二路话筒输入（环保麦克风插口自带DC+6V电源）；</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3.话筒音量、高低音调节，可以独立控制；</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4.带一路广播优先接口，当有广播信号时自动切换；</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5.吊挂方便，快捷，具有听感好、效率高、工作稳定可靠的特点；</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6.标配壁挂安装配件，吊装简单方便。</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主要技术参数：</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1.额定功率：50W；</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2.额定阻抗：4Ω；</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3.频率响应：55Hz-18kHz；</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4.驱动器：1个5.5寸长冲程低音驱动器、1个前纸盆高音；</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5.额定输入电平：话筒 15mV（非平衡）；输入：1路广播输入（70V－110V输入），2路立体声RCA接口；</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6.灵敏度：85dB/1W/1M；</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7.信噪比：85dB；</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8.最大声压级：96dB；</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9.箱体型式：倒相式；</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10.箱体及外饰：高密度中纤板（黑色）箱体，棉网；</w:t>
            </w:r>
          </w:p>
          <w:p>
            <w:pPr>
              <w:jc w:val="both"/>
              <w:rPr>
                <w:rFonts w:hint="eastAsia"/>
                <w:color w:val="auto"/>
              </w:rPr>
            </w:pPr>
            <w:r>
              <w:rPr>
                <w:rFonts w:hint="eastAsia" w:ascii="宋体" w:hAnsi="宋体" w:eastAsia="宋体" w:cs="宋体"/>
                <w:color w:val="auto"/>
                <w:sz w:val="20"/>
                <w:szCs w:val="20"/>
                <w:u w:val="none"/>
              </w:rPr>
              <w:t>11.安装：标配壁挂架；</w:t>
            </w:r>
          </w:p>
        </w:tc>
        <w:tc>
          <w:tcPr>
            <w:tcW w:w="931" w:type="dxa"/>
            <w:noWrap w:val="0"/>
            <w:vAlign w:val="center"/>
          </w:tcPr>
          <w:p>
            <w:pPr>
              <w:jc w:val="center"/>
              <w:rPr>
                <w:rFonts w:hint="default" w:eastAsia="宋体"/>
                <w:color w:val="auto"/>
                <w:lang w:val="en-US" w:eastAsia="zh-CN"/>
              </w:rPr>
            </w:pPr>
            <w:r>
              <w:rPr>
                <w:rFonts w:hint="eastAsia"/>
                <w:color w:val="auto"/>
              </w:rPr>
              <w:t>1</w:t>
            </w:r>
            <w:r>
              <w:rPr>
                <w:rFonts w:hint="eastAsia"/>
                <w:color w:val="auto"/>
                <w:lang w:val="en-US" w:eastAsia="zh-CN"/>
              </w:rPr>
              <w:t>60</w:t>
            </w:r>
          </w:p>
        </w:tc>
        <w:tc>
          <w:tcPr>
            <w:tcW w:w="819" w:type="dxa"/>
            <w:noWrap w:val="0"/>
            <w:vAlign w:val="center"/>
          </w:tcPr>
          <w:p>
            <w:pPr>
              <w:jc w:val="center"/>
              <w:rPr>
                <w:rFonts w:hint="eastAsia"/>
                <w:color w:val="auto"/>
              </w:rPr>
            </w:pPr>
            <w:r>
              <w:rPr>
                <w:rFonts w:hint="eastAsia"/>
                <w:color w:val="auto"/>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jc w:val="center"/>
              <w:rPr>
                <w:rFonts w:hint="eastAsia"/>
                <w:color w:val="auto"/>
              </w:rPr>
            </w:pPr>
            <w:r>
              <w:rPr>
                <w:rFonts w:hint="eastAsia"/>
                <w:color w:val="auto"/>
              </w:rPr>
              <w:t>5</w:t>
            </w:r>
          </w:p>
        </w:tc>
        <w:tc>
          <w:tcPr>
            <w:tcW w:w="1157" w:type="dxa"/>
            <w:noWrap w:val="0"/>
            <w:vAlign w:val="center"/>
          </w:tcPr>
          <w:p>
            <w:pPr>
              <w:jc w:val="center"/>
              <w:rPr>
                <w:rFonts w:hint="eastAsia"/>
                <w:color w:val="auto"/>
              </w:rPr>
            </w:pPr>
            <w:r>
              <w:rPr>
                <w:rFonts w:hint="eastAsia"/>
                <w:color w:val="auto"/>
              </w:rPr>
              <w:t>数字阵列麦克风</w:t>
            </w:r>
          </w:p>
        </w:tc>
        <w:tc>
          <w:tcPr>
            <w:tcW w:w="6615" w:type="dxa"/>
            <w:noWrap w:val="0"/>
            <w:vAlign w:val="top"/>
          </w:tcPr>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1.支持无感扩音，免接触，便于防疫和保持健康的教学环境；</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2.教师可以在教室更大范围内自由走动，教室内的学生的发言都可被拾取，师生可以互相听到对方清晰的语音；</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3.内置音频处理单元，超低信号处理延时，无需额外机柜放置机架式音频处理器，易于快速低成本安装部署</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rPr>
              <w:t>4.采用麦克风阵列：</w:t>
            </w:r>
            <w:r>
              <w:rPr>
                <w:rFonts w:hint="eastAsia" w:ascii="宋体" w:hAnsi="宋体" w:eastAsia="宋体" w:cs="宋体"/>
                <w:color w:val="auto"/>
                <w:sz w:val="20"/>
                <w:szCs w:val="20"/>
                <w:u w:val="single"/>
              </w:rPr>
              <w:t>内置至少6个拾音麦</w:t>
            </w:r>
            <w:r>
              <w:rPr>
                <w:rFonts w:hint="eastAsia" w:ascii="宋体" w:hAnsi="宋体" w:eastAsia="宋体" w:cs="宋体"/>
                <w:color w:val="auto"/>
                <w:sz w:val="20"/>
                <w:szCs w:val="20"/>
                <w:u w:val="none"/>
              </w:rPr>
              <w:t>，360°全向拾音；</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5.3米远距离拾音，本地无感扩音，免接触，便于防疫和保持健康的教学环境；</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6.内置嵌入式软件和音频处理模块，免配置，即插即用；无需使用额外的音频处理主机；</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7.灵敏度：≥-38dBFS；</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8.信噪比：≥65dB（A）；</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9.频率响应：≥50Hz-8KHz；</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10.端到端总延时 ≤ 18ms；</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11.噪声抑制量至少 30db；</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12.音频输出：2路Spk-out 3.5mm接口线性输出；</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13.啸叫抑制：支持</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14.增益控制：支持</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15.混响抑制：支持</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16.具备反馈抑制功能，有效抑制啸叫现象；</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17.具备自适应校准能力在不同场地均能实现自动校准，无需配手工置；</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18.支持通过红外遥控器开关MIC，调节音量</w:t>
            </w:r>
          </w:p>
          <w:p>
            <w:pPr>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19.供电采用USB DC 5V，可使用常规USB接口充电。</w:t>
            </w:r>
          </w:p>
          <w:p>
            <w:pPr>
              <w:jc w:val="both"/>
              <w:rPr>
                <w:rFonts w:hint="eastAsia"/>
                <w:color w:val="auto"/>
              </w:rPr>
            </w:pPr>
            <w:r>
              <w:rPr>
                <w:rFonts w:hint="eastAsia" w:ascii="宋体" w:hAnsi="宋体" w:eastAsia="宋体" w:cs="宋体"/>
                <w:color w:val="auto"/>
                <w:sz w:val="20"/>
                <w:szCs w:val="20"/>
                <w:u w:val="none"/>
              </w:rPr>
              <w:t>20.USB接口：支持软件升级和参数配置；</w:t>
            </w:r>
          </w:p>
        </w:tc>
        <w:tc>
          <w:tcPr>
            <w:tcW w:w="931" w:type="dxa"/>
            <w:noWrap w:val="0"/>
            <w:vAlign w:val="center"/>
          </w:tcPr>
          <w:p>
            <w:pPr>
              <w:jc w:val="center"/>
              <w:rPr>
                <w:rFonts w:hint="default" w:eastAsia="宋体"/>
                <w:color w:val="auto"/>
                <w:lang w:val="en-US" w:eastAsia="zh-CN"/>
              </w:rPr>
            </w:pPr>
            <w:r>
              <w:rPr>
                <w:rFonts w:hint="eastAsia"/>
                <w:color w:val="auto"/>
              </w:rPr>
              <w:t>1</w:t>
            </w:r>
            <w:r>
              <w:rPr>
                <w:rFonts w:hint="eastAsia"/>
                <w:color w:val="auto"/>
                <w:lang w:val="en-US" w:eastAsia="zh-CN"/>
              </w:rPr>
              <w:t>60</w:t>
            </w:r>
          </w:p>
        </w:tc>
        <w:tc>
          <w:tcPr>
            <w:tcW w:w="819" w:type="dxa"/>
            <w:noWrap w:val="0"/>
            <w:vAlign w:val="center"/>
          </w:tcPr>
          <w:p>
            <w:pPr>
              <w:jc w:val="center"/>
              <w:rPr>
                <w:rFonts w:hint="eastAsia"/>
                <w:color w:val="auto"/>
              </w:rPr>
            </w:pP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noWrap w:val="0"/>
            <w:vAlign w:val="center"/>
          </w:tcPr>
          <w:p>
            <w:pPr>
              <w:jc w:val="center"/>
              <w:rPr>
                <w:rFonts w:hint="default" w:eastAsia="宋体"/>
                <w:color w:val="auto"/>
                <w:lang w:val="en-US" w:eastAsia="zh-CN"/>
              </w:rPr>
            </w:pPr>
            <w:r>
              <w:rPr>
                <w:rFonts w:hint="eastAsia"/>
                <w:color w:val="auto"/>
                <w:lang w:val="en-US" w:eastAsia="zh-CN"/>
              </w:rPr>
              <w:t>6</w:t>
            </w:r>
          </w:p>
        </w:tc>
        <w:tc>
          <w:tcPr>
            <w:tcW w:w="1157" w:type="dxa"/>
            <w:noWrap w:val="0"/>
            <w:vAlign w:val="center"/>
          </w:tcPr>
          <w:p>
            <w:pPr>
              <w:jc w:val="center"/>
              <w:rPr>
                <w:rFonts w:hint="default"/>
                <w:color w:val="auto"/>
                <w:lang w:val="en-US" w:eastAsia="zh-CN"/>
              </w:rPr>
            </w:pPr>
            <w:r>
              <w:rPr>
                <w:rFonts w:hint="eastAsia"/>
                <w:color w:val="FF0000"/>
              </w:rPr>
              <w:t>教师双人办公桌椅（一桌两椅）</w:t>
            </w:r>
          </w:p>
        </w:tc>
        <w:tc>
          <w:tcPr>
            <w:tcW w:w="6615" w:type="dxa"/>
            <w:noWrap w:val="0"/>
            <w:vAlign w:val="top"/>
          </w:tcPr>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办公桌尺寸：1400*1400*760mm</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材质：三氢板+钢制</w:t>
            </w:r>
          </w:p>
          <w:p>
            <w:pPr>
              <w:jc w:val="both"/>
              <w:rPr>
                <w:rFonts w:hint="default"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颜色：暖白+新靓木</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参数：1.基材：采用优质25mm厚度刨花板，板材含水率≤9%，2h吸水厚度膨胀率：≤4%，握螺钉力：板面握螺钉力≥1400N；板边握螺钉力≥1100N，总挥发性有机化合物 (TVOC)未检出，甲醛释放量≤0.015mg/m³，防霉菌性能等级0级，须符合GB/T39600-2021、JC/T2039-2010、GB18580-2017、GB/T 4897-2015、GB/T35601-2017标准；投标人须提供满足或优于上述技术指标要求的省级或省级以上权威检测机构出具的一年内刨花板抽样检验报告，提供报告须带有报告二维码可查询。</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2.饰面：采用优质三聚氰胺浸渍纸饰面，表面耐划痕：试件表面无大于90%的连续划痕，表面耐磨：磨耗值：≤40mg/100r，表面耐香烟灼烧4级以上，表面耐干热4级以上，表面耐龟裂4级以上，表面耐水蒸气4级以上，甲醛释放量未检出，具有耐污、耐刻划、易清洁等特点，须符合GB/T 15102-2017、GB 18580-2017标准；投标人须提供满足或优于上述技术指标要求的省级或省级以上权威检测机构出具的一年内三聚氰胺浸渍纸饰面抽样检验报告，提供报告须带有报告二维码可查询。</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3.封边采用优质ABS激光封边条，无毛刺、棱角；耐开裂性耐龟裂性1级，甲醛释放量、多溴联苯、多溴联苯醚、可溶性重金属、邻苯二甲酸酯、氯乙烯单体均未检出，符合《家具用封边条技术要求》的标准；投标人须提供满足或优于上述技术指标要求的省级或省级以上权威检测机构出具的一年内ABS激光封边条抽样检验报告，提供报告须带有报告二维码可查询。</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 xml:space="preserve">4.桌架桌腿采用优质55*55*1.5mm三角形钢管，连接横梁采用50*25*1.5mm矩形钢管；外形为口字型，底部带调平脚，结构稳固；钢制件外表面金属部分经下料、冲切、折弯、组焊、打磨、脱脂、酸洗、磷化、表调、高压静电喷塑处理；桌面挡板采用优质亚克力板，厚度为8mm；活动柜顶板采用25mm厚三聚氰胺板制作，其余采用18mm厚三聚氰胺板制作；                                    </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 xml:space="preserve">5.三合一连接件：采用优质三合一连接件，三合一偏心连接件偏心体抗压强度≥240N，三合一偏心连接件预理螺母抗拉强度≥550N，乙酸盐雾镀(涂)层本身耐腐蚀等级10级；乙酸盐雾镀(涂)层对基体的保护等级10级；须符合GB/T28203-2011、QB/T 3832-1999、QB/T 3827-1999标准；投标人须提供满足或优于上述技术指标要求的省级或省级以上权威检测机构出具的一年内三合一连接件抽样检验报告，提供报告须带有报告二维码可查询；                                            </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办公椅尺寸：480*650*970mm</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材质：网眼布</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颜色：黑色</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参数：1.椅背面料：采用优质网布饰面；</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2.座板面料：采用优质麻绒面料，甲醛含量未检出，染色牢度：耐水、耐酸汗渍、耐碱汗渍、耐干摩擦、耐唾液变色4-5级，沾色4-5级，20种以上可分解致癌芳香胺燃料均未检出；须符合GB 18401-2010、GB 8624-2012、QB/T 4371-2012、HJ 2546-2016、GB/T 35611-2017标准；</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3.海绵：采用优质定型海绵，物理力学性能回弹率≥60%，甲醛释放量≤0.008mg/㎡h，25%压陷硬度≥150N，撕裂强度≥3N/cm，75%压缩永久变形≤5%；TVOC未检出，阻燃等级达到I级，须符合GB/T10802--2006、GB17927.1-2011、QB/T 2280-2016标准；</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4.座板：采用15mm实木多层板，胶合强度≥0.8MPa，含水率≤10%，甲醛释放量≤0.015mg/m³，苯、甲苯、二甲苯、总挥发性有机化合物(TVOC)均未检出，须符合GB/T 39600-2021、GB 18580-2017、HJ 571-2010、GB/T 9846-2015、GB/T 22350-2017、GB/T 34722-2017、GB/T35601-2017标准；</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5.椅背框架：靠背骨架采用PA材质加高强度玻璃纤维，5cm上下升降调节PP透气腰靠；</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 xml:space="preserve">6.扶手：独立扶手主体采用高强度PP加玻璃纤维材质，扶手通过钢板与靠背和坐垫连接，强度符合BIFMA和QB2280标准。 </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 xml:space="preserve">7.椅架：采用25*2.0mm壁厚的Q195钢管制成，电镀金属工艺；符合BIFMA5.1测试标准,座面载荷109kg，循环测试12万次。  </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8.办公椅：符合①QB/T 2280-2016《办公家具 办公椅》、GB/T 35607-2017《绿色产品评价 家具》、HJ 2547-2016《环境标志产品技术要求 家具》、GB/T 39223.3-2020《健康家居的人类工效学要求 第3部分：办公桌椅》标准；</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②理化性能：软质聚氨酯泡沫塑料：密度：座面：≥55Kg/m3；其他部位：≥48Kg/m3；回弹性≥50%；75%压缩永久变形≤2%；纺织面料：干摩擦色牢度≥4级；金属件涂层：耐盐雾：24h，直径1.5mm以下锈点不多于20点/dm2，其中直径不小于1.0mm的锈点不超过5点(距离边缘棱角2mm以内的不计)；附着力：不低于1级；电镀层：耐盐雾：18h，直径1.5mm以下锈点不多于20点/dm2，其中直径≥1.0mm锈点不超过5点(距离边缘棱角2mm以内的不计)；</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③力学性能：椅背往复耐久性：座面载荷102kg,椅背载荷445N，≥12万次：满足要求；倾斜机构：≥15万次；满足要求；</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④阻燃性：家庭用办公椅的阻燃性应满足GB 17927.1的要求；</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⑤产品有害物质：甲醛释放量≤0.015mg/m3；苯未检出；甲苯未检出；二甲苯未检出；总挥发性有机化合物（TVOC）未检出；可分解芳香胺染料禁用未检出；</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⑥产品表面涂层可迁移元素的限量：锑Sb、砷As、钡Ba、镉Cd、铬Cr、铅Pb、汞Hg、硒Se均未检出；</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投标人须提供满足或优于上述技术指标要求的省级或省级以上权威检测机构出具的一年内办公椅抽样检验报告，提供报告须带有报告二维码可查询。                                                                                                                                                        ★办公桌、椅质保：提供 10 年原厂质保服务；提供实施安装集成调试服务；提供原厂终生售后服务承诺函。</w:t>
            </w:r>
          </w:p>
        </w:tc>
        <w:tc>
          <w:tcPr>
            <w:tcW w:w="931" w:type="dxa"/>
            <w:noWrap w:val="0"/>
            <w:vAlign w:val="center"/>
          </w:tcPr>
          <w:p>
            <w:pPr>
              <w:jc w:val="center"/>
              <w:rPr>
                <w:rFonts w:hint="default"/>
                <w:color w:val="auto"/>
                <w:lang w:val="en-US" w:eastAsia="zh-CN"/>
              </w:rPr>
            </w:pPr>
            <w:r>
              <w:rPr>
                <w:rFonts w:hint="default"/>
                <w:color w:val="auto"/>
                <w:lang w:eastAsia="zh-CN"/>
              </w:rPr>
              <w:t>50</w:t>
            </w:r>
          </w:p>
        </w:tc>
        <w:tc>
          <w:tcPr>
            <w:tcW w:w="819" w:type="dxa"/>
            <w:noWrap w:val="0"/>
            <w:vAlign w:val="center"/>
          </w:tcPr>
          <w:p>
            <w:pPr>
              <w:jc w:val="center"/>
              <w:rPr>
                <w:rFonts w:hint="default"/>
                <w:color w:val="auto"/>
                <w:lang w:val="en-US" w:eastAsia="zh-CN"/>
              </w:rPr>
            </w:pPr>
            <w:r>
              <w:rPr>
                <w:rFonts w:hint="default"/>
                <w:color w:val="auto"/>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0" w:type="dxa"/>
            <w:noWrap w:val="0"/>
            <w:vAlign w:val="center"/>
          </w:tcPr>
          <w:p>
            <w:pPr>
              <w:ind w:left="0" w:leftChars="0" w:firstLine="0" w:firstLineChars="0"/>
              <w:jc w:val="center"/>
              <w:rPr>
                <w:rFonts w:hint="eastAsia"/>
                <w:color w:val="auto"/>
                <w:lang w:val="en-US" w:eastAsia="zh-CN"/>
              </w:rPr>
            </w:pPr>
            <w:r>
              <w:rPr>
                <w:rFonts w:hint="eastAsia"/>
                <w:color w:val="auto"/>
                <w:lang w:val="en-US" w:eastAsia="zh-CN"/>
              </w:rPr>
              <w:t>7</w:t>
            </w:r>
          </w:p>
        </w:tc>
        <w:tc>
          <w:tcPr>
            <w:tcW w:w="1157" w:type="dxa"/>
            <w:noWrap w:val="0"/>
            <w:vAlign w:val="center"/>
          </w:tcPr>
          <w:p>
            <w:pPr>
              <w:ind w:left="0" w:leftChars="0" w:firstLine="0" w:firstLineChars="0"/>
              <w:jc w:val="center"/>
              <w:rPr>
                <w:rFonts w:hint="eastAsia"/>
                <w:color w:val="auto"/>
                <w:vertAlign w:val="baseline"/>
                <w:lang w:val="en-US" w:eastAsia="zh-CN"/>
              </w:rPr>
            </w:pPr>
            <w:r>
              <w:rPr>
                <w:rFonts w:hint="eastAsia"/>
                <w:color w:val="FF0000"/>
              </w:rPr>
              <w:t>培训桌椅（一桌两椅）</w:t>
            </w:r>
          </w:p>
        </w:tc>
        <w:tc>
          <w:tcPr>
            <w:tcW w:w="6615" w:type="dxa"/>
            <w:noWrap w:val="0"/>
            <w:vAlign w:val="top"/>
          </w:tcPr>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培训桌尺寸：1200*450*760mm</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材质：三聚氰胺板+钢制</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颜色：新靓木+黑色</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参数：1.基材：采用优质25mm厚度刨花板，板材含水率≤9%，2h吸水厚度膨胀率：≤4%，握螺钉力：板面握螺钉力≥1400N；板边握螺钉力≥1100N，总挥发性有机化合物 (TVOC)未检出，甲醛释放量≤0.015mg/m³，防霉菌性能等级0级，须符合GB/T39600-2021、JC/T2039-2010、GB18580-2017、GB/T 4897-2015、GB/T35601-2017标准；投标人须提供满足或优于上述技术指标要求的省级或省级以上权威检测机构出具的一年内刨花板抽样检验报告，提供报告须带有报告二维码可查询。</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2.饰面：采用优质三聚氰胺浸渍纸饰面，表面耐划痕：试件表面无大于90%的连续划痕，表面耐磨：磨耗值：≤40mg/100r，表面耐香烟灼烧4级以上，表面耐干热4级以上，表面耐龟裂4级以上，表面耐水蒸气4级以上，甲醛释放量未检出，具有耐污、耐刻划、易清洁等特点，须符合GB/T 15102-2017、GB 18580-2017标准；投标人须提供满足或优于上述技术指标要求的省级或省级以上权威检测机构出具的一年内三聚氰胺浸渍纸饰面抽样检验报告，提供报告须带有报告二维码可查询。</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3.封边采用优质ABS激光封边条，无毛刺、棱角；耐开裂性耐龟裂性1级，甲醛释放量、多溴联苯、多溴联苯醚、可溶性重金属、邻苯二甲酸酯、氯乙烯单体均未检出，符合《家具用封边条技术要求》的标准；投标人须提供满足或优于上述技术指标要求的省级或省级以上权威检测机构出具的一年内ABS激光封边条抽样检验报告，提供报告须带有报告二维码可查询。</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 xml:space="preserve">4.桌架：中柱采用45*74*2.0mm冷轧钢管，顶托采用2.0mm冷轧钢板折弯而成，书网采用钢制外焊直径15mm圆管制作而成，连杆采用30*60*1.5mm连杆，带翻转折叠功能；表面全处理后高温静电喷涂，手按折叠开关，带刹车PU静音轮；                                                                                                                                                                                  </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培训椅尺寸：510*560*860mm</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材质:网眼布</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颜色:黑色</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参数：1.面料：采用优质阻燃网布，手感舒适，透气性强，抗静电、防污染，须符合QB/T 1952.1-2012《软体家具沙发》检验标准；</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2.坐板面料：采用优质布绒面料软包，手感舒适，透气性强，抗静电.防污染；</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3.海绵：采用优质定型海绵，物理力学性能回弹率≥60%，甲醛释放量≤0.008mg/㎡h，25%压陷硬度≥150N，撕裂强度≥3N/cm，75%压缩永久变形≤5%；TVOC未检出，阻燃等级达到I级，须符合GB/T10802--2006、GB17927.1-2011、QB/T 2280-2016标准；</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4.座板：采用15mm胶合板，胶合强度≥0.8MPa，含水率≤10%，甲醛释放量≤0.015mg/m³，苯、甲苯、二甲苯、总挥发性有机化合物(TVOC)均未检出，须符合GB/T 39600-2021、GB 18580-2017、HJ 571-2010、GB/T 9846-2015、GB/T 22350-2017、GB/T 34722-2017、GB/T35601-2017标准；</w:t>
            </w:r>
          </w:p>
          <w:p>
            <w:pPr>
              <w:jc w:val="both"/>
              <w:rPr>
                <w:rFonts w:hint="eastAsia"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5.椅架：采用优质31*19*1.5mm喷涂金属椅架，椅脚带PP软垫，防止划伤地面；</w:t>
            </w:r>
          </w:p>
          <w:p>
            <w:pPr>
              <w:jc w:val="both"/>
              <w:rPr>
                <w:rFonts w:hint="default" w:ascii="宋体" w:hAnsi="宋体" w:eastAsia="宋体" w:cs="宋体"/>
                <w:color w:val="FF0000"/>
                <w:sz w:val="20"/>
                <w:szCs w:val="20"/>
                <w:u w:val="none"/>
                <w:lang w:val="en-US" w:eastAsia="zh-CN"/>
              </w:rPr>
            </w:pPr>
            <w:r>
              <w:rPr>
                <w:rFonts w:hint="eastAsia" w:ascii="宋体" w:hAnsi="宋体" w:eastAsia="宋体" w:cs="宋体"/>
                <w:color w:val="FF0000"/>
                <w:sz w:val="20"/>
                <w:szCs w:val="20"/>
                <w:u w:val="none"/>
                <w:lang w:val="en-US" w:eastAsia="zh-CN"/>
              </w:rPr>
              <w:t>6.钢制件外表面全部采用除油、除锈、磷化、清洗、静电喷涂；焊接与连接部位牢固、可靠，产品外露部件均无尖锐棱角；</w:t>
            </w:r>
          </w:p>
          <w:p>
            <w:pPr>
              <w:jc w:val="both"/>
              <w:rPr>
                <w:rFonts w:hint="eastAsia" w:ascii="宋体" w:hAnsi="宋体" w:eastAsia="宋体" w:cs="宋体"/>
                <w:color w:val="FF0000"/>
                <w:sz w:val="20"/>
                <w:szCs w:val="20"/>
                <w:u w:val="none"/>
              </w:rPr>
            </w:pPr>
            <w:r>
              <w:rPr>
                <w:rFonts w:hint="eastAsia" w:ascii="宋体" w:hAnsi="宋体" w:eastAsia="宋体" w:cs="宋体"/>
                <w:color w:val="FF0000"/>
                <w:sz w:val="20"/>
                <w:szCs w:val="20"/>
                <w:u w:val="none"/>
                <w:lang w:val="en-US" w:eastAsia="zh-CN"/>
              </w:rPr>
              <w:t>★培训桌、椅质保：提供 10 年原厂质保服务；提供实施安装集成调试服务；提供原厂终生售后服务承诺函。</w:t>
            </w:r>
          </w:p>
        </w:tc>
        <w:tc>
          <w:tcPr>
            <w:tcW w:w="931" w:type="dxa"/>
            <w:noWrap w:val="0"/>
            <w:vAlign w:val="center"/>
          </w:tcPr>
          <w:p>
            <w:pPr>
              <w:jc w:val="center"/>
              <w:rPr>
                <w:rFonts w:hint="eastAsia"/>
                <w:color w:val="auto"/>
                <w:lang w:val="en-US" w:eastAsia="zh-CN"/>
              </w:rPr>
            </w:pPr>
            <w:r>
              <w:rPr>
                <w:rFonts w:hint="default" w:cs="Times New Roman"/>
                <w:color w:val="auto"/>
                <w:kern w:val="2"/>
                <w:sz w:val="21"/>
                <w:szCs w:val="22"/>
                <w:lang w:eastAsia="zh-CN" w:bidi="ar-SA"/>
              </w:rPr>
              <w:t>46</w:t>
            </w:r>
          </w:p>
        </w:tc>
        <w:tc>
          <w:tcPr>
            <w:tcW w:w="819" w:type="dxa"/>
            <w:noWrap w:val="0"/>
            <w:vAlign w:val="center"/>
          </w:tcPr>
          <w:p>
            <w:pPr>
              <w:jc w:val="center"/>
              <w:rPr>
                <w:rFonts w:hint="eastAsia"/>
                <w:color w:val="auto"/>
                <w:lang w:val="en-US" w:eastAsia="zh-CN"/>
              </w:rPr>
            </w:pPr>
            <w:r>
              <w:rPr>
                <w:rFonts w:hint="default"/>
                <w:color w:val="auto"/>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jc w:val="center"/>
              <w:rPr>
                <w:rFonts w:hint="default"/>
                <w:color w:val="auto"/>
                <w:lang w:val="en-US" w:eastAsia="zh-CN"/>
              </w:rPr>
            </w:pPr>
            <w:r>
              <w:rPr>
                <w:rFonts w:hint="eastAsia"/>
                <w:color w:val="auto"/>
                <w:lang w:val="en-US" w:eastAsia="zh-CN"/>
              </w:rPr>
              <w:t>8</w:t>
            </w:r>
          </w:p>
        </w:tc>
        <w:tc>
          <w:tcPr>
            <w:tcW w:w="1157" w:type="dxa"/>
            <w:noWrap w:val="0"/>
            <w:vAlign w:val="center"/>
          </w:tcPr>
          <w:p>
            <w:pPr>
              <w:jc w:val="center"/>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数据采集监测系统</w:t>
            </w:r>
          </w:p>
        </w:tc>
        <w:tc>
          <w:tcPr>
            <w:tcW w:w="6615" w:type="dxa"/>
            <w:noWrap w:val="0"/>
            <w:vAlign w:val="top"/>
          </w:tcPr>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1.具有数据采集监测系统软件产品著作权证书并提供证明材料</w:t>
            </w:r>
            <w:r>
              <w:rPr>
                <w:rFonts w:hint="eastAsia" w:ascii="宋体" w:hAnsi="宋体" w:eastAsia="宋体" w:cs="宋体"/>
                <w:color w:val="auto"/>
                <w:sz w:val="20"/>
                <w:szCs w:val="20"/>
                <w:u w:val="none"/>
                <w:lang w:eastAsia="zh-CN"/>
              </w:rPr>
              <w:t>。</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2.数据管理</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提供数据导入功能。支持一键批量导入excel格式数据。系统内置教育部文件中所规定的数据集与数据标准。</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提供代码集模型的配置功能，系统内置好教育部文件中所规定的代码。支持查询、新增、修改、删除代码，并展示相应记录。支持配置代码集的代码描述与代码值。</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3.数据采集</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从数据预警核验后的数据流入数据采集模块进行处理。支持批量导入数据。支持导出数据。</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支持删除与修改单条数据，支持批量删除多条数据。</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支持根据数据来源，数据状态对表内数据进行筛选和排序。</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4.数据审核</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支持部门审核人审核数据，勾选数据选择通过或退回，退回时要填写审核意见，将数据退回到数据采集模块交给部门采集人员进行修改后重新提交。支持查看审核意见。</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支持新增单条数据，保存时会做格式校验，未通过不予保存。</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支持修改或删除单条数据记录。支持批量删除多条数据记录。</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支持根据数据状态对表内数据进行筛选。</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支持查看审核记录。</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5.数据复核</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支持学校复核人员复核数据。</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支持查看复核记录，包括复核数量、操作时间、操作人，并支持查看复核具体的数据记录。</w:t>
            </w:r>
          </w:p>
          <w:p>
            <w:pPr>
              <w:jc w:val="both"/>
              <w:rPr>
                <w:rFonts w:hint="default"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6.上报管理</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将上报表封装成数据接口，提供需要上报的数据集的API接口读取服务，同时支持多个接口批量上报。</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支持查看某数据表本次上报的具体数据，以及历史上报情况。</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支持以已成功上报数据与采集数据两种维度进行统计。</w:t>
            </w:r>
          </w:p>
          <w:p>
            <w:pPr>
              <w:jc w:val="both"/>
              <w:rPr>
                <w:rFonts w:hint="default"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支持国家职教大脑数据的自动对接和上报。</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7.数据质量</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支持通过设置核验规则，检查数据集格式的完整性与准确性，。</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支持两种数据质量核验的方式，包括自动核验与手动核验。</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支持查看数据核验后的整体预警信息。</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支持查看每一张数据表的详细核验报告。支持查看与导出异常数据明细。</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支持查看核验历史。</w:t>
            </w:r>
          </w:p>
          <w:p>
            <w:pPr>
              <w:jc w:val="both"/>
              <w:rPr>
                <w:rFonts w:hint="default"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8.实现与学校现有数据中台85张表的无缝对接且不得产生任何额外费用；投标人需提供数据采集监测系统与学校现有数据中台可以对接的证明文件。</w:t>
            </w:r>
          </w:p>
        </w:tc>
        <w:tc>
          <w:tcPr>
            <w:tcW w:w="931" w:type="dxa"/>
            <w:noWrap w:val="0"/>
            <w:vAlign w:val="center"/>
          </w:tcPr>
          <w:p>
            <w:pPr>
              <w:jc w:val="center"/>
              <w:rPr>
                <w:rFonts w:hint="default"/>
                <w:color w:val="auto"/>
                <w:lang w:val="en-US" w:eastAsia="zh-CN"/>
              </w:rPr>
            </w:pPr>
            <w:r>
              <w:rPr>
                <w:rFonts w:hint="eastAsia"/>
                <w:color w:val="auto"/>
                <w:lang w:val="en-US" w:eastAsia="zh-CN"/>
              </w:rPr>
              <w:t>1</w:t>
            </w:r>
          </w:p>
        </w:tc>
        <w:tc>
          <w:tcPr>
            <w:tcW w:w="819" w:type="dxa"/>
            <w:noWrap w:val="0"/>
            <w:vAlign w:val="center"/>
          </w:tcPr>
          <w:p>
            <w:pPr>
              <w:jc w:val="center"/>
              <w:rPr>
                <w:rFonts w:hint="default"/>
                <w:color w:val="auto"/>
                <w:lang w:val="en-US" w:eastAsia="zh-CN"/>
              </w:rPr>
            </w:pPr>
            <w:r>
              <w:rPr>
                <w:rFonts w:hint="eastAsia"/>
                <w:color w:val="auto"/>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jc w:val="center"/>
              <w:rPr>
                <w:rFonts w:hint="default"/>
                <w:color w:val="auto"/>
                <w:lang w:val="en-US" w:eastAsia="zh-CN"/>
              </w:rPr>
            </w:pPr>
            <w:r>
              <w:rPr>
                <w:rFonts w:hint="eastAsia"/>
                <w:color w:val="auto"/>
                <w:lang w:val="en-US" w:eastAsia="zh-CN"/>
              </w:rPr>
              <w:t>9</w:t>
            </w:r>
          </w:p>
        </w:tc>
        <w:tc>
          <w:tcPr>
            <w:tcW w:w="1157" w:type="dxa"/>
            <w:noWrap w:val="0"/>
            <w:vAlign w:val="center"/>
          </w:tcPr>
          <w:p>
            <w:pPr>
              <w:jc w:val="center"/>
              <w:rPr>
                <w:rFonts w:hint="eastAsia"/>
                <w:color w:val="auto"/>
              </w:rPr>
            </w:pPr>
            <w:r>
              <w:rPr>
                <w:rFonts w:hint="eastAsia"/>
                <w:color w:val="auto"/>
                <w:lang w:val="en-US" w:eastAsia="zh-CN"/>
              </w:rPr>
              <w:t>网络、平台调试设备</w:t>
            </w:r>
          </w:p>
        </w:tc>
        <w:tc>
          <w:tcPr>
            <w:tcW w:w="6615" w:type="dxa"/>
            <w:noWrap w:val="0"/>
            <w:vAlign w:val="top"/>
          </w:tcPr>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1.处理器： CPU系列英特尔 酷睿 Ultra 5系列， CPU型号Intel 酷睿 Ultra 5 125H，最高睿频4.5GHz运行流畅核心/线程数14核心/18线程；</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2.内存容量≥16GB；硬盘SSD固态≥512GB;显卡≥ RTX 4050 6GB；</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3.屏幕尺寸≥14.5英寸，显示比例16:10， 屏幕分辨率≥2560x1600超高清屏，屏幕刷新率≥90Hz ；</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4.摄像头≥1080p FHD摄像头（IR）高清；</w:t>
            </w:r>
          </w:p>
        </w:tc>
        <w:tc>
          <w:tcPr>
            <w:tcW w:w="931" w:type="dxa"/>
            <w:noWrap w:val="0"/>
            <w:vAlign w:val="center"/>
          </w:tcPr>
          <w:p>
            <w:pPr>
              <w:jc w:val="center"/>
              <w:rPr>
                <w:rFonts w:hint="default"/>
                <w:color w:val="auto"/>
                <w:lang w:val="en-US" w:eastAsia="zh-CN"/>
              </w:rPr>
            </w:pPr>
            <w:r>
              <w:rPr>
                <w:rFonts w:hint="eastAsia"/>
                <w:color w:val="auto"/>
                <w:lang w:val="en-US" w:eastAsia="zh-CN"/>
              </w:rPr>
              <w:t>1</w:t>
            </w:r>
          </w:p>
        </w:tc>
        <w:tc>
          <w:tcPr>
            <w:tcW w:w="819" w:type="dxa"/>
            <w:noWrap w:val="0"/>
            <w:vAlign w:val="center"/>
          </w:tcPr>
          <w:p>
            <w:pPr>
              <w:jc w:val="center"/>
              <w:rPr>
                <w:rFonts w:hint="default"/>
                <w:color w:val="auto"/>
                <w:lang w:val="en-US" w:eastAsia="zh-CN"/>
              </w:rPr>
            </w:pPr>
            <w:r>
              <w:rPr>
                <w:rFonts w:hint="eastAsia"/>
                <w:color w:val="auto"/>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jc w:val="center"/>
              <w:rPr>
                <w:rFonts w:hint="default"/>
                <w:color w:val="auto"/>
                <w:lang w:val="en-US" w:eastAsia="zh-CN"/>
              </w:rPr>
            </w:pPr>
            <w:r>
              <w:rPr>
                <w:rFonts w:hint="eastAsia"/>
                <w:color w:val="auto"/>
                <w:lang w:val="en-US" w:eastAsia="zh-CN"/>
              </w:rPr>
              <w:t>10</w:t>
            </w:r>
          </w:p>
        </w:tc>
        <w:tc>
          <w:tcPr>
            <w:tcW w:w="1157" w:type="dxa"/>
            <w:noWrap w:val="0"/>
            <w:vAlign w:val="center"/>
          </w:tcPr>
          <w:p>
            <w:pPr>
              <w:ind w:left="0" w:leftChars="0"/>
              <w:jc w:val="center"/>
              <w:rPr>
                <w:rFonts w:hint="eastAsia"/>
                <w:color w:val="auto"/>
              </w:rPr>
            </w:pPr>
            <w:r>
              <w:rPr>
                <w:rFonts w:hint="eastAsia"/>
                <w:color w:val="auto"/>
                <w:lang w:val="en-US" w:eastAsia="zh-CN"/>
              </w:rPr>
              <w:t>数据报表专用打印机机</w:t>
            </w:r>
          </w:p>
        </w:tc>
        <w:tc>
          <w:tcPr>
            <w:tcW w:w="6615" w:type="dxa"/>
            <w:noWrap w:val="0"/>
            <w:vAlign w:val="center"/>
          </w:tcPr>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1.A3黑白数码多功能一体机，打印/复印/扫描；</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2.首页输出时间; 黑白(A4，就绪模式)：少于9.0秒；黑白(A4，睡眠模式)：少于22秒；</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 xml:space="preserve">3.内存：512M；处理器：600MHz；                      </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4.输入：100页多用途纸盒，250页纸盒；输出：250页输出纸盒；打印负荷50，000页/月；打印速度：23PPM；</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5.支持自动双面打印，最佳打印分辨率：1200*1200dpi；复印速度：23PPM（A4）；复印分辨率：600X600dpi；复印缩放比例：25%到400%；扫描增强分辨率：4800X4800dpi；平板扫描；</w:t>
            </w:r>
          </w:p>
        </w:tc>
        <w:tc>
          <w:tcPr>
            <w:tcW w:w="931" w:type="dxa"/>
            <w:noWrap w:val="0"/>
            <w:vAlign w:val="center"/>
          </w:tcPr>
          <w:p>
            <w:pPr>
              <w:ind w:left="0" w:leftChars="0"/>
              <w:jc w:val="center"/>
              <w:rPr>
                <w:rFonts w:hint="eastAsia"/>
                <w:color w:val="auto"/>
                <w:lang w:val="en-US" w:eastAsia="zh-CN"/>
              </w:rPr>
            </w:pPr>
            <w:r>
              <w:rPr>
                <w:rFonts w:hint="eastAsia"/>
                <w:color w:val="auto"/>
                <w:vertAlign w:val="baseline"/>
                <w:lang w:val="en-US" w:eastAsia="zh-CN"/>
              </w:rPr>
              <w:t>1</w:t>
            </w:r>
          </w:p>
        </w:tc>
        <w:tc>
          <w:tcPr>
            <w:tcW w:w="819" w:type="dxa"/>
            <w:noWrap w:val="0"/>
            <w:vAlign w:val="center"/>
          </w:tcPr>
          <w:p>
            <w:pPr>
              <w:ind w:left="0" w:leftChars="0"/>
              <w:jc w:val="center"/>
              <w:rPr>
                <w:rFonts w:hint="eastAsia"/>
                <w:color w:val="auto"/>
                <w:lang w:val="en-US" w:eastAsia="zh-CN"/>
              </w:rPr>
            </w:pPr>
            <w:r>
              <w:rPr>
                <w:rFonts w:hint="eastAsia"/>
                <w:color w:val="auto"/>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jc w:val="center"/>
              <w:rPr>
                <w:rFonts w:hint="default" w:eastAsia="宋体"/>
                <w:color w:val="auto"/>
                <w:lang w:val="en-US" w:eastAsia="zh-CN"/>
              </w:rPr>
            </w:pPr>
            <w:r>
              <w:rPr>
                <w:rFonts w:hint="eastAsia"/>
                <w:color w:val="auto"/>
                <w:lang w:val="en-US" w:eastAsia="zh-CN"/>
              </w:rPr>
              <w:t>11</w:t>
            </w:r>
          </w:p>
        </w:tc>
        <w:tc>
          <w:tcPr>
            <w:tcW w:w="1157" w:type="dxa"/>
            <w:noWrap w:val="0"/>
            <w:vAlign w:val="center"/>
          </w:tcPr>
          <w:p>
            <w:pPr>
              <w:jc w:val="center"/>
              <w:rPr>
                <w:rFonts w:hint="eastAsia" w:ascii="Calibri" w:hAnsi="Calibri" w:eastAsia="宋体" w:cs="Times New Roman"/>
                <w:color w:val="auto"/>
                <w:kern w:val="2"/>
                <w:sz w:val="21"/>
                <w:szCs w:val="22"/>
                <w:lang w:val="en-US" w:eastAsia="zh-CN" w:bidi="ar-SA"/>
              </w:rPr>
            </w:pPr>
            <w:r>
              <w:rPr>
                <w:rFonts w:hint="eastAsia"/>
                <w:color w:val="auto"/>
              </w:rPr>
              <w:t>施工安装服务</w:t>
            </w:r>
          </w:p>
        </w:tc>
        <w:tc>
          <w:tcPr>
            <w:tcW w:w="6615" w:type="dxa"/>
            <w:noWrap w:val="0"/>
            <w:vAlign w:val="top"/>
          </w:tcPr>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1.要求有专用教室集控管理平台1套，能实现160间智慧教室的集中管控，可实现远程集中管控调试运行；</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2.施工布线合理，符合国家电气线路安全标准，包含电子班牌、智能讲台、扩声、智慧黑板施工布线、线材辅材、搬运、安装、调试等服务。</w:t>
            </w:r>
          </w:p>
          <w:p>
            <w:pPr>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3.施工过程中教室智慧黑板、音箱、麦克风等设备安装需位置、高度一致且平整美观（教室墙面不平整的施工方需进行找平处理），施工过程中产生的垃圾施工方需运走处理。</w:t>
            </w:r>
          </w:p>
          <w:p>
            <w:pPr>
              <w:jc w:val="both"/>
              <w:rPr>
                <w:rFonts w:hint="default"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★4.</w:t>
            </w:r>
            <w:r>
              <w:rPr>
                <w:rFonts w:hint="eastAsia" w:ascii="宋体" w:hAnsi="宋体" w:eastAsia="宋体" w:cs="宋体"/>
                <w:color w:val="auto"/>
                <w:sz w:val="20"/>
                <w:szCs w:val="20"/>
                <w:u w:val="single"/>
                <w:lang w:val="en-US" w:eastAsia="zh-CN"/>
              </w:rPr>
              <w:t>本项目包含软件、硬件产品提供不低于五年制造厂家售后服务承诺</w:t>
            </w:r>
            <w:r>
              <w:rPr>
                <w:rFonts w:hint="eastAsia" w:ascii="宋体" w:hAnsi="宋体" w:eastAsia="宋体" w:cs="宋体"/>
                <w:color w:val="auto"/>
                <w:sz w:val="20"/>
                <w:szCs w:val="20"/>
                <w:u w:val="none"/>
                <w:lang w:val="en-US" w:eastAsia="zh-CN"/>
              </w:rPr>
              <w:t>。</w:t>
            </w:r>
          </w:p>
        </w:tc>
        <w:tc>
          <w:tcPr>
            <w:tcW w:w="931" w:type="dxa"/>
            <w:noWrap w:val="0"/>
            <w:vAlign w:val="center"/>
          </w:tcPr>
          <w:p>
            <w:pPr>
              <w:jc w:val="center"/>
              <w:rPr>
                <w:rFonts w:hint="default" w:eastAsia="宋体"/>
                <w:color w:val="auto"/>
                <w:lang w:val="en-US" w:eastAsia="zh-CN"/>
              </w:rPr>
            </w:pPr>
            <w:r>
              <w:rPr>
                <w:rFonts w:hint="eastAsia"/>
                <w:color w:val="auto"/>
                <w:lang w:val="en-US" w:eastAsia="zh-CN"/>
              </w:rPr>
              <w:t>160</w:t>
            </w:r>
          </w:p>
        </w:tc>
        <w:tc>
          <w:tcPr>
            <w:tcW w:w="819" w:type="dxa"/>
            <w:noWrap w:val="0"/>
            <w:vAlign w:val="center"/>
          </w:tcPr>
          <w:p>
            <w:pPr>
              <w:jc w:val="center"/>
              <w:rPr>
                <w:rFonts w:hint="default" w:eastAsia="宋体"/>
                <w:color w:val="auto"/>
                <w:lang w:val="en-US" w:eastAsia="zh-CN"/>
              </w:rPr>
            </w:pPr>
            <w:r>
              <w:rPr>
                <w:rFonts w:hint="eastAsia"/>
                <w:color w:val="auto"/>
                <w:lang w:val="en-US" w:eastAsia="zh-CN"/>
              </w:rPr>
              <w:t>间</w:t>
            </w:r>
          </w:p>
        </w:tc>
      </w:tr>
    </w:tbl>
    <w:p>
      <w:pPr>
        <w:pStyle w:val="3"/>
        <w:rPr>
          <w:rFonts w:ascii="宋体" w:hAnsi="宋体" w:eastAsia="宋体" w:cs="Times New Roman"/>
          <w:kern w:val="44"/>
        </w:rPr>
      </w:pPr>
      <w:r>
        <w:rPr>
          <w:rFonts w:hint="eastAsia" w:ascii="宋体" w:hAnsi="宋体" w:eastAsia="宋体" w:cs="Times New Roman"/>
          <w:kern w:val="44"/>
        </w:rPr>
        <w:t>六、其他要求</w:t>
      </w:r>
    </w:p>
    <w:p>
      <w:pPr>
        <w:pStyle w:val="3"/>
        <w:keepNext/>
        <w:keepLines/>
        <w:pageBreakBefore w:val="0"/>
        <w:widowControl w:val="0"/>
        <w:kinsoku/>
        <w:wordWrap/>
        <w:overflowPunct/>
        <w:topLinePunct w:val="0"/>
        <w:autoSpaceDE/>
        <w:autoSpaceDN/>
        <w:bidi w:val="0"/>
        <w:adjustRightInd/>
        <w:snapToGrid/>
        <w:spacing w:before="140" w:after="140" w:line="416" w:lineRule="auto"/>
        <w:ind w:left="420"/>
        <w:textAlignment w:val="auto"/>
        <w:rPr>
          <w:rFonts w:ascii="楷体" w:hAnsi="楷体" w:eastAsia="楷体" w:cs="楷体"/>
          <w:b w:val="0"/>
          <w:bCs w:val="0"/>
        </w:rPr>
      </w:pPr>
      <w:r>
        <w:rPr>
          <w:rFonts w:hint="eastAsia" w:ascii="楷体" w:hAnsi="楷体" w:eastAsia="楷体" w:cs="楷体"/>
          <w:b w:val="0"/>
          <w:bCs w:val="0"/>
        </w:rPr>
        <w:t>（一）售后服务</w:t>
      </w:r>
    </w:p>
    <w:p>
      <w:pPr>
        <w:pStyle w:val="3"/>
        <w:keepNext/>
        <w:keepLines/>
        <w:pageBreakBefore w:val="0"/>
        <w:widowControl w:val="0"/>
        <w:kinsoku/>
        <w:wordWrap/>
        <w:overflowPunct/>
        <w:topLinePunct w:val="0"/>
        <w:autoSpaceDE/>
        <w:autoSpaceDN/>
        <w:bidi w:val="0"/>
        <w:adjustRightInd/>
        <w:snapToGrid/>
        <w:spacing w:before="140" w:after="140" w:line="416" w:lineRule="auto"/>
        <w:ind w:firstLine="620" w:firstLineChars="200"/>
        <w:textAlignment w:val="auto"/>
        <w:rPr>
          <w:rFonts w:ascii="仿宋" w:hAnsi="仿宋" w:eastAsia="仿宋" w:cs="仿宋"/>
          <w:b w:val="0"/>
          <w:bCs w:val="0"/>
          <w:color w:val="000000"/>
          <w:kern w:val="0"/>
          <w:sz w:val="31"/>
          <w:szCs w:val="31"/>
          <w:lang w:bidi="ar"/>
        </w:rPr>
      </w:pPr>
      <w:r>
        <w:rPr>
          <w:rFonts w:hint="eastAsia" w:ascii="仿宋" w:hAnsi="仿宋" w:eastAsia="仿宋" w:cs="仿宋"/>
          <w:b w:val="0"/>
          <w:bCs w:val="0"/>
          <w:color w:val="000000"/>
          <w:kern w:val="0"/>
          <w:sz w:val="31"/>
          <w:szCs w:val="31"/>
          <w:lang w:bidi="ar"/>
        </w:rPr>
        <w:t>投标人应为系统运行提供不少于5年的免费维护、维修服务；在免费运维期内，中标人必须提供7*24小时热线支持，并提供紧急情况下1小时内到现场、一般情况下2小时内到现场的快速响应。</w:t>
      </w:r>
    </w:p>
    <w:p>
      <w:pPr>
        <w:pStyle w:val="3"/>
        <w:keepNext/>
        <w:keepLines/>
        <w:pageBreakBefore w:val="0"/>
        <w:widowControl w:val="0"/>
        <w:kinsoku/>
        <w:wordWrap/>
        <w:overflowPunct/>
        <w:topLinePunct w:val="0"/>
        <w:autoSpaceDE/>
        <w:autoSpaceDN/>
        <w:bidi w:val="0"/>
        <w:adjustRightInd/>
        <w:snapToGrid/>
        <w:spacing w:before="140" w:after="140" w:line="416" w:lineRule="auto"/>
        <w:ind w:left="420"/>
        <w:textAlignment w:val="auto"/>
        <w:rPr>
          <w:rFonts w:ascii="楷体" w:hAnsi="楷体" w:eastAsia="楷体" w:cs="楷体"/>
          <w:b w:val="0"/>
          <w:bCs w:val="0"/>
        </w:rPr>
      </w:pPr>
      <w:r>
        <w:rPr>
          <w:rFonts w:hint="eastAsia" w:ascii="楷体" w:hAnsi="楷体" w:eastAsia="楷体" w:cs="楷体"/>
          <w:b w:val="0"/>
          <w:bCs w:val="0"/>
        </w:rPr>
        <w:t>（二）系统培训</w:t>
      </w:r>
    </w:p>
    <w:p>
      <w:pPr>
        <w:pStyle w:val="3"/>
        <w:keepNext/>
        <w:keepLines/>
        <w:pageBreakBefore w:val="0"/>
        <w:widowControl w:val="0"/>
        <w:kinsoku/>
        <w:wordWrap/>
        <w:overflowPunct/>
        <w:topLinePunct w:val="0"/>
        <w:autoSpaceDE/>
        <w:autoSpaceDN/>
        <w:bidi w:val="0"/>
        <w:adjustRightInd/>
        <w:snapToGrid/>
        <w:spacing w:before="140" w:after="140" w:line="416" w:lineRule="auto"/>
        <w:ind w:firstLine="620" w:firstLineChars="200"/>
        <w:textAlignment w:val="auto"/>
        <w:rPr>
          <w:rFonts w:ascii="仿宋" w:hAnsi="仿宋" w:eastAsia="仿宋" w:cs="仿宋"/>
          <w:b w:val="0"/>
          <w:bCs w:val="0"/>
          <w:color w:val="000000"/>
          <w:kern w:val="0"/>
          <w:sz w:val="31"/>
          <w:szCs w:val="31"/>
          <w:lang w:bidi="ar"/>
        </w:rPr>
      </w:pPr>
      <w:r>
        <w:rPr>
          <w:rFonts w:hint="eastAsia" w:ascii="仿宋" w:hAnsi="仿宋" w:eastAsia="仿宋" w:cs="仿宋"/>
          <w:b w:val="0"/>
          <w:bCs w:val="0"/>
          <w:color w:val="000000"/>
          <w:kern w:val="0"/>
          <w:sz w:val="31"/>
          <w:szCs w:val="31"/>
          <w:lang w:bidi="ar"/>
        </w:rPr>
        <w:t>提供技术培训，包括但不限于安装调试、使用和运行管理、开发示范、性能调优、问题检测与修复等内容。</w:t>
      </w:r>
    </w:p>
    <w:p>
      <w:pPr>
        <w:pStyle w:val="3"/>
        <w:keepNext/>
        <w:keepLines/>
        <w:pageBreakBefore w:val="0"/>
        <w:widowControl w:val="0"/>
        <w:kinsoku/>
        <w:wordWrap/>
        <w:overflowPunct/>
        <w:topLinePunct w:val="0"/>
        <w:autoSpaceDE/>
        <w:autoSpaceDN/>
        <w:bidi w:val="0"/>
        <w:adjustRightInd/>
        <w:snapToGrid/>
        <w:spacing w:before="140" w:after="140" w:line="416" w:lineRule="auto"/>
        <w:ind w:firstLine="620" w:firstLineChars="200"/>
        <w:textAlignment w:val="auto"/>
        <w:rPr>
          <w:rFonts w:ascii="仿宋" w:hAnsi="仿宋" w:eastAsia="仿宋" w:cs="仿宋"/>
          <w:b w:val="0"/>
          <w:bCs w:val="0"/>
          <w:color w:val="000000"/>
          <w:kern w:val="0"/>
          <w:sz w:val="31"/>
          <w:szCs w:val="31"/>
          <w:lang w:bidi="ar"/>
        </w:rPr>
      </w:pPr>
      <w:r>
        <w:rPr>
          <w:rFonts w:hint="eastAsia" w:ascii="仿宋" w:hAnsi="仿宋" w:eastAsia="仿宋" w:cs="仿宋"/>
          <w:b w:val="0"/>
          <w:bCs w:val="0"/>
          <w:color w:val="000000"/>
          <w:kern w:val="0"/>
          <w:sz w:val="31"/>
          <w:szCs w:val="31"/>
          <w:lang w:bidi="ar"/>
        </w:rPr>
        <w:t>1.投标人应保证提供最有经验的培训讲师，使招标人员工培训后能够顺利使用系统，系统管理人员能够进行日常维护和管理配置。</w:t>
      </w:r>
    </w:p>
    <w:p>
      <w:pPr>
        <w:pStyle w:val="3"/>
        <w:keepNext/>
        <w:keepLines/>
        <w:pageBreakBefore w:val="0"/>
        <w:widowControl w:val="0"/>
        <w:kinsoku/>
        <w:wordWrap/>
        <w:overflowPunct/>
        <w:topLinePunct w:val="0"/>
        <w:autoSpaceDE/>
        <w:autoSpaceDN/>
        <w:bidi w:val="0"/>
        <w:adjustRightInd/>
        <w:snapToGrid/>
        <w:spacing w:before="140" w:after="140" w:line="416" w:lineRule="auto"/>
        <w:ind w:firstLine="620" w:firstLineChars="200"/>
        <w:textAlignment w:val="auto"/>
        <w:rPr>
          <w:rFonts w:ascii="仿宋" w:hAnsi="仿宋" w:eastAsia="仿宋" w:cs="仿宋"/>
          <w:b w:val="0"/>
          <w:bCs w:val="0"/>
          <w:color w:val="000000"/>
          <w:kern w:val="0"/>
          <w:sz w:val="31"/>
          <w:szCs w:val="31"/>
          <w:lang w:bidi="ar"/>
        </w:rPr>
      </w:pPr>
      <w:r>
        <w:rPr>
          <w:rFonts w:hint="eastAsia" w:ascii="仿宋" w:hAnsi="仿宋" w:eastAsia="仿宋" w:cs="仿宋"/>
          <w:b w:val="0"/>
          <w:bCs w:val="0"/>
          <w:color w:val="000000"/>
          <w:kern w:val="0"/>
          <w:sz w:val="31"/>
          <w:szCs w:val="31"/>
          <w:lang w:bidi="ar"/>
        </w:rPr>
        <w:t>2.培训应包括技术培训和产品使用的培训。</w:t>
      </w:r>
    </w:p>
    <w:p>
      <w:pPr>
        <w:pStyle w:val="3"/>
        <w:keepNext/>
        <w:keepLines/>
        <w:pageBreakBefore w:val="0"/>
        <w:widowControl w:val="0"/>
        <w:kinsoku/>
        <w:wordWrap/>
        <w:overflowPunct/>
        <w:topLinePunct w:val="0"/>
        <w:autoSpaceDE/>
        <w:autoSpaceDN/>
        <w:bidi w:val="0"/>
        <w:adjustRightInd/>
        <w:snapToGrid/>
        <w:spacing w:before="140" w:after="140" w:line="416" w:lineRule="auto"/>
        <w:textAlignment w:val="auto"/>
        <w:rPr>
          <w:rFonts w:ascii="仿宋" w:hAnsi="仿宋" w:eastAsia="仿宋" w:cs="仿宋"/>
          <w:b w:val="0"/>
          <w:bCs w:val="0"/>
          <w:color w:val="000000"/>
          <w:kern w:val="0"/>
          <w:sz w:val="31"/>
          <w:szCs w:val="31"/>
          <w:lang w:bidi="ar"/>
        </w:rPr>
      </w:pPr>
      <w:r>
        <w:rPr>
          <w:rFonts w:hint="eastAsia" w:ascii="仿宋" w:hAnsi="仿宋" w:eastAsia="仿宋" w:cs="仿宋"/>
          <w:b w:val="0"/>
          <w:bCs w:val="0"/>
          <w:color w:val="000000"/>
          <w:kern w:val="0"/>
          <w:sz w:val="31"/>
          <w:szCs w:val="31"/>
          <w:lang w:bidi="ar"/>
        </w:rPr>
        <w:t>培训教材应使用标准中文；为进行有效的技术交流，所有培训讲师必须具备熟练的中文会话和书写能力。</w:t>
      </w:r>
    </w:p>
    <w:p>
      <w:pPr>
        <w:pStyle w:val="3"/>
        <w:keepNext/>
        <w:keepLines/>
        <w:pageBreakBefore w:val="0"/>
        <w:widowControl w:val="0"/>
        <w:kinsoku/>
        <w:wordWrap/>
        <w:overflowPunct/>
        <w:topLinePunct w:val="0"/>
        <w:autoSpaceDE/>
        <w:autoSpaceDN/>
        <w:bidi w:val="0"/>
        <w:adjustRightInd/>
        <w:snapToGrid/>
        <w:spacing w:before="140" w:after="140" w:line="416" w:lineRule="auto"/>
        <w:textAlignment w:val="auto"/>
        <w:rPr>
          <w:rFonts w:ascii="仿宋" w:hAnsi="仿宋" w:eastAsia="仿宋" w:cs="仿宋"/>
          <w:b w:val="0"/>
          <w:bCs w:val="0"/>
          <w:color w:val="000000"/>
          <w:kern w:val="0"/>
          <w:sz w:val="31"/>
          <w:szCs w:val="31"/>
          <w:lang w:bidi="ar"/>
        </w:rPr>
      </w:pPr>
      <w:r>
        <w:rPr>
          <w:rFonts w:hint="eastAsia" w:ascii="仿宋" w:hAnsi="仿宋" w:eastAsia="仿宋" w:cs="仿宋"/>
          <w:b w:val="0"/>
          <w:bCs w:val="0"/>
          <w:color w:val="000000"/>
          <w:kern w:val="0"/>
          <w:sz w:val="31"/>
          <w:szCs w:val="31"/>
          <w:lang w:bidi="ar"/>
        </w:rPr>
        <w:t>在投标书里，投标人应提供：</w:t>
      </w:r>
    </w:p>
    <w:p>
      <w:pPr>
        <w:pStyle w:val="3"/>
        <w:keepNext/>
        <w:keepLines/>
        <w:pageBreakBefore w:val="0"/>
        <w:widowControl w:val="0"/>
        <w:kinsoku/>
        <w:wordWrap/>
        <w:overflowPunct/>
        <w:topLinePunct w:val="0"/>
        <w:autoSpaceDE/>
        <w:autoSpaceDN/>
        <w:bidi w:val="0"/>
        <w:adjustRightInd/>
        <w:snapToGrid/>
        <w:spacing w:before="140" w:after="140" w:line="416" w:lineRule="auto"/>
        <w:textAlignment w:val="auto"/>
        <w:rPr>
          <w:rFonts w:ascii="仿宋" w:hAnsi="仿宋" w:eastAsia="仿宋" w:cs="仿宋"/>
          <w:b w:val="0"/>
          <w:bCs w:val="0"/>
          <w:color w:val="000000"/>
          <w:kern w:val="0"/>
          <w:sz w:val="31"/>
          <w:szCs w:val="31"/>
          <w:lang w:bidi="ar"/>
        </w:rPr>
      </w:pPr>
      <w:r>
        <w:rPr>
          <w:rFonts w:hint="eastAsia" w:ascii="仿宋" w:hAnsi="仿宋" w:eastAsia="仿宋" w:cs="仿宋"/>
          <w:b w:val="0"/>
          <w:bCs w:val="0"/>
          <w:color w:val="000000"/>
          <w:kern w:val="0"/>
          <w:sz w:val="31"/>
          <w:szCs w:val="31"/>
          <w:lang w:bidi="ar"/>
        </w:rPr>
        <w:t>培训计划：其中应注明每次培训课程的时间、地点（按招标人要求）及课时。培训大纲：其中应注明每次课程的内容和目的。培训课程应安排在整个项目计划的合适时间段内。</w:t>
      </w:r>
    </w:p>
    <w:p>
      <w:pPr>
        <w:pStyle w:val="3"/>
        <w:keepNext/>
        <w:keepLines/>
        <w:pageBreakBefore w:val="0"/>
        <w:widowControl w:val="0"/>
        <w:kinsoku/>
        <w:wordWrap/>
        <w:overflowPunct/>
        <w:topLinePunct w:val="0"/>
        <w:autoSpaceDE/>
        <w:autoSpaceDN/>
        <w:bidi w:val="0"/>
        <w:adjustRightInd/>
        <w:snapToGrid/>
        <w:spacing w:before="140" w:after="140" w:line="416" w:lineRule="auto"/>
        <w:ind w:firstLine="620" w:firstLineChars="200"/>
        <w:textAlignment w:val="auto"/>
        <w:rPr>
          <w:rFonts w:hint="eastAsia" w:ascii="宋体" w:hAnsi="宋体" w:cs="宋体"/>
          <w:sz w:val="36"/>
          <w:szCs w:val="36"/>
          <w:highlight w:val="white"/>
        </w:rPr>
      </w:pPr>
      <w:r>
        <w:rPr>
          <w:rFonts w:hint="eastAsia" w:ascii="仿宋" w:hAnsi="仿宋" w:eastAsia="仿宋" w:cs="仿宋"/>
          <w:b w:val="0"/>
          <w:bCs w:val="0"/>
          <w:color w:val="000000"/>
          <w:kern w:val="0"/>
          <w:sz w:val="31"/>
          <w:szCs w:val="31"/>
          <w:lang w:bidi="ar"/>
        </w:rPr>
        <w:t>3.培训对象包括但不限于以下用户：招标人最终用户、招标人软件开发人员和系统维护人员、业务与技术负责人。</w:t>
      </w:r>
    </w:p>
    <w:p>
      <w:pPr>
        <w:pStyle w:val="2"/>
        <w:jc w:val="left"/>
        <w:rPr>
          <w:rFonts w:hint="eastAsia" w:ascii="仿宋" w:hAnsi="仿宋" w:eastAsia="仿宋" w:cs="仿宋"/>
          <w:b/>
          <w:bCs/>
          <w:sz w:val="15"/>
          <w:szCs w:val="15"/>
          <w:lang w:val="en-US" w:eastAsia="zh-CN"/>
        </w:rPr>
      </w:pPr>
      <w:r>
        <w:rPr>
          <w:rFonts w:hint="eastAsia" w:ascii="宋体" w:hAnsi="宋体" w:cs="宋体"/>
          <w:sz w:val="36"/>
          <w:szCs w:val="36"/>
          <w:highlight w:val="white"/>
        </w:rPr>
        <w:t>评审方法（综合评分法）</w:t>
      </w:r>
    </w:p>
    <w:tbl>
      <w:tblPr>
        <w:tblStyle w:val="18"/>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137"/>
        <w:gridCol w:w="4969"/>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59" w:type="dxa"/>
            <w:noWrap w:val="0"/>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评分项</w:t>
            </w:r>
          </w:p>
        </w:tc>
        <w:tc>
          <w:tcPr>
            <w:tcW w:w="1137" w:type="dxa"/>
            <w:noWrap w:val="0"/>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评分因素</w:t>
            </w:r>
          </w:p>
        </w:tc>
        <w:tc>
          <w:tcPr>
            <w:tcW w:w="4969" w:type="dxa"/>
            <w:noWrap w:val="0"/>
            <w:vAlign w:val="center"/>
          </w:tcPr>
          <w:p>
            <w:pPr>
              <w:jc w:val="center"/>
              <w:rPr>
                <w:rFonts w:hint="default"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评分标准说明</w:t>
            </w:r>
          </w:p>
        </w:tc>
        <w:tc>
          <w:tcPr>
            <w:tcW w:w="1243" w:type="dxa"/>
            <w:noWrap w:val="0"/>
            <w:vAlign w:val="center"/>
          </w:tcPr>
          <w:p>
            <w:pPr>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859"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经济部分（30分）</w:t>
            </w:r>
          </w:p>
        </w:tc>
        <w:tc>
          <w:tcPr>
            <w:tcW w:w="1137"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报价</w:t>
            </w:r>
          </w:p>
        </w:tc>
        <w:tc>
          <w:tcPr>
            <w:tcW w:w="4969" w:type="dxa"/>
            <w:noWrap w:val="0"/>
            <w:vAlign w:val="center"/>
          </w:tcPr>
          <w:p>
            <w:pPr>
              <w:pStyle w:val="24"/>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2"/>
                <w:szCs w:val="22"/>
                <w:highlight w:val="none"/>
                <w:lang w:val="zh-CN" w:eastAsia="zh-CN"/>
              </w:rPr>
            </w:pPr>
            <w:r>
              <w:rPr>
                <w:rFonts w:hint="eastAsia" w:ascii="方正仿宋_GBK" w:hAnsi="方正仿宋_GBK" w:eastAsia="方正仿宋_GBK" w:cs="方正仿宋_GBK"/>
                <w:color w:val="000000"/>
                <w:sz w:val="22"/>
                <w:szCs w:val="22"/>
                <w:highlight w:val="none"/>
                <w:lang w:val="zh-CN" w:eastAsia="zh-CN"/>
              </w:rPr>
              <w:t>评标基准价即满足磋商文件要求且投标价格最低的投标报价。</w:t>
            </w:r>
          </w:p>
          <w:p>
            <w:pPr>
              <w:pStyle w:val="24"/>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2"/>
                <w:vertAlign w:val="baseline"/>
                <w:lang w:val="en-US" w:eastAsia="zh-CN"/>
              </w:rPr>
            </w:pPr>
            <w:r>
              <w:rPr>
                <w:rFonts w:hint="eastAsia" w:ascii="方正仿宋_GBK" w:hAnsi="方正仿宋_GBK" w:eastAsia="方正仿宋_GBK" w:cs="方正仿宋_GBK"/>
                <w:color w:val="000000"/>
                <w:sz w:val="22"/>
                <w:szCs w:val="22"/>
                <w:highlight w:val="none"/>
                <w:lang w:val="zh-CN" w:eastAsia="zh-CN"/>
              </w:rPr>
              <w:t>投标报价得分=（评标基准价/投标报价）×报价部分权重×100</w:t>
            </w:r>
          </w:p>
        </w:tc>
        <w:tc>
          <w:tcPr>
            <w:tcW w:w="1243" w:type="dxa"/>
            <w:noWrap w:val="0"/>
            <w:vAlign w:val="center"/>
          </w:tcPr>
          <w:p>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1859"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技术部分（48分）</w:t>
            </w:r>
          </w:p>
        </w:tc>
        <w:tc>
          <w:tcPr>
            <w:tcW w:w="1137"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技术参数</w:t>
            </w:r>
          </w:p>
        </w:tc>
        <w:tc>
          <w:tcPr>
            <w:tcW w:w="49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rPr>
            </w:pPr>
            <w:r>
              <w:rPr>
                <w:rFonts w:hint="eastAsia" w:ascii="方正仿宋_GBK" w:hAnsi="方正仿宋_GBK" w:eastAsia="方正仿宋_GBK" w:cs="方正仿宋_GBK"/>
                <w:color w:val="000000"/>
                <w:kern w:val="0"/>
                <w:sz w:val="22"/>
                <w:szCs w:val="22"/>
                <w:highlight w:val="none"/>
                <w:lang w:val="en-US" w:eastAsia="zh-CN" w:bidi="ar-SA"/>
              </w:rPr>
              <w:t>投标人所投产品完全满足招标文件技术参数要求的得 24分；加“ ★</w:t>
            </w:r>
            <w:r>
              <w:rPr>
                <w:rFonts w:hint="default" w:ascii="方正仿宋_GBK" w:hAnsi="方正仿宋_GBK" w:eastAsia="方正仿宋_GBK" w:cs="方正仿宋_GBK"/>
                <w:color w:val="000000"/>
                <w:kern w:val="0"/>
                <w:sz w:val="22"/>
                <w:szCs w:val="22"/>
                <w:highlight w:val="none"/>
                <w:lang w:val="en-US" w:eastAsia="zh-CN" w:bidi="ar-SA"/>
              </w:rPr>
              <w:t xml:space="preserve"> </w:t>
            </w:r>
            <w:r>
              <w:rPr>
                <w:rFonts w:hint="eastAsia" w:ascii="方正仿宋_GBK" w:hAnsi="方正仿宋_GBK" w:eastAsia="方正仿宋_GBK" w:cs="方正仿宋_GBK"/>
                <w:color w:val="000000"/>
                <w:kern w:val="0"/>
                <w:sz w:val="22"/>
                <w:szCs w:val="22"/>
                <w:highlight w:val="none"/>
                <w:lang w:val="en-US" w:eastAsia="zh-CN" w:bidi="ar-SA"/>
              </w:rPr>
              <w:t>”的带下划线参数的为重要参数，重要参数每有一项高于采购文件要求的加2分，最多加 20分。</w:t>
            </w:r>
          </w:p>
        </w:tc>
        <w:tc>
          <w:tcPr>
            <w:tcW w:w="1243" w:type="dxa"/>
            <w:noWrap w:val="0"/>
            <w:vAlign w:val="center"/>
          </w:tcPr>
          <w:p>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185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bidi="ar-SA"/>
              </w:rPr>
            </w:pPr>
          </w:p>
        </w:tc>
        <w:tc>
          <w:tcPr>
            <w:tcW w:w="1137"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bidi="ar-SA"/>
              </w:rPr>
            </w:pPr>
            <w:r>
              <w:rPr>
                <w:rFonts w:hint="eastAsia" w:ascii="宋体" w:hAnsi="宋体" w:cs="Courier New"/>
                <w:sz w:val="22"/>
                <w:szCs w:val="22"/>
                <w:lang w:val="en-US" w:eastAsia="zh-CN"/>
              </w:rPr>
              <w:t>投标产品证明</w:t>
            </w:r>
          </w:p>
        </w:tc>
        <w:tc>
          <w:tcPr>
            <w:tcW w:w="4969" w:type="dxa"/>
            <w:noWrap w:val="0"/>
            <w:vAlign w:val="center"/>
          </w:tcPr>
          <w:p>
            <w:pPr>
              <w:pStyle w:val="10"/>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kern w:val="0"/>
                <w:sz w:val="22"/>
                <w:szCs w:val="22"/>
                <w:lang w:val="en-US" w:eastAsia="zh-CN"/>
              </w:rPr>
              <w:t>投</w:t>
            </w:r>
            <w:r>
              <w:rPr>
                <w:rFonts w:hint="eastAsia" w:ascii="宋体" w:hAnsi="宋体" w:eastAsia="宋体" w:cs="宋体"/>
                <w:color w:val="000000"/>
                <w:kern w:val="0"/>
                <w:sz w:val="22"/>
                <w:szCs w:val="22"/>
                <w:lang w:val="en-US" w:eastAsia="zh-CN" w:bidi="ar"/>
              </w:rPr>
              <w:t>标人所投智慧黑板的生产厂家能提供以下投标产品证明的提供一项得2分，总分4分：</w:t>
            </w:r>
          </w:p>
          <w:p>
            <w:pPr>
              <w:pStyle w:val="10"/>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1、智慧黑板的生产厂家具有 ISO20000信息技术服务管理体系认证。</w:t>
            </w:r>
          </w:p>
          <w:p>
            <w:pPr>
              <w:pStyle w:val="10"/>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2、智慧黑板厂家具有GB/T29490-2013知识产权管理体系认证证书,证书覆盖范围应包含智慧黑板的研发、销售相关知识产权管理。</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2"/>
                <w:szCs w:val="22"/>
                <w:lang w:val="en-US" w:eastAsia="zh-CN" w:bidi="ar"/>
              </w:rPr>
            </w:pPr>
            <w:r>
              <w:rPr>
                <w:rStyle w:val="25"/>
                <w:sz w:val="22"/>
                <w:szCs w:val="22"/>
                <w:lang w:val="en-US" w:eastAsia="zh-CN" w:bidi="ar"/>
              </w:rPr>
              <w:t>注：以上证明材料扫描件</w:t>
            </w:r>
            <w:r>
              <w:rPr>
                <w:rStyle w:val="25"/>
                <w:rFonts w:hint="eastAsia"/>
                <w:sz w:val="22"/>
                <w:szCs w:val="22"/>
                <w:lang w:val="en-US" w:eastAsia="zh-CN" w:bidi="ar"/>
              </w:rPr>
              <w:t>或官网查询截图并</w:t>
            </w:r>
            <w:r>
              <w:rPr>
                <w:rStyle w:val="25"/>
                <w:sz w:val="22"/>
                <w:szCs w:val="22"/>
                <w:lang w:val="en-US" w:eastAsia="zh-CN" w:bidi="ar"/>
              </w:rPr>
              <w:t>加盖生产厂家公章附在投标文件内。</w:t>
            </w:r>
          </w:p>
        </w:tc>
        <w:tc>
          <w:tcPr>
            <w:tcW w:w="1243" w:type="dxa"/>
            <w:noWrap w:val="0"/>
            <w:vAlign w:val="center"/>
          </w:tcPr>
          <w:p>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59"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商务部分（22分）</w:t>
            </w:r>
          </w:p>
        </w:tc>
        <w:tc>
          <w:tcPr>
            <w:tcW w:w="1137"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售后服务及培训方案</w:t>
            </w:r>
          </w:p>
        </w:tc>
        <w:tc>
          <w:tcPr>
            <w:tcW w:w="4969" w:type="dxa"/>
            <w:noWrap w:val="0"/>
            <w:vAlign w:val="center"/>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Courier New"/>
                <w:kern w:val="0"/>
                <w:sz w:val="22"/>
                <w:szCs w:val="22"/>
                <w:lang w:val="en-US" w:eastAsia="zh-CN"/>
              </w:rPr>
            </w:pPr>
            <w:r>
              <w:rPr>
                <w:rFonts w:hint="eastAsia" w:ascii="宋体" w:hAnsi="宋体" w:eastAsia="宋体" w:cs="Courier New"/>
                <w:kern w:val="0"/>
                <w:sz w:val="22"/>
                <w:szCs w:val="22"/>
                <w:lang w:val="en-US" w:eastAsia="zh-CN"/>
              </w:rPr>
              <w:t>提供详细完整的售后服务方案，方案包括但不限于售后服务体系、售后运维支撑内容，售后服务流程、售后服务响应时效等，内容包括：售后服务组织与计划、具体服务措施与方法、问题响应机制与保障、服务技术力量与配套、免费延展性服务。</w:t>
            </w:r>
          </w:p>
          <w:p>
            <w:pPr>
              <w:pStyle w:val="10"/>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rPr>
            </w:pPr>
            <w:r>
              <w:rPr>
                <w:rFonts w:hint="eastAsia" w:ascii="宋体" w:hAnsi="宋体" w:cs="Courier New"/>
                <w:kern w:val="0"/>
                <w:sz w:val="22"/>
                <w:szCs w:val="22"/>
                <w:lang w:val="en-US" w:eastAsia="zh-CN"/>
              </w:rPr>
              <w:t>1</w:t>
            </w:r>
            <w:r>
              <w:rPr>
                <w:rFonts w:hint="eastAsia" w:ascii="宋体" w:hAnsi="宋体" w:eastAsia="宋体" w:cs="Courier New"/>
                <w:kern w:val="0"/>
                <w:sz w:val="22"/>
                <w:szCs w:val="22"/>
                <w:lang w:val="en-US" w:eastAsia="zh-CN"/>
              </w:rPr>
              <w:t>、</w:t>
            </w:r>
            <w:r>
              <w:rPr>
                <w:rFonts w:hint="eastAsia" w:ascii="宋体" w:hAnsi="宋体" w:eastAsia="宋体" w:cs="宋体"/>
                <w:kern w:val="0"/>
                <w:sz w:val="22"/>
                <w:szCs w:val="22"/>
                <w:lang w:val="en-US" w:eastAsia="zh-CN"/>
              </w:rPr>
              <w:t>智慧黑板的生产厂家符合工业和信息化部组织制定的信息技术服务标准，具有ITSS运行维护评估等级达到三级或以上，提供得3分，不</w:t>
            </w:r>
            <w:r>
              <w:rPr>
                <w:rFonts w:hint="eastAsia" w:hAnsi="宋体" w:cs="宋体"/>
                <w:kern w:val="0"/>
                <w:sz w:val="22"/>
                <w:szCs w:val="22"/>
                <w:lang w:val="en-US" w:eastAsia="zh-CN"/>
              </w:rPr>
              <w:t>提供</w:t>
            </w:r>
            <w:r>
              <w:rPr>
                <w:rFonts w:hint="eastAsia" w:ascii="宋体" w:hAnsi="宋体" w:eastAsia="宋体" w:cs="宋体"/>
                <w:kern w:val="0"/>
                <w:sz w:val="22"/>
                <w:szCs w:val="22"/>
                <w:lang w:val="en-US" w:eastAsia="zh-CN"/>
              </w:rPr>
              <w:t>不得分。</w:t>
            </w:r>
          </w:p>
          <w:p>
            <w:pPr>
              <w:pStyle w:val="10"/>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 xml:space="preserve">2、为保证售后服务质量，投标人提供产品生产厂家针对项目的售后服务承诺函原件；提供得 3分，不提供不得分。 </w:t>
            </w:r>
          </w:p>
          <w:p>
            <w:pPr>
              <w:pStyle w:val="10"/>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 xml:space="preserve">3、售后服务能力证明及技术支持：能体现投标人及时高效响应售后服务，完全满足客户售后服务需求及技术支持（4 小时内响应，24 小时内解决售后及问题）的得 2 分，基本满足客户售后服务需求（6 小时内响应， 24 小时内解决售后及问题）的得 1 分，其余不得分。 </w:t>
            </w:r>
          </w:p>
          <w:p>
            <w:pPr>
              <w:pStyle w:val="10"/>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4、为确保产品可获得全天候及时的售后服务，在疆内设有售后服务机构并提供相关证明材料的得 3 分，在国内（疆外）设有售后服务机构并提供相关证明材料的得 1 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5、</w:t>
            </w:r>
            <w:r>
              <w:rPr>
                <w:rFonts w:hint="eastAsia" w:ascii="宋体" w:hAnsi="宋体" w:eastAsia="宋体" w:cs="宋体"/>
                <w:color w:val="000000"/>
                <w:kern w:val="0"/>
                <w:sz w:val="22"/>
                <w:szCs w:val="22"/>
                <w:lang w:val="en-US" w:eastAsia="zh-CN" w:bidi="ar"/>
              </w:rPr>
              <w:t>提供整体培训方案：对培训对象、培训内容、培训方式、培训计划、培训目标等</w:t>
            </w:r>
            <w:r>
              <w:rPr>
                <w:rFonts w:hint="eastAsia" w:ascii="宋体" w:hAnsi="宋体" w:eastAsia="宋体" w:cs="宋体"/>
                <w:kern w:val="0"/>
                <w:sz w:val="22"/>
                <w:szCs w:val="22"/>
                <w:lang w:val="en-US" w:eastAsia="zh-CN" w:bidi="ar-SA"/>
              </w:rPr>
              <w:t>的计划安排。培训方案科学、合理，能够实质性满足采购人的实际需求得3分，培训方案较科学、合理性较强，较能满足采购人的实际需求得2分，培训方案科学性、合理性较差，距离满足采购人实际需求有差距的，得1分，未提供不得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2"/>
                <w:vertAlign w:val="baseline"/>
                <w:lang w:val="en-US" w:eastAsia="zh-CN"/>
              </w:rPr>
            </w:pPr>
            <w:r>
              <w:rPr>
                <w:rStyle w:val="25"/>
                <w:sz w:val="22"/>
                <w:szCs w:val="22"/>
                <w:lang w:val="en-US" w:eastAsia="zh-CN" w:bidi="ar"/>
              </w:rPr>
              <w:t>注：以上证明材料扫描件</w:t>
            </w:r>
            <w:r>
              <w:rPr>
                <w:rStyle w:val="25"/>
                <w:rFonts w:hint="eastAsia"/>
                <w:sz w:val="22"/>
                <w:szCs w:val="22"/>
                <w:lang w:val="en-US" w:eastAsia="zh-CN" w:bidi="ar"/>
              </w:rPr>
              <w:t>或官网查询截图并</w:t>
            </w:r>
            <w:r>
              <w:rPr>
                <w:rStyle w:val="25"/>
                <w:sz w:val="22"/>
                <w:szCs w:val="22"/>
                <w:lang w:val="en-US" w:eastAsia="zh-CN" w:bidi="ar"/>
              </w:rPr>
              <w:t>加盖生产厂家公章附在投标文件内。</w:t>
            </w:r>
          </w:p>
        </w:tc>
        <w:tc>
          <w:tcPr>
            <w:tcW w:w="1243" w:type="dxa"/>
            <w:noWrap w:val="0"/>
            <w:vAlign w:val="center"/>
          </w:tcPr>
          <w:p>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5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bidi="ar-SA"/>
              </w:rPr>
            </w:pPr>
          </w:p>
        </w:tc>
        <w:tc>
          <w:tcPr>
            <w:tcW w:w="1137"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业绩</w:t>
            </w:r>
          </w:p>
        </w:tc>
        <w:tc>
          <w:tcPr>
            <w:tcW w:w="4969"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Style w:val="25"/>
                <w:sz w:val="22"/>
                <w:szCs w:val="22"/>
                <w:lang w:val="en-US" w:eastAsia="zh-CN" w:bidi="ar"/>
              </w:rPr>
            </w:pPr>
            <w:r>
              <w:rPr>
                <w:rFonts w:hint="eastAsia" w:ascii="宋体" w:hAnsi="宋体" w:eastAsia="宋体" w:cs="宋体"/>
                <w:color w:val="000000"/>
                <w:kern w:val="0"/>
                <w:sz w:val="22"/>
                <w:szCs w:val="22"/>
                <w:lang w:val="en-US" w:eastAsia="zh-CN" w:bidi="ar"/>
              </w:rPr>
              <w:t>投标人提供近3年具有类似项目业绩，每提供一个得1分，最多得3分（中标通知书、成交通知书或合同协议书复印件）。</w:t>
            </w:r>
          </w:p>
        </w:tc>
        <w:tc>
          <w:tcPr>
            <w:tcW w:w="1243" w:type="dxa"/>
            <w:noWrap w:val="0"/>
            <w:vAlign w:val="center"/>
          </w:tcPr>
          <w:p>
            <w:pPr>
              <w:jc w:val="center"/>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5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bidi="ar-SA"/>
              </w:rPr>
            </w:pPr>
          </w:p>
        </w:tc>
        <w:tc>
          <w:tcPr>
            <w:tcW w:w="1137"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实施方案</w:t>
            </w:r>
          </w:p>
        </w:tc>
        <w:tc>
          <w:tcPr>
            <w:tcW w:w="49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4"/>
                <w:szCs w:val="24"/>
                <w:lang w:val="en-US" w:eastAsia="zh-CN" w:bidi="ar"/>
              </w:rPr>
              <w:t>整体服务方案详细合理、清晰完整，制定的方案、实施内容等科学、合理性，能</w:t>
            </w:r>
            <w:r>
              <w:rPr>
                <w:rFonts w:hint="eastAsia" w:ascii="宋体" w:hAnsi="宋体" w:eastAsia="宋体" w:cs="宋体"/>
                <w:kern w:val="0"/>
                <w:sz w:val="22"/>
                <w:szCs w:val="22"/>
                <w:lang w:val="en-US" w:eastAsia="zh-CN" w:bidi="ar-SA"/>
              </w:rPr>
              <w:t>够实质性满足采购人的实际需求，得 3 分。实施方案较科学、合理性较强，较能满足采购人的实际需求得2分，实施方案科学性、合理性较差，距离满足采购人实际需求有差距的，得1分，未提供不得分。</w:t>
            </w:r>
          </w:p>
        </w:tc>
        <w:tc>
          <w:tcPr>
            <w:tcW w:w="1243" w:type="dxa"/>
            <w:noWrap w:val="0"/>
            <w:vAlign w:val="center"/>
          </w:tcPr>
          <w:p>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5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bidi="ar-SA"/>
              </w:rPr>
            </w:pPr>
          </w:p>
        </w:tc>
        <w:tc>
          <w:tcPr>
            <w:tcW w:w="1137"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标函质量</w:t>
            </w:r>
          </w:p>
        </w:tc>
        <w:tc>
          <w:tcPr>
            <w:tcW w:w="4969" w:type="dxa"/>
            <w:noWrap w:val="0"/>
            <w:vAlign w:val="center"/>
          </w:tcPr>
          <w:p>
            <w:pPr>
              <w:pStyle w:val="10"/>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标函编制内容完整、标书无涂改、无错页、无漏页、页码与目录完整得2分，标书涂改、错页、漏页、页码与目录不符等明显问题，每一处扣0.5分，扣完为止。</w:t>
            </w:r>
          </w:p>
        </w:tc>
        <w:tc>
          <w:tcPr>
            <w:tcW w:w="1243" w:type="dxa"/>
            <w:noWrap w:val="0"/>
            <w:vAlign w:val="center"/>
          </w:tcPr>
          <w:p>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2分</w:t>
            </w:r>
          </w:p>
        </w:tc>
      </w:tr>
    </w:tbl>
    <w:p>
      <w:pPr>
        <w:keepNext w:val="0"/>
        <w:keepLines w:val="0"/>
        <w:pageBreakBefore w:val="0"/>
        <w:widowControl/>
        <w:tabs>
          <w:tab w:val="left" w:pos="567"/>
        </w:tabs>
        <w:kinsoku/>
        <w:wordWrap/>
        <w:overflowPunct/>
        <w:topLinePunct w:val="0"/>
        <w:autoSpaceDE w:val="0"/>
        <w:autoSpaceDN w:val="0"/>
        <w:bidi w:val="0"/>
        <w:snapToGrid/>
        <w:spacing w:line="560" w:lineRule="exact"/>
        <w:jc w:val="center"/>
        <w:textAlignment w:val="bottom"/>
        <w:outlineLvl w:val="0"/>
        <w:rPr>
          <w:rFonts w:hint="eastAsia" w:ascii="仿宋" w:hAnsi="仿宋" w:eastAsia="仿宋" w:cs="仿宋"/>
          <w:b/>
          <w:bCs/>
          <w:color w:val="auto"/>
          <w:kern w:val="2"/>
          <w:sz w:val="32"/>
          <w:szCs w:val="32"/>
          <w:lang w:val="en-US" w:eastAsia="zh-CN"/>
        </w:rPr>
      </w:pPr>
    </w:p>
    <w:p>
      <w:pPr>
        <w:rPr>
          <w:rFonts w:hint="default"/>
          <w:lang w:val="en-US"/>
        </w:rPr>
      </w:pPr>
    </w:p>
    <w:p>
      <w:pPr>
        <w:pStyle w:val="21"/>
        <w:keepNext w:val="0"/>
        <w:keepLines w:val="0"/>
        <w:pageBreakBefore w:val="0"/>
        <w:kinsoku/>
        <w:wordWrap/>
        <w:overflowPunct/>
        <w:topLinePunct w:val="0"/>
        <w:bidi w:val="0"/>
        <w:snapToGrid/>
        <w:spacing w:line="560" w:lineRule="exact"/>
        <w:ind w:left="0" w:leftChars="0" w:firstLine="0" w:firstLineChars="0"/>
        <w:jc w:val="center"/>
        <w:rPr>
          <w:rFonts w:hint="eastAsia" w:ascii="方正小标宋简体" w:hAnsi="方正小标宋简体" w:eastAsia="方正小标宋简体" w:cs="方正小标宋简体"/>
          <w:b w:val="0"/>
          <w:bCs/>
          <w:color w:val="auto"/>
          <w:kern w:val="2"/>
          <w:sz w:val="40"/>
          <w:szCs w:val="40"/>
          <w:lang w:val="en-US" w:eastAsia="zh-CN"/>
        </w:rPr>
      </w:pPr>
      <w:r>
        <w:rPr>
          <w:rFonts w:hint="eastAsia" w:ascii="方正小标宋简体" w:hAnsi="方正小标宋简体" w:eastAsia="方正小标宋简体" w:cs="方正小标宋简体"/>
          <w:b w:val="0"/>
          <w:bCs/>
          <w:color w:val="auto"/>
          <w:kern w:val="2"/>
          <w:sz w:val="40"/>
          <w:szCs w:val="40"/>
        </w:rPr>
        <w:t>第</w:t>
      </w:r>
      <w:r>
        <w:rPr>
          <w:rFonts w:hint="eastAsia" w:ascii="方正小标宋简体" w:hAnsi="方正小标宋简体" w:eastAsia="方正小标宋简体" w:cs="方正小标宋简体"/>
          <w:b w:val="0"/>
          <w:bCs/>
          <w:color w:val="auto"/>
          <w:kern w:val="2"/>
          <w:sz w:val="40"/>
          <w:szCs w:val="40"/>
          <w:lang w:val="en-US" w:eastAsia="zh-CN"/>
        </w:rPr>
        <w:t>五</w:t>
      </w:r>
      <w:r>
        <w:rPr>
          <w:rFonts w:hint="eastAsia" w:ascii="方正小标宋简体" w:hAnsi="方正小标宋简体" w:eastAsia="方正小标宋简体" w:cs="方正小标宋简体"/>
          <w:b w:val="0"/>
          <w:bCs/>
          <w:color w:val="auto"/>
          <w:kern w:val="2"/>
          <w:sz w:val="40"/>
          <w:szCs w:val="40"/>
        </w:rPr>
        <w:t xml:space="preserve">部分   </w:t>
      </w:r>
      <w:r>
        <w:rPr>
          <w:rFonts w:hint="eastAsia" w:ascii="方正小标宋简体" w:hAnsi="方正小标宋简体" w:eastAsia="方正小标宋简体" w:cs="方正小标宋简体"/>
          <w:b w:val="0"/>
          <w:bCs/>
          <w:color w:val="auto"/>
          <w:kern w:val="2"/>
          <w:sz w:val="40"/>
          <w:szCs w:val="40"/>
          <w:lang w:val="en-US" w:eastAsia="zh-CN"/>
        </w:rPr>
        <w:t>采购合同</w:t>
      </w:r>
      <w:bookmarkEnd w:id="34"/>
      <w:bookmarkEnd w:id="35"/>
      <w:r>
        <w:rPr>
          <w:rFonts w:hint="eastAsia" w:ascii="方正小标宋简体" w:hAnsi="方正小标宋简体" w:eastAsia="方正小标宋简体" w:cs="方正小标宋简体"/>
          <w:b w:val="0"/>
          <w:bCs/>
          <w:color w:val="auto"/>
          <w:kern w:val="2"/>
          <w:sz w:val="40"/>
          <w:szCs w:val="40"/>
          <w:lang w:val="en-US" w:eastAsia="zh-CN"/>
        </w:rPr>
        <w:t>（模板）</w:t>
      </w:r>
    </w:p>
    <w:p>
      <w:pPr>
        <w:keepNext w:val="0"/>
        <w:keepLines w:val="0"/>
        <w:pageBreakBefore w:val="0"/>
        <w:widowControl/>
        <w:tabs>
          <w:tab w:val="left" w:pos="567"/>
        </w:tabs>
        <w:kinsoku/>
        <w:wordWrap/>
        <w:overflowPunct/>
        <w:topLinePunct w:val="0"/>
        <w:autoSpaceDE w:val="0"/>
        <w:autoSpaceDN w:val="0"/>
        <w:bidi w:val="0"/>
        <w:snapToGrid/>
        <w:spacing w:line="560" w:lineRule="exact"/>
        <w:jc w:val="center"/>
        <w:textAlignment w:val="bottom"/>
        <w:outlineLvl w:val="0"/>
        <w:rPr>
          <w:rFonts w:hint="eastAsia" w:ascii="仿宋" w:hAnsi="仿宋" w:eastAsia="仿宋" w:cs="仿宋"/>
          <w:b/>
          <w:bCs/>
          <w:color w:val="auto"/>
          <w:kern w:val="2"/>
          <w:sz w:val="32"/>
          <w:szCs w:val="32"/>
          <w:lang w:eastAsia="zh-CN"/>
        </w:rPr>
      </w:pPr>
      <w:bookmarkStart w:id="38" w:name="_Toc1993_WPSOffice_Level2"/>
      <w:bookmarkStart w:id="39" w:name="_Toc30824_WPSOffice_Level2"/>
      <w:r>
        <w:rPr>
          <w:rFonts w:hint="eastAsia" w:ascii="仿宋" w:hAnsi="仿宋" w:eastAsia="仿宋" w:cs="仿宋"/>
          <w:b/>
          <w:bCs/>
          <w:color w:val="auto"/>
          <w:kern w:val="2"/>
          <w:sz w:val="32"/>
          <w:szCs w:val="32"/>
          <w:lang w:val="en-US" w:eastAsia="zh-CN"/>
        </w:rPr>
        <w:t xml:space="preserve">第一章  </w:t>
      </w:r>
      <w:r>
        <w:rPr>
          <w:rFonts w:hint="eastAsia" w:ascii="仿宋" w:hAnsi="仿宋" w:eastAsia="仿宋" w:cs="仿宋"/>
          <w:b/>
          <w:bCs/>
          <w:color w:val="auto"/>
          <w:kern w:val="2"/>
          <w:sz w:val="32"/>
          <w:szCs w:val="32"/>
          <w:lang w:eastAsia="zh-CN"/>
        </w:rPr>
        <w:t>合同条款（采购合同）</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bookmarkStart w:id="40" w:name="_Toc8591_WPSOffice_Level2"/>
      <w:bookmarkStart w:id="41" w:name="_Toc29512_WPSOffice_Level2"/>
      <w:r>
        <w:rPr>
          <w:rFonts w:hint="eastAsia" w:ascii="仿宋" w:hAnsi="仿宋" w:eastAsia="仿宋" w:cs="仿宋"/>
          <w:color w:val="auto"/>
          <w:kern w:val="2"/>
          <w:sz w:val="28"/>
          <w:szCs w:val="28"/>
          <w:lang w:eastAsia="zh-CN"/>
        </w:rPr>
        <w:t>甲  方：(买方／业主)</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bookmarkStart w:id="42" w:name="_Toc1382_WPSOffice_Level2"/>
      <w:bookmarkStart w:id="43" w:name="_Toc24817_WPSOffice_Level2"/>
      <w:r>
        <w:rPr>
          <w:rFonts w:hint="eastAsia" w:ascii="仿宋" w:hAnsi="仿宋" w:eastAsia="仿宋" w:cs="仿宋"/>
          <w:color w:val="auto"/>
          <w:kern w:val="2"/>
          <w:sz w:val="28"/>
          <w:szCs w:val="28"/>
          <w:lang w:eastAsia="zh-CN"/>
        </w:rPr>
        <w:t>乙  方：（投标方）</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根据《中华人民共和国合同法》及市政府采购办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        号     要求，甲、乙双方经协商确定，甲方向乙方订购             及其服务，为明确双方责任和权利，特签订本合同，共同遵守。具体条款如下：</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1、合同标的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乙方负责向甲方供应下表中所列系统及配套设备及负责安装调试。</w:t>
      </w:r>
    </w:p>
    <w:tbl>
      <w:tblPr>
        <w:tblStyle w:val="17"/>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33"/>
        <w:gridCol w:w="1049"/>
        <w:gridCol w:w="761"/>
        <w:gridCol w:w="905"/>
        <w:gridCol w:w="905"/>
        <w:gridCol w:w="906"/>
        <w:gridCol w:w="906"/>
        <w:gridCol w:w="90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品名</w:t>
            </w:r>
          </w:p>
        </w:tc>
        <w:tc>
          <w:tcPr>
            <w:tcW w:w="1133" w:type="dxa"/>
            <w:noWrap w:val="0"/>
            <w:vAlign w:val="center"/>
          </w:tcPr>
          <w:p>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规格型号/版本号</w:t>
            </w:r>
          </w:p>
        </w:tc>
        <w:tc>
          <w:tcPr>
            <w:tcW w:w="1049" w:type="dxa"/>
            <w:noWrap w:val="0"/>
            <w:vAlign w:val="center"/>
          </w:tcPr>
          <w:p>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产地厂家</w:t>
            </w:r>
          </w:p>
        </w:tc>
        <w:tc>
          <w:tcPr>
            <w:tcW w:w="761" w:type="dxa"/>
            <w:noWrap w:val="0"/>
            <w:vAlign w:val="center"/>
          </w:tcPr>
          <w:p>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905" w:type="dxa"/>
            <w:noWrap w:val="0"/>
            <w:vAlign w:val="center"/>
          </w:tcPr>
          <w:p>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905" w:type="dxa"/>
            <w:noWrap w:val="0"/>
            <w:vAlign w:val="center"/>
          </w:tcPr>
          <w:p>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06" w:type="dxa"/>
            <w:noWrap w:val="0"/>
            <w:vAlign w:val="center"/>
          </w:tcPr>
          <w:p>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906" w:type="dxa"/>
            <w:noWrap w:val="0"/>
            <w:vAlign w:val="center"/>
          </w:tcPr>
          <w:p>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随机配件</w:t>
            </w:r>
          </w:p>
        </w:tc>
        <w:tc>
          <w:tcPr>
            <w:tcW w:w="906" w:type="dxa"/>
            <w:noWrap w:val="0"/>
            <w:vAlign w:val="center"/>
          </w:tcPr>
          <w:p>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交货地点</w:t>
            </w:r>
          </w:p>
        </w:tc>
        <w:tc>
          <w:tcPr>
            <w:tcW w:w="906" w:type="dxa"/>
            <w:noWrap w:val="0"/>
            <w:vAlign w:val="center"/>
          </w:tcPr>
          <w:p>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1133"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1049"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761"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5"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5"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1133"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1049"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761"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5"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5"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r>
    </w:tbl>
    <w:p>
      <w:pPr>
        <w:pStyle w:val="21"/>
        <w:keepNext w:val="0"/>
        <w:keepLines w:val="0"/>
        <w:pageBreakBefore w:val="0"/>
        <w:kinsoku/>
        <w:wordWrap/>
        <w:overflowPunct/>
        <w:topLinePunct w:val="0"/>
        <w:bidi w:val="0"/>
        <w:snapToGrid/>
        <w:spacing w:line="560" w:lineRule="exact"/>
        <w:jc w:val="both"/>
        <w:rPr>
          <w:rFonts w:hint="eastAsia" w:ascii="宋体" w:hAnsi="宋体" w:eastAsia="宋体" w:cs="宋体"/>
          <w:color w:val="auto"/>
        </w:rPr>
      </w:pP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2.合同总价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总价为：           （大写） ，￥     元，该合同总金额是设计、设备制造、包装、仓储、运输、安装、调试及验收合格之前及保修期与备品备件发生的所有含税费用。本合同执行期间合同总金额不变。</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3.合同组成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详细价格、技术说明及其它有关合同货物的特定信息由合同附件说明。所有附件及本项目的招投标文件、会议纪要、协议等均为本合同不可分割之一部分。</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4.技术要求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乙方所提供软件及设备，必须符合国家有关规范和甲方的技术要求，并提供设备的厂试测验报告。</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5.合同标的包装、交货、安装及验收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合同设备的包装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设备的包装均应有良好的防湿、防锈、防潮、防雨、防腐及防碰撞的措施。凡由于包装不良造成的损失和由此产生的费用均由乙方承担。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合同标的的交货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5.2.1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乙方交货时间：按甲方要求。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5.2.2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乙方交货地点：按甲方要求。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5.3</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合同标的的安装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5.3.1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乙方负责合同项下的安装，一切费用由乙方负责。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5.3.2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乙方安装时须对各安装场地内的其他设备、设施有良好保护措施。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5.4验收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5.4.1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合同软件及配套设备安装完成后     个工作日内验收，验收应在甲乙双方共同参加下进行。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5.4.2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5.4.3</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如果合同软件或设备运输和安装过程中因事故造成货物短缺、损坏，乙方应及时安排换装，以保证合同设备安装的成功完成。换货的相关费用由乙方承担。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5.5</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乙方保证合同项下提供的软件及设备不侵犯任何第三方的专利、商标或版权。否则，乙方须承担对第三方的专利或版权的侵权责任并承担因此而发生的所有费用。</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6.质量保证及售后服务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6.1乙方保证合同设备是全新、未曾使用过的，其质量、规格及技术特征符合合同附件的要求。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6.2合同系统及设备保质保用期为本项目有关部门验收签字之日起不少于  1  年。（详见用户需求书）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6.3.保质保用期内非因甲方的人为原因而出现产品质量及安装问题，由乙方负责包修、包换或包退，并承担因此而产生的一切费用。乙方应在收到甲方通知后 24小时（详见用户需求书）内派员到现场维修。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下列情况乙方不负责免费保修：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（1）不按照乙方提供的正确使用方法而引致系统或设备故障损坏；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（2）擅自修改系统或改装设备；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（3）各种人为因素或天灾等外来因素造成的损坏。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6.4</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因产品的质量问题而发生争议，由质检部门进行质量鉴定。产品符合质量标准的，鉴定费用由甲方承担；产品不符合质量标准的，鉴定费用由乙方承担。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6.5 乙方无偿培训甲方维护及维修人员，主要内容为系统及设备的基本结构、性能、主要部件/模块的构造及维护，日常使用与管理，常见故障的排除，紧急情况的处理等，培训地点主要在产品安装现场或按甲方安排。</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7.付款办法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7.1合同每笔款项以人民币转账方式支付。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7.2 付款方式：以合同签订为准。</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8.乙方应派员到甲方指定地点配合工作。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8.1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乙方按甲方提供的合同执行进度计划，再配合甲方及有关单位，以此做好合同执行进度上的配合工作。</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9.不可抗力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9.1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不可抗力指战争、严重火灾、洪水、台风、地震等或其它双方认定的不可抗力事件。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9.2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签约双方中任何一方由于不可抗力影响合同执行时，发生不可抗力一方应尽快将事故通知另一方。在此情况下，乙方仍然有责任采取必要的措施加速供货，双方应通过友好协商尽快解决本合同的执行问题。</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10.索赔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10.1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如有异议，甲方有权根据有关政府部门的检验结果向乙方提出索赔。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10.2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在合同执行期间，如果乙方对甲方提出的索赔和差异负有责任，乙方应按照甲方同意的下列一种或多种方式解决索赔事宜：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（1）乙方同意退货，并按合同规定的同种货币将货款退还给甲方，并承担由此发生的一切损失和费用。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（2）根据货物低劣程度、损坏程度以及甲方所遭受损失的数额甲乙双方商定降低货物的价格。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（3）用符合规格、质量和性能要求的新零件、部件或货物来更换有缺陷的部分或修补缺陷的部分，乙方应承担一切费用和风险并负担甲方所发生的一切直接费用。同时，相应延长质量保证期。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10.3</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如果在甲方发出索赔通知后30天内，乙方未作答复，上述索赔应视为已被乙方接受。甲方将从合同款项中扣回索赔金额。如果这些金额不足以补偿索赔金额，甲方有权向乙方提出不足部分的补偿。</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11.违约与处罚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11.1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甲方应依合同规定时间内，向乙方支付货款，每拖延一天乙方可向甲方加收合同金额的3‰的违约金。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11.2乙方未能按时交货，每拖延1天，须向甲方支付合同金额的5‰的违约金。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11.3乙方交付的货物不符合合同规定的，甲方有权拒收，乙方向甲方支付合同金额的5%的违约金。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 11.4 甲方无正当理由拒收货物的，甲方向乙方支付合同金额的5%的违约金。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 </w:t>
      </w:r>
      <w:r>
        <w:rPr>
          <w:rFonts w:hint="eastAsia" w:ascii="仿宋" w:hAnsi="仿宋" w:eastAsia="仿宋" w:cs="仿宋"/>
          <w:color w:val="auto"/>
          <w:kern w:val="2"/>
          <w:sz w:val="28"/>
          <w:szCs w:val="28"/>
          <w:lang w:val="en-US" w:eastAsia="zh-CN"/>
        </w:rPr>
        <w:t xml:space="preserve">  </w:t>
      </w:r>
      <w:r>
        <w:rPr>
          <w:rFonts w:hint="eastAsia" w:ascii="仿宋" w:hAnsi="仿宋" w:eastAsia="仿宋" w:cs="仿宋"/>
          <w:color w:val="auto"/>
          <w:kern w:val="2"/>
          <w:sz w:val="28"/>
          <w:szCs w:val="28"/>
          <w:lang w:eastAsia="zh-CN"/>
        </w:rPr>
        <w:t>11.5 乙方未能交付货物，则向甲方支付合同金额的7.5%的违约金。</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12.合同终止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如果一方严重违反合同，并在收到对方违约通知书后在30天内仍未能改正违约的另一方可立即终止本合同。</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13.法律诉讼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签约双方在履约中发生争执和分歧，双方应通过友好协商解决，若经协商不能达成协议时，则由合同签订所在地仲裁机构仲裁或向合同签订所在地人民法院提起诉讼（仲裁或诉讼任选一种）。受理期间，双方应继续执行合同其余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14.其他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14.1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本合同正本6份，具有同等法律效力，甲方4份，乙方1份，招标代理机构1份。合同自签字之日起即时生效。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14.2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本合同末尽事宜，由双方协商处理。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甲方：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乙方：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签约代表 ：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签约代表：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地址：                                    地址：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电话：</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                              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传真：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                              传真：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签约日期：20</w:t>
      </w: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lang w:eastAsia="zh-CN"/>
        </w:rPr>
        <w:t xml:space="preserve"> 年 月  日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     签约日期：20</w:t>
      </w: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lang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注：本合同仅为合同的参考文本，合同签订双方可根据项目的具体要求进行修订。</w:t>
      </w:r>
    </w:p>
    <w:p>
      <w:pPr>
        <w:pStyle w:val="14"/>
        <w:keepNext w:val="0"/>
        <w:keepLines w:val="0"/>
        <w:pageBreakBefore w:val="0"/>
        <w:kinsoku/>
        <w:wordWrap/>
        <w:overflowPunct/>
        <w:topLinePunct w:val="0"/>
        <w:bidi w:val="0"/>
        <w:snapToGrid/>
        <w:spacing w:line="560" w:lineRule="exact"/>
        <w:jc w:val="both"/>
        <w:rPr>
          <w:rFonts w:hint="eastAsia"/>
          <w:color w:val="auto"/>
          <w:lang w:eastAsia="zh-CN"/>
        </w:rPr>
      </w:pPr>
    </w:p>
    <w:p>
      <w:pPr>
        <w:pStyle w:val="14"/>
        <w:keepNext w:val="0"/>
        <w:keepLines w:val="0"/>
        <w:pageBreakBefore w:val="0"/>
        <w:kinsoku/>
        <w:wordWrap/>
        <w:overflowPunct/>
        <w:topLinePunct w:val="0"/>
        <w:bidi w:val="0"/>
        <w:snapToGrid/>
        <w:spacing w:line="560" w:lineRule="exact"/>
        <w:jc w:val="both"/>
        <w:rPr>
          <w:rFonts w:hint="eastAsia"/>
          <w:color w:val="auto"/>
          <w:lang w:eastAsia="zh-CN"/>
        </w:rPr>
      </w:pPr>
    </w:p>
    <w:p>
      <w:pPr>
        <w:pStyle w:val="21"/>
        <w:keepNext w:val="0"/>
        <w:keepLines w:val="0"/>
        <w:pageBreakBefore w:val="0"/>
        <w:kinsoku/>
        <w:wordWrap/>
        <w:overflowPunct/>
        <w:topLinePunct w:val="0"/>
        <w:bidi w:val="0"/>
        <w:snapToGrid/>
        <w:spacing w:line="560" w:lineRule="exact"/>
        <w:jc w:val="center"/>
        <w:rPr>
          <w:rFonts w:hint="eastAsia" w:ascii="仿宋" w:hAnsi="仿宋" w:eastAsia="仿宋" w:cs="仿宋"/>
          <w:b/>
          <w:bCs/>
          <w:color w:val="auto"/>
          <w:kern w:val="2"/>
          <w:sz w:val="32"/>
          <w:szCs w:val="32"/>
          <w:lang w:val="en-US" w:eastAsia="zh-CN" w:bidi="ar-SA"/>
        </w:rPr>
      </w:pPr>
      <w:bookmarkStart w:id="44" w:name="_Toc6721_WPSOffice_Level2"/>
      <w:bookmarkStart w:id="45" w:name="_Toc24990_WPSOffice_Level2"/>
      <w:r>
        <w:rPr>
          <w:rFonts w:hint="eastAsia" w:ascii="仿宋" w:hAnsi="仿宋" w:eastAsia="仿宋" w:cs="仿宋"/>
          <w:b/>
          <w:bCs/>
          <w:color w:val="auto"/>
          <w:kern w:val="2"/>
          <w:sz w:val="32"/>
          <w:szCs w:val="32"/>
          <w:lang w:val="en-US" w:eastAsia="zh-CN" w:bidi="ar-SA"/>
        </w:rPr>
        <w:t>第二章  付款币种及方式</w:t>
      </w:r>
      <w:bookmarkEnd w:id="44"/>
      <w:bookmarkEnd w:id="45"/>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1、付款币种</w:t>
      </w:r>
    </w:p>
    <w:p>
      <w:pPr>
        <w:pStyle w:val="21"/>
        <w:keepNext w:val="0"/>
        <w:keepLines w:val="0"/>
        <w:pageBreakBefore w:val="0"/>
        <w:kinsoku/>
        <w:wordWrap/>
        <w:overflowPunct/>
        <w:topLinePunct w:val="0"/>
        <w:bidi w:val="0"/>
        <w:snapToGrid/>
        <w:spacing w:line="560" w:lineRule="exact"/>
        <w:ind w:firstLine="42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本次招标所述的项目资金均以人民币支付。</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2、付款方式：</w:t>
      </w:r>
    </w:p>
    <w:p>
      <w:pPr>
        <w:pStyle w:val="21"/>
        <w:keepNext w:val="0"/>
        <w:keepLines w:val="0"/>
        <w:pageBreakBefore w:val="0"/>
        <w:kinsoku/>
        <w:wordWrap/>
        <w:overflowPunct/>
        <w:topLinePunct w:val="0"/>
        <w:bidi w:val="0"/>
        <w:snapToGrid/>
        <w:spacing w:line="560" w:lineRule="exact"/>
        <w:ind w:firstLine="42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以合同签订为准。</w:t>
      </w:r>
    </w:p>
    <w:p>
      <w:pPr>
        <w:pStyle w:val="21"/>
        <w:keepNext w:val="0"/>
        <w:keepLines w:val="0"/>
        <w:pageBreakBefore w:val="0"/>
        <w:kinsoku/>
        <w:wordWrap/>
        <w:overflowPunct/>
        <w:topLinePunct w:val="0"/>
        <w:bidi w:val="0"/>
        <w:snapToGrid/>
        <w:spacing w:line="560" w:lineRule="exact"/>
        <w:ind w:firstLine="42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如果项目进行中需求出现变动，则按照实际施工量减少付款或办理追加，发票按照相关法律法规要求规范开具，实报实销。</w:t>
      </w:r>
    </w:p>
    <w:p>
      <w:pPr>
        <w:pStyle w:val="26"/>
        <w:keepLines w:val="0"/>
        <w:pageBreakBefore w:val="0"/>
        <w:kinsoku/>
        <w:wordWrap/>
        <w:overflowPunct/>
        <w:topLinePunct w:val="0"/>
        <w:bidi w:val="0"/>
        <w:spacing w:line="600" w:lineRule="exact"/>
        <w:jc w:val="both"/>
        <w:rPr>
          <w:rFonts w:hint="eastAsia"/>
          <w:b w:val="0"/>
          <w:bCs w:val="0"/>
          <w:color w:val="auto"/>
          <w:sz w:val="21"/>
          <w:szCs w:val="21"/>
        </w:rPr>
      </w:pPr>
    </w:p>
    <w:p>
      <w:pPr>
        <w:widowControl w:val="0"/>
        <w:numPr>
          <w:ilvl w:val="0"/>
          <w:numId w:val="4"/>
        </w:numPr>
        <w:spacing w:line="500" w:lineRule="exact"/>
        <w:ind w:leftChars="0"/>
        <w:jc w:val="center"/>
        <w:rPr>
          <w:rFonts w:hint="eastAsia" w:ascii="方正小标宋简体" w:hAnsi="方正小标宋简体" w:eastAsia="方正小标宋简体" w:cs="方正小标宋简体"/>
          <w:b w:val="0"/>
          <w:bCs/>
          <w:color w:val="auto"/>
          <w:kern w:val="2"/>
          <w:sz w:val="40"/>
          <w:szCs w:val="40"/>
          <w:lang w:eastAsia="zh-CN"/>
        </w:rPr>
      </w:pPr>
      <w:bookmarkStart w:id="46" w:name="_Toc16318_WPSOffice_Level1"/>
      <w:bookmarkStart w:id="47" w:name="_Toc13389_WPSOffice_Level1"/>
      <w:r>
        <w:rPr>
          <w:rFonts w:hint="eastAsia" w:ascii="方正小标宋简体" w:hAnsi="方正小标宋简体" w:eastAsia="方正小标宋简体" w:cs="方正小标宋简体"/>
          <w:b w:val="0"/>
          <w:bCs/>
          <w:color w:val="auto"/>
          <w:kern w:val="2"/>
          <w:sz w:val="40"/>
          <w:szCs w:val="40"/>
          <w:lang w:eastAsia="zh-CN"/>
        </w:rPr>
        <w:t>竞争性磋商响应文件格式</w:t>
      </w:r>
      <w:bookmarkEnd w:id="46"/>
      <w:bookmarkEnd w:id="47"/>
    </w:p>
    <w:p>
      <w:pPr>
        <w:pStyle w:val="23"/>
        <w:numPr>
          <w:ilvl w:val="0"/>
          <w:numId w:val="0"/>
        </w:numPr>
        <w:jc w:val="both"/>
        <w:rPr>
          <w:rFonts w:hint="eastAsia"/>
          <w:color w:val="auto"/>
          <w:lang w:val="en-US" w:eastAsia="zh-CN"/>
        </w:rPr>
      </w:pPr>
    </w:p>
    <w:p>
      <w:pPr>
        <w:spacing w:line="520" w:lineRule="exact"/>
        <w:ind w:firstLine="2570" w:firstLineChars="800"/>
        <w:jc w:val="both"/>
        <w:rPr>
          <w:rFonts w:hint="eastAsia" w:ascii="仿宋" w:hAnsi="仿宋" w:eastAsia="仿宋" w:cs="仿宋"/>
          <w:b/>
          <w:bCs w:val="0"/>
          <w:color w:val="auto"/>
          <w:sz w:val="32"/>
          <w:lang w:eastAsia="zh-CN"/>
        </w:rPr>
      </w:pPr>
    </w:p>
    <w:p>
      <w:pPr>
        <w:spacing w:line="520" w:lineRule="exact"/>
        <w:ind w:firstLine="2570" w:firstLineChars="800"/>
        <w:jc w:val="both"/>
        <w:rPr>
          <w:rFonts w:hint="default" w:ascii="仿宋" w:hAnsi="仿宋" w:eastAsia="仿宋" w:cs="仿宋"/>
          <w:b/>
          <w:bCs w:val="0"/>
          <w:color w:val="auto"/>
          <w:sz w:val="32"/>
          <w:lang w:val="en-US" w:eastAsia="zh-CN"/>
        </w:rPr>
      </w:pPr>
      <w:r>
        <w:rPr>
          <w:rFonts w:hint="eastAsia" w:ascii="仿宋" w:hAnsi="仿宋" w:eastAsia="仿宋" w:cs="仿宋"/>
          <w:b/>
          <w:bCs w:val="0"/>
          <w:color w:val="auto"/>
          <w:sz w:val="32"/>
          <w:lang w:eastAsia="zh-CN"/>
        </w:rPr>
        <w:t>一、</w:t>
      </w:r>
      <w:r>
        <w:rPr>
          <w:rFonts w:hint="eastAsia" w:ascii="仿宋" w:hAnsi="仿宋" w:eastAsia="仿宋" w:cs="仿宋"/>
          <w:b/>
          <w:bCs w:val="0"/>
          <w:color w:val="auto"/>
          <w:sz w:val="32"/>
        </w:rPr>
        <w:t>投标书编制</w:t>
      </w:r>
      <w:r>
        <w:rPr>
          <w:rFonts w:hint="eastAsia" w:ascii="仿宋" w:hAnsi="仿宋" w:eastAsia="仿宋" w:cs="仿宋"/>
          <w:b/>
          <w:bCs w:val="0"/>
          <w:color w:val="auto"/>
          <w:sz w:val="32"/>
          <w:lang w:eastAsia="zh-CN"/>
        </w:rPr>
        <w:t>格式</w:t>
      </w:r>
    </w:p>
    <w:p>
      <w:pPr>
        <w:spacing w:line="48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投标人应按下列</w:t>
      </w:r>
      <w:r>
        <w:rPr>
          <w:rFonts w:hint="eastAsia" w:ascii="仿宋" w:hAnsi="仿宋" w:eastAsia="仿宋" w:cs="仿宋"/>
          <w:color w:val="auto"/>
          <w:sz w:val="32"/>
          <w:szCs w:val="32"/>
          <w:lang w:eastAsia="zh-CN"/>
        </w:rPr>
        <w:t>格式</w:t>
      </w:r>
      <w:r>
        <w:rPr>
          <w:rFonts w:hint="eastAsia" w:ascii="仿宋" w:hAnsi="仿宋" w:eastAsia="仿宋" w:cs="仿宋"/>
          <w:color w:val="auto"/>
          <w:sz w:val="32"/>
          <w:szCs w:val="32"/>
        </w:rPr>
        <w:t>排列和装订投标文件：</w:t>
      </w:r>
    </w:p>
    <w:p>
      <w:pPr>
        <w:keepNext w:val="0"/>
        <w:keepLines w:val="0"/>
        <w:pageBreakBefore w:val="0"/>
        <w:kinsoku/>
        <w:wordWrap/>
        <w:overflowPunct/>
        <w:topLinePunct w:val="0"/>
        <w:bidi w:val="0"/>
        <w:adjustRightInd w:val="0"/>
        <w:snapToGrid w:val="0"/>
        <w:spacing w:line="600" w:lineRule="exact"/>
        <w:ind w:firstLine="643"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sz w:val="32"/>
          <w:szCs w:val="32"/>
        </w:rPr>
        <w:t>一、</w:t>
      </w:r>
      <w:r>
        <w:rPr>
          <w:rFonts w:hint="eastAsia" w:ascii="仿宋" w:hAnsi="仿宋" w:eastAsia="仿宋" w:cs="仿宋"/>
          <w:b/>
          <w:color w:val="auto"/>
          <w:sz w:val="30"/>
          <w:szCs w:val="30"/>
        </w:rPr>
        <w:t>资格性自查表</w:t>
      </w:r>
    </w:p>
    <w:p>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二、投标函</w:t>
      </w:r>
      <w:r>
        <w:rPr>
          <w:rFonts w:hint="eastAsia" w:ascii="仿宋" w:hAnsi="仿宋" w:eastAsia="仿宋" w:cs="仿宋"/>
          <w:b/>
          <w:color w:val="auto"/>
          <w:sz w:val="30"/>
          <w:szCs w:val="30"/>
          <w:lang w:eastAsia="zh-CN"/>
        </w:rPr>
        <w:t>、投标声明</w:t>
      </w:r>
    </w:p>
    <w:p>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三、投标保证金</w:t>
      </w:r>
      <w:r>
        <w:rPr>
          <w:rFonts w:hint="eastAsia" w:ascii="仿宋" w:hAnsi="仿宋" w:eastAsia="仿宋" w:cs="仿宋"/>
          <w:b/>
          <w:color w:val="auto"/>
          <w:sz w:val="30"/>
          <w:szCs w:val="30"/>
          <w:lang w:eastAsia="zh-CN"/>
        </w:rPr>
        <w:t>（保函）</w:t>
      </w:r>
    </w:p>
    <w:p>
      <w:pPr>
        <w:keepNext w:val="0"/>
        <w:keepLines w:val="0"/>
        <w:pageBreakBefore w:val="0"/>
        <w:kinsoku/>
        <w:wordWrap/>
        <w:overflowPunct/>
        <w:topLinePunct w:val="0"/>
        <w:bidi w:val="0"/>
        <w:adjustRightInd w:val="0"/>
        <w:snapToGrid w:val="0"/>
        <w:spacing w:line="600" w:lineRule="exact"/>
        <w:ind w:firstLine="1200" w:firstLineChars="4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投标保证金</w:t>
      </w:r>
      <w:r>
        <w:rPr>
          <w:rFonts w:hint="eastAsia" w:ascii="仿宋" w:hAnsi="仿宋" w:eastAsia="仿宋" w:cs="仿宋"/>
          <w:color w:val="auto"/>
          <w:sz w:val="30"/>
          <w:szCs w:val="30"/>
          <w:lang w:eastAsia="zh-CN"/>
        </w:rPr>
        <w:t>（保函）</w:t>
      </w:r>
      <w:r>
        <w:rPr>
          <w:rFonts w:hint="eastAsia" w:ascii="仿宋" w:hAnsi="仿宋" w:eastAsia="仿宋" w:cs="仿宋"/>
          <w:color w:val="auto"/>
          <w:sz w:val="30"/>
          <w:szCs w:val="30"/>
        </w:rPr>
        <w:t>缴纳凭证</w:t>
      </w:r>
    </w:p>
    <w:p>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四、投标人的</w:t>
      </w:r>
      <w:r>
        <w:rPr>
          <w:rFonts w:hint="eastAsia" w:ascii="仿宋" w:hAnsi="仿宋" w:eastAsia="仿宋" w:cs="仿宋"/>
          <w:b/>
          <w:color w:val="auto"/>
          <w:sz w:val="30"/>
          <w:szCs w:val="30"/>
          <w:lang w:eastAsia="zh-CN"/>
        </w:rPr>
        <w:t>基本情况及资格证明材料</w:t>
      </w:r>
    </w:p>
    <w:p>
      <w:pPr>
        <w:keepNext w:val="0"/>
        <w:keepLines w:val="0"/>
        <w:pageBreakBefore w:val="0"/>
        <w:kinsoku/>
        <w:wordWrap/>
        <w:overflowPunct/>
        <w:topLinePunct w:val="0"/>
        <w:bidi w:val="0"/>
        <w:adjustRightInd w:val="0"/>
        <w:snapToGrid w:val="0"/>
        <w:spacing w:line="600" w:lineRule="exact"/>
        <w:ind w:firstLine="1200" w:firstLineChars="4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投标人基本情况表</w:t>
      </w:r>
    </w:p>
    <w:p>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信用记录</w:t>
      </w:r>
    </w:p>
    <w:p>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具有履行合同所必需的设备和专业技术能力书面声明</w:t>
      </w:r>
    </w:p>
    <w:p>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无重大违法记录声明书</w:t>
      </w:r>
    </w:p>
    <w:p>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color w:val="auto"/>
          <w:sz w:val="30"/>
          <w:szCs w:val="30"/>
        </w:rPr>
      </w:pPr>
      <w:r>
        <w:rPr>
          <w:rFonts w:hint="eastAsia" w:ascii="仿宋" w:hAnsi="仿宋" w:eastAsia="仿宋" w:cs="仿宋"/>
          <w:color w:val="auto"/>
          <w:sz w:val="30"/>
          <w:szCs w:val="30"/>
          <w:lang w:eastAsia="zh-CN"/>
        </w:rPr>
        <w:t>投标单位（供应商）反商业贿赂承诺书</w:t>
      </w:r>
    </w:p>
    <w:p>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五、项目</w:t>
      </w:r>
      <w:r>
        <w:rPr>
          <w:rFonts w:hint="eastAsia" w:ascii="仿宋" w:hAnsi="仿宋" w:eastAsia="仿宋" w:cs="仿宋"/>
          <w:b/>
          <w:color w:val="auto"/>
          <w:sz w:val="30"/>
          <w:szCs w:val="30"/>
        </w:rPr>
        <w:t>实施方案</w:t>
      </w:r>
    </w:p>
    <w:p>
      <w:pPr>
        <w:keepNext w:val="0"/>
        <w:keepLines w:val="0"/>
        <w:pageBreakBefore w:val="0"/>
        <w:numPr>
          <w:ilvl w:val="0"/>
          <w:numId w:val="0"/>
        </w:numPr>
        <w:kinsoku/>
        <w:wordWrap/>
        <w:overflowPunct/>
        <w:topLinePunct w:val="0"/>
        <w:autoSpaceDE w:val="0"/>
        <w:autoSpaceDN w:val="0"/>
        <w:bidi w:val="0"/>
        <w:adjustRightInd w:val="0"/>
        <w:spacing w:line="600" w:lineRule="exact"/>
        <w:ind w:firstLine="1200" w:firstLineChars="4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项目负责人简历表及拟投入本项目主要成员表</w:t>
      </w:r>
    </w:p>
    <w:p>
      <w:pPr>
        <w:keepNext w:val="0"/>
        <w:keepLines w:val="0"/>
        <w:pageBreakBefore w:val="0"/>
        <w:kinsoku/>
        <w:wordWrap/>
        <w:overflowPunct/>
        <w:topLinePunct w:val="0"/>
        <w:bidi w:val="0"/>
        <w:adjustRightInd w:val="0"/>
        <w:snapToGrid w:val="0"/>
        <w:spacing w:line="600" w:lineRule="exact"/>
        <w:ind w:firstLine="1217" w:firstLineChars="406"/>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项目配备人员表</w:t>
      </w:r>
    </w:p>
    <w:p>
      <w:pPr>
        <w:keepNext w:val="0"/>
        <w:keepLines w:val="0"/>
        <w:pageBreakBefore w:val="0"/>
        <w:kinsoku/>
        <w:wordWrap/>
        <w:overflowPunct/>
        <w:topLinePunct w:val="0"/>
        <w:bidi w:val="0"/>
        <w:adjustRightInd w:val="0"/>
        <w:snapToGrid w:val="0"/>
        <w:spacing w:line="600" w:lineRule="exact"/>
        <w:ind w:firstLine="1200" w:firstLineChars="4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服务附表</w:t>
      </w:r>
    </w:p>
    <w:p>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六</w:t>
      </w:r>
      <w:r>
        <w:rPr>
          <w:rFonts w:hint="eastAsia" w:ascii="仿宋" w:hAnsi="仿宋" w:eastAsia="仿宋" w:cs="仿宋"/>
          <w:b/>
          <w:color w:val="auto"/>
          <w:sz w:val="30"/>
          <w:szCs w:val="30"/>
        </w:rPr>
        <w:t>、商务</w:t>
      </w:r>
      <w:r>
        <w:rPr>
          <w:rFonts w:hint="eastAsia" w:ascii="仿宋" w:hAnsi="仿宋" w:eastAsia="仿宋" w:cs="仿宋"/>
          <w:b/>
          <w:color w:val="auto"/>
          <w:sz w:val="30"/>
          <w:szCs w:val="30"/>
          <w:lang w:eastAsia="zh-CN"/>
        </w:rPr>
        <w:t>条款</w:t>
      </w:r>
      <w:r>
        <w:rPr>
          <w:rFonts w:hint="eastAsia" w:ascii="仿宋" w:hAnsi="仿宋" w:eastAsia="仿宋" w:cs="仿宋"/>
          <w:b/>
          <w:color w:val="auto"/>
          <w:sz w:val="30"/>
          <w:szCs w:val="30"/>
        </w:rPr>
        <w:t>偏离表</w:t>
      </w:r>
    </w:p>
    <w:p>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七</w:t>
      </w:r>
      <w:r>
        <w:rPr>
          <w:rFonts w:hint="eastAsia" w:ascii="仿宋" w:hAnsi="仿宋" w:eastAsia="仿宋" w:cs="仿宋"/>
          <w:b/>
          <w:color w:val="auto"/>
          <w:sz w:val="30"/>
          <w:szCs w:val="30"/>
        </w:rPr>
        <w:t>、技术</w:t>
      </w:r>
      <w:r>
        <w:rPr>
          <w:rFonts w:hint="eastAsia" w:ascii="仿宋" w:hAnsi="仿宋" w:eastAsia="仿宋" w:cs="仿宋"/>
          <w:b/>
          <w:color w:val="auto"/>
          <w:sz w:val="30"/>
          <w:szCs w:val="30"/>
          <w:lang w:eastAsia="zh-CN"/>
        </w:rPr>
        <w:t>参数、功能</w:t>
      </w:r>
      <w:r>
        <w:rPr>
          <w:rFonts w:hint="eastAsia" w:ascii="仿宋" w:hAnsi="仿宋" w:eastAsia="仿宋" w:cs="仿宋"/>
          <w:b/>
          <w:color w:val="auto"/>
          <w:sz w:val="30"/>
          <w:szCs w:val="30"/>
        </w:rPr>
        <w:t>偏离表</w:t>
      </w:r>
    </w:p>
    <w:p>
      <w:pPr>
        <w:pStyle w:val="10"/>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lang w:eastAsia="zh-CN"/>
        </w:rPr>
        <w:t>八、开标</w:t>
      </w:r>
      <w:r>
        <w:rPr>
          <w:rFonts w:hint="eastAsia" w:ascii="仿宋" w:hAnsi="仿宋" w:eastAsia="仿宋" w:cs="仿宋"/>
          <w:b/>
          <w:color w:val="auto"/>
          <w:sz w:val="30"/>
          <w:szCs w:val="30"/>
        </w:rPr>
        <w:t>一览表</w:t>
      </w:r>
    </w:p>
    <w:p>
      <w:pPr>
        <w:keepNext w:val="0"/>
        <w:keepLines w:val="0"/>
        <w:pageBreakBefore w:val="0"/>
        <w:kinsoku/>
        <w:wordWrap/>
        <w:overflowPunct/>
        <w:topLinePunct w:val="0"/>
        <w:bidi w:val="0"/>
        <w:spacing w:line="600" w:lineRule="exact"/>
        <w:ind w:firstLine="1200" w:firstLineChars="400"/>
        <w:jc w:val="left"/>
        <w:textAlignment w:val="auto"/>
        <w:rPr>
          <w:rFonts w:hint="eastAsia" w:ascii="仿宋" w:hAnsi="仿宋" w:eastAsia="仿宋" w:cs="仿宋"/>
          <w:bCs/>
          <w:color w:val="auto"/>
          <w:sz w:val="30"/>
          <w:szCs w:val="30"/>
          <w:lang w:eastAsia="zh-CN"/>
        </w:rPr>
      </w:pPr>
      <w:r>
        <w:rPr>
          <w:rFonts w:hint="eastAsia" w:ascii="仿宋" w:hAnsi="仿宋" w:eastAsia="仿宋" w:cs="仿宋"/>
          <w:bCs/>
          <w:color w:val="auto"/>
          <w:sz w:val="30"/>
          <w:szCs w:val="30"/>
          <w:lang w:eastAsia="zh-CN"/>
        </w:rPr>
        <w:t>分项报价表</w:t>
      </w:r>
    </w:p>
    <w:p>
      <w:pPr>
        <w:keepNext w:val="0"/>
        <w:keepLines w:val="0"/>
        <w:pageBreakBefore w:val="0"/>
        <w:kinsoku/>
        <w:wordWrap/>
        <w:overflowPunct/>
        <w:topLinePunct w:val="0"/>
        <w:bidi w:val="0"/>
        <w:spacing w:line="600" w:lineRule="exact"/>
        <w:ind w:firstLine="602" w:firstLineChars="200"/>
        <w:jc w:val="left"/>
        <w:textAlignment w:val="auto"/>
        <w:rPr>
          <w:rFonts w:hint="eastAsia" w:ascii="仿宋" w:hAnsi="仿宋" w:eastAsia="仿宋" w:cs="仿宋"/>
          <w:b/>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九、简要说明一览表</w:t>
      </w:r>
    </w:p>
    <w:p>
      <w:pPr>
        <w:keepNext w:val="0"/>
        <w:keepLines w:val="0"/>
        <w:pageBreakBefore w:val="0"/>
        <w:kinsoku/>
        <w:wordWrap/>
        <w:overflowPunct/>
        <w:topLinePunct w:val="0"/>
        <w:bidi w:val="0"/>
        <w:spacing w:line="600" w:lineRule="exact"/>
        <w:ind w:firstLine="602" w:firstLineChars="200"/>
        <w:jc w:val="left"/>
        <w:textAlignment w:val="auto"/>
        <w:rPr>
          <w:rFonts w:hint="eastAsia" w:ascii="仿宋" w:hAnsi="仿宋" w:eastAsia="仿宋" w:cs="仿宋"/>
          <w:b/>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十、法人代表授权书格式</w:t>
      </w:r>
    </w:p>
    <w:p>
      <w:pPr>
        <w:keepNext w:val="0"/>
        <w:keepLines w:val="0"/>
        <w:pageBreakBefore w:val="0"/>
        <w:kinsoku/>
        <w:wordWrap/>
        <w:overflowPunct/>
        <w:topLinePunct w:val="0"/>
        <w:bidi w:val="0"/>
        <w:spacing w:line="600" w:lineRule="exact"/>
        <w:ind w:firstLine="602"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kern w:val="2"/>
          <w:sz w:val="30"/>
          <w:szCs w:val="30"/>
          <w:lang w:val="en-US" w:eastAsia="zh-CN" w:bidi="ar-SA"/>
        </w:rPr>
        <w:t>十一、业绩表</w:t>
      </w:r>
    </w:p>
    <w:p>
      <w:pPr>
        <w:keepNext w:val="0"/>
        <w:keepLines w:val="0"/>
        <w:pageBreakBefore w:val="0"/>
        <w:kinsoku/>
        <w:wordWrap/>
        <w:overflowPunct/>
        <w:topLinePunct w:val="0"/>
        <w:bidi w:val="0"/>
        <w:spacing w:line="600" w:lineRule="exact"/>
        <w:ind w:firstLine="602" w:firstLineChars="200"/>
        <w:jc w:val="both"/>
        <w:textAlignment w:val="auto"/>
        <w:rPr>
          <w:rFonts w:hint="eastAsia" w:eastAsia="仿宋"/>
          <w:color w:val="auto"/>
          <w:lang w:eastAsia="zh-CN"/>
        </w:rPr>
      </w:pPr>
      <w:r>
        <w:rPr>
          <w:rFonts w:hint="eastAsia" w:ascii="仿宋" w:hAnsi="仿宋" w:eastAsia="仿宋" w:cs="仿宋"/>
          <w:b/>
          <w:color w:val="auto"/>
          <w:kern w:val="2"/>
          <w:sz w:val="30"/>
          <w:szCs w:val="30"/>
          <w:lang w:val="en-US" w:eastAsia="zh-CN" w:bidi="ar-SA"/>
        </w:rPr>
        <w:t>十二、</w:t>
      </w:r>
      <w:r>
        <w:rPr>
          <w:rFonts w:hint="eastAsia" w:ascii="仿宋" w:hAnsi="仿宋" w:eastAsia="仿宋" w:cs="仿宋"/>
          <w:b/>
          <w:bCs/>
          <w:color w:val="auto"/>
          <w:sz w:val="32"/>
          <w:szCs w:val="32"/>
        </w:rPr>
        <w:t>中小企业声明函</w:t>
      </w:r>
      <w:r>
        <w:rPr>
          <w:rFonts w:hint="eastAsia" w:ascii="仿宋" w:hAnsi="仿宋" w:eastAsia="仿宋" w:cs="仿宋"/>
          <w:b/>
          <w:bCs/>
          <w:color w:val="auto"/>
          <w:sz w:val="32"/>
          <w:szCs w:val="32"/>
          <w:lang w:eastAsia="zh-CN"/>
        </w:rPr>
        <w:t>（非中小企业可不提供）</w:t>
      </w:r>
    </w:p>
    <w:p>
      <w:pPr>
        <w:keepNext w:val="0"/>
        <w:keepLines w:val="0"/>
        <w:pageBreakBefore w:val="0"/>
        <w:kinsoku/>
        <w:wordWrap/>
        <w:overflowPunct/>
        <w:topLinePunct w:val="0"/>
        <w:bidi w:val="0"/>
        <w:spacing w:line="600" w:lineRule="exact"/>
        <w:ind w:firstLine="602" w:firstLineChars="200"/>
        <w:jc w:val="both"/>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十三</w:t>
      </w:r>
      <w:r>
        <w:rPr>
          <w:rFonts w:hint="eastAsia" w:ascii="仿宋" w:hAnsi="仿宋" w:eastAsia="仿宋" w:cs="仿宋"/>
          <w:b/>
          <w:color w:val="auto"/>
          <w:sz w:val="30"/>
          <w:szCs w:val="30"/>
        </w:rPr>
        <w:t>、</w:t>
      </w:r>
      <w:r>
        <w:rPr>
          <w:rFonts w:hint="eastAsia" w:ascii="仿宋" w:hAnsi="仿宋" w:eastAsia="仿宋" w:cs="仿宋"/>
          <w:b/>
          <w:color w:val="auto"/>
          <w:sz w:val="30"/>
          <w:szCs w:val="30"/>
          <w:lang w:eastAsia="zh-CN"/>
        </w:rPr>
        <w:t>投标人认为需提供的其他资料</w:t>
      </w:r>
    </w:p>
    <w:p>
      <w:pPr>
        <w:keepNext w:val="0"/>
        <w:keepLines w:val="0"/>
        <w:pageBreakBefore w:val="0"/>
        <w:kinsoku/>
        <w:wordWrap/>
        <w:overflowPunct/>
        <w:topLinePunct w:val="0"/>
        <w:bidi w:val="0"/>
        <w:spacing w:line="600" w:lineRule="exact"/>
        <w:ind w:firstLine="602" w:firstLineChars="200"/>
        <w:jc w:val="both"/>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十四、</w:t>
      </w:r>
      <w:r>
        <w:rPr>
          <w:rFonts w:hint="eastAsia" w:ascii="仿宋" w:hAnsi="仿宋" w:eastAsia="仿宋" w:cs="仿宋"/>
          <w:b/>
          <w:color w:val="auto"/>
          <w:sz w:val="30"/>
          <w:szCs w:val="30"/>
        </w:rPr>
        <w:t>投标文件必须制作有目录和页码</w:t>
      </w:r>
    </w:p>
    <w:p>
      <w:pPr>
        <w:keepNext w:val="0"/>
        <w:keepLines w:val="0"/>
        <w:pageBreakBefore w:val="0"/>
        <w:kinsoku/>
        <w:wordWrap/>
        <w:overflowPunct/>
        <w:topLinePunct w:val="0"/>
        <w:bidi w:val="0"/>
        <w:spacing w:line="600" w:lineRule="exact"/>
        <w:ind w:firstLine="602" w:firstLineChars="200"/>
        <w:jc w:val="both"/>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投标文件必须制作有目录和页码</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只接受A4纸张大小的投标文件</w:t>
      </w:r>
    </w:p>
    <w:p>
      <w:pPr>
        <w:pStyle w:val="23"/>
        <w:keepNext w:val="0"/>
        <w:keepLines w:val="0"/>
        <w:pageBreakBefore w:val="0"/>
        <w:kinsoku/>
        <w:wordWrap/>
        <w:overflowPunct/>
        <w:topLinePunct w:val="0"/>
        <w:bidi w:val="0"/>
        <w:spacing w:line="600" w:lineRule="exact"/>
        <w:ind w:left="0" w:leftChars="0" w:firstLine="0" w:firstLineChars="0"/>
        <w:jc w:val="both"/>
        <w:textAlignment w:val="auto"/>
        <w:rPr>
          <w:rFonts w:hint="eastAsia" w:ascii="仿宋" w:hAnsi="仿宋" w:eastAsia="仿宋" w:cs="仿宋"/>
          <w:color w:val="auto"/>
          <w:sz w:val="32"/>
          <w:szCs w:val="32"/>
          <w:lang w:eastAsia="zh-CN"/>
        </w:rPr>
      </w:pPr>
    </w:p>
    <w:p>
      <w:pPr>
        <w:pStyle w:val="14"/>
        <w:ind w:firstLine="643" w:firstLineChars="200"/>
        <w:jc w:val="both"/>
        <w:rPr>
          <w:rFonts w:hint="eastAsia" w:ascii="仿宋" w:hAnsi="仿宋" w:eastAsia="仿宋" w:cs="仿宋"/>
          <w:b/>
          <w:color w:val="auto"/>
          <w:sz w:val="32"/>
          <w:szCs w:val="32"/>
        </w:rPr>
      </w:pPr>
      <w:r>
        <w:rPr>
          <w:rFonts w:hint="eastAsia" w:ascii="仿宋" w:hAnsi="仿宋" w:eastAsia="仿宋" w:cs="仿宋"/>
          <w:b/>
          <w:color w:val="auto"/>
          <w:sz w:val="32"/>
          <w:szCs w:val="32"/>
        </w:rPr>
        <w:t>注：投标文件未按要求制作将作为废标处理</w:t>
      </w:r>
    </w:p>
    <w:p>
      <w:pPr>
        <w:pStyle w:val="14"/>
        <w:jc w:val="both"/>
        <w:rPr>
          <w:rFonts w:hint="eastAsia" w:ascii="仿宋" w:hAnsi="仿宋" w:eastAsia="仿宋" w:cs="仿宋"/>
          <w:b/>
          <w:color w:val="auto"/>
          <w:sz w:val="32"/>
          <w:szCs w:val="32"/>
        </w:rPr>
      </w:pPr>
    </w:p>
    <w:p>
      <w:pPr>
        <w:pStyle w:val="14"/>
        <w:jc w:val="both"/>
        <w:rPr>
          <w:rFonts w:hint="eastAsia" w:ascii="仿宋" w:hAnsi="仿宋" w:eastAsia="仿宋" w:cs="仿宋"/>
          <w:b/>
          <w:color w:val="auto"/>
          <w:sz w:val="32"/>
          <w:szCs w:val="32"/>
        </w:rPr>
      </w:pPr>
    </w:p>
    <w:p>
      <w:pPr>
        <w:pStyle w:val="14"/>
        <w:jc w:val="both"/>
        <w:rPr>
          <w:rFonts w:hint="eastAsia" w:ascii="仿宋" w:hAnsi="仿宋" w:eastAsia="仿宋" w:cs="仿宋"/>
          <w:b/>
          <w:color w:val="auto"/>
          <w:sz w:val="32"/>
          <w:szCs w:val="32"/>
        </w:rPr>
      </w:pPr>
    </w:p>
    <w:p>
      <w:pPr>
        <w:pStyle w:val="14"/>
        <w:jc w:val="both"/>
        <w:rPr>
          <w:rFonts w:hint="eastAsia" w:ascii="仿宋" w:hAnsi="仿宋" w:eastAsia="仿宋" w:cs="仿宋"/>
          <w:b/>
          <w:color w:val="auto"/>
          <w:sz w:val="32"/>
          <w:szCs w:val="32"/>
        </w:rPr>
      </w:pPr>
    </w:p>
    <w:p>
      <w:pPr>
        <w:pStyle w:val="14"/>
        <w:jc w:val="both"/>
        <w:rPr>
          <w:rFonts w:hint="eastAsia" w:ascii="仿宋" w:hAnsi="仿宋" w:eastAsia="仿宋" w:cs="仿宋"/>
          <w:b/>
          <w:color w:val="auto"/>
          <w:sz w:val="32"/>
          <w:szCs w:val="32"/>
        </w:rPr>
      </w:pPr>
    </w:p>
    <w:p>
      <w:pPr>
        <w:pStyle w:val="14"/>
        <w:jc w:val="both"/>
        <w:rPr>
          <w:rFonts w:hint="eastAsia" w:ascii="仿宋" w:hAnsi="仿宋" w:eastAsia="仿宋" w:cs="仿宋"/>
          <w:b/>
          <w:color w:val="auto"/>
          <w:sz w:val="32"/>
          <w:szCs w:val="32"/>
        </w:rPr>
      </w:pPr>
    </w:p>
    <w:p>
      <w:pPr>
        <w:pStyle w:val="14"/>
        <w:jc w:val="both"/>
        <w:rPr>
          <w:rFonts w:hint="eastAsia" w:ascii="仿宋" w:hAnsi="仿宋" w:eastAsia="仿宋" w:cs="仿宋"/>
          <w:b/>
          <w:color w:val="auto"/>
          <w:sz w:val="32"/>
          <w:szCs w:val="32"/>
        </w:rPr>
      </w:pPr>
    </w:p>
    <w:p>
      <w:pPr>
        <w:pStyle w:val="14"/>
        <w:jc w:val="both"/>
        <w:rPr>
          <w:rFonts w:hint="eastAsia" w:ascii="仿宋" w:hAnsi="仿宋" w:eastAsia="仿宋" w:cs="仿宋"/>
          <w:b/>
          <w:color w:val="auto"/>
          <w:sz w:val="32"/>
          <w:szCs w:val="32"/>
          <w:lang w:val="en-US" w:eastAsia="zh-CN"/>
        </w:rPr>
      </w:pPr>
    </w:p>
    <w:p>
      <w:pPr>
        <w:pStyle w:val="14"/>
        <w:jc w:val="both"/>
        <w:rPr>
          <w:rFonts w:hint="eastAsia" w:ascii="仿宋" w:hAnsi="仿宋" w:eastAsia="仿宋" w:cs="仿宋"/>
          <w:b/>
          <w:color w:val="auto"/>
          <w:sz w:val="32"/>
          <w:szCs w:val="32"/>
          <w:lang w:val="en-US" w:eastAsia="zh-CN"/>
        </w:rPr>
      </w:pPr>
    </w:p>
    <w:p>
      <w:pPr>
        <w:spacing w:line="520" w:lineRule="exact"/>
        <w:ind w:firstLine="2570" w:firstLineChars="800"/>
        <w:rPr>
          <w:rFonts w:hint="eastAsia" w:ascii="仿宋" w:hAnsi="仿宋" w:eastAsia="仿宋" w:cs="仿宋"/>
          <w:b/>
          <w:bCs w:val="0"/>
          <w:color w:val="auto"/>
          <w:sz w:val="32"/>
          <w:szCs w:val="22"/>
          <w:lang w:eastAsia="zh-CN"/>
        </w:rPr>
      </w:pPr>
      <w:r>
        <w:rPr>
          <w:rFonts w:hint="eastAsia" w:ascii="仿宋" w:hAnsi="仿宋" w:eastAsia="仿宋" w:cs="仿宋"/>
          <w:b/>
          <w:bCs w:val="0"/>
          <w:color w:val="auto"/>
          <w:sz w:val="32"/>
          <w:szCs w:val="22"/>
          <w:lang w:eastAsia="zh-CN"/>
        </w:rPr>
        <w:t>二、有关附件格式范本</w:t>
      </w:r>
    </w:p>
    <w:p>
      <w:pPr>
        <w:adjustRightInd w:val="0"/>
        <w:snapToGrid w:val="0"/>
        <w:spacing w:line="360" w:lineRule="auto"/>
        <w:jc w:val="center"/>
        <w:outlineLvl w:val="1"/>
        <w:rPr>
          <w:rFonts w:hint="eastAsia" w:ascii="仿宋" w:hAnsi="仿宋" w:eastAsia="仿宋" w:cs="仿宋"/>
          <w:b/>
          <w:bCs w:val="0"/>
          <w:color w:val="auto"/>
          <w:sz w:val="32"/>
          <w:szCs w:val="32"/>
        </w:rPr>
      </w:pPr>
      <w:bookmarkStart w:id="48" w:name="_Toc83731287"/>
      <w:bookmarkStart w:id="49" w:name="_Toc13792"/>
      <w:bookmarkStart w:id="50" w:name="_Toc76631116"/>
      <w:bookmarkStart w:id="51" w:name="_Toc466288481"/>
      <w:bookmarkStart w:id="52" w:name="_Toc476311244"/>
    </w:p>
    <w:p>
      <w:pPr>
        <w:adjustRightInd w:val="0"/>
        <w:snapToGrid w:val="0"/>
        <w:spacing w:line="360" w:lineRule="auto"/>
        <w:ind w:firstLine="2570" w:firstLineChars="800"/>
        <w:jc w:val="both"/>
        <w:outlineLvl w:val="1"/>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eastAsia="zh-CN"/>
        </w:rPr>
        <w:t>（一）</w:t>
      </w:r>
      <w:r>
        <w:rPr>
          <w:rFonts w:hint="eastAsia" w:ascii="仿宋" w:hAnsi="仿宋" w:eastAsia="仿宋" w:cs="仿宋"/>
          <w:b/>
          <w:bCs w:val="0"/>
          <w:color w:val="auto"/>
          <w:sz w:val="32"/>
          <w:szCs w:val="32"/>
        </w:rPr>
        <w:t>资格性自查表</w:t>
      </w:r>
      <w:bookmarkEnd w:id="48"/>
      <w:bookmarkEnd w:id="49"/>
      <w:bookmarkEnd w:id="50"/>
      <w:bookmarkEnd w:id="51"/>
      <w:bookmarkEnd w:id="52"/>
    </w:p>
    <w:p>
      <w:pPr>
        <w:spacing w:line="400" w:lineRule="exact"/>
        <w:rPr>
          <w:rFonts w:hint="eastAsia" w:ascii="宋体" w:hAnsi="宋体"/>
          <w:b/>
          <w:color w:val="auto"/>
          <w:szCs w:val="21"/>
        </w:rPr>
      </w:pPr>
    </w:p>
    <w:tbl>
      <w:tblPr>
        <w:tblStyle w:val="17"/>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95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5951"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审查因素</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投标文件中</w:t>
            </w:r>
          </w:p>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符合《中华人民共和国政府采购法》第二十二条规定</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授权委托书、法人身份证明，企业资质</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投标声明</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bCs/>
                <w:color w:val="auto"/>
                <w:sz w:val="24"/>
                <w:szCs w:val="24"/>
              </w:rPr>
              <w:t>良好的商业信誉和健全的财务会计制度</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税务登记证复印件或依法缴纳税收证明</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社会保险登记证或社保机构出具的近半年内任一月社保缴纳证明</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交纳投标保证金证明</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bl>
    <w:p>
      <w:pPr>
        <w:rPr>
          <w:rFonts w:hint="eastAsia" w:ascii="宋体" w:hAnsi="宋体"/>
          <w:color w:val="auto"/>
          <w:szCs w:val="21"/>
        </w:rPr>
      </w:pPr>
    </w:p>
    <w:p>
      <w:pPr>
        <w:rPr>
          <w:rFonts w:ascii="宋体" w:hAnsi="宋体"/>
          <w:color w:val="auto"/>
        </w:rPr>
        <w:sectPr>
          <w:footerReference r:id="rId9" w:type="default"/>
          <w:pgSz w:w="11906" w:h="16838"/>
          <w:pgMar w:top="1440" w:right="1531" w:bottom="1440" w:left="1531" w:header="851" w:footer="992" w:gutter="0"/>
          <w:pgNumType w:fmt="decimal"/>
          <w:cols w:space="720" w:num="1"/>
          <w:docGrid w:type="lines" w:linePitch="312" w:charSpace="0"/>
        </w:sectPr>
      </w:pPr>
      <w:r>
        <w:rPr>
          <w:rFonts w:hint="eastAsia" w:ascii="宋体" w:hAnsi="宋体"/>
          <w:b/>
          <w:color w:val="auto"/>
          <w:szCs w:val="21"/>
        </w:rPr>
        <w:t>★注：以上资料复印件必须加盖投标人单位公章并</w:t>
      </w:r>
      <w:r>
        <w:rPr>
          <w:rFonts w:ascii="宋体" w:hAnsi="宋体"/>
          <w:b/>
          <w:color w:val="auto"/>
          <w:szCs w:val="21"/>
        </w:rPr>
        <w:t>附在投标文件中</w:t>
      </w:r>
    </w:p>
    <w:p>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（二）投 标 函</w:t>
      </w:r>
    </w:p>
    <w:p>
      <w:pPr>
        <w:pStyle w:val="23"/>
        <w:rPr>
          <w:rFonts w:hint="eastAsia"/>
          <w:color w:val="auto"/>
        </w:rPr>
      </w:pP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致：哈密市</w:t>
      </w:r>
      <w:r>
        <w:rPr>
          <w:rFonts w:hint="eastAsia" w:ascii="仿宋" w:hAnsi="仿宋" w:eastAsia="仿宋" w:cs="仿宋"/>
          <w:color w:val="auto"/>
          <w:sz w:val="28"/>
          <w:szCs w:val="28"/>
          <w:lang w:eastAsia="zh-CN"/>
        </w:rPr>
        <w:t>公共资源交易服务</w:t>
      </w:r>
      <w:r>
        <w:rPr>
          <w:rFonts w:hint="eastAsia" w:ascii="仿宋" w:hAnsi="仿宋" w:eastAsia="仿宋" w:cs="仿宋"/>
          <w:color w:val="auto"/>
          <w:sz w:val="28"/>
          <w:szCs w:val="28"/>
        </w:rPr>
        <w:t>中心:</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根据贵方为</w:t>
      </w:r>
      <w:r>
        <w:rPr>
          <w:rFonts w:hint="eastAsia" w:ascii="仿宋" w:hAnsi="仿宋" w:eastAsia="仿宋" w:cs="仿宋"/>
          <w:color w:val="auto"/>
          <w:sz w:val="28"/>
          <w:szCs w:val="28"/>
          <w:u w:val="single"/>
        </w:rPr>
        <w:t xml:space="preserve">　　　（项目名称）    </w:t>
      </w:r>
      <w:r>
        <w:rPr>
          <w:rFonts w:hint="eastAsia" w:ascii="仿宋" w:hAnsi="仿宋" w:eastAsia="仿宋" w:cs="仿宋"/>
          <w:color w:val="auto"/>
          <w:sz w:val="28"/>
          <w:szCs w:val="28"/>
        </w:rPr>
        <w:t>项目招标的投标邀请</w:t>
      </w:r>
      <w:r>
        <w:rPr>
          <w:rFonts w:hint="eastAsia" w:ascii="仿宋" w:hAnsi="仿宋" w:eastAsia="仿宋" w:cs="仿宋"/>
          <w:color w:val="auto"/>
          <w:sz w:val="28"/>
          <w:szCs w:val="28"/>
          <w:u w:val="single"/>
        </w:rPr>
        <w:t xml:space="preserve">（招标编号） </w:t>
      </w:r>
      <w:r>
        <w:rPr>
          <w:rFonts w:hint="eastAsia" w:ascii="仿宋" w:hAnsi="仿宋" w:eastAsia="仿宋" w:cs="仿宋"/>
          <w:color w:val="auto"/>
          <w:sz w:val="28"/>
          <w:szCs w:val="28"/>
        </w:rPr>
        <w:t>，签字代表</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经正式授权并代表投标人</w:t>
      </w:r>
      <w:r>
        <w:rPr>
          <w:rFonts w:hint="eastAsia" w:ascii="仿宋" w:hAnsi="仿宋" w:eastAsia="仿宋" w:cs="仿宋"/>
          <w:color w:val="auto"/>
          <w:sz w:val="28"/>
          <w:szCs w:val="28"/>
          <w:u w:val="single"/>
        </w:rPr>
        <w:t>（投标人名称、地址）</w:t>
      </w:r>
      <w:r>
        <w:rPr>
          <w:rFonts w:hint="eastAsia" w:ascii="仿宋" w:hAnsi="仿宋" w:eastAsia="仿宋" w:cs="仿宋"/>
          <w:color w:val="auto"/>
          <w:sz w:val="28"/>
          <w:szCs w:val="28"/>
        </w:rPr>
        <w:t>提交下述文件正本</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份和副本</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份。</w:t>
      </w:r>
    </w:p>
    <w:p>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开标一览表</w:t>
      </w:r>
    </w:p>
    <w:p>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投标分项报价表</w:t>
      </w:r>
    </w:p>
    <w:p>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规格、技术参数、功能偏离表</w:t>
      </w:r>
    </w:p>
    <w:p>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商务条款偏离表</w:t>
      </w:r>
    </w:p>
    <w:p>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按招标文件投标人须知、技术规格要求及其他要求提供有关文件</w:t>
      </w:r>
    </w:p>
    <w:p>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资格证明文件</w:t>
      </w:r>
    </w:p>
    <w:p>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投标保证金</w:t>
      </w:r>
      <w:r>
        <w:rPr>
          <w:rFonts w:hint="eastAsia" w:ascii="仿宋" w:hAnsi="仿宋" w:eastAsia="仿宋" w:cs="仿宋"/>
          <w:color w:val="auto"/>
          <w:sz w:val="28"/>
          <w:szCs w:val="28"/>
          <w:lang w:eastAsia="zh-CN"/>
        </w:rPr>
        <w:t>（保函）</w:t>
      </w:r>
      <w:r>
        <w:rPr>
          <w:rFonts w:hint="eastAsia" w:ascii="仿宋" w:hAnsi="仿宋" w:eastAsia="仿宋" w:cs="仿宋"/>
          <w:color w:val="auto"/>
          <w:sz w:val="28"/>
          <w:szCs w:val="28"/>
        </w:rPr>
        <w:t>金额为</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据此函，签字代表宣布并同意如下：</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1、投标方将按招标文件的规定履行合同责任和义务；</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、投标方已详细阅读并理解了招标文件的全部，包括修改文件（如有的话）。我们完全理解并同意放弃对这方面有不明及误解的权利。</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、本投标有效期自开标之日起</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个日历日。</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、在规定的开标时间后，如果在投标有效期内撤回投标，同意投标保证金将被贵方没收。</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、投标人同意提供按照贵方可能要求的与其投标有关的一切数据或资料，完全理解贵方不一定接受最低价的投标或收到的任何投标的约定。</w:t>
      </w:r>
    </w:p>
    <w:p>
      <w:pPr>
        <w:spacing w:line="4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、与本投标有关的一切正式往来信函请寄：</w:t>
      </w:r>
    </w:p>
    <w:p>
      <w:pPr>
        <w:spacing w:line="400" w:lineRule="exact"/>
        <w:ind w:firstLine="280"/>
        <w:rPr>
          <w:rFonts w:hint="eastAsia"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邮编：</w:t>
      </w:r>
      <w:r>
        <w:rPr>
          <w:rFonts w:hint="eastAsia" w:ascii="仿宋" w:hAnsi="仿宋" w:eastAsia="仿宋" w:cs="仿宋"/>
          <w:color w:val="auto"/>
          <w:sz w:val="28"/>
          <w:szCs w:val="28"/>
          <w:u w:val="single"/>
        </w:rPr>
        <w:t>　　　　   　　　　　</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电　　　　　 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投标人代表签字：</w:t>
      </w:r>
      <w:r>
        <w:rPr>
          <w:rFonts w:hint="eastAsia" w:ascii="仿宋" w:hAnsi="仿宋" w:eastAsia="仿宋" w:cs="仿宋"/>
          <w:color w:val="auto"/>
          <w:sz w:val="28"/>
          <w:szCs w:val="28"/>
          <w:u w:val="single"/>
        </w:rPr>
        <w:t>　　　　　　　　　　　　　</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投 标 人 名 称：</w:t>
      </w:r>
      <w:r>
        <w:rPr>
          <w:rFonts w:hint="eastAsia" w:ascii="仿宋" w:hAnsi="仿宋" w:eastAsia="仿宋" w:cs="仿宋"/>
          <w:color w:val="auto"/>
          <w:sz w:val="28"/>
          <w:szCs w:val="28"/>
          <w:u w:val="single"/>
        </w:rPr>
        <w:t>　      　　　　　　　　　</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公          章：</w:t>
      </w:r>
      <w:r>
        <w:rPr>
          <w:rFonts w:hint="eastAsia" w:ascii="仿宋" w:hAnsi="仿宋" w:eastAsia="仿宋" w:cs="仿宋"/>
          <w:color w:val="auto"/>
          <w:sz w:val="28"/>
          <w:szCs w:val="28"/>
          <w:u w:val="single"/>
        </w:rPr>
        <w:t>　　　　　　　　　　　　　</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20</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宋体" w:hAnsi="宋体"/>
          <w:b/>
          <w:color w:val="auto"/>
          <w:sz w:val="30"/>
        </w:rPr>
        <w:t xml:space="preserve">       </w:t>
      </w:r>
      <w:r>
        <w:rPr>
          <w:rFonts w:hint="eastAsia" w:ascii="仿宋" w:hAnsi="仿宋" w:eastAsia="仿宋" w:cs="仿宋"/>
          <w:b/>
          <w:bCs w:val="0"/>
          <w:color w:val="auto"/>
          <w:sz w:val="32"/>
          <w:szCs w:val="32"/>
          <w:lang w:eastAsia="zh-CN"/>
        </w:rPr>
        <w:t xml:space="preserve">             </w:t>
      </w:r>
    </w:p>
    <w:p>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（三）关于资格的声明函</w:t>
      </w:r>
    </w:p>
    <w:p>
      <w:pPr>
        <w:pStyle w:val="8"/>
        <w:spacing w:line="400" w:lineRule="exact"/>
        <w:rPr>
          <w:rFonts w:hint="eastAsia" w:ascii="宋体" w:hAnsi="宋体" w:eastAsia="宋体"/>
          <w:color w:val="auto"/>
          <w:sz w:val="24"/>
        </w:rPr>
      </w:pPr>
    </w:p>
    <w:p>
      <w:pPr>
        <w:pStyle w:val="8"/>
        <w:spacing w:line="400" w:lineRule="exact"/>
        <w:ind w:left="0" w:leftChars="0" w:firstLine="0" w:firstLineChars="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致哈密市公共资源交易服务中心：</w:t>
      </w:r>
    </w:p>
    <w:p>
      <w:pPr>
        <w:pStyle w:val="8"/>
        <w:spacing w:line="400" w:lineRule="exact"/>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关于贵方 年月日 招标公告关于“　　　　　　　　”的招标项目，本签字人愿意参加投标，并有能力提供  （项目名称） 项目中的（包号及货物名称）招标货物及相关服务，并保证所提交的所有文件和说明是真实和准确的。</w:t>
      </w:r>
    </w:p>
    <w:p>
      <w:pPr>
        <w:pStyle w:val="8"/>
        <w:spacing w:line="400" w:lineRule="exact"/>
        <w:ind w:left="0" w:leftChars="0" w:firstLine="0" w:firstLineChars="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　投标人名称　</w:t>
      </w:r>
    </w:p>
    <w:p>
      <w:pPr>
        <w:pStyle w:val="8"/>
        <w:spacing w:line="400" w:lineRule="exact"/>
        <w:ind w:left="0" w:leftChars="0" w:firstLine="0" w:firstLineChars="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授权签署本资格文件人：授权人姓名</w:t>
      </w:r>
    </w:p>
    <w:p>
      <w:pPr>
        <w:pStyle w:val="8"/>
        <w:spacing w:line="400" w:lineRule="exact"/>
        <w:ind w:left="0" w:leftChars="0" w:firstLine="0" w:firstLineChars="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签字人姓名、职务：被授权人姓名、职务</w:t>
      </w:r>
    </w:p>
    <w:p>
      <w:pPr>
        <w:pStyle w:val="8"/>
        <w:spacing w:line="400" w:lineRule="exact"/>
        <w:rPr>
          <w:rFonts w:hint="eastAsia" w:ascii="仿宋" w:hAnsi="仿宋" w:eastAsia="仿宋" w:cs="仿宋"/>
          <w:color w:val="auto"/>
          <w:kern w:val="2"/>
          <w:sz w:val="28"/>
          <w:szCs w:val="28"/>
          <w:lang w:val="en-US" w:eastAsia="zh-CN" w:bidi="ar-SA"/>
        </w:rPr>
      </w:pPr>
    </w:p>
    <w:p>
      <w:pPr>
        <w:pStyle w:val="8"/>
        <w:spacing w:line="4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传真：　　　　　　            　　　　　　　　　　　　　</w:t>
      </w:r>
    </w:p>
    <w:p>
      <w:pPr>
        <w:pStyle w:val="8"/>
        <w:spacing w:line="4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邮编：　　　　　　　　　　　　　电话：　　　　　　　　</w:t>
      </w:r>
    </w:p>
    <w:p>
      <w:pPr>
        <w:pStyle w:val="8"/>
        <w:spacing w:line="4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盖章：</w:t>
      </w:r>
    </w:p>
    <w:p>
      <w:pPr>
        <w:pStyle w:val="1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w:t>
      </w:r>
    </w:p>
    <w:p>
      <w:pPr>
        <w:pStyle w:val="10"/>
        <w:jc w:val="center"/>
        <w:rPr>
          <w:rFonts w:hint="eastAsia" w:ascii="仿宋" w:hAnsi="仿宋" w:eastAsia="仿宋" w:cs="仿宋"/>
          <w:color w:val="auto"/>
          <w:kern w:val="2"/>
          <w:sz w:val="28"/>
          <w:szCs w:val="28"/>
          <w:lang w:val="en-US" w:eastAsia="zh-CN" w:bidi="ar-SA"/>
        </w:rPr>
      </w:pPr>
    </w:p>
    <w:p>
      <w:pPr>
        <w:pStyle w:val="1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年　月　日</w:t>
      </w:r>
    </w:p>
    <w:p>
      <w:pPr>
        <w:jc w:val="center"/>
        <w:rPr>
          <w:rFonts w:hint="eastAsia" w:ascii="宋体" w:hAnsi="宋体"/>
          <w:b/>
          <w:color w:val="auto"/>
          <w:sz w:val="30"/>
        </w:rPr>
      </w:pPr>
    </w:p>
    <w:p>
      <w:pPr>
        <w:spacing w:line="360" w:lineRule="exact"/>
        <w:rPr>
          <w:rFonts w:hint="eastAsia" w:ascii="宋体" w:hAnsi="宋体"/>
          <w:b/>
          <w:color w:val="auto"/>
        </w:rPr>
      </w:pPr>
    </w:p>
    <w:p>
      <w:pPr>
        <w:adjustRightInd w:val="0"/>
        <w:snapToGrid w:val="0"/>
        <w:spacing w:line="360" w:lineRule="auto"/>
        <w:jc w:val="center"/>
        <w:outlineLvl w:val="1"/>
        <w:rPr>
          <w:rFonts w:hint="eastAsia" w:ascii="宋体" w:hAnsi="宋体"/>
          <w:b/>
          <w:color w:val="auto"/>
          <w:sz w:val="28"/>
          <w:szCs w:val="28"/>
          <w:lang w:eastAsia="zh-CN"/>
        </w:rPr>
      </w:pPr>
      <w:bookmarkStart w:id="53" w:name="_Toc12883"/>
      <w:bookmarkStart w:id="54" w:name="_Toc420948024"/>
      <w:bookmarkStart w:id="55" w:name="_Toc76631118"/>
      <w:bookmarkStart w:id="56" w:name="_Toc83731289"/>
      <w:bookmarkStart w:id="57" w:name="_Toc476311246"/>
    </w:p>
    <w:p>
      <w:pPr>
        <w:adjustRightInd w:val="0"/>
        <w:snapToGrid w:val="0"/>
        <w:spacing w:line="360" w:lineRule="auto"/>
        <w:jc w:val="center"/>
        <w:outlineLvl w:val="1"/>
        <w:rPr>
          <w:rFonts w:hint="eastAsia" w:ascii="宋体" w:hAnsi="宋体"/>
          <w:b/>
          <w:color w:val="auto"/>
          <w:sz w:val="28"/>
          <w:szCs w:val="28"/>
          <w:lang w:eastAsia="zh-CN"/>
        </w:rPr>
      </w:pPr>
    </w:p>
    <w:p>
      <w:pPr>
        <w:adjustRightInd w:val="0"/>
        <w:snapToGrid w:val="0"/>
        <w:spacing w:line="360" w:lineRule="auto"/>
        <w:jc w:val="center"/>
        <w:outlineLvl w:val="1"/>
        <w:rPr>
          <w:rFonts w:hint="eastAsia" w:ascii="宋体" w:hAnsi="宋体"/>
          <w:b/>
          <w:color w:val="auto"/>
          <w:sz w:val="28"/>
          <w:szCs w:val="28"/>
          <w:lang w:eastAsia="zh-CN"/>
        </w:rPr>
      </w:pPr>
    </w:p>
    <w:p>
      <w:pPr>
        <w:adjustRightInd w:val="0"/>
        <w:snapToGrid w:val="0"/>
        <w:spacing w:line="360" w:lineRule="auto"/>
        <w:jc w:val="center"/>
        <w:outlineLvl w:val="1"/>
        <w:rPr>
          <w:rFonts w:hint="eastAsia" w:ascii="宋体" w:hAnsi="宋体"/>
          <w:b/>
          <w:color w:val="auto"/>
          <w:sz w:val="28"/>
          <w:szCs w:val="28"/>
          <w:lang w:eastAsia="zh-CN"/>
        </w:rPr>
      </w:pPr>
    </w:p>
    <w:p>
      <w:pPr>
        <w:adjustRightInd w:val="0"/>
        <w:snapToGrid w:val="0"/>
        <w:spacing w:line="360" w:lineRule="auto"/>
        <w:jc w:val="center"/>
        <w:outlineLvl w:val="1"/>
        <w:rPr>
          <w:rFonts w:hint="eastAsia" w:ascii="宋体" w:hAnsi="宋体"/>
          <w:b/>
          <w:color w:val="auto"/>
          <w:sz w:val="28"/>
          <w:szCs w:val="28"/>
          <w:lang w:eastAsia="zh-CN"/>
        </w:rPr>
      </w:pPr>
    </w:p>
    <w:p>
      <w:pPr>
        <w:adjustRightInd w:val="0"/>
        <w:snapToGrid w:val="0"/>
        <w:spacing w:line="360" w:lineRule="auto"/>
        <w:jc w:val="center"/>
        <w:outlineLvl w:val="1"/>
        <w:rPr>
          <w:rFonts w:hint="eastAsia" w:ascii="宋体" w:hAnsi="宋体"/>
          <w:b/>
          <w:color w:val="auto"/>
          <w:sz w:val="28"/>
          <w:szCs w:val="28"/>
          <w:lang w:eastAsia="zh-CN"/>
        </w:rPr>
      </w:pPr>
    </w:p>
    <w:p>
      <w:pPr>
        <w:adjustRightInd w:val="0"/>
        <w:snapToGrid w:val="0"/>
        <w:spacing w:line="360" w:lineRule="auto"/>
        <w:jc w:val="both"/>
        <w:outlineLvl w:val="1"/>
        <w:rPr>
          <w:rFonts w:hint="eastAsia" w:ascii="宋体" w:hAnsi="宋体"/>
          <w:b/>
          <w:color w:val="auto"/>
          <w:sz w:val="28"/>
          <w:szCs w:val="28"/>
          <w:lang w:eastAsia="zh-CN"/>
        </w:rPr>
      </w:pPr>
    </w:p>
    <w:p>
      <w:pPr>
        <w:adjustRightInd w:val="0"/>
        <w:snapToGrid w:val="0"/>
        <w:spacing w:line="360" w:lineRule="auto"/>
        <w:jc w:val="both"/>
        <w:outlineLvl w:val="1"/>
        <w:rPr>
          <w:rFonts w:hint="eastAsia" w:ascii="仿宋" w:hAnsi="仿宋" w:eastAsia="仿宋" w:cs="仿宋"/>
          <w:b/>
          <w:bCs w:val="0"/>
          <w:color w:val="auto"/>
          <w:sz w:val="32"/>
          <w:szCs w:val="32"/>
          <w:lang w:eastAsia="zh-CN"/>
        </w:rPr>
      </w:pPr>
    </w:p>
    <w:p>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（四）投标保证金</w:t>
      </w:r>
      <w:bookmarkEnd w:id="53"/>
      <w:bookmarkEnd w:id="54"/>
      <w:bookmarkEnd w:id="55"/>
      <w:bookmarkEnd w:id="56"/>
      <w:bookmarkEnd w:id="57"/>
      <w:r>
        <w:rPr>
          <w:rFonts w:hint="eastAsia" w:ascii="仿宋" w:hAnsi="仿宋" w:eastAsia="仿宋" w:cs="仿宋"/>
          <w:b/>
          <w:bCs w:val="0"/>
          <w:color w:val="auto"/>
          <w:sz w:val="32"/>
          <w:szCs w:val="32"/>
          <w:lang w:eastAsia="zh-CN"/>
        </w:rPr>
        <w:t>（保函）</w:t>
      </w:r>
    </w:p>
    <w:p>
      <w:pPr>
        <w:rPr>
          <w:rFonts w:hint="eastAsia" w:ascii="宋体" w:hAnsi="宋体"/>
          <w:color w:val="auto"/>
        </w:rPr>
      </w:pPr>
    </w:p>
    <w:p>
      <w:pPr>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both"/>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（五）</w:t>
      </w:r>
      <w:bookmarkStart w:id="58" w:name="_Toc83731291"/>
      <w:bookmarkStart w:id="59" w:name="_Toc15291"/>
      <w:bookmarkStart w:id="60" w:name="_Toc76631120"/>
      <w:bookmarkStart w:id="61" w:name="_Toc476311248"/>
      <w:r>
        <w:rPr>
          <w:rFonts w:hint="eastAsia" w:ascii="仿宋" w:hAnsi="仿宋" w:eastAsia="仿宋" w:cs="仿宋"/>
          <w:b/>
          <w:bCs w:val="0"/>
          <w:color w:val="auto"/>
          <w:sz w:val="32"/>
          <w:szCs w:val="32"/>
          <w:lang w:eastAsia="zh-CN"/>
        </w:rPr>
        <w:t>投标人的基本情况及资格证明材料</w:t>
      </w:r>
      <w:bookmarkEnd w:id="58"/>
      <w:bookmarkEnd w:id="59"/>
      <w:bookmarkEnd w:id="60"/>
      <w:bookmarkEnd w:id="61"/>
    </w:p>
    <w:p>
      <w:pPr>
        <w:adjustRightInd w:val="0"/>
        <w:snapToGrid w:val="0"/>
        <w:spacing w:before="156" w:beforeLines="50" w:line="360" w:lineRule="auto"/>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一、基本资格条件</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1）营业执照 </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投标人须具有良好的商业信誉和健全的财务会计制度，须提供提供开标前上一年度的经第三方审计的年度财务报告；如供应商新成立的，则提供成立至今的月或季度财务状况报告；如审计报告未出具，可提供开户银行的资信证明</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3）企业资质</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4）社会保险登记证或社保机构出具的近半年内任一月社保缴纳证明（如营业执照已改为“五证合一”新证的可不提供社保登记证）</w:t>
      </w:r>
    </w:p>
    <w:p>
      <w:pPr>
        <w:spacing w:line="360" w:lineRule="auto"/>
        <w:rPr>
          <w:rFonts w:hint="eastAsia" w:ascii="仿宋" w:hAnsi="仿宋" w:eastAsia="仿宋" w:cs="仿宋"/>
          <w:color w:val="auto"/>
          <w:kern w:val="2"/>
          <w:sz w:val="28"/>
          <w:szCs w:val="28"/>
          <w:lang w:val="en-US" w:eastAsia="zh-CN" w:bidi="ar-SA"/>
        </w:rPr>
      </w:pPr>
    </w:p>
    <w:p>
      <w:pPr>
        <w:spacing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注：1、以上复印件均须在投标文件中提供，需要加盖投标人原章。</w:t>
      </w:r>
    </w:p>
    <w:p>
      <w:pPr>
        <w:spacing w:line="360" w:lineRule="auto"/>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2、依法免税或不需要缴纳社会保障资金的供应商，应提供相应文件证明其依法免税或不需要缴纳社会保障资金。</w:t>
      </w:r>
    </w:p>
    <w:p>
      <w:pPr>
        <w:spacing w:line="360" w:lineRule="auto"/>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3、部分其他组织和自然人，没有经审计的财务报告，可以提供银行出具的资信证明。</w:t>
      </w:r>
    </w:p>
    <w:p>
      <w:pPr>
        <w:spacing w:line="360" w:lineRule="auto"/>
        <w:ind w:firstLine="560" w:firstLineChars="200"/>
        <w:rPr>
          <w:rFonts w:hint="eastAsia" w:ascii="仿宋" w:hAnsi="仿宋" w:eastAsia="仿宋" w:cs="仿宋"/>
          <w:color w:val="auto"/>
          <w:kern w:val="2"/>
          <w:sz w:val="28"/>
          <w:szCs w:val="28"/>
          <w:lang w:val="en-US" w:eastAsia="zh-CN" w:bidi="ar-SA"/>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olor w:val="auto"/>
          <w:kern w:val="2"/>
          <w:sz w:val="28"/>
          <w:szCs w:val="28"/>
          <w:lang w:val="en-US" w:eastAsia="zh-CN" w:bidi="ar-SA"/>
        </w:rPr>
        <w:t>4、部分其他组织和自然人，没有单位统一缴纳社保的，可以提供单位法人代表及备授权委托人个人的由社保机构出具的近半年内任一月社保缴纳证明。</w:t>
      </w:r>
    </w:p>
    <w:p>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（六）投标人基本情况表</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盖投标人单位章</w:t>
      </w:r>
    </w:p>
    <w:tbl>
      <w:tblPr>
        <w:tblStyle w:val="17"/>
        <w:tblW w:w="9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603"/>
        <w:gridCol w:w="406"/>
        <w:gridCol w:w="403"/>
        <w:gridCol w:w="878"/>
        <w:gridCol w:w="1542"/>
        <w:gridCol w:w="71"/>
        <w:gridCol w:w="1543"/>
        <w:gridCol w:w="806"/>
        <w:gridCol w:w="683"/>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p>
        </w:tc>
        <w:tc>
          <w:tcPr>
            <w:tcW w:w="4437" w:type="dxa"/>
            <w:gridSpan w:val="5"/>
            <w:noWrap w:val="0"/>
            <w:vAlign w:val="center"/>
          </w:tcPr>
          <w:p>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1939"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组织机构代码</w:t>
            </w:r>
          </w:p>
        </w:tc>
        <w:tc>
          <w:tcPr>
            <w:tcW w:w="4437" w:type="dxa"/>
            <w:gridSpan w:val="5"/>
            <w:noWrap w:val="0"/>
            <w:vAlign w:val="center"/>
          </w:tcPr>
          <w:p>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tc>
        <w:tc>
          <w:tcPr>
            <w:tcW w:w="1939"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p>
        </w:tc>
        <w:tc>
          <w:tcPr>
            <w:tcW w:w="4437" w:type="dxa"/>
            <w:gridSpan w:val="5"/>
            <w:noWrap w:val="0"/>
            <w:vAlign w:val="center"/>
          </w:tcPr>
          <w:p>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1939"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上年营业收入</w:t>
            </w:r>
          </w:p>
        </w:tc>
        <w:tc>
          <w:tcPr>
            <w:tcW w:w="4437" w:type="dxa"/>
            <w:gridSpan w:val="5"/>
            <w:noWrap w:val="0"/>
            <w:vAlign w:val="center"/>
          </w:tcPr>
          <w:p>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员工总人数</w:t>
            </w:r>
          </w:p>
        </w:tc>
        <w:tc>
          <w:tcPr>
            <w:tcW w:w="1939"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固定电话</w:t>
            </w:r>
          </w:p>
        </w:tc>
        <w:tc>
          <w:tcPr>
            <w:tcW w:w="4437" w:type="dxa"/>
            <w:gridSpan w:val="5"/>
            <w:noWrap w:val="0"/>
            <w:vAlign w:val="center"/>
          </w:tcPr>
          <w:p>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1939"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restart"/>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营业执照</w:t>
            </w:r>
          </w:p>
        </w:tc>
        <w:tc>
          <w:tcPr>
            <w:tcW w:w="2290" w:type="dxa"/>
            <w:gridSpan w:val="4"/>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注册号码</w:t>
            </w:r>
          </w:p>
        </w:tc>
        <w:tc>
          <w:tcPr>
            <w:tcW w:w="1613"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1543" w:type="dxa"/>
            <w:noWrap w:val="0"/>
            <w:vAlign w:val="center"/>
          </w:tcPr>
          <w:p>
            <w:pPr>
              <w:topLinePunct/>
              <w:spacing w:line="440" w:lineRule="exact"/>
              <w:ind w:firstLine="120" w:firstLine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注册地址</w:t>
            </w:r>
          </w:p>
        </w:tc>
        <w:tc>
          <w:tcPr>
            <w:tcW w:w="3428" w:type="dxa"/>
            <w:gridSpan w:val="3"/>
            <w:noWrap w:val="0"/>
            <w:vAlign w:val="center"/>
          </w:tcPr>
          <w:p>
            <w:pPr>
              <w:topLinePunct/>
              <w:spacing w:line="440" w:lineRule="exact"/>
              <w:ind w:firstLine="120" w:firstLineChars="5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continue"/>
            <w:noWrap w:val="0"/>
            <w:vAlign w:val="center"/>
          </w:tcPr>
          <w:p>
            <w:pPr>
              <w:topLinePunct/>
              <w:spacing w:line="440" w:lineRule="exact"/>
              <w:jc w:val="center"/>
              <w:rPr>
                <w:rFonts w:hint="eastAsia" w:ascii="仿宋" w:hAnsi="仿宋" w:eastAsia="仿宋" w:cs="仿宋"/>
                <w:color w:val="auto"/>
                <w:sz w:val="24"/>
                <w:szCs w:val="24"/>
              </w:rPr>
            </w:pPr>
          </w:p>
        </w:tc>
        <w:tc>
          <w:tcPr>
            <w:tcW w:w="2290" w:type="dxa"/>
            <w:gridSpan w:val="4"/>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发证机关</w:t>
            </w:r>
          </w:p>
        </w:tc>
        <w:tc>
          <w:tcPr>
            <w:tcW w:w="1613"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1543" w:type="dxa"/>
            <w:noWrap w:val="0"/>
            <w:vAlign w:val="center"/>
          </w:tcPr>
          <w:p>
            <w:pPr>
              <w:topLinePunct/>
              <w:spacing w:line="440" w:lineRule="exact"/>
              <w:ind w:firstLine="120" w:firstLine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发证日期</w:t>
            </w:r>
          </w:p>
        </w:tc>
        <w:tc>
          <w:tcPr>
            <w:tcW w:w="3428" w:type="dxa"/>
            <w:gridSpan w:val="3"/>
            <w:noWrap w:val="0"/>
            <w:vAlign w:val="center"/>
          </w:tcPr>
          <w:p>
            <w:pPr>
              <w:topLinePunct/>
              <w:spacing w:line="440" w:lineRule="exact"/>
              <w:ind w:firstLine="120" w:firstLineChars="5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continue"/>
            <w:noWrap w:val="0"/>
            <w:vAlign w:val="center"/>
          </w:tcPr>
          <w:p>
            <w:pPr>
              <w:topLinePunct/>
              <w:spacing w:line="440" w:lineRule="exact"/>
              <w:jc w:val="center"/>
              <w:rPr>
                <w:rFonts w:hint="eastAsia" w:ascii="仿宋" w:hAnsi="仿宋" w:eastAsia="仿宋" w:cs="仿宋"/>
                <w:color w:val="auto"/>
                <w:sz w:val="24"/>
                <w:szCs w:val="24"/>
              </w:rPr>
            </w:pPr>
          </w:p>
        </w:tc>
        <w:tc>
          <w:tcPr>
            <w:tcW w:w="2290" w:type="dxa"/>
            <w:gridSpan w:val="4"/>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营业范围（主营）</w:t>
            </w:r>
          </w:p>
        </w:tc>
        <w:tc>
          <w:tcPr>
            <w:tcW w:w="6584" w:type="dxa"/>
            <w:gridSpan w:val="6"/>
            <w:noWrap w:val="0"/>
            <w:vAlign w:val="center"/>
          </w:tcPr>
          <w:p>
            <w:pPr>
              <w:topLinePunct/>
              <w:spacing w:line="440" w:lineRule="exact"/>
              <w:ind w:firstLine="120" w:firstLineChars="5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96" w:type="dxa"/>
            <w:gridSpan w:val="5"/>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基本账户开户行</w:t>
            </w:r>
          </w:p>
        </w:tc>
        <w:tc>
          <w:tcPr>
            <w:tcW w:w="6584" w:type="dxa"/>
            <w:gridSpan w:val="6"/>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96" w:type="dxa"/>
            <w:gridSpan w:val="5"/>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银行帐号</w:t>
            </w:r>
          </w:p>
        </w:tc>
        <w:tc>
          <w:tcPr>
            <w:tcW w:w="6584" w:type="dxa"/>
            <w:gridSpan w:val="6"/>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80" w:type="dxa"/>
            <w:gridSpan w:val="11"/>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资质名称</w:t>
            </w: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等级</w:t>
            </w: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发证机关</w:t>
            </w: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80" w:type="dxa"/>
            <w:gridSpan w:val="11"/>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投标人近三年项目业绩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项目业绩名称</w:t>
            </w: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项目地点、起止时间</w:t>
            </w: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合同内容、金额</w:t>
            </w: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甲方联系人及电话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409"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271" w:type="dxa"/>
            <w:gridSpan w:val="9"/>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1、后附项目业绩证明材料</w:t>
            </w:r>
          </w:p>
        </w:tc>
      </w:tr>
    </w:tbl>
    <w:p>
      <w:pPr>
        <w:adjustRightInd w:val="0"/>
        <w:snapToGrid w:val="0"/>
        <w:spacing w:line="360" w:lineRule="auto"/>
        <w:jc w:val="center"/>
        <w:rPr>
          <w:rFonts w:hint="eastAsia" w:ascii="仿宋" w:hAnsi="仿宋" w:eastAsia="仿宋" w:cs="仿宋"/>
          <w:color w:val="auto"/>
          <w:sz w:val="24"/>
          <w:szCs w:val="24"/>
        </w:rPr>
      </w:pPr>
    </w:p>
    <w:p>
      <w:pPr>
        <w:autoSpaceDE w:val="0"/>
        <w:autoSpaceDN w:val="0"/>
        <w:adjustRightInd w:val="0"/>
        <w:jc w:val="center"/>
        <w:rPr>
          <w:rFonts w:ascii="宋体" w:hAnsi="宋体"/>
          <w:color w:val="auto"/>
          <w:kern w:val="0"/>
          <w:sz w:val="28"/>
          <w:szCs w:val="28"/>
        </w:rPr>
      </w:pPr>
      <w:r>
        <w:rPr>
          <w:rFonts w:ascii="宋体" w:hAnsi="宋体" w:eastAsia="宋体"/>
          <w:b/>
          <w:color w:val="auto"/>
        </w:rPr>
        <w:br w:type="page"/>
      </w:r>
      <w:r>
        <w:rPr>
          <w:rFonts w:hint="eastAsia" w:ascii="仿宋" w:hAnsi="仿宋" w:eastAsia="仿宋" w:cs="仿宋"/>
          <w:b/>
          <w:bCs w:val="0"/>
          <w:color w:val="auto"/>
          <w:sz w:val="32"/>
          <w:szCs w:val="32"/>
          <w:lang w:eastAsia="zh-CN"/>
        </w:rPr>
        <w:t>（七）信用记录</w:t>
      </w:r>
    </w:p>
    <w:p>
      <w:pPr>
        <w:widowControl/>
        <w:adjustRightInd w:val="0"/>
        <w:snapToGrid w:val="0"/>
        <w:spacing w:line="360" w:lineRule="auto"/>
        <w:ind w:firstLine="444" w:firstLineChars="200"/>
        <w:jc w:val="center"/>
        <w:rPr>
          <w:rFonts w:hint="eastAsia" w:ascii="宋体" w:hAnsi="宋体" w:cs="宋体"/>
          <w:color w:val="auto"/>
          <w:spacing w:val="6"/>
          <w:kern w:val="0"/>
          <w:szCs w:val="21"/>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（复印件并加盖投标单位公章）</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投标人须符合《关于在政府采购活动中查询及使用信用记录有关问题的通知》的相关要求，即具有良好的信用记录。</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投标人须提供本单位近3年“信用中国”网站（www.creditchina.gov.cn）及中国政府采购网（www.ccgp.gov.cn）已公布的信用记录查询截图。</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截图含1）被列入失信被执行人</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2）重大税收违法案件当事人名单的供应商</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3）列入政府采购严重违法失信行为记录名单</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例如：网站搜索页输入投标单位名称，截图查询结果。</w:t>
      </w:r>
    </w:p>
    <w:p>
      <w:pPr>
        <w:pStyle w:val="23"/>
        <w:rPr>
          <w:rFonts w:hint="eastAsia" w:ascii="仿宋" w:hAnsi="仿宋" w:eastAsia="仿宋" w:cs="仿宋"/>
          <w:color w:val="auto"/>
          <w:kern w:val="2"/>
          <w:sz w:val="28"/>
          <w:szCs w:val="28"/>
          <w:lang w:val="en-US" w:eastAsia="zh-CN" w:bidi="ar-SA"/>
        </w:rPr>
      </w:pPr>
    </w:p>
    <w:p>
      <w:pPr>
        <w:rPr>
          <w:rFonts w:hint="eastAsia" w:ascii="仿宋" w:hAnsi="仿宋" w:eastAsia="仿宋" w:cs="仿宋"/>
          <w:color w:val="auto"/>
          <w:kern w:val="2"/>
          <w:sz w:val="28"/>
          <w:szCs w:val="28"/>
          <w:lang w:val="en-US" w:eastAsia="zh-CN" w:bidi="ar-SA"/>
        </w:rPr>
      </w:pPr>
    </w:p>
    <w:p>
      <w:pPr>
        <w:pStyle w:val="23"/>
        <w:rPr>
          <w:rFonts w:hint="eastAsia" w:ascii="仿宋" w:hAnsi="仿宋" w:eastAsia="仿宋" w:cs="仿宋"/>
          <w:color w:val="auto"/>
          <w:kern w:val="2"/>
          <w:sz w:val="28"/>
          <w:szCs w:val="28"/>
          <w:lang w:val="en-US" w:eastAsia="zh-CN" w:bidi="ar-SA"/>
        </w:rPr>
      </w:pPr>
    </w:p>
    <w:p>
      <w:pPr>
        <w:rPr>
          <w:rFonts w:hint="eastAsia" w:ascii="仿宋" w:hAnsi="仿宋" w:eastAsia="仿宋" w:cs="仿宋"/>
          <w:color w:val="auto"/>
          <w:kern w:val="2"/>
          <w:sz w:val="28"/>
          <w:szCs w:val="28"/>
          <w:lang w:val="en-US" w:eastAsia="zh-CN" w:bidi="ar-SA"/>
        </w:rPr>
      </w:pPr>
    </w:p>
    <w:p>
      <w:pPr>
        <w:pStyle w:val="23"/>
        <w:rPr>
          <w:rFonts w:hint="eastAsia" w:ascii="仿宋" w:hAnsi="仿宋" w:eastAsia="仿宋" w:cs="仿宋"/>
          <w:color w:val="auto"/>
          <w:kern w:val="2"/>
          <w:sz w:val="28"/>
          <w:szCs w:val="28"/>
          <w:lang w:val="en-US" w:eastAsia="zh-CN" w:bidi="ar-SA"/>
        </w:rPr>
      </w:pPr>
    </w:p>
    <w:p>
      <w:pPr>
        <w:rPr>
          <w:rFonts w:hint="eastAsia" w:ascii="仿宋" w:hAnsi="仿宋" w:eastAsia="仿宋" w:cs="仿宋"/>
          <w:color w:val="auto"/>
          <w:kern w:val="2"/>
          <w:sz w:val="28"/>
          <w:szCs w:val="28"/>
          <w:lang w:val="en-US" w:eastAsia="zh-CN" w:bidi="ar-SA"/>
        </w:rPr>
      </w:pPr>
    </w:p>
    <w:p>
      <w:pPr>
        <w:pStyle w:val="23"/>
        <w:rPr>
          <w:rFonts w:hint="eastAsia" w:ascii="仿宋" w:hAnsi="仿宋" w:eastAsia="仿宋" w:cs="仿宋"/>
          <w:color w:val="auto"/>
          <w:kern w:val="2"/>
          <w:sz w:val="28"/>
          <w:szCs w:val="28"/>
          <w:lang w:val="en-US" w:eastAsia="zh-CN" w:bidi="ar-SA"/>
        </w:rPr>
      </w:pPr>
    </w:p>
    <w:p>
      <w:pPr>
        <w:rPr>
          <w:rFonts w:hint="eastAsia" w:ascii="仿宋" w:hAnsi="仿宋" w:eastAsia="仿宋" w:cs="仿宋"/>
          <w:color w:val="auto"/>
          <w:kern w:val="2"/>
          <w:sz w:val="28"/>
          <w:szCs w:val="28"/>
          <w:lang w:val="en-US" w:eastAsia="zh-CN" w:bidi="ar-SA"/>
        </w:rPr>
      </w:pPr>
    </w:p>
    <w:p>
      <w:pPr>
        <w:pStyle w:val="23"/>
        <w:rPr>
          <w:rFonts w:hint="eastAsia" w:ascii="仿宋" w:hAnsi="仿宋" w:eastAsia="仿宋" w:cs="仿宋"/>
          <w:color w:val="auto"/>
          <w:kern w:val="2"/>
          <w:sz w:val="28"/>
          <w:szCs w:val="28"/>
          <w:lang w:val="en-US" w:eastAsia="zh-CN" w:bidi="ar-SA"/>
        </w:rPr>
      </w:pPr>
    </w:p>
    <w:p>
      <w:pPr>
        <w:rPr>
          <w:rFonts w:hint="eastAsia" w:ascii="仿宋" w:hAnsi="仿宋" w:eastAsia="仿宋" w:cs="仿宋"/>
          <w:color w:val="auto"/>
          <w:kern w:val="2"/>
          <w:sz w:val="28"/>
          <w:szCs w:val="28"/>
          <w:lang w:val="en-US" w:eastAsia="zh-CN" w:bidi="ar-SA"/>
        </w:rPr>
      </w:pPr>
    </w:p>
    <w:p>
      <w:pPr>
        <w:pStyle w:val="23"/>
        <w:rPr>
          <w:rFonts w:hint="eastAsia" w:ascii="仿宋" w:hAnsi="仿宋" w:eastAsia="仿宋" w:cs="仿宋"/>
          <w:color w:val="auto"/>
          <w:kern w:val="2"/>
          <w:sz w:val="28"/>
          <w:szCs w:val="28"/>
          <w:lang w:val="en-US" w:eastAsia="zh-CN" w:bidi="ar-SA"/>
        </w:rPr>
      </w:pPr>
    </w:p>
    <w:p>
      <w:pPr>
        <w:rPr>
          <w:rFonts w:hint="eastAsia"/>
          <w:color w:val="auto"/>
          <w:lang w:val="en-US" w:eastAsia="zh-CN"/>
        </w:rPr>
      </w:pPr>
    </w:p>
    <w:p>
      <w:pPr>
        <w:pStyle w:val="23"/>
        <w:rPr>
          <w:rFonts w:hint="eastAsia" w:hAnsi="宋体" w:cs="宋体"/>
          <w:color w:val="auto"/>
          <w:spacing w:val="6"/>
          <w:kern w:val="0"/>
          <w:szCs w:val="21"/>
          <w:lang w:val="en-US" w:eastAsia="zh-CN"/>
        </w:rPr>
      </w:pPr>
      <w:r>
        <w:rPr>
          <w:rFonts w:hint="eastAsia" w:hAnsi="宋体" w:cs="宋体"/>
          <w:color w:val="auto"/>
          <w:spacing w:val="6"/>
          <w:kern w:val="0"/>
          <w:szCs w:val="21"/>
          <w:lang w:val="en-US" w:eastAsia="zh-CN"/>
        </w:rPr>
        <w:t xml:space="preserve"> </w:t>
      </w:r>
    </w:p>
    <w:p>
      <w:pPr>
        <w:rPr>
          <w:rFonts w:hint="eastAsia" w:hAnsi="宋体" w:cs="宋体"/>
          <w:color w:val="auto"/>
          <w:spacing w:val="6"/>
          <w:kern w:val="0"/>
          <w:szCs w:val="21"/>
          <w:lang w:val="en-US" w:eastAsia="zh-CN"/>
        </w:rPr>
      </w:pPr>
    </w:p>
    <w:p>
      <w:pPr>
        <w:pStyle w:val="5"/>
        <w:rPr>
          <w:rFonts w:hint="eastAsia" w:hAnsi="宋体" w:cs="宋体"/>
          <w:color w:val="auto"/>
          <w:spacing w:val="6"/>
          <w:kern w:val="0"/>
          <w:szCs w:val="21"/>
          <w:lang w:val="en-US" w:eastAsia="zh-CN"/>
        </w:rPr>
      </w:pPr>
    </w:p>
    <w:p>
      <w:pPr>
        <w:rPr>
          <w:rFonts w:hint="eastAsia" w:ascii="宋体" w:hAnsi="宋体" w:eastAsia="宋体"/>
          <w:b/>
          <w:color w:val="auto"/>
          <w:sz w:val="30"/>
          <w:lang w:eastAsia="zh-CN"/>
        </w:rPr>
      </w:pPr>
    </w:p>
    <w:p>
      <w:pPr>
        <w:numPr>
          <w:ilvl w:val="0"/>
          <w:numId w:val="6"/>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具有履行合同所必需的设备和专业技术能力书面声明</w:t>
      </w:r>
    </w:p>
    <w:p>
      <w:pPr>
        <w:pStyle w:val="23"/>
        <w:numPr>
          <w:ilvl w:val="0"/>
          <w:numId w:val="0"/>
        </w:numPr>
        <w:rPr>
          <w:rFonts w:hint="eastAsia"/>
          <w:color w:val="auto"/>
          <w:lang w:eastAsia="zh-CN"/>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致：                   （采购人）：</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特此声明。</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ind w:firstLine="5600" w:firstLineChars="20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（投标人公章）</w:t>
      </w:r>
    </w:p>
    <w:p>
      <w:pPr>
        <w:adjustRightInd w:val="0"/>
        <w:snapToGrid w:val="0"/>
        <w:spacing w:line="360" w:lineRule="auto"/>
        <w:ind w:firstLine="5600" w:firstLineChars="20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年   月   日</w:t>
      </w:r>
    </w:p>
    <w:p>
      <w:pPr>
        <w:pStyle w:val="23"/>
        <w:rPr>
          <w:rFonts w:hint="eastAsia" w:ascii="宋体" w:hAnsi="宋体"/>
          <w:b/>
          <w:color w:val="auto"/>
          <w:sz w:val="30"/>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both"/>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（九）无重大违法记录声明书</w:t>
      </w:r>
    </w:p>
    <w:p>
      <w:pPr>
        <w:widowControl/>
        <w:adjustRightInd w:val="0"/>
        <w:snapToGrid w:val="0"/>
        <w:spacing w:line="360" w:lineRule="auto"/>
        <w:jc w:val="center"/>
        <w:rPr>
          <w:rFonts w:hint="eastAsia" w:ascii="宋体" w:hAnsi="宋体"/>
          <w:color w:val="auto"/>
          <w:szCs w:val="21"/>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（采购人）         ：</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我公司参与                          （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特此声明</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ind w:firstLine="3920" w:firstLineChars="14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投标人名称（盖单位章）：                 </w:t>
      </w:r>
    </w:p>
    <w:p>
      <w:pPr>
        <w:adjustRightInd w:val="0"/>
        <w:snapToGrid w:val="0"/>
        <w:spacing w:line="360" w:lineRule="auto"/>
        <w:ind w:firstLine="3920" w:firstLineChars="14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法定代表人（签名）：                </w:t>
      </w:r>
    </w:p>
    <w:p>
      <w:pPr>
        <w:adjustRightInd w:val="0"/>
        <w:snapToGrid w:val="0"/>
        <w:spacing w:line="360" w:lineRule="auto"/>
        <w:ind w:firstLine="3640" w:firstLineChars="13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日    期：              年   月   日</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附注：▲本声明书格式不得修改，不提交本声明书按无效标处理。</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近三年：成立三年以上的，为提交首次投标文件截止时间前三年内；成立不足三年的，为实际时间。</w:t>
      </w:r>
    </w:p>
    <w:p>
      <w:pPr>
        <w:pStyle w:val="23"/>
        <w:ind w:left="0" w:leftChars="0" w:firstLine="0" w:firstLineChars="0"/>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pStyle w:val="23"/>
        <w:rPr>
          <w:rFonts w:hint="eastAsia"/>
          <w:color w:val="auto"/>
        </w:rPr>
      </w:pPr>
    </w:p>
    <w:p>
      <w:pPr>
        <w:numPr>
          <w:ilvl w:val="0"/>
          <w:numId w:val="0"/>
        </w:numPr>
        <w:autoSpaceDE w:val="0"/>
        <w:autoSpaceDN w:val="0"/>
        <w:adjustRightInd w:val="0"/>
        <w:ind w:leftChars="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（十）投标单位（供应商）反商业贿赂承诺书</w:t>
      </w:r>
    </w:p>
    <w:p>
      <w:pPr>
        <w:pStyle w:val="23"/>
        <w:numPr>
          <w:ilvl w:val="0"/>
          <w:numId w:val="0"/>
        </w:numPr>
        <w:ind w:leftChars="0"/>
        <w:rPr>
          <w:rFonts w:hint="eastAsia"/>
          <w:color w:val="auto"/>
          <w:lang w:eastAsia="zh-CN"/>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宋体" w:hAnsi="宋体" w:cs="宋体"/>
          <w:b/>
          <w:bCs/>
          <w:color w:val="auto"/>
          <w:sz w:val="24"/>
          <w:szCs w:val="24"/>
        </w:rPr>
        <w:t> </w:t>
      </w:r>
      <w:r>
        <w:rPr>
          <w:rFonts w:hint="eastAsia" w:ascii="宋体" w:hAnsi="宋体" w:cs="宋体"/>
          <w:color w:val="auto"/>
          <w:sz w:val="28"/>
          <w:szCs w:val="28"/>
        </w:rPr>
        <w:t> </w:t>
      </w:r>
      <w:r>
        <w:rPr>
          <w:rFonts w:hint="eastAsia" w:ascii="仿宋" w:hAnsi="仿宋" w:eastAsia="仿宋" w:cs="仿宋"/>
          <w:color w:val="auto"/>
          <w:kern w:val="2"/>
          <w:sz w:val="28"/>
          <w:szCs w:val="28"/>
          <w:lang w:val="en-US" w:eastAsia="zh-CN" w:bidi="ar-SA"/>
        </w:rPr>
        <w:t>我公司承诺在（项目编号、项目名称）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公司法人代表：</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法人授权代表：</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项目经办人：</w:t>
      </w:r>
    </w:p>
    <w:p>
      <w:pPr>
        <w:pStyle w:val="23"/>
        <w:rPr>
          <w:rFonts w:hint="eastAsia"/>
          <w:color w:val="auto"/>
          <w:sz w:val="28"/>
          <w:szCs w:val="28"/>
          <w:lang w:val="en-US" w:eastAsia="zh-CN"/>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日期：</w:t>
      </w: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pStyle w:val="5"/>
        <w:ind w:left="0" w:leftChars="0" w:firstLine="0" w:firstLineChars="0"/>
        <w:rPr>
          <w:rFonts w:hint="eastAsia" w:ascii="宋体" w:hAnsi="宋体"/>
          <w:b/>
          <w:color w:val="auto"/>
          <w:sz w:val="30"/>
        </w:rPr>
      </w:pPr>
    </w:p>
    <w:p>
      <w:pPr>
        <w:rPr>
          <w:rFonts w:hint="eastAsia"/>
          <w:color w:val="auto"/>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bookmarkStart w:id="62" w:name="_Toc476311250"/>
      <w:bookmarkStart w:id="63" w:name="_Toc83731292"/>
      <w:bookmarkStart w:id="64" w:name="_Toc5011"/>
      <w:bookmarkStart w:id="65" w:name="_Toc76631121"/>
      <w:r>
        <w:rPr>
          <w:rFonts w:hint="eastAsia" w:ascii="仿宋" w:hAnsi="仿宋" w:eastAsia="仿宋" w:cs="仿宋"/>
          <w:b/>
          <w:bCs w:val="0"/>
          <w:color w:val="auto"/>
          <w:sz w:val="32"/>
          <w:szCs w:val="32"/>
          <w:lang w:eastAsia="zh-CN"/>
        </w:rPr>
        <w:t>（十一）项目实施方案</w:t>
      </w:r>
      <w:bookmarkEnd w:id="62"/>
      <w:bookmarkEnd w:id="63"/>
      <w:bookmarkEnd w:id="64"/>
      <w:bookmarkEnd w:id="65"/>
    </w:p>
    <w:p>
      <w:pPr>
        <w:topLinePunct/>
        <w:spacing w:line="440" w:lineRule="exact"/>
        <w:rPr>
          <w:rFonts w:hint="eastAsia" w:ascii="宋体" w:hAnsi="宋体"/>
          <w:color w:val="auto"/>
          <w:szCs w:val="21"/>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包括：</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（1）投标产品详细清单，详细列明所投项目主要采购清单，完整配置方案及技术指标，项目的核心产品必须明确所投规格型号及具体技术指标。</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（2）对本项目系统总体要求的理解</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（3）投标人建议的安装、调试、验收方法或方案；</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（4）质量保证措施；</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（5）项目实施人员一览表（包括人员数量及专业）、设备投入计划及措施</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（6）技术服务、技术培训、售后服务说明，保修、服务响应时间、修复时间、应急处理等售后计划措施</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（7）售后专业技术人员配置等（本项目服务区域）</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（8）投标人需要说明的其他内容（未尽事宜可按评分细则部分制作）</w:t>
      </w:r>
    </w:p>
    <w:p>
      <w:pPr>
        <w:pStyle w:val="23"/>
        <w:rPr>
          <w:rFonts w:hint="eastAsia" w:ascii="宋体" w:hAnsi="宋体"/>
          <w:color w:val="auto"/>
        </w:rPr>
      </w:pPr>
    </w:p>
    <w:p>
      <w:pPr>
        <w:pStyle w:val="4"/>
        <w:rPr>
          <w:rFonts w:hint="eastAsia" w:ascii="宋体" w:hAnsi="宋体"/>
          <w:color w:val="auto"/>
          <w:lang w:eastAsia="zh-CN"/>
        </w:rPr>
      </w:pPr>
    </w:p>
    <w:p>
      <w:pPr>
        <w:rPr>
          <w:rFonts w:hint="eastAsia"/>
          <w:color w:val="auto"/>
          <w:lang w:eastAsia="zh-CN"/>
        </w:rPr>
      </w:pPr>
    </w:p>
    <w:p>
      <w:pPr>
        <w:pStyle w:val="4"/>
        <w:rPr>
          <w:rFonts w:hint="eastAsia" w:ascii="宋体" w:hAnsi="宋体"/>
          <w:color w:val="auto"/>
          <w:lang w:eastAsia="zh-CN"/>
        </w:rPr>
      </w:pPr>
    </w:p>
    <w:p>
      <w:pPr>
        <w:pStyle w:val="5"/>
        <w:rPr>
          <w:rFonts w:hint="eastAsia" w:ascii="宋体" w:hAnsi="宋体"/>
          <w:color w:val="auto"/>
          <w:lang w:eastAsia="zh-CN"/>
        </w:rPr>
      </w:pPr>
    </w:p>
    <w:p>
      <w:pPr>
        <w:pStyle w:val="6"/>
        <w:rPr>
          <w:rFonts w:hint="eastAsia"/>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pStyle w:val="5"/>
        <w:ind w:left="0" w:leftChars="0" w:firstLine="0" w:firstLineChars="0"/>
        <w:rPr>
          <w:rFonts w:hint="eastAsia" w:ascii="仿宋" w:hAnsi="仿宋" w:eastAsia="仿宋" w:cs="仿宋"/>
          <w:b/>
          <w:bCs w:val="0"/>
          <w:color w:val="auto"/>
          <w:sz w:val="32"/>
          <w:szCs w:val="32"/>
          <w:lang w:eastAsia="zh-CN"/>
        </w:rPr>
      </w:pPr>
    </w:p>
    <w:p>
      <w:pPr>
        <w:rPr>
          <w:rFonts w:hint="eastAsia"/>
          <w:color w:val="auto"/>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（十二）项目负责人简历表及拟投入本项目主要成员表</w:t>
      </w:r>
    </w:p>
    <w:p>
      <w:pPr>
        <w:pStyle w:val="27"/>
        <w:rPr>
          <w:rFonts w:hint="eastAsia" w:ascii="仿宋" w:hAnsi="仿宋" w:eastAsia="仿宋" w:cs="仿宋"/>
          <w:b w:val="0"/>
          <w:bCs w:val="0"/>
          <w:color w:val="auto"/>
          <w:sz w:val="28"/>
          <w:szCs w:val="28"/>
        </w:rPr>
      </w:pPr>
    </w:p>
    <w:p>
      <w:pPr>
        <w:spacing w:line="44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1、项目负责人简历表</w:t>
      </w:r>
    </w:p>
    <w:p>
      <w:pPr>
        <w:pStyle w:val="27"/>
        <w:rPr>
          <w:color w:val="auto"/>
        </w:rPr>
      </w:pPr>
    </w:p>
    <w:tbl>
      <w:tblPr>
        <w:tblStyle w:val="17"/>
        <w:tblW w:w="9047" w:type="dxa"/>
        <w:jc w:val="center"/>
        <w:tblLayout w:type="fixed"/>
        <w:tblCellMar>
          <w:top w:w="0" w:type="dxa"/>
          <w:left w:w="108" w:type="dxa"/>
          <w:bottom w:w="0" w:type="dxa"/>
          <w:right w:w="108" w:type="dxa"/>
        </w:tblCellMar>
      </w:tblPr>
      <w:tblGrid>
        <w:gridCol w:w="1228"/>
        <w:gridCol w:w="1969"/>
        <w:gridCol w:w="224"/>
        <w:gridCol w:w="959"/>
        <w:gridCol w:w="787"/>
        <w:gridCol w:w="1638"/>
        <w:gridCol w:w="2242"/>
      </w:tblGrid>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2193"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959"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787"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454"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毕业学校</w:t>
            </w:r>
          </w:p>
        </w:tc>
        <w:tc>
          <w:tcPr>
            <w:tcW w:w="3939" w:type="dxa"/>
            <w:gridSpan w:val="4"/>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专     业</w:t>
            </w: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学位</w:t>
            </w:r>
          </w:p>
        </w:tc>
        <w:tc>
          <w:tcPr>
            <w:tcW w:w="2193"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959"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787"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职     务</w:t>
            </w: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892"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现所在机构或部门</w:t>
            </w:r>
          </w:p>
        </w:tc>
        <w:tc>
          <w:tcPr>
            <w:tcW w:w="3939" w:type="dxa"/>
            <w:gridSpan w:val="4"/>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服务时间</w:t>
            </w: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438" w:hRule="atLeast"/>
          <w:jc w:val="center"/>
        </w:trPr>
        <w:tc>
          <w:tcPr>
            <w:tcW w:w="1228" w:type="dxa"/>
            <w:vMerge w:val="restart"/>
            <w:tcBorders>
              <w:top w:val="single" w:color="auto" w:sz="6" w:space="0"/>
              <w:left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注册证书及注册号</w:t>
            </w:r>
          </w:p>
        </w:tc>
        <w:tc>
          <w:tcPr>
            <w:tcW w:w="1969"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970"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证书名</w:t>
            </w:r>
          </w:p>
        </w:tc>
        <w:tc>
          <w:tcPr>
            <w:tcW w:w="1638"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证书号</w:t>
            </w: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970"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970"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1220"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仿宋" w:hAnsi="仿宋" w:eastAsia="仿宋" w:cs="仿宋"/>
                <w:color w:val="auto"/>
                <w:sz w:val="24"/>
                <w:szCs w:val="24"/>
              </w:rPr>
            </w:pPr>
          </w:p>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主要经历</w:t>
            </w:r>
          </w:p>
          <w:p>
            <w:pPr>
              <w:spacing w:line="440" w:lineRule="exact"/>
              <w:jc w:val="center"/>
              <w:rPr>
                <w:rFonts w:hint="eastAsia" w:ascii="仿宋" w:hAnsi="仿宋" w:eastAsia="仿宋" w:cs="仿宋"/>
                <w:color w:val="auto"/>
                <w:sz w:val="24"/>
                <w:szCs w:val="24"/>
              </w:rPr>
            </w:pPr>
          </w:p>
        </w:tc>
        <w:tc>
          <w:tcPr>
            <w:tcW w:w="7819" w:type="dxa"/>
            <w:gridSpan w:val="6"/>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日期</w:t>
            </w:r>
          </w:p>
        </w:tc>
        <w:tc>
          <w:tcPr>
            <w:tcW w:w="3152"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参加过的项目名称</w:t>
            </w:r>
          </w:p>
        </w:tc>
        <w:tc>
          <w:tcPr>
            <w:tcW w:w="2425"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担任何职务</w:t>
            </w: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3152"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2425"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3152"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2425"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bl>
    <w:p>
      <w:pPr>
        <w:jc w:val="center"/>
        <w:rPr>
          <w:rFonts w:hint="eastAsia" w:ascii="仿宋" w:hAnsi="仿宋" w:eastAsia="仿宋" w:cs="仿宋"/>
          <w:color w:val="auto"/>
          <w:sz w:val="24"/>
          <w:szCs w:val="24"/>
        </w:rPr>
      </w:pPr>
    </w:p>
    <w:p>
      <w:pPr>
        <w:pStyle w:val="27"/>
        <w:ind w:left="0" w:leftChars="0" w:firstLine="0" w:firstLineChars="0"/>
        <w:rPr>
          <w:color w:val="auto"/>
        </w:rPr>
      </w:pPr>
    </w:p>
    <w:p>
      <w:pPr>
        <w:pStyle w:val="27"/>
        <w:ind w:left="0" w:leftChars="0" w:firstLine="0" w:firstLineChars="0"/>
        <w:rPr>
          <w:color w:val="auto"/>
        </w:rPr>
      </w:pPr>
    </w:p>
    <w:p>
      <w:pPr>
        <w:pStyle w:val="27"/>
        <w:ind w:left="0" w:leftChars="0" w:firstLine="0" w:firstLineChars="0"/>
        <w:rPr>
          <w:color w:val="auto"/>
        </w:rPr>
      </w:pPr>
    </w:p>
    <w:p>
      <w:pPr>
        <w:pStyle w:val="27"/>
        <w:ind w:left="0" w:leftChars="0" w:firstLine="0" w:firstLineChars="0"/>
        <w:rPr>
          <w:color w:val="auto"/>
        </w:rPr>
      </w:pPr>
    </w:p>
    <w:p>
      <w:pPr>
        <w:pStyle w:val="27"/>
        <w:ind w:left="0" w:leftChars="0" w:firstLine="0" w:firstLineChars="0"/>
        <w:rPr>
          <w:color w:val="auto"/>
        </w:rPr>
      </w:pPr>
    </w:p>
    <w:p>
      <w:pPr>
        <w:pStyle w:val="27"/>
        <w:ind w:left="0" w:leftChars="0" w:firstLine="0" w:firstLineChars="0"/>
        <w:rPr>
          <w:color w:val="auto"/>
        </w:rPr>
      </w:pPr>
    </w:p>
    <w:p>
      <w:pPr>
        <w:pStyle w:val="27"/>
        <w:ind w:left="0" w:leftChars="0" w:firstLine="0" w:firstLineChars="0"/>
        <w:rPr>
          <w:color w:val="auto"/>
        </w:rPr>
      </w:pPr>
    </w:p>
    <w:p>
      <w:pPr>
        <w:pStyle w:val="27"/>
        <w:ind w:left="0" w:leftChars="0" w:firstLine="0" w:firstLineChars="0"/>
        <w:rPr>
          <w:color w:val="auto"/>
        </w:rPr>
      </w:pPr>
    </w:p>
    <w:p>
      <w:pPr>
        <w:pStyle w:val="27"/>
        <w:ind w:left="0" w:leftChars="0" w:firstLine="0" w:firstLineChars="0"/>
        <w:rPr>
          <w:color w:val="auto"/>
        </w:rPr>
      </w:pPr>
    </w:p>
    <w:p>
      <w:pPr>
        <w:pStyle w:val="27"/>
        <w:ind w:left="0" w:leftChars="0" w:firstLine="0" w:firstLineChars="0"/>
        <w:rPr>
          <w:color w:val="auto"/>
        </w:rPr>
      </w:pPr>
    </w:p>
    <w:p>
      <w:pPr>
        <w:pStyle w:val="27"/>
        <w:ind w:left="0" w:leftChars="0" w:firstLine="0" w:firstLineChars="0"/>
        <w:rPr>
          <w:color w:val="auto"/>
        </w:rPr>
      </w:pPr>
    </w:p>
    <w:p>
      <w:pPr>
        <w:pStyle w:val="27"/>
        <w:ind w:left="0" w:leftChars="0" w:firstLine="0" w:firstLineChars="0"/>
        <w:rPr>
          <w:color w:val="auto"/>
        </w:rPr>
      </w:pPr>
    </w:p>
    <w:p>
      <w:pPr>
        <w:pStyle w:val="27"/>
        <w:ind w:left="0" w:leftChars="0" w:firstLine="0" w:firstLineChars="0"/>
        <w:rPr>
          <w:color w:val="auto"/>
        </w:rPr>
      </w:pPr>
    </w:p>
    <w:p>
      <w:pPr>
        <w:pStyle w:val="27"/>
        <w:ind w:left="0" w:leftChars="0" w:firstLine="0" w:firstLineChars="0"/>
        <w:rPr>
          <w:color w:val="auto"/>
        </w:rPr>
      </w:pPr>
    </w:p>
    <w:p>
      <w:pPr>
        <w:pStyle w:val="27"/>
        <w:ind w:left="0" w:leftChars="0" w:firstLine="0" w:firstLineChars="0"/>
        <w:rPr>
          <w:color w:val="auto"/>
        </w:rPr>
      </w:pPr>
    </w:p>
    <w:p>
      <w:pPr>
        <w:spacing w:line="440" w:lineRule="exact"/>
        <w:jc w:val="both"/>
        <w:rPr>
          <w:rFonts w:hint="eastAsia" w:ascii="宋体" w:hAnsi="宋体" w:cs="宋体"/>
          <w:b/>
          <w:color w:val="auto"/>
          <w:sz w:val="30"/>
          <w:szCs w:val="30"/>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（十三）项目配备人员表</w:t>
      </w:r>
    </w:p>
    <w:tbl>
      <w:tblPr>
        <w:tblStyle w:val="17"/>
        <w:tblpPr w:leftFromText="180" w:rightFromText="180" w:vertAnchor="text" w:horzAnchor="margin" w:tblpY="255"/>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05"/>
        <w:gridCol w:w="2130"/>
        <w:gridCol w:w="2028"/>
        <w:gridCol w:w="1880"/>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4" w:hRule="atLeast"/>
        </w:trPr>
        <w:tc>
          <w:tcPr>
            <w:tcW w:w="802" w:type="dxa"/>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05" w:type="dxa"/>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2130" w:type="dxa"/>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2028" w:type="dxa"/>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职称</w:t>
            </w:r>
          </w:p>
        </w:tc>
        <w:tc>
          <w:tcPr>
            <w:tcW w:w="1880" w:type="dxa"/>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岗位</w:t>
            </w:r>
          </w:p>
        </w:tc>
        <w:tc>
          <w:tcPr>
            <w:tcW w:w="2095" w:type="dxa"/>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从事该岗位</w:t>
            </w:r>
          </w:p>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802" w:type="dxa"/>
            <w:noWrap w:val="0"/>
            <w:vAlign w:val="top"/>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05" w:type="dxa"/>
            <w:noWrap w:val="0"/>
            <w:vAlign w:val="top"/>
          </w:tcPr>
          <w:p>
            <w:pPr>
              <w:spacing w:line="440" w:lineRule="exact"/>
              <w:jc w:val="center"/>
              <w:rPr>
                <w:rFonts w:hint="eastAsia" w:ascii="仿宋" w:hAnsi="仿宋" w:eastAsia="仿宋" w:cs="仿宋"/>
                <w:color w:val="auto"/>
                <w:sz w:val="24"/>
              </w:rPr>
            </w:pPr>
          </w:p>
        </w:tc>
        <w:tc>
          <w:tcPr>
            <w:tcW w:w="2130" w:type="dxa"/>
            <w:noWrap w:val="0"/>
            <w:vAlign w:val="top"/>
          </w:tcPr>
          <w:p>
            <w:pPr>
              <w:spacing w:line="440" w:lineRule="exact"/>
              <w:jc w:val="center"/>
              <w:rPr>
                <w:rFonts w:hint="eastAsia" w:ascii="仿宋" w:hAnsi="仿宋" w:eastAsia="仿宋" w:cs="仿宋"/>
                <w:color w:val="auto"/>
                <w:sz w:val="24"/>
              </w:rPr>
            </w:pPr>
          </w:p>
        </w:tc>
        <w:tc>
          <w:tcPr>
            <w:tcW w:w="2028" w:type="dxa"/>
            <w:noWrap w:val="0"/>
            <w:vAlign w:val="top"/>
          </w:tcPr>
          <w:p>
            <w:pPr>
              <w:spacing w:line="440" w:lineRule="exact"/>
              <w:jc w:val="center"/>
              <w:rPr>
                <w:rFonts w:hint="eastAsia" w:ascii="仿宋" w:hAnsi="仿宋" w:eastAsia="仿宋" w:cs="仿宋"/>
                <w:color w:val="auto"/>
                <w:sz w:val="24"/>
              </w:rPr>
            </w:pPr>
          </w:p>
        </w:tc>
        <w:tc>
          <w:tcPr>
            <w:tcW w:w="1880" w:type="dxa"/>
            <w:noWrap w:val="0"/>
            <w:vAlign w:val="top"/>
          </w:tcPr>
          <w:p>
            <w:pPr>
              <w:spacing w:line="440" w:lineRule="exact"/>
              <w:jc w:val="center"/>
              <w:rPr>
                <w:rFonts w:hint="eastAsia" w:ascii="仿宋" w:hAnsi="仿宋" w:eastAsia="仿宋" w:cs="仿宋"/>
                <w:color w:val="auto"/>
                <w:sz w:val="24"/>
              </w:rPr>
            </w:pPr>
          </w:p>
        </w:tc>
        <w:tc>
          <w:tcPr>
            <w:tcW w:w="2095" w:type="dxa"/>
            <w:noWrap w:val="0"/>
            <w:vAlign w:val="top"/>
          </w:tcPr>
          <w:p>
            <w:pPr>
              <w:spacing w:line="44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802" w:type="dxa"/>
            <w:noWrap w:val="0"/>
            <w:vAlign w:val="top"/>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205" w:type="dxa"/>
            <w:noWrap w:val="0"/>
            <w:vAlign w:val="top"/>
          </w:tcPr>
          <w:p>
            <w:pPr>
              <w:spacing w:line="440" w:lineRule="exact"/>
              <w:jc w:val="center"/>
              <w:rPr>
                <w:rFonts w:hint="eastAsia" w:ascii="仿宋" w:hAnsi="仿宋" w:eastAsia="仿宋" w:cs="仿宋"/>
                <w:color w:val="auto"/>
                <w:sz w:val="24"/>
              </w:rPr>
            </w:pPr>
          </w:p>
        </w:tc>
        <w:tc>
          <w:tcPr>
            <w:tcW w:w="2130" w:type="dxa"/>
            <w:noWrap w:val="0"/>
            <w:vAlign w:val="top"/>
          </w:tcPr>
          <w:p>
            <w:pPr>
              <w:spacing w:line="440" w:lineRule="exact"/>
              <w:jc w:val="center"/>
              <w:rPr>
                <w:rFonts w:hint="eastAsia" w:ascii="仿宋" w:hAnsi="仿宋" w:eastAsia="仿宋" w:cs="仿宋"/>
                <w:color w:val="auto"/>
                <w:sz w:val="24"/>
              </w:rPr>
            </w:pPr>
          </w:p>
        </w:tc>
        <w:tc>
          <w:tcPr>
            <w:tcW w:w="2028" w:type="dxa"/>
            <w:noWrap w:val="0"/>
            <w:vAlign w:val="top"/>
          </w:tcPr>
          <w:p>
            <w:pPr>
              <w:spacing w:line="440" w:lineRule="exact"/>
              <w:jc w:val="center"/>
              <w:rPr>
                <w:rFonts w:hint="eastAsia" w:ascii="仿宋" w:hAnsi="仿宋" w:eastAsia="仿宋" w:cs="仿宋"/>
                <w:color w:val="auto"/>
                <w:sz w:val="24"/>
              </w:rPr>
            </w:pPr>
          </w:p>
        </w:tc>
        <w:tc>
          <w:tcPr>
            <w:tcW w:w="1880" w:type="dxa"/>
            <w:noWrap w:val="0"/>
            <w:vAlign w:val="top"/>
          </w:tcPr>
          <w:p>
            <w:pPr>
              <w:spacing w:line="440" w:lineRule="exact"/>
              <w:jc w:val="center"/>
              <w:rPr>
                <w:rFonts w:hint="eastAsia" w:ascii="仿宋" w:hAnsi="仿宋" w:eastAsia="仿宋" w:cs="仿宋"/>
                <w:color w:val="auto"/>
                <w:sz w:val="24"/>
              </w:rPr>
            </w:pPr>
          </w:p>
        </w:tc>
        <w:tc>
          <w:tcPr>
            <w:tcW w:w="2095" w:type="dxa"/>
            <w:noWrap w:val="0"/>
            <w:vAlign w:val="top"/>
          </w:tcPr>
          <w:p>
            <w:pPr>
              <w:spacing w:line="44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802" w:type="dxa"/>
            <w:noWrap w:val="0"/>
            <w:vAlign w:val="top"/>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205" w:type="dxa"/>
            <w:noWrap w:val="0"/>
            <w:vAlign w:val="top"/>
          </w:tcPr>
          <w:p>
            <w:pPr>
              <w:spacing w:line="440" w:lineRule="exact"/>
              <w:jc w:val="center"/>
              <w:rPr>
                <w:rFonts w:hint="eastAsia" w:ascii="仿宋" w:hAnsi="仿宋" w:eastAsia="仿宋" w:cs="仿宋"/>
                <w:color w:val="auto"/>
                <w:sz w:val="24"/>
              </w:rPr>
            </w:pPr>
          </w:p>
        </w:tc>
        <w:tc>
          <w:tcPr>
            <w:tcW w:w="2130" w:type="dxa"/>
            <w:noWrap w:val="0"/>
            <w:vAlign w:val="top"/>
          </w:tcPr>
          <w:p>
            <w:pPr>
              <w:spacing w:line="440" w:lineRule="exact"/>
              <w:jc w:val="center"/>
              <w:rPr>
                <w:rFonts w:hint="eastAsia" w:ascii="仿宋" w:hAnsi="仿宋" w:eastAsia="仿宋" w:cs="仿宋"/>
                <w:color w:val="auto"/>
                <w:sz w:val="24"/>
              </w:rPr>
            </w:pPr>
          </w:p>
        </w:tc>
        <w:tc>
          <w:tcPr>
            <w:tcW w:w="2028" w:type="dxa"/>
            <w:noWrap w:val="0"/>
            <w:vAlign w:val="top"/>
          </w:tcPr>
          <w:p>
            <w:pPr>
              <w:spacing w:line="440" w:lineRule="exact"/>
              <w:jc w:val="center"/>
              <w:rPr>
                <w:rFonts w:hint="eastAsia" w:ascii="仿宋" w:hAnsi="仿宋" w:eastAsia="仿宋" w:cs="仿宋"/>
                <w:color w:val="auto"/>
                <w:sz w:val="24"/>
              </w:rPr>
            </w:pPr>
          </w:p>
        </w:tc>
        <w:tc>
          <w:tcPr>
            <w:tcW w:w="1880" w:type="dxa"/>
            <w:noWrap w:val="0"/>
            <w:vAlign w:val="top"/>
          </w:tcPr>
          <w:p>
            <w:pPr>
              <w:spacing w:line="440" w:lineRule="exact"/>
              <w:jc w:val="center"/>
              <w:rPr>
                <w:rFonts w:hint="eastAsia" w:ascii="仿宋" w:hAnsi="仿宋" w:eastAsia="仿宋" w:cs="仿宋"/>
                <w:color w:val="auto"/>
                <w:sz w:val="24"/>
              </w:rPr>
            </w:pPr>
          </w:p>
        </w:tc>
        <w:tc>
          <w:tcPr>
            <w:tcW w:w="2095" w:type="dxa"/>
            <w:noWrap w:val="0"/>
            <w:vAlign w:val="top"/>
          </w:tcPr>
          <w:p>
            <w:pPr>
              <w:spacing w:line="44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802" w:type="dxa"/>
            <w:noWrap w:val="0"/>
            <w:vAlign w:val="top"/>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1205" w:type="dxa"/>
            <w:noWrap w:val="0"/>
            <w:vAlign w:val="top"/>
          </w:tcPr>
          <w:p>
            <w:pPr>
              <w:spacing w:line="440" w:lineRule="exact"/>
              <w:jc w:val="center"/>
              <w:rPr>
                <w:rFonts w:hint="eastAsia" w:ascii="仿宋" w:hAnsi="仿宋" w:eastAsia="仿宋" w:cs="仿宋"/>
                <w:color w:val="auto"/>
                <w:sz w:val="24"/>
              </w:rPr>
            </w:pPr>
          </w:p>
        </w:tc>
        <w:tc>
          <w:tcPr>
            <w:tcW w:w="2130" w:type="dxa"/>
            <w:noWrap w:val="0"/>
            <w:vAlign w:val="top"/>
          </w:tcPr>
          <w:p>
            <w:pPr>
              <w:spacing w:line="440" w:lineRule="exact"/>
              <w:jc w:val="center"/>
              <w:rPr>
                <w:rFonts w:hint="eastAsia" w:ascii="仿宋" w:hAnsi="仿宋" w:eastAsia="仿宋" w:cs="仿宋"/>
                <w:color w:val="auto"/>
                <w:sz w:val="24"/>
              </w:rPr>
            </w:pPr>
          </w:p>
        </w:tc>
        <w:tc>
          <w:tcPr>
            <w:tcW w:w="2028" w:type="dxa"/>
            <w:noWrap w:val="0"/>
            <w:vAlign w:val="top"/>
          </w:tcPr>
          <w:p>
            <w:pPr>
              <w:spacing w:line="440" w:lineRule="exact"/>
              <w:jc w:val="center"/>
              <w:rPr>
                <w:rFonts w:hint="eastAsia" w:ascii="仿宋" w:hAnsi="仿宋" w:eastAsia="仿宋" w:cs="仿宋"/>
                <w:color w:val="auto"/>
                <w:sz w:val="24"/>
              </w:rPr>
            </w:pPr>
          </w:p>
        </w:tc>
        <w:tc>
          <w:tcPr>
            <w:tcW w:w="1880" w:type="dxa"/>
            <w:noWrap w:val="0"/>
            <w:vAlign w:val="top"/>
          </w:tcPr>
          <w:p>
            <w:pPr>
              <w:spacing w:line="440" w:lineRule="exact"/>
              <w:jc w:val="center"/>
              <w:rPr>
                <w:rFonts w:hint="eastAsia" w:ascii="仿宋" w:hAnsi="仿宋" w:eastAsia="仿宋" w:cs="仿宋"/>
                <w:color w:val="auto"/>
                <w:sz w:val="24"/>
              </w:rPr>
            </w:pPr>
          </w:p>
        </w:tc>
        <w:tc>
          <w:tcPr>
            <w:tcW w:w="2095" w:type="dxa"/>
            <w:noWrap w:val="0"/>
            <w:vAlign w:val="top"/>
          </w:tcPr>
          <w:p>
            <w:pPr>
              <w:spacing w:line="440" w:lineRule="exact"/>
              <w:jc w:val="center"/>
              <w:rPr>
                <w:rFonts w:hint="eastAsia" w:ascii="仿宋" w:hAnsi="仿宋" w:eastAsia="仿宋" w:cs="仿宋"/>
                <w:color w:val="auto"/>
                <w:sz w:val="24"/>
              </w:rPr>
            </w:pPr>
          </w:p>
        </w:tc>
      </w:tr>
    </w:tbl>
    <w:p>
      <w:pPr>
        <w:autoSpaceDE w:val="0"/>
        <w:autoSpaceDN w:val="0"/>
        <w:adjustRightInd w:val="0"/>
        <w:snapToGrid w:val="0"/>
        <w:spacing w:line="240" w:lineRule="atLeast"/>
        <w:rPr>
          <w:rFonts w:hint="eastAsia" w:ascii="仿宋" w:hAnsi="仿宋" w:eastAsia="仿宋" w:cs="仿宋"/>
          <w:b w:val="0"/>
          <w:bCs/>
          <w:color w:val="auto"/>
          <w:spacing w:val="10"/>
          <w:sz w:val="28"/>
          <w:szCs w:val="28"/>
        </w:rPr>
      </w:pPr>
    </w:p>
    <w:p>
      <w:pPr>
        <w:autoSpaceDE w:val="0"/>
        <w:autoSpaceDN w:val="0"/>
        <w:adjustRightInd w:val="0"/>
        <w:snapToGrid w:val="0"/>
        <w:spacing w:line="240" w:lineRule="atLeast"/>
        <w:rPr>
          <w:rFonts w:hint="eastAsia" w:ascii="仿宋" w:hAnsi="仿宋" w:eastAsia="仿宋" w:cs="仿宋"/>
          <w:b w:val="0"/>
          <w:bCs/>
          <w:color w:val="auto"/>
          <w:spacing w:val="10"/>
          <w:sz w:val="28"/>
          <w:szCs w:val="28"/>
        </w:rPr>
      </w:pPr>
      <w:r>
        <w:rPr>
          <w:rFonts w:hint="eastAsia" w:ascii="仿宋" w:hAnsi="仿宋" w:eastAsia="仿宋" w:cs="仿宋"/>
          <w:b w:val="0"/>
          <w:bCs/>
          <w:color w:val="auto"/>
          <w:spacing w:val="10"/>
          <w:sz w:val="28"/>
          <w:szCs w:val="28"/>
        </w:rPr>
        <w:t>注：</w:t>
      </w:r>
      <w:r>
        <w:rPr>
          <w:rFonts w:hint="eastAsia" w:ascii="仿宋" w:hAnsi="仿宋" w:eastAsia="仿宋" w:cs="仿宋"/>
          <w:b w:val="0"/>
          <w:bCs/>
          <w:color w:val="auto"/>
          <w:spacing w:val="10"/>
          <w:sz w:val="28"/>
          <w:szCs w:val="28"/>
          <w:lang w:eastAsia="zh-CN"/>
        </w:rPr>
        <w:t>（十二）（十三）</w:t>
      </w:r>
      <w:r>
        <w:rPr>
          <w:rFonts w:hint="eastAsia" w:ascii="仿宋" w:hAnsi="仿宋" w:eastAsia="仿宋" w:cs="仿宋"/>
          <w:b w:val="0"/>
          <w:bCs/>
          <w:color w:val="auto"/>
          <w:spacing w:val="10"/>
          <w:sz w:val="28"/>
          <w:szCs w:val="28"/>
        </w:rPr>
        <w:t>两表后应附（</w:t>
      </w:r>
      <w:r>
        <w:rPr>
          <w:rFonts w:hint="eastAsia" w:ascii="仿宋" w:hAnsi="仿宋" w:eastAsia="仿宋" w:cs="仿宋"/>
          <w:b w:val="0"/>
          <w:bCs/>
          <w:color w:val="auto"/>
          <w:sz w:val="28"/>
          <w:szCs w:val="28"/>
        </w:rPr>
        <w:t>复印件并加盖公章的）的</w:t>
      </w:r>
      <w:r>
        <w:rPr>
          <w:rFonts w:hint="eastAsia" w:ascii="仿宋" w:hAnsi="仿宋" w:eastAsia="仿宋" w:cs="仿宋"/>
          <w:b w:val="0"/>
          <w:bCs/>
          <w:color w:val="auto"/>
          <w:spacing w:val="10"/>
          <w:sz w:val="28"/>
          <w:szCs w:val="28"/>
        </w:rPr>
        <w:t xml:space="preserve"> </w:t>
      </w:r>
    </w:p>
    <w:p>
      <w:pPr>
        <w:numPr>
          <w:ilvl w:val="0"/>
          <w:numId w:val="7"/>
        </w:numPr>
        <w:autoSpaceDE w:val="0"/>
        <w:autoSpaceDN w:val="0"/>
        <w:adjustRightInd w:val="0"/>
        <w:snapToGrid w:val="0"/>
        <w:spacing w:line="240" w:lineRule="atLeast"/>
        <w:rPr>
          <w:rFonts w:hint="eastAsia" w:ascii="仿宋" w:hAnsi="仿宋" w:eastAsia="仿宋" w:cs="仿宋"/>
          <w:b w:val="0"/>
          <w:bCs/>
          <w:color w:val="auto"/>
          <w:spacing w:val="10"/>
          <w:sz w:val="28"/>
          <w:szCs w:val="28"/>
        </w:rPr>
      </w:pPr>
      <w:r>
        <w:rPr>
          <w:rFonts w:hint="eastAsia" w:ascii="仿宋" w:hAnsi="仿宋" w:eastAsia="仿宋" w:cs="仿宋"/>
          <w:b w:val="0"/>
          <w:bCs/>
          <w:color w:val="auto"/>
          <w:spacing w:val="10"/>
          <w:sz w:val="28"/>
          <w:szCs w:val="28"/>
        </w:rPr>
        <w:t>职称证书复印件（如有）；</w:t>
      </w:r>
    </w:p>
    <w:p>
      <w:pPr>
        <w:numPr>
          <w:ilvl w:val="0"/>
          <w:numId w:val="7"/>
        </w:numPr>
        <w:autoSpaceDE w:val="0"/>
        <w:autoSpaceDN w:val="0"/>
        <w:adjustRightInd w:val="0"/>
        <w:snapToGrid w:val="0"/>
        <w:spacing w:line="240" w:lineRule="atLeast"/>
        <w:ind w:left="0" w:leftChars="0" w:firstLine="0" w:firstLineChars="0"/>
        <w:rPr>
          <w:rFonts w:hint="eastAsia" w:ascii="仿宋" w:hAnsi="仿宋" w:eastAsia="仿宋" w:cs="仿宋"/>
          <w:b w:val="0"/>
          <w:bCs/>
          <w:color w:val="auto"/>
          <w:spacing w:val="10"/>
          <w:sz w:val="28"/>
          <w:szCs w:val="28"/>
        </w:rPr>
      </w:pPr>
      <w:r>
        <w:rPr>
          <w:rFonts w:hint="eastAsia" w:ascii="仿宋" w:hAnsi="仿宋" w:eastAsia="仿宋" w:cs="仿宋"/>
          <w:b w:val="0"/>
          <w:bCs/>
          <w:color w:val="auto"/>
          <w:spacing w:val="10"/>
          <w:sz w:val="28"/>
          <w:szCs w:val="28"/>
        </w:rPr>
        <w:t>身份证复印件；</w:t>
      </w:r>
    </w:p>
    <w:p>
      <w:pPr>
        <w:numPr>
          <w:ilvl w:val="0"/>
          <w:numId w:val="7"/>
        </w:numPr>
        <w:autoSpaceDE w:val="0"/>
        <w:autoSpaceDN w:val="0"/>
        <w:adjustRightInd w:val="0"/>
        <w:snapToGrid w:val="0"/>
        <w:spacing w:line="240" w:lineRule="atLeast"/>
        <w:ind w:left="0" w:leftChars="0" w:firstLine="0" w:firstLineChars="0"/>
        <w:rPr>
          <w:rFonts w:hint="eastAsia" w:ascii="仿宋" w:hAnsi="仿宋" w:eastAsia="仿宋" w:cs="仿宋"/>
          <w:b w:val="0"/>
          <w:bCs/>
          <w:color w:val="auto"/>
          <w:spacing w:val="10"/>
          <w:sz w:val="28"/>
          <w:szCs w:val="28"/>
        </w:rPr>
      </w:pPr>
      <w:r>
        <w:rPr>
          <w:rFonts w:hint="eastAsia" w:ascii="仿宋" w:hAnsi="仿宋" w:eastAsia="仿宋" w:cs="仿宋"/>
          <w:b w:val="0"/>
          <w:bCs/>
          <w:color w:val="auto"/>
          <w:sz w:val="28"/>
          <w:szCs w:val="28"/>
        </w:rPr>
        <w:t>具有国家规定相关执业资格证书复印件（如有）</w:t>
      </w:r>
      <w:r>
        <w:rPr>
          <w:rFonts w:hint="eastAsia" w:ascii="仿宋" w:hAnsi="仿宋" w:eastAsia="仿宋" w:cs="仿宋"/>
          <w:b w:val="0"/>
          <w:bCs/>
          <w:color w:val="auto"/>
          <w:spacing w:val="10"/>
          <w:sz w:val="28"/>
          <w:szCs w:val="28"/>
        </w:rPr>
        <w:t>；</w:t>
      </w:r>
    </w:p>
    <w:p>
      <w:pPr>
        <w:autoSpaceDE w:val="0"/>
        <w:autoSpaceDN w:val="0"/>
        <w:adjustRightInd w:val="0"/>
        <w:snapToGrid w:val="0"/>
        <w:spacing w:line="240" w:lineRule="atLeast"/>
        <w:rPr>
          <w:rFonts w:hint="eastAsia" w:ascii="仿宋" w:hAnsi="仿宋" w:eastAsia="仿宋" w:cs="仿宋"/>
          <w:b w:val="0"/>
          <w:bCs/>
          <w:color w:val="auto"/>
          <w:sz w:val="28"/>
          <w:szCs w:val="28"/>
        </w:rPr>
      </w:pPr>
      <w:r>
        <w:rPr>
          <w:rFonts w:hint="eastAsia" w:ascii="仿宋" w:hAnsi="仿宋" w:eastAsia="仿宋" w:cs="仿宋"/>
          <w:b w:val="0"/>
          <w:bCs/>
          <w:color w:val="auto"/>
          <w:spacing w:val="10"/>
          <w:sz w:val="28"/>
          <w:szCs w:val="28"/>
        </w:rPr>
        <w:t>4、相关业绩证明材料复印件</w:t>
      </w:r>
      <w:r>
        <w:rPr>
          <w:rFonts w:hint="eastAsia" w:ascii="仿宋" w:hAnsi="仿宋" w:eastAsia="仿宋" w:cs="仿宋"/>
          <w:b w:val="0"/>
          <w:bCs/>
          <w:color w:val="auto"/>
          <w:sz w:val="28"/>
          <w:szCs w:val="28"/>
        </w:rPr>
        <w:t>。</w:t>
      </w:r>
    </w:p>
    <w:p>
      <w:pPr>
        <w:autoSpaceDE w:val="0"/>
        <w:autoSpaceDN w:val="0"/>
        <w:adjustRightInd w:val="0"/>
        <w:snapToGrid w:val="0"/>
        <w:spacing w:line="240" w:lineRule="atLeast"/>
        <w:ind w:firstLine="280" w:firstLineChars="1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特别要求：</w:t>
      </w:r>
      <w:r>
        <w:rPr>
          <w:rFonts w:hint="eastAsia" w:ascii="仿宋" w:hAnsi="仿宋" w:eastAsia="仿宋" w:cs="仿宋"/>
          <w:b w:val="0"/>
          <w:bCs/>
          <w:color w:val="auto"/>
          <w:kern w:val="1"/>
          <w:sz w:val="28"/>
          <w:szCs w:val="28"/>
        </w:rPr>
        <w:t>拟投入本项目的工作人员须满足本项目的工作要求，在合同履行过程中，中标人须根据本项目的实际需求或</w:t>
      </w:r>
      <w:r>
        <w:rPr>
          <w:rFonts w:hint="eastAsia" w:ascii="仿宋" w:hAnsi="仿宋" w:eastAsia="仿宋" w:cs="仿宋"/>
          <w:b w:val="0"/>
          <w:bCs/>
          <w:color w:val="auto"/>
          <w:kern w:val="1"/>
          <w:sz w:val="28"/>
          <w:szCs w:val="28"/>
          <w:lang w:eastAsia="zh-CN"/>
        </w:rPr>
        <w:t>招标</w:t>
      </w:r>
      <w:r>
        <w:rPr>
          <w:rFonts w:hint="eastAsia" w:ascii="仿宋" w:hAnsi="仿宋" w:eastAsia="仿宋" w:cs="仿宋"/>
          <w:b w:val="0"/>
          <w:bCs/>
          <w:color w:val="auto"/>
          <w:kern w:val="1"/>
          <w:sz w:val="28"/>
          <w:szCs w:val="28"/>
        </w:rPr>
        <w:t>人的进度要求，对人员进行合理的增加，费用均包含在投标报价中。</w:t>
      </w:r>
    </w:p>
    <w:p>
      <w:pPr>
        <w:spacing w:line="360" w:lineRule="auto"/>
        <w:ind w:right="1420" w:rightChars="676"/>
        <w:rPr>
          <w:rFonts w:hint="eastAsia" w:ascii="仿宋" w:hAnsi="仿宋" w:eastAsia="仿宋" w:cs="仿宋"/>
          <w:b w:val="0"/>
          <w:bCs/>
          <w:color w:val="auto"/>
          <w:sz w:val="28"/>
          <w:szCs w:val="28"/>
        </w:rPr>
      </w:pPr>
    </w:p>
    <w:p>
      <w:pPr>
        <w:pStyle w:val="23"/>
        <w:rPr>
          <w:color w:val="auto"/>
        </w:rPr>
      </w:pPr>
    </w:p>
    <w:p>
      <w:pPr>
        <w:spacing w:line="400" w:lineRule="exact"/>
        <w:rPr>
          <w:rFonts w:hint="eastAsia" w:ascii="宋体" w:hAnsi="宋体"/>
          <w:color w:val="auto"/>
        </w:rPr>
      </w:pPr>
    </w:p>
    <w:p>
      <w:pPr>
        <w:topLinePunct/>
        <w:spacing w:line="440" w:lineRule="exact"/>
        <w:ind w:firstLine="3313" w:firstLineChars="1100"/>
        <w:rPr>
          <w:rFonts w:hint="eastAsia" w:ascii="宋体" w:hAnsi="宋体" w:cs="宋体"/>
          <w:b/>
          <w:color w:val="auto"/>
          <w:sz w:val="30"/>
          <w:szCs w:val="30"/>
          <w:lang w:val="en-US" w:eastAsia="zh-CN"/>
        </w:rPr>
      </w:pPr>
    </w:p>
    <w:p>
      <w:pPr>
        <w:topLinePunct/>
        <w:spacing w:line="440" w:lineRule="exact"/>
        <w:ind w:firstLine="3313" w:firstLineChars="1100"/>
        <w:rPr>
          <w:rFonts w:hint="eastAsia" w:ascii="宋体" w:hAnsi="宋体" w:cs="宋体"/>
          <w:b/>
          <w:color w:val="auto"/>
          <w:sz w:val="30"/>
          <w:szCs w:val="30"/>
          <w:lang w:val="en-US" w:eastAsia="zh-CN"/>
        </w:rPr>
      </w:pPr>
    </w:p>
    <w:p>
      <w:pPr>
        <w:topLinePunct/>
        <w:spacing w:line="440" w:lineRule="exact"/>
        <w:ind w:firstLine="3313" w:firstLineChars="1100"/>
        <w:rPr>
          <w:rFonts w:hint="eastAsia" w:ascii="宋体" w:hAnsi="宋体" w:cs="宋体"/>
          <w:b/>
          <w:color w:val="auto"/>
          <w:sz w:val="30"/>
          <w:szCs w:val="30"/>
          <w:lang w:val="en-US" w:eastAsia="zh-CN"/>
        </w:rPr>
      </w:pPr>
    </w:p>
    <w:p>
      <w:pPr>
        <w:topLinePunct/>
        <w:spacing w:line="440" w:lineRule="exact"/>
        <w:ind w:firstLine="3313" w:firstLineChars="1100"/>
        <w:rPr>
          <w:rFonts w:hint="eastAsia" w:ascii="宋体" w:hAnsi="宋体" w:cs="宋体"/>
          <w:b/>
          <w:color w:val="auto"/>
          <w:sz w:val="30"/>
          <w:szCs w:val="30"/>
          <w:lang w:val="en-US" w:eastAsia="zh-CN"/>
        </w:rPr>
      </w:pPr>
    </w:p>
    <w:p>
      <w:pPr>
        <w:topLinePunct/>
        <w:spacing w:line="440" w:lineRule="exact"/>
        <w:ind w:firstLine="3313" w:firstLineChars="1100"/>
        <w:rPr>
          <w:rFonts w:hint="eastAsia" w:ascii="宋体" w:hAnsi="宋体" w:cs="宋体"/>
          <w:b/>
          <w:color w:val="auto"/>
          <w:sz w:val="30"/>
          <w:szCs w:val="30"/>
          <w:lang w:val="en-US" w:eastAsia="zh-CN"/>
        </w:rPr>
      </w:pPr>
    </w:p>
    <w:p>
      <w:pPr>
        <w:topLinePunct/>
        <w:spacing w:line="440" w:lineRule="exact"/>
        <w:ind w:firstLine="3313" w:firstLineChars="1100"/>
        <w:rPr>
          <w:rFonts w:hint="eastAsia" w:ascii="宋体" w:hAnsi="宋体" w:cs="宋体"/>
          <w:b/>
          <w:color w:val="auto"/>
          <w:sz w:val="30"/>
          <w:szCs w:val="30"/>
          <w:lang w:val="en-US" w:eastAsia="zh-CN"/>
        </w:rPr>
      </w:pPr>
    </w:p>
    <w:p>
      <w:pPr>
        <w:topLinePunct/>
        <w:spacing w:line="440" w:lineRule="exact"/>
        <w:ind w:firstLine="3313" w:firstLineChars="1100"/>
        <w:rPr>
          <w:rFonts w:hint="eastAsia" w:ascii="宋体" w:hAnsi="宋体" w:cs="宋体"/>
          <w:b/>
          <w:color w:val="auto"/>
          <w:sz w:val="30"/>
          <w:szCs w:val="30"/>
          <w:lang w:val="en-US" w:eastAsia="zh-CN"/>
        </w:rPr>
      </w:pPr>
    </w:p>
    <w:p>
      <w:pPr>
        <w:topLinePunct/>
        <w:spacing w:line="440" w:lineRule="exact"/>
        <w:ind w:firstLine="3313" w:firstLineChars="1100"/>
        <w:rPr>
          <w:rFonts w:hint="eastAsia" w:ascii="宋体" w:hAnsi="宋体" w:cs="宋体"/>
          <w:b/>
          <w:color w:val="auto"/>
          <w:sz w:val="30"/>
          <w:szCs w:val="30"/>
          <w:lang w:val="en-US" w:eastAsia="zh-CN"/>
        </w:rPr>
      </w:pPr>
    </w:p>
    <w:p>
      <w:pPr>
        <w:topLinePunct/>
        <w:spacing w:line="440" w:lineRule="exact"/>
        <w:ind w:firstLine="3313" w:firstLineChars="1100"/>
        <w:rPr>
          <w:rFonts w:hint="eastAsia" w:ascii="宋体" w:hAnsi="宋体" w:cs="宋体"/>
          <w:b/>
          <w:color w:val="auto"/>
          <w:sz w:val="30"/>
          <w:szCs w:val="30"/>
          <w:lang w:val="en-US" w:eastAsia="zh-CN"/>
        </w:rPr>
      </w:pPr>
    </w:p>
    <w:p>
      <w:pPr>
        <w:pStyle w:val="5"/>
        <w:ind w:left="0" w:leftChars="0" w:firstLine="0" w:firstLineChars="0"/>
        <w:rPr>
          <w:rFonts w:hint="eastAsia" w:ascii="宋体" w:hAnsi="宋体" w:cs="宋体"/>
          <w:b/>
          <w:color w:val="auto"/>
          <w:sz w:val="30"/>
          <w:szCs w:val="30"/>
          <w:lang w:val="en-US" w:eastAsia="zh-CN"/>
        </w:rPr>
      </w:pPr>
    </w:p>
    <w:p>
      <w:pPr>
        <w:pStyle w:val="5"/>
        <w:rPr>
          <w:rFonts w:hint="eastAsia" w:ascii="宋体" w:hAnsi="宋体" w:cs="宋体"/>
          <w:b/>
          <w:color w:val="auto"/>
          <w:sz w:val="30"/>
          <w:szCs w:val="30"/>
          <w:lang w:val="en-US"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val="en-US" w:eastAsia="zh-CN"/>
        </w:rPr>
        <w:t>（十四）</w:t>
      </w:r>
      <w:r>
        <w:rPr>
          <w:rFonts w:hint="eastAsia" w:ascii="仿宋" w:hAnsi="仿宋" w:eastAsia="仿宋" w:cs="仿宋"/>
          <w:b/>
          <w:bCs w:val="0"/>
          <w:color w:val="auto"/>
          <w:sz w:val="32"/>
          <w:szCs w:val="32"/>
          <w:lang w:eastAsia="zh-CN"/>
        </w:rPr>
        <w:t>服务附表</w:t>
      </w:r>
    </w:p>
    <w:p>
      <w:pPr>
        <w:topLinePunct/>
        <w:spacing w:line="440" w:lineRule="exact"/>
        <w:rPr>
          <w:rFonts w:hint="eastAsia" w:ascii="宋体" w:hAnsi="宋体"/>
          <w:b/>
          <w:color w:val="auto"/>
          <w:szCs w:val="21"/>
        </w:rPr>
      </w:pPr>
    </w:p>
    <w:p>
      <w:pPr>
        <w:topLinePunct/>
        <w:spacing w:line="440" w:lineRule="exact"/>
        <w:rPr>
          <w:rFonts w:hint="eastAsia" w:ascii="仿宋" w:hAnsi="仿宋" w:eastAsia="仿宋" w:cs="仿宋"/>
          <w:b w:val="0"/>
          <w:bCs/>
          <w:color w:val="auto"/>
          <w:sz w:val="28"/>
          <w:szCs w:val="28"/>
          <w:u w:val="single"/>
        </w:rPr>
      </w:pPr>
      <w:r>
        <w:rPr>
          <w:rFonts w:hint="eastAsia" w:ascii="仿宋" w:hAnsi="仿宋" w:eastAsia="仿宋" w:cs="仿宋"/>
          <w:b w:val="0"/>
          <w:bCs/>
          <w:color w:val="auto"/>
          <w:sz w:val="28"/>
          <w:szCs w:val="28"/>
        </w:rPr>
        <w:t>项目编号：</w:t>
      </w:r>
      <w:r>
        <w:rPr>
          <w:rFonts w:hint="eastAsia" w:ascii="仿宋" w:hAnsi="仿宋" w:eastAsia="仿宋" w:cs="仿宋"/>
          <w:b w:val="0"/>
          <w:bCs/>
          <w:color w:val="auto"/>
          <w:sz w:val="28"/>
          <w:szCs w:val="28"/>
          <w:u w:val="single"/>
        </w:rPr>
        <w:t xml:space="preserve">                           </w:t>
      </w:r>
    </w:p>
    <w:p>
      <w:pPr>
        <w:topLinePunct/>
        <w:spacing w:line="44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投标人名称：</w:t>
      </w:r>
      <w:r>
        <w:rPr>
          <w:rFonts w:hint="eastAsia" w:ascii="仿宋" w:hAnsi="仿宋" w:eastAsia="仿宋" w:cs="仿宋"/>
          <w:b w:val="0"/>
          <w:bCs/>
          <w:color w:val="auto"/>
          <w:sz w:val="28"/>
          <w:szCs w:val="28"/>
          <w:u w:val="single"/>
        </w:rPr>
        <w:t xml:space="preserve">                          </w:t>
      </w:r>
      <w:r>
        <w:rPr>
          <w:rFonts w:hint="eastAsia" w:ascii="仿宋" w:hAnsi="仿宋" w:eastAsia="仿宋" w:cs="仿宋"/>
          <w:b w:val="0"/>
          <w:bCs/>
          <w:color w:val="auto"/>
          <w:sz w:val="28"/>
          <w:szCs w:val="28"/>
        </w:rPr>
        <w:t xml:space="preserve">         </w:t>
      </w:r>
    </w:p>
    <w:tbl>
      <w:tblPr>
        <w:tblStyle w:val="17"/>
        <w:tblW w:w="100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9"/>
        <w:gridCol w:w="1649"/>
        <w:gridCol w:w="219"/>
        <w:gridCol w:w="1650"/>
        <w:gridCol w:w="807"/>
        <w:gridCol w:w="1370"/>
        <w:gridCol w:w="23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服务网点名称</w:t>
            </w:r>
          </w:p>
        </w:tc>
        <w:tc>
          <w:tcPr>
            <w:tcW w:w="569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hint="eastAsia" w:ascii="仿宋" w:hAnsi="仿宋" w:eastAsia="仿宋" w:cs="仿宋"/>
                <w:color w:val="auto"/>
                <w:sz w:val="24"/>
                <w:szCs w:val="24"/>
              </w:rPr>
            </w:pPr>
          </w:p>
        </w:tc>
        <w:tc>
          <w:tcPr>
            <w:tcW w:w="234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地址</w:t>
            </w:r>
          </w:p>
        </w:tc>
        <w:tc>
          <w:tcPr>
            <w:tcW w:w="569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hint="eastAsia" w:ascii="仿宋" w:hAnsi="仿宋" w:eastAsia="仿宋" w:cs="仿宋"/>
                <w:color w:val="auto"/>
                <w:sz w:val="24"/>
                <w:szCs w:val="24"/>
              </w:rPr>
            </w:pPr>
          </w:p>
        </w:tc>
        <w:tc>
          <w:tcPr>
            <w:tcW w:w="23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注册资本金</w:t>
            </w:r>
          </w:p>
        </w:tc>
        <w:tc>
          <w:tcPr>
            <w:tcW w:w="164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67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其中：投标人出资比例</w:t>
            </w:r>
          </w:p>
        </w:tc>
        <w:tc>
          <w:tcPr>
            <w:tcW w:w="13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restart"/>
            <w:tcBorders>
              <w:top w:val="single" w:color="auto" w:sz="4" w:space="0"/>
              <w:left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提供相关证明材料（如：营业执照或租房合同等）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员工总人数</w:t>
            </w:r>
          </w:p>
        </w:tc>
        <w:tc>
          <w:tcPr>
            <w:tcW w:w="164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67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其中：技术人员数</w:t>
            </w:r>
          </w:p>
        </w:tc>
        <w:tc>
          <w:tcPr>
            <w:tcW w:w="13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continue"/>
            <w:tcBorders>
              <w:left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经营期限</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continue"/>
            <w:tcBorders>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售后服务协议</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售后服务内容</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restart"/>
            <w:tcBorders>
              <w:top w:val="single" w:color="auto" w:sz="4" w:space="0"/>
              <w:left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此部分内容做附件进行详细说明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服务承诺</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continue"/>
            <w:tcBorders>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工作业绩</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业务咨询电话</w:t>
            </w:r>
          </w:p>
        </w:tc>
        <w:tc>
          <w:tcPr>
            <w:tcW w:w="1868"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165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传 真</w:t>
            </w:r>
          </w:p>
        </w:tc>
        <w:tc>
          <w:tcPr>
            <w:tcW w:w="2177"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restart"/>
            <w:tcBorders>
              <w:top w:val="single" w:color="auto" w:sz="4" w:space="0"/>
              <w:left w:val="single" w:color="auto" w:sz="2"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附人员身份证等相关证件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负责人</w:t>
            </w:r>
          </w:p>
        </w:tc>
        <w:tc>
          <w:tcPr>
            <w:tcW w:w="1868"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165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177"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continue"/>
            <w:tcBorders>
              <w:left w:val="single" w:color="auto" w:sz="2"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r>
    </w:tbl>
    <w:p>
      <w:pPr>
        <w:spacing w:line="440" w:lineRule="exact"/>
        <w:jc w:val="right"/>
        <w:rPr>
          <w:rFonts w:hint="eastAsia" w:ascii="仿宋" w:hAnsi="仿宋" w:eastAsia="仿宋" w:cs="仿宋"/>
          <w:color w:val="auto"/>
          <w:sz w:val="24"/>
          <w:szCs w:val="24"/>
        </w:rPr>
      </w:pPr>
    </w:p>
    <w:p>
      <w:pPr>
        <w:pStyle w:val="11"/>
        <w:adjustRightInd w:val="0"/>
        <w:snapToGrid w:val="0"/>
        <w:spacing w:line="360" w:lineRule="auto"/>
        <w:rPr>
          <w:rFonts w:hint="eastAsia" w:ascii="仿宋" w:hAnsi="仿宋" w:eastAsia="仿宋" w:cs="仿宋"/>
          <w:bCs/>
          <w:color w:val="auto"/>
          <w:sz w:val="28"/>
          <w:szCs w:val="28"/>
        </w:rPr>
      </w:pPr>
      <w:r>
        <w:rPr>
          <w:rFonts w:hint="eastAsia" w:ascii="仿宋" w:hAnsi="仿宋" w:eastAsia="仿宋" w:cs="仿宋"/>
          <w:color w:val="auto"/>
          <w:sz w:val="28"/>
          <w:szCs w:val="28"/>
        </w:rPr>
        <w:t>投标人名称：</w:t>
      </w:r>
      <w:r>
        <w:rPr>
          <w:rFonts w:hint="eastAsia" w:ascii="仿宋" w:hAnsi="仿宋" w:eastAsia="仿宋" w:cs="仿宋"/>
          <w:color w:val="auto"/>
          <w:sz w:val="28"/>
          <w:szCs w:val="28"/>
          <w:u w:val="single"/>
        </w:rPr>
        <w:t xml:space="preserve">                   </w:t>
      </w:r>
    </w:p>
    <w:p>
      <w:pPr>
        <w:adjustRightInd w:val="0"/>
        <w:snapToGrid w:val="0"/>
        <w:spacing w:line="360" w:lineRule="auto"/>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法定代表人或其委托代理人(签字)：</w:t>
      </w:r>
      <w:r>
        <w:rPr>
          <w:rFonts w:hint="eastAsia" w:ascii="仿宋" w:hAnsi="仿宋" w:eastAsia="仿宋" w:cs="仿宋"/>
          <w:color w:val="auto"/>
          <w:sz w:val="28"/>
          <w:szCs w:val="28"/>
          <w:u w:val="single"/>
        </w:rPr>
        <w:t xml:space="preserve">                   </w:t>
      </w:r>
    </w:p>
    <w:p>
      <w:pPr>
        <w:pStyle w:val="23"/>
        <w:rPr>
          <w:rFonts w:hint="eastAsia"/>
          <w:color w:val="auto"/>
          <w:sz w:val="28"/>
          <w:szCs w:val="28"/>
        </w:rPr>
      </w:pPr>
    </w:p>
    <w:p>
      <w:pPr>
        <w:ind w:firstLine="2800" w:firstLineChars="1000"/>
        <w:rPr>
          <w:rFonts w:hint="eastAsia" w:ascii="仿宋" w:hAnsi="仿宋" w:eastAsia="仿宋" w:cs="仿宋"/>
          <w:b/>
          <w:bCs w:val="0"/>
          <w:color w:val="auto"/>
          <w:sz w:val="32"/>
          <w:szCs w:val="32"/>
          <w:lang w:val="en-US" w:eastAsia="zh-CN"/>
        </w:rPr>
      </w:pPr>
      <w:r>
        <w:rPr>
          <w:rFonts w:hint="eastAsia" w:ascii="仿宋" w:hAnsi="仿宋" w:eastAsia="仿宋" w:cs="仿宋"/>
          <w:color w:val="auto"/>
          <w:sz w:val="28"/>
          <w:szCs w:val="28"/>
        </w:rPr>
        <w:t xml:space="preserve">日          期：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年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月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日</w:t>
      </w:r>
      <w:r>
        <w:rPr>
          <w:rFonts w:ascii="宋体" w:hAnsi="宋体"/>
          <w:color w:val="auto"/>
          <w:sz w:val="28"/>
          <w:szCs w:val="28"/>
        </w:rPr>
        <w:br w:type="page"/>
      </w:r>
      <w:r>
        <w:rPr>
          <w:rFonts w:hint="eastAsia" w:ascii="宋体" w:hAnsi="宋体"/>
          <w:color w:val="auto"/>
          <w:lang w:val="en-US" w:eastAsia="zh-CN"/>
        </w:rPr>
        <w:t xml:space="preserve">                  </w:t>
      </w:r>
      <w:r>
        <w:rPr>
          <w:rFonts w:hint="eastAsia" w:ascii="宋体" w:hAnsi="宋体" w:cs="宋体"/>
          <w:b/>
          <w:color w:val="auto"/>
          <w:sz w:val="30"/>
          <w:szCs w:val="30"/>
          <w:lang w:val="en-US" w:eastAsia="zh-CN"/>
        </w:rPr>
        <w:t xml:space="preserve">       </w:t>
      </w:r>
      <w:r>
        <w:rPr>
          <w:rFonts w:hint="eastAsia" w:ascii="仿宋" w:hAnsi="仿宋" w:eastAsia="仿宋" w:cs="仿宋"/>
          <w:b/>
          <w:bCs w:val="0"/>
          <w:color w:val="auto"/>
          <w:sz w:val="32"/>
          <w:szCs w:val="32"/>
          <w:lang w:val="en-US" w:eastAsia="zh-CN"/>
        </w:rPr>
        <w:t>（十五）商务条款偏离表</w:t>
      </w:r>
    </w:p>
    <w:p>
      <w:pPr>
        <w:pStyle w:val="23"/>
        <w:rPr>
          <w:rFonts w:hint="eastAsia"/>
          <w:color w:val="auto"/>
        </w:rPr>
      </w:pPr>
    </w:p>
    <w:p>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投标人名称（公章）：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项目编号：</w:t>
      </w:r>
      <w:r>
        <w:rPr>
          <w:rFonts w:hint="eastAsia" w:ascii="仿宋" w:hAnsi="仿宋" w:eastAsia="仿宋" w:cs="仿宋"/>
          <w:color w:val="auto"/>
          <w:sz w:val="28"/>
          <w:szCs w:val="28"/>
          <w:u w:val="single"/>
        </w:rPr>
        <w:t>　　　　　　　　　　　</w:t>
      </w:r>
    </w:p>
    <w:tbl>
      <w:tblPr>
        <w:tblStyle w:val="17"/>
        <w:tblW w:w="985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60"/>
        <w:gridCol w:w="2880"/>
        <w:gridCol w:w="25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3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6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招标文件</w:t>
            </w:r>
          </w:p>
          <w:p>
            <w:pPr>
              <w:jc w:val="center"/>
              <w:rPr>
                <w:rFonts w:hint="eastAsia" w:ascii="仿宋" w:hAnsi="仿宋" w:eastAsia="仿宋" w:cs="仿宋"/>
                <w:color w:val="auto"/>
                <w:sz w:val="24"/>
              </w:rPr>
            </w:pPr>
            <w:r>
              <w:rPr>
                <w:rFonts w:hint="eastAsia" w:ascii="仿宋" w:hAnsi="仿宋" w:eastAsia="仿宋" w:cs="仿宋"/>
                <w:color w:val="auto"/>
                <w:sz w:val="24"/>
              </w:rPr>
              <w:t>条目号</w:t>
            </w:r>
          </w:p>
        </w:tc>
        <w:tc>
          <w:tcPr>
            <w:tcW w:w="288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招标文件的商务条款</w:t>
            </w:r>
          </w:p>
        </w:tc>
        <w:tc>
          <w:tcPr>
            <w:tcW w:w="252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投标文件的商务条款</w:t>
            </w:r>
          </w:p>
        </w:tc>
        <w:tc>
          <w:tcPr>
            <w:tcW w:w="216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035" w:type="dxa"/>
            <w:noWrap w:val="0"/>
            <w:vAlign w:val="top"/>
          </w:tcPr>
          <w:p>
            <w:pPr>
              <w:rPr>
                <w:rFonts w:hint="eastAsia" w:ascii="仿宋" w:hAnsi="仿宋" w:eastAsia="仿宋" w:cs="仿宋"/>
                <w:color w:val="auto"/>
                <w:sz w:val="24"/>
              </w:rPr>
            </w:pPr>
          </w:p>
          <w:p>
            <w:pPr>
              <w:rPr>
                <w:rFonts w:hint="eastAsia" w:ascii="仿宋" w:hAnsi="仿宋" w:eastAsia="仿宋" w:cs="仿宋"/>
                <w:color w:val="auto"/>
                <w:sz w:val="24"/>
              </w:rPr>
            </w:pPr>
          </w:p>
        </w:tc>
        <w:tc>
          <w:tcPr>
            <w:tcW w:w="1260" w:type="dxa"/>
            <w:noWrap w:val="0"/>
            <w:vAlign w:val="top"/>
          </w:tcPr>
          <w:p>
            <w:pPr>
              <w:widowControl/>
              <w:jc w:val="left"/>
              <w:rPr>
                <w:rFonts w:hint="eastAsia" w:ascii="仿宋" w:hAnsi="仿宋" w:eastAsia="仿宋" w:cs="仿宋"/>
                <w:color w:val="auto"/>
                <w:sz w:val="24"/>
              </w:rPr>
            </w:pPr>
          </w:p>
          <w:p>
            <w:pPr>
              <w:rPr>
                <w:rFonts w:hint="eastAsia" w:ascii="仿宋" w:hAnsi="仿宋" w:eastAsia="仿宋" w:cs="仿宋"/>
                <w:color w:val="auto"/>
                <w:sz w:val="24"/>
              </w:rPr>
            </w:pPr>
          </w:p>
        </w:tc>
        <w:tc>
          <w:tcPr>
            <w:tcW w:w="2880" w:type="dxa"/>
            <w:noWrap w:val="0"/>
            <w:vAlign w:val="top"/>
          </w:tcPr>
          <w:p>
            <w:pPr>
              <w:rPr>
                <w:rFonts w:hint="eastAsia" w:ascii="仿宋" w:hAnsi="仿宋" w:eastAsia="仿宋" w:cs="仿宋"/>
                <w:color w:val="auto"/>
                <w:sz w:val="24"/>
              </w:rPr>
            </w:pPr>
          </w:p>
        </w:tc>
        <w:tc>
          <w:tcPr>
            <w:tcW w:w="2520" w:type="dxa"/>
            <w:noWrap w:val="0"/>
            <w:vAlign w:val="top"/>
          </w:tcPr>
          <w:p>
            <w:pPr>
              <w:rPr>
                <w:rFonts w:hint="eastAsia" w:ascii="仿宋" w:hAnsi="仿宋" w:eastAsia="仿宋" w:cs="仿宋"/>
                <w:color w:val="auto"/>
                <w:sz w:val="24"/>
              </w:rPr>
            </w:pPr>
          </w:p>
        </w:tc>
        <w:tc>
          <w:tcPr>
            <w:tcW w:w="2160" w:type="dxa"/>
            <w:noWrap w:val="0"/>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35" w:type="dxa"/>
            <w:noWrap w:val="0"/>
            <w:vAlign w:val="top"/>
          </w:tcPr>
          <w:p>
            <w:pPr>
              <w:rPr>
                <w:rFonts w:hint="eastAsia" w:ascii="仿宋" w:hAnsi="仿宋" w:eastAsia="仿宋" w:cs="仿宋"/>
                <w:color w:val="auto"/>
                <w:sz w:val="24"/>
              </w:rPr>
            </w:pPr>
          </w:p>
          <w:p>
            <w:pPr>
              <w:rPr>
                <w:rFonts w:hint="eastAsia" w:ascii="仿宋" w:hAnsi="仿宋" w:eastAsia="仿宋" w:cs="仿宋"/>
                <w:color w:val="auto"/>
                <w:sz w:val="24"/>
              </w:rPr>
            </w:pPr>
          </w:p>
        </w:tc>
        <w:tc>
          <w:tcPr>
            <w:tcW w:w="1260" w:type="dxa"/>
            <w:noWrap w:val="0"/>
            <w:vAlign w:val="top"/>
          </w:tcPr>
          <w:p>
            <w:pPr>
              <w:widowControl/>
              <w:jc w:val="left"/>
              <w:rPr>
                <w:rFonts w:hint="eastAsia" w:ascii="仿宋" w:hAnsi="仿宋" w:eastAsia="仿宋" w:cs="仿宋"/>
                <w:color w:val="auto"/>
                <w:sz w:val="24"/>
              </w:rPr>
            </w:pPr>
          </w:p>
          <w:p>
            <w:pPr>
              <w:rPr>
                <w:rFonts w:hint="eastAsia" w:ascii="仿宋" w:hAnsi="仿宋" w:eastAsia="仿宋" w:cs="仿宋"/>
                <w:color w:val="auto"/>
                <w:sz w:val="24"/>
              </w:rPr>
            </w:pPr>
          </w:p>
        </w:tc>
        <w:tc>
          <w:tcPr>
            <w:tcW w:w="2880" w:type="dxa"/>
            <w:noWrap w:val="0"/>
            <w:vAlign w:val="top"/>
          </w:tcPr>
          <w:p>
            <w:pPr>
              <w:rPr>
                <w:rFonts w:hint="eastAsia" w:ascii="仿宋" w:hAnsi="仿宋" w:eastAsia="仿宋" w:cs="仿宋"/>
                <w:color w:val="auto"/>
                <w:sz w:val="24"/>
              </w:rPr>
            </w:pPr>
          </w:p>
        </w:tc>
        <w:tc>
          <w:tcPr>
            <w:tcW w:w="2520" w:type="dxa"/>
            <w:noWrap w:val="0"/>
            <w:vAlign w:val="top"/>
          </w:tcPr>
          <w:p>
            <w:pPr>
              <w:rPr>
                <w:rFonts w:hint="eastAsia" w:ascii="仿宋" w:hAnsi="仿宋" w:eastAsia="仿宋" w:cs="仿宋"/>
                <w:color w:val="auto"/>
                <w:sz w:val="24"/>
              </w:rPr>
            </w:pPr>
          </w:p>
        </w:tc>
        <w:tc>
          <w:tcPr>
            <w:tcW w:w="2160" w:type="dxa"/>
            <w:noWrap w:val="0"/>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35" w:type="dxa"/>
            <w:noWrap w:val="0"/>
            <w:vAlign w:val="top"/>
          </w:tcPr>
          <w:p>
            <w:pPr>
              <w:rPr>
                <w:rFonts w:hint="eastAsia" w:ascii="宋体" w:hAnsi="宋体"/>
                <w:color w:val="auto"/>
                <w:sz w:val="24"/>
              </w:rPr>
            </w:pPr>
          </w:p>
          <w:p>
            <w:pPr>
              <w:rPr>
                <w:rFonts w:hint="eastAsia" w:ascii="宋体" w:hAnsi="宋体"/>
                <w:color w:val="auto"/>
                <w:sz w:val="24"/>
              </w:rPr>
            </w:pPr>
          </w:p>
        </w:tc>
        <w:tc>
          <w:tcPr>
            <w:tcW w:w="1260" w:type="dxa"/>
            <w:noWrap w:val="0"/>
            <w:vAlign w:val="top"/>
          </w:tcPr>
          <w:p>
            <w:pPr>
              <w:widowControl/>
              <w:jc w:val="left"/>
              <w:rPr>
                <w:rFonts w:hint="eastAsia" w:ascii="宋体" w:hAnsi="宋体"/>
                <w:color w:val="auto"/>
                <w:sz w:val="24"/>
              </w:rPr>
            </w:pPr>
          </w:p>
          <w:p>
            <w:pPr>
              <w:rPr>
                <w:rFonts w:hint="eastAsia" w:ascii="宋体" w:hAnsi="宋体"/>
                <w:color w:val="auto"/>
                <w:sz w:val="24"/>
              </w:rPr>
            </w:pPr>
          </w:p>
        </w:tc>
        <w:tc>
          <w:tcPr>
            <w:tcW w:w="2880" w:type="dxa"/>
            <w:noWrap w:val="0"/>
            <w:vAlign w:val="top"/>
          </w:tcPr>
          <w:p>
            <w:pPr>
              <w:rPr>
                <w:rFonts w:hint="eastAsia" w:ascii="宋体" w:hAnsi="宋体"/>
                <w:color w:val="auto"/>
                <w:sz w:val="24"/>
              </w:rPr>
            </w:pPr>
          </w:p>
        </w:tc>
        <w:tc>
          <w:tcPr>
            <w:tcW w:w="2520" w:type="dxa"/>
            <w:noWrap w:val="0"/>
            <w:vAlign w:val="top"/>
          </w:tcPr>
          <w:p>
            <w:pPr>
              <w:rPr>
                <w:rFonts w:hint="eastAsia" w:ascii="宋体" w:hAnsi="宋体"/>
                <w:color w:val="auto"/>
                <w:sz w:val="24"/>
              </w:rPr>
            </w:pPr>
          </w:p>
        </w:tc>
        <w:tc>
          <w:tcPr>
            <w:tcW w:w="2160" w:type="dxa"/>
            <w:noWrap w:val="0"/>
            <w:vAlign w:val="top"/>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35" w:type="dxa"/>
            <w:noWrap w:val="0"/>
            <w:vAlign w:val="top"/>
          </w:tcPr>
          <w:p>
            <w:pPr>
              <w:rPr>
                <w:rFonts w:hint="eastAsia" w:ascii="宋体" w:hAnsi="宋体"/>
                <w:color w:val="auto"/>
                <w:sz w:val="24"/>
              </w:rPr>
            </w:pPr>
          </w:p>
          <w:p>
            <w:pPr>
              <w:rPr>
                <w:rFonts w:hint="eastAsia" w:ascii="宋体" w:hAnsi="宋体"/>
                <w:color w:val="auto"/>
                <w:sz w:val="24"/>
              </w:rPr>
            </w:pPr>
          </w:p>
        </w:tc>
        <w:tc>
          <w:tcPr>
            <w:tcW w:w="1260" w:type="dxa"/>
            <w:noWrap w:val="0"/>
            <w:vAlign w:val="top"/>
          </w:tcPr>
          <w:p>
            <w:pPr>
              <w:widowControl/>
              <w:jc w:val="left"/>
              <w:rPr>
                <w:rFonts w:hint="eastAsia" w:ascii="宋体" w:hAnsi="宋体"/>
                <w:color w:val="auto"/>
                <w:sz w:val="24"/>
              </w:rPr>
            </w:pPr>
          </w:p>
          <w:p>
            <w:pPr>
              <w:rPr>
                <w:rFonts w:hint="eastAsia" w:ascii="宋体" w:hAnsi="宋体"/>
                <w:color w:val="auto"/>
                <w:sz w:val="24"/>
              </w:rPr>
            </w:pPr>
          </w:p>
        </w:tc>
        <w:tc>
          <w:tcPr>
            <w:tcW w:w="2880" w:type="dxa"/>
            <w:noWrap w:val="0"/>
            <w:vAlign w:val="top"/>
          </w:tcPr>
          <w:p>
            <w:pPr>
              <w:rPr>
                <w:rFonts w:hint="eastAsia" w:ascii="宋体" w:hAnsi="宋体"/>
                <w:color w:val="auto"/>
                <w:sz w:val="24"/>
              </w:rPr>
            </w:pPr>
          </w:p>
        </w:tc>
        <w:tc>
          <w:tcPr>
            <w:tcW w:w="2520" w:type="dxa"/>
            <w:noWrap w:val="0"/>
            <w:vAlign w:val="top"/>
          </w:tcPr>
          <w:p>
            <w:pPr>
              <w:rPr>
                <w:rFonts w:hint="eastAsia" w:ascii="宋体" w:hAnsi="宋体"/>
                <w:color w:val="auto"/>
                <w:sz w:val="24"/>
              </w:rPr>
            </w:pPr>
          </w:p>
        </w:tc>
        <w:tc>
          <w:tcPr>
            <w:tcW w:w="2160" w:type="dxa"/>
            <w:noWrap w:val="0"/>
            <w:vAlign w:val="top"/>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035" w:type="dxa"/>
            <w:noWrap w:val="0"/>
            <w:vAlign w:val="top"/>
          </w:tcPr>
          <w:p>
            <w:pPr>
              <w:rPr>
                <w:rFonts w:hint="eastAsia" w:ascii="宋体" w:hAnsi="宋体"/>
                <w:color w:val="auto"/>
                <w:sz w:val="24"/>
              </w:rPr>
            </w:pPr>
          </w:p>
          <w:p>
            <w:pPr>
              <w:rPr>
                <w:rFonts w:hint="eastAsia" w:ascii="宋体" w:hAnsi="宋体"/>
                <w:color w:val="auto"/>
                <w:sz w:val="24"/>
              </w:rPr>
            </w:pPr>
          </w:p>
        </w:tc>
        <w:tc>
          <w:tcPr>
            <w:tcW w:w="1260" w:type="dxa"/>
            <w:noWrap w:val="0"/>
            <w:vAlign w:val="top"/>
          </w:tcPr>
          <w:p>
            <w:pPr>
              <w:widowControl/>
              <w:jc w:val="left"/>
              <w:rPr>
                <w:rFonts w:hint="eastAsia" w:ascii="宋体" w:hAnsi="宋体"/>
                <w:color w:val="auto"/>
                <w:sz w:val="24"/>
              </w:rPr>
            </w:pPr>
          </w:p>
          <w:p>
            <w:pPr>
              <w:rPr>
                <w:rFonts w:hint="eastAsia" w:ascii="宋体" w:hAnsi="宋体"/>
                <w:color w:val="auto"/>
                <w:sz w:val="24"/>
              </w:rPr>
            </w:pPr>
          </w:p>
        </w:tc>
        <w:tc>
          <w:tcPr>
            <w:tcW w:w="2880" w:type="dxa"/>
            <w:noWrap w:val="0"/>
            <w:vAlign w:val="top"/>
          </w:tcPr>
          <w:p>
            <w:pPr>
              <w:rPr>
                <w:rFonts w:hint="eastAsia" w:ascii="宋体" w:hAnsi="宋体"/>
                <w:color w:val="auto"/>
                <w:sz w:val="24"/>
              </w:rPr>
            </w:pPr>
          </w:p>
        </w:tc>
        <w:tc>
          <w:tcPr>
            <w:tcW w:w="2520" w:type="dxa"/>
            <w:noWrap w:val="0"/>
            <w:vAlign w:val="top"/>
          </w:tcPr>
          <w:p>
            <w:pPr>
              <w:rPr>
                <w:rFonts w:hint="eastAsia" w:ascii="宋体" w:hAnsi="宋体"/>
                <w:color w:val="auto"/>
                <w:sz w:val="24"/>
              </w:rPr>
            </w:pPr>
          </w:p>
        </w:tc>
        <w:tc>
          <w:tcPr>
            <w:tcW w:w="2160" w:type="dxa"/>
            <w:noWrap w:val="0"/>
            <w:vAlign w:val="top"/>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035" w:type="dxa"/>
            <w:noWrap w:val="0"/>
            <w:vAlign w:val="top"/>
          </w:tcPr>
          <w:p>
            <w:pPr>
              <w:rPr>
                <w:rFonts w:hint="eastAsia" w:ascii="宋体" w:hAnsi="宋体"/>
                <w:color w:val="auto"/>
                <w:sz w:val="24"/>
              </w:rPr>
            </w:pPr>
          </w:p>
          <w:p>
            <w:pPr>
              <w:rPr>
                <w:rFonts w:hint="eastAsia" w:ascii="宋体" w:hAnsi="宋体"/>
                <w:color w:val="auto"/>
                <w:sz w:val="24"/>
              </w:rPr>
            </w:pPr>
          </w:p>
        </w:tc>
        <w:tc>
          <w:tcPr>
            <w:tcW w:w="1260" w:type="dxa"/>
            <w:noWrap w:val="0"/>
            <w:vAlign w:val="top"/>
          </w:tcPr>
          <w:p>
            <w:pPr>
              <w:widowControl/>
              <w:jc w:val="left"/>
              <w:rPr>
                <w:rFonts w:hint="eastAsia" w:ascii="宋体" w:hAnsi="宋体"/>
                <w:color w:val="auto"/>
                <w:sz w:val="24"/>
              </w:rPr>
            </w:pPr>
          </w:p>
          <w:p>
            <w:pPr>
              <w:rPr>
                <w:rFonts w:hint="eastAsia" w:ascii="宋体" w:hAnsi="宋体"/>
                <w:color w:val="auto"/>
                <w:sz w:val="24"/>
              </w:rPr>
            </w:pPr>
          </w:p>
        </w:tc>
        <w:tc>
          <w:tcPr>
            <w:tcW w:w="2880" w:type="dxa"/>
            <w:noWrap w:val="0"/>
            <w:vAlign w:val="top"/>
          </w:tcPr>
          <w:p>
            <w:pPr>
              <w:rPr>
                <w:rFonts w:hint="eastAsia" w:ascii="宋体" w:hAnsi="宋体"/>
                <w:color w:val="auto"/>
                <w:sz w:val="24"/>
              </w:rPr>
            </w:pPr>
          </w:p>
        </w:tc>
        <w:tc>
          <w:tcPr>
            <w:tcW w:w="2520" w:type="dxa"/>
            <w:noWrap w:val="0"/>
            <w:vAlign w:val="top"/>
          </w:tcPr>
          <w:p>
            <w:pPr>
              <w:rPr>
                <w:rFonts w:hint="eastAsia" w:ascii="宋体" w:hAnsi="宋体"/>
                <w:color w:val="auto"/>
                <w:sz w:val="24"/>
              </w:rPr>
            </w:pPr>
          </w:p>
        </w:tc>
        <w:tc>
          <w:tcPr>
            <w:tcW w:w="2160" w:type="dxa"/>
            <w:noWrap w:val="0"/>
            <w:vAlign w:val="top"/>
          </w:tcPr>
          <w:p>
            <w:pPr>
              <w:rPr>
                <w:rFonts w:hint="eastAsia" w:ascii="宋体" w:hAnsi="宋体"/>
                <w:color w:val="auto"/>
                <w:sz w:val="24"/>
              </w:rPr>
            </w:pPr>
          </w:p>
        </w:tc>
      </w:tr>
    </w:tbl>
    <w:p>
      <w:pPr>
        <w:rPr>
          <w:rFonts w:hint="eastAsia" w:ascii="宋体" w:hAnsi="宋体"/>
          <w:color w:val="auto"/>
          <w:sz w:val="24"/>
        </w:rPr>
      </w:pPr>
      <w:r>
        <w:rPr>
          <w:rFonts w:hint="eastAsia" w:ascii="宋体" w:hAnsi="宋体"/>
          <w:color w:val="auto"/>
          <w:sz w:val="24"/>
        </w:rPr>
        <w:t>　</w:t>
      </w:r>
    </w:p>
    <w:p>
      <w:pPr>
        <w:rPr>
          <w:rFonts w:hint="eastAsia"/>
          <w:color w:val="auto"/>
        </w:rPr>
      </w:pPr>
    </w:p>
    <w:p>
      <w:pPr>
        <w:pStyle w:val="23"/>
        <w:rPr>
          <w:rFonts w:hint="eastAsia"/>
          <w:color w:val="auto"/>
        </w:rPr>
      </w:pPr>
    </w:p>
    <w:p>
      <w:pPr>
        <w:rPr>
          <w:rFonts w:hint="eastAsia"/>
          <w:color w:val="auto"/>
        </w:rPr>
      </w:pPr>
    </w:p>
    <w:p>
      <w:pPr>
        <w:pStyle w:val="23"/>
        <w:rPr>
          <w:rFonts w:hint="eastAsia"/>
          <w:color w:val="auto"/>
        </w:rPr>
      </w:pPr>
    </w:p>
    <w:p>
      <w:pPr>
        <w:rPr>
          <w:rFonts w:hint="eastAsia"/>
          <w:color w:val="auto"/>
        </w:rPr>
      </w:pPr>
    </w:p>
    <w:p>
      <w:pPr>
        <w:pStyle w:val="23"/>
        <w:rPr>
          <w:rFonts w:hint="eastAsia"/>
          <w:color w:val="auto"/>
        </w:rPr>
      </w:pPr>
    </w:p>
    <w:p>
      <w:pPr>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rPr>
          <w:rFonts w:hint="eastAsia" w:ascii="宋体" w:hAnsi="宋体" w:cs="宋体"/>
          <w:b/>
          <w:color w:val="auto"/>
          <w:sz w:val="30"/>
          <w:szCs w:val="30"/>
          <w:lang w:val="en-US" w:eastAsia="zh-CN"/>
        </w:rPr>
      </w:pPr>
    </w:p>
    <w:p>
      <w:pPr>
        <w:numPr>
          <w:ilvl w:val="0"/>
          <w:numId w:val="8"/>
        </w:numPr>
        <w:jc w:val="cente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技术参数、功能偏离表</w:t>
      </w:r>
    </w:p>
    <w:p>
      <w:pPr>
        <w:pStyle w:val="23"/>
        <w:numPr>
          <w:ilvl w:val="0"/>
          <w:numId w:val="0"/>
        </w:numPr>
        <w:rPr>
          <w:rFonts w:hint="eastAsia"/>
          <w:color w:val="auto"/>
          <w:lang w:val="en-US" w:eastAsia="zh-CN"/>
        </w:rPr>
      </w:pPr>
    </w:p>
    <w:p>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投标人名称（公章）：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招标编号：</w:t>
      </w:r>
      <w:r>
        <w:rPr>
          <w:rFonts w:hint="eastAsia" w:ascii="仿宋" w:hAnsi="仿宋" w:eastAsia="仿宋" w:cs="仿宋"/>
          <w:color w:val="auto"/>
          <w:sz w:val="28"/>
          <w:szCs w:val="28"/>
          <w:u w:val="single"/>
        </w:rPr>
        <w:t>　　　　　　　　　　　</w:t>
      </w:r>
    </w:p>
    <w:p>
      <w:pPr>
        <w:rPr>
          <w:rFonts w:hint="eastAsia" w:ascii="宋体" w:hAnsi="宋体"/>
          <w:color w:val="auto"/>
          <w:sz w:val="24"/>
          <w:u w:val="single"/>
        </w:rPr>
      </w:pPr>
    </w:p>
    <w:tbl>
      <w:tblPr>
        <w:tblStyle w:val="17"/>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385"/>
        <w:gridCol w:w="1725"/>
        <w:gridCol w:w="1598"/>
        <w:gridCol w:w="1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7"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38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招标文件规格条目号</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招标规格</w:t>
            </w:r>
          </w:p>
        </w:tc>
        <w:tc>
          <w:tcPr>
            <w:tcW w:w="159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投标规格</w:t>
            </w:r>
          </w:p>
        </w:tc>
        <w:tc>
          <w:tcPr>
            <w:tcW w:w="160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偏离</w:t>
            </w:r>
          </w:p>
        </w:tc>
        <w:tc>
          <w:tcPr>
            <w:tcW w:w="1134"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noWrap w:val="0"/>
            <w:vAlign w:val="top"/>
          </w:tcPr>
          <w:p>
            <w:pPr>
              <w:rPr>
                <w:rFonts w:hint="eastAsia" w:ascii="仿宋" w:hAnsi="仿宋" w:eastAsia="仿宋" w:cs="仿宋"/>
                <w:color w:val="auto"/>
                <w:sz w:val="24"/>
              </w:rPr>
            </w:pPr>
          </w:p>
          <w:p>
            <w:pPr>
              <w:rPr>
                <w:rFonts w:hint="eastAsia" w:ascii="仿宋" w:hAnsi="仿宋" w:eastAsia="仿宋" w:cs="仿宋"/>
                <w:color w:val="auto"/>
                <w:sz w:val="24"/>
              </w:rPr>
            </w:pPr>
          </w:p>
        </w:tc>
        <w:tc>
          <w:tcPr>
            <w:tcW w:w="2385" w:type="dxa"/>
            <w:noWrap w:val="0"/>
            <w:vAlign w:val="top"/>
          </w:tcPr>
          <w:p>
            <w:pPr>
              <w:widowControl/>
              <w:jc w:val="left"/>
              <w:rPr>
                <w:rFonts w:hint="eastAsia" w:ascii="仿宋" w:hAnsi="仿宋" w:eastAsia="仿宋" w:cs="仿宋"/>
                <w:color w:val="auto"/>
                <w:sz w:val="24"/>
              </w:rPr>
            </w:pPr>
          </w:p>
          <w:p>
            <w:pPr>
              <w:rPr>
                <w:rFonts w:hint="eastAsia" w:ascii="仿宋" w:hAnsi="仿宋" w:eastAsia="仿宋" w:cs="仿宋"/>
                <w:color w:val="auto"/>
                <w:sz w:val="24"/>
              </w:rPr>
            </w:pPr>
          </w:p>
        </w:tc>
        <w:tc>
          <w:tcPr>
            <w:tcW w:w="1725" w:type="dxa"/>
            <w:noWrap w:val="0"/>
            <w:vAlign w:val="top"/>
          </w:tcPr>
          <w:p>
            <w:pPr>
              <w:rPr>
                <w:rFonts w:hint="eastAsia" w:ascii="仿宋" w:hAnsi="仿宋" w:eastAsia="仿宋" w:cs="仿宋"/>
                <w:color w:val="auto"/>
                <w:sz w:val="24"/>
              </w:rPr>
            </w:pPr>
          </w:p>
        </w:tc>
        <w:tc>
          <w:tcPr>
            <w:tcW w:w="1598" w:type="dxa"/>
            <w:noWrap w:val="0"/>
            <w:vAlign w:val="top"/>
          </w:tcPr>
          <w:p>
            <w:pPr>
              <w:rPr>
                <w:rFonts w:hint="eastAsia" w:ascii="仿宋" w:hAnsi="仿宋" w:eastAsia="仿宋" w:cs="仿宋"/>
                <w:color w:val="auto"/>
                <w:sz w:val="24"/>
              </w:rPr>
            </w:pPr>
          </w:p>
        </w:tc>
        <w:tc>
          <w:tcPr>
            <w:tcW w:w="1600" w:type="dxa"/>
            <w:noWrap w:val="0"/>
            <w:vAlign w:val="top"/>
          </w:tcPr>
          <w:p>
            <w:pPr>
              <w:rPr>
                <w:rFonts w:hint="eastAsia" w:ascii="仿宋" w:hAnsi="仿宋" w:eastAsia="仿宋" w:cs="仿宋"/>
                <w:color w:val="auto"/>
                <w:sz w:val="24"/>
              </w:rPr>
            </w:pPr>
          </w:p>
        </w:tc>
        <w:tc>
          <w:tcPr>
            <w:tcW w:w="1134" w:type="dxa"/>
            <w:noWrap w:val="0"/>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noWrap w:val="0"/>
            <w:vAlign w:val="top"/>
          </w:tcPr>
          <w:p>
            <w:pPr>
              <w:rPr>
                <w:rFonts w:hint="eastAsia" w:ascii="仿宋" w:hAnsi="仿宋" w:eastAsia="仿宋" w:cs="仿宋"/>
                <w:color w:val="auto"/>
                <w:sz w:val="24"/>
              </w:rPr>
            </w:pPr>
          </w:p>
          <w:p>
            <w:pPr>
              <w:rPr>
                <w:rFonts w:hint="eastAsia" w:ascii="仿宋" w:hAnsi="仿宋" w:eastAsia="仿宋" w:cs="仿宋"/>
                <w:color w:val="auto"/>
                <w:sz w:val="24"/>
              </w:rPr>
            </w:pPr>
          </w:p>
        </w:tc>
        <w:tc>
          <w:tcPr>
            <w:tcW w:w="2385" w:type="dxa"/>
            <w:noWrap w:val="0"/>
            <w:vAlign w:val="top"/>
          </w:tcPr>
          <w:p>
            <w:pPr>
              <w:widowControl/>
              <w:jc w:val="left"/>
              <w:rPr>
                <w:rFonts w:hint="eastAsia" w:ascii="仿宋" w:hAnsi="仿宋" w:eastAsia="仿宋" w:cs="仿宋"/>
                <w:color w:val="auto"/>
                <w:sz w:val="24"/>
              </w:rPr>
            </w:pPr>
          </w:p>
          <w:p>
            <w:pPr>
              <w:rPr>
                <w:rFonts w:hint="eastAsia" w:ascii="仿宋" w:hAnsi="仿宋" w:eastAsia="仿宋" w:cs="仿宋"/>
                <w:color w:val="auto"/>
                <w:sz w:val="24"/>
              </w:rPr>
            </w:pPr>
          </w:p>
        </w:tc>
        <w:tc>
          <w:tcPr>
            <w:tcW w:w="1725" w:type="dxa"/>
            <w:noWrap w:val="0"/>
            <w:vAlign w:val="top"/>
          </w:tcPr>
          <w:p>
            <w:pPr>
              <w:rPr>
                <w:rFonts w:hint="eastAsia" w:ascii="仿宋" w:hAnsi="仿宋" w:eastAsia="仿宋" w:cs="仿宋"/>
                <w:color w:val="auto"/>
                <w:sz w:val="24"/>
              </w:rPr>
            </w:pPr>
          </w:p>
        </w:tc>
        <w:tc>
          <w:tcPr>
            <w:tcW w:w="1598" w:type="dxa"/>
            <w:noWrap w:val="0"/>
            <w:vAlign w:val="top"/>
          </w:tcPr>
          <w:p>
            <w:pPr>
              <w:rPr>
                <w:rFonts w:hint="eastAsia" w:ascii="仿宋" w:hAnsi="仿宋" w:eastAsia="仿宋" w:cs="仿宋"/>
                <w:color w:val="auto"/>
                <w:sz w:val="24"/>
              </w:rPr>
            </w:pPr>
          </w:p>
        </w:tc>
        <w:tc>
          <w:tcPr>
            <w:tcW w:w="1600" w:type="dxa"/>
            <w:noWrap w:val="0"/>
            <w:vAlign w:val="top"/>
          </w:tcPr>
          <w:p>
            <w:pPr>
              <w:rPr>
                <w:rFonts w:hint="eastAsia" w:ascii="仿宋" w:hAnsi="仿宋" w:eastAsia="仿宋" w:cs="仿宋"/>
                <w:color w:val="auto"/>
                <w:sz w:val="24"/>
              </w:rPr>
            </w:pPr>
          </w:p>
        </w:tc>
        <w:tc>
          <w:tcPr>
            <w:tcW w:w="1134" w:type="dxa"/>
            <w:noWrap w:val="0"/>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noWrap w:val="0"/>
            <w:vAlign w:val="top"/>
          </w:tcPr>
          <w:p>
            <w:pPr>
              <w:rPr>
                <w:rFonts w:hint="eastAsia" w:ascii="仿宋" w:hAnsi="仿宋" w:eastAsia="仿宋" w:cs="仿宋"/>
                <w:color w:val="auto"/>
                <w:sz w:val="24"/>
              </w:rPr>
            </w:pPr>
          </w:p>
          <w:p>
            <w:pPr>
              <w:rPr>
                <w:rFonts w:hint="eastAsia" w:ascii="仿宋" w:hAnsi="仿宋" w:eastAsia="仿宋" w:cs="仿宋"/>
                <w:color w:val="auto"/>
                <w:sz w:val="24"/>
              </w:rPr>
            </w:pPr>
          </w:p>
        </w:tc>
        <w:tc>
          <w:tcPr>
            <w:tcW w:w="2385" w:type="dxa"/>
            <w:noWrap w:val="0"/>
            <w:vAlign w:val="top"/>
          </w:tcPr>
          <w:p>
            <w:pPr>
              <w:widowControl/>
              <w:jc w:val="left"/>
              <w:rPr>
                <w:rFonts w:hint="eastAsia" w:ascii="仿宋" w:hAnsi="仿宋" w:eastAsia="仿宋" w:cs="仿宋"/>
                <w:color w:val="auto"/>
                <w:sz w:val="24"/>
              </w:rPr>
            </w:pPr>
          </w:p>
          <w:p>
            <w:pPr>
              <w:rPr>
                <w:rFonts w:hint="eastAsia" w:ascii="仿宋" w:hAnsi="仿宋" w:eastAsia="仿宋" w:cs="仿宋"/>
                <w:color w:val="auto"/>
                <w:sz w:val="24"/>
              </w:rPr>
            </w:pPr>
          </w:p>
        </w:tc>
        <w:tc>
          <w:tcPr>
            <w:tcW w:w="1725" w:type="dxa"/>
            <w:noWrap w:val="0"/>
            <w:vAlign w:val="top"/>
          </w:tcPr>
          <w:p>
            <w:pPr>
              <w:rPr>
                <w:rFonts w:hint="eastAsia" w:ascii="仿宋" w:hAnsi="仿宋" w:eastAsia="仿宋" w:cs="仿宋"/>
                <w:color w:val="auto"/>
                <w:sz w:val="24"/>
              </w:rPr>
            </w:pPr>
          </w:p>
        </w:tc>
        <w:tc>
          <w:tcPr>
            <w:tcW w:w="1598" w:type="dxa"/>
            <w:noWrap w:val="0"/>
            <w:vAlign w:val="top"/>
          </w:tcPr>
          <w:p>
            <w:pPr>
              <w:rPr>
                <w:rFonts w:hint="eastAsia" w:ascii="仿宋" w:hAnsi="仿宋" w:eastAsia="仿宋" w:cs="仿宋"/>
                <w:color w:val="auto"/>
                <w:sz w:val="24"/>
              </w:rPr>
            </w:pPr>
          </w:p>
        </w:tc>
        <w:tc>
          <w:tcPr>
            <w:tcW w:w="1600" w:type="dxa"/>
            <w:noWrap w:val="0"/>
            <w:vAlign w:val="top"/>
          </w:tcPr>
          <w:p>
            <w:pPr>
              <w:rPr>
                <w:rFonts w:hint="eastAsia" w:ascii="仿宋" w:hAnsi="仿宋" w:eastAsia="仿宋" w:cs="仿宋"/>
                <w:color w:val="auto"/>
                <w:sz w:val="24"/>
              </w:rPr>
            </w:pPr>
          </w:p>
        </w:tc>
        <w:tc>
          <w:tcPr>
            <w:tcW w:w="1134" w:type="dxa"/>
            <w:noWrap w:val="0"/>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noWrap w:val="0"/>
            <w:vAlign w:val="top"/>
          </w:tcPr>
          <w:p>
            <w:pPr>
              <w:rPr>
                <w:rFonts w:hint="eastAsia" w:ascii="仿宋" w:hAnsi="仿宋" w:eastAsia="仿宋" w:cs="仿宋"/>
                <w:color w:val="auto"/>
                <w:sz w:val="24"/>
              </w:rPr>
            </w:pPr>
          </w:p>
          <w:p>
            <w:pPr>
              <w:rPr>
                <w:rFonts w:hint="eastAsia" w:ascii="仿宋" w:hAnsi="仿宋" w:eastAsia="仿宋" w:cs="仿宋"/>
                <w:color w:val="auto"/>
                <w:sz w:val="24"/>
              </w:rPr>
            </w:pPr>
          </w:p>
        </w:tc>
        <w:tc>
          <w:tcPr>
            <w:tcW w:w="2385" w:type="dxa"/>
            <w:noWrap w:val="0"/>
            <w:vAlign w:val="top"/>
          </w:tcPr>
          <w:p>
            <w:pPr>
              <w:widowControl/>
              <w:jc w:val="left"/>
              <w:rPr>
                <w:rFonts w:hint="eastAsia" w:ascii="仿宋" w:hAnsi="仿宋" w:eastAsia="仿宋" w:cs="仿宋"/>
                <w:color w:val="auto"/>
                <w:sz w:val="24"/>
              </w:rPr>
            </w:pPr>
          </w:p>
          <w:p>
            <w:pPr>
              <w:rPr>
                <w:rFonts w:hint="eastAsia" w:ascii="仿宋" w:hAnsi="仿宋" w:eastAsia="仿宋" w:cs="仿宋"/>
                <w:color w:val="auto"/>
                <w:sz w:val="24"/>
              </w:rPr>
            </w:pPr>
          </w:p>
        </w:tc>
        <w:tc>
          <w:tcPr>
            <w:tcW w:w="1725" w:type="dxa"/>
            <w:noWrap w:val="0"/>
            <w:vAlign w:val="top"/>
          </w:tcPr>
          <w:p>
            <w:pPr>
              <w:rPr>
                <w:rFonts w:hint="eastAsia" w:ascii="仿宋" w:hAnsi="仿宋" w:eastAsia="仿宋" w:cs="仿宋"/>
                <w:color w:val="auto"/>
                <w:sz w:val="24"/>
              </w:rPr>
            </w:pPr>
          </w:p>
        </w:tc>
        <w:tc>
          <w:tcPr>
            <w:tcW w:w="1598" w:type="dxa"/>
            <w:noWrap w:val="0"/>
            <w:vAlign w:val="top"/>
          </w:tcPr>
          <w:p>
            <w:pPr>
              <w:rPr>
                <w:rFonts w:hint="eastAsia" w:ascii="仿宋" w:hAnsi="仿宋" w:eastAsia="仿宋" w:cs="仿宋"/>
                <w:color w:val="auto"/>
                <w:sz w:val="24"/>
              </w:rPr>
            </w:pPr>
          </w:p>
        </w:tc>
        <w:tc>
          <w:tcPr>
            <w:tcW w:w="1600" w:type="dxa"/>
            <w:noWrap w:val="0"/>
            <w:vAlign w:val="top"/>
          </w:tcPr>
          <w:p>
            <w:pPr>
              <w:rPr>
                <w:rFonts w:hint="eastAsia" w:ascii="仿宋" w:hAnsi="仿宋" w:eastAsia="仿宋" w:cs="仿宋"/>
                <w:color w:val="auto"/>
                <w:sz w:val="24"/>
              </w:rPr>
            </w:pPr>
          </w:p>
        </w:tc>
        <w:tc>
          <w:tcPr>
            <w:tcW w:w="1134" w:type="dxa"/>
            <w:noWrap w:val="0"/>
            <w:vAlign w:val="top"/>
          </w:tcPr>
          <w:p>
            <w:pPr>
              <w:rPr>
                <w:rFonts w:hint="eastAsia" w:ascii="仿宋" w:hAnsi="仿宋" w:eastAsia="仿宋" w:cs="仿宋"/>
                <w:color w:val="auto"/>
                <w:sz w:val="24"/>
              </w:rPr>
            </w:pPr>
          </w:p>
        </w:tc>
      </w:tr>
    </w:tbl>
    <w:p>
      <w:pPr>
        <w:rPr>
          <w:rFonts w:hint="eastAsia" w:ascii="仿宋" w:hAnsi="仿宋" w:eastAsia="仿宋" w:cs="仿宋"/>
          <w:color w:val="auto"/>
          <w:sz w:val="28"/>
          <w:szCs w:val="28"/>
        </w:rPr>
      </w:pPr>
      <w:r>
        <w:rPr>
          <w:rFonts w:hint="eastAsia" w:ascii="仿宋" w:hAnsi="仿宋" w:eastAsia="仿宋" w:cs="仿宋"/>
          <w:color w:val="auto"/>
          <w:sz w:val="28"/>
          <w:szCs w:val="28"/>
        </w:rPr>
        <w:t>注：与招标文件要求逐条对应填写。</w:t>
      </w:r>
    </w:p>
    <w:p>
      <w:pPr>
        <w:rPr>
          <w:rFonts w:hint="eastAsia" w:ascii="仿宋" w:hAnsi="仿宋" w:eastAsia="仿宋" w:cs="仿宋"/>
          <w:color w:val="auto"/>
          <w:sz w:val="28"/>
          <w:szCs w:val="28"/>
        </w:rPr>
      </w:pPr>
    </w:p>
    <w:p>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投标人代表签字：</w:t>
      </w:r>
      <w:r>
        <w:rPr>
          <w:rFonts w:hint="eastAsia" w:ascii="仿宋" w:hAnsi="仿宋" w:eastAsia="仿宋" w:cs="仿宋"/>
          <w:color w:val="auto"/>
          <w:sz w:val="28"/>
          <w:szCs w:val="28"/>
          <w:u w:val="single"/>
        </w:rPr>
        <w:t>　　　　　　　　　　　　　　　</w:t>
      </w:r>
    </w:p>
    <w:p>
      <w:pPr>
        <w:rPr>
          <w:rFonts w:hint="eastAsia" w:ascii="仿宋" w:hAnsi="仿宋" w:eastAsia="仿宋" w:cs="仿宋"/>
          <w:b/>
          <w:color w:val="auto"/>
          <w:sz w:val="28"/>
          <w:szCs w:val="28"/>
        </w:rPr>
      </w:pPr>
    </w:p>
    <w:p>
      <w:pPr>
        <w:pStyle w:val="23"/>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ind w:firstLine="3213" w:firstLineChars="1000"/>
        <w:rPr>
          <w:rFonts w:hint="eastAsia" w:ascii="仿宋" w:hAnsi="仿宋" w:eastAsia="仿宋" w:cs="仿宋"/>
          <w:b/>
          <w:bCs w:val="0"/>
          <w:color w:val="auto"/>
          <w:sz w:val="32"/>
          <w:szCs w:val="32"/>
          <w:lang w:val="en-US" w:eastAsia="zh-CN"/>
        </w:rPr>
      </w:pPr>
    </w:p>
    <w:p>
      <w:pPr>
        <w:pStyle w:val="5"/>
        <w:rPr>
          <w:rFonts w:hint="eastAsia" w:ascii="仿宋" w:hAnsi="仿宋" w:eastAsia="仿宋" w:cs="仿宋"/>
          <w:b/>
          <w:bCs w:val="0"/>
          <w:color w:val="auto"/>
          <w:sz w:val="32"/>
          <w:szCs w:val="32"/>
          <w:lang w:val="en-US" w:eastAsia="zh-CN"/>
        </w:rPr>
      </w:pPr>
    </w:p>
    <w:p>
      <w:pPr>
        <w:pStyle w:val="5"/>
        <w:rPr>
          <w:rFonts w:hint="eastAsia" w:ascii="仿宋" w:hAnsi="仿宋" w:eastAsia="仿宋" w:cs="仿宋"/>
          <w:b/>
          <w:bCs w:val="0"/>
          <w:color w:val="auto"/>
          <w:sz w:val="32"/>
          <w:szCs w:val="32"/>
          <w:lang w:val="en-US" w:eastAsia="zh-CN"/>
        </w:rPr>
      </w:pPr>
    </w:p>
    <w:p>
      <w:pPr>
        <w:pStyle w:val="5"/>
        <w:rPr>
          <w:rFonts w:hint="eastAsia" w:ascii="仿宋" w:hAnsi="仿宋" w:eastAsia="仿宋" w:cs="仿宋"/>
          <w:b/>
          <w:bCs w:val="0"/>
          <w:color w:val="auto"/>
          <w:sz w:val="32"/>
          <w:szCs w:val="32"/>
          <w:lang w:val="en-US" w:eastAsia="zh-CN"/>
        </w:rPr>
      </w:pPr>
    </w:p>
    <w:p>
      <w:pPr>
        <w:pStyle w:val="5"/>
        <w:rPr>
          <w:rFonts w:hint="eastAsia" w:ascii="仿宋" w:hAnsi="仿宋" w:eastAsia="仿宋" w:cs="仿宋"/>
          <w:b/>
          <w:bCs w:val="0"/>
          <w:color w:val="auto"/>
          <w:sz w:val="32"/>
          <w:szCs w:val="32"/>
          <w:lang w:val="en-US" w:eastAsia="zh-CN"/>
        </w:rPr>
      </w:pPr>
    </w:p>
    <w:p>
      <w:pPr>
        <w:pStyle w:val="5"/>
        <w:rPr>
          <w:rFonts w:hint="eastAsia" w:ascii="仿宋" w:hAnsi="仿宋" w:eastAsia="仿宋" w:cs="仿宋"/>
          <w:b/>
          <w:bCs w:val="0"/>
          <w:color w:val="auto"/>
          <w:sz w:val="32"/>
          <w:szCs w:val="32"/>
          <w:lang w:val="en-US" w:eastAsia="zh-CN"/>
        </w:rPr>
      </w:pPr>
    </w:p>
    <w:p>
      <w:pPr>
        <w:pStyle w:val="5"/>
        <w:rPr>
          <w:rFonts w:hint="eastAsia" w:ascii="仿宋" w:hAnsi="仿宋" w:eastAsia="仿宋" w:cs="仿宋"/>
          <w:b/>
          <w:bCs w:val="0"/>
          <w:color w:val="auto"/>
          <w:sz w:val="32"/>
          <w:szCs w:val="32"/>
          <w:lang w:val="en-US" w:eastAsia="zh-CN"/>
        </w:rPr>
      </w:pPr>
    </w:p>
    <w:p>
      <w:pPr>
        <w:rPr>
          <w:rFonts w:hint="eastAsia" w:ascii="仿宋" w:hAnsi="仿宋" w:eastAsia="仿宋" w:cs="仿宋"/>
          <w:b/>
          <w:bCs w:val="0"/>
          <w:color w:val="auto"/>
          <w:sz w:val="32"/>
          <w:szCs w:val="32"/>
          <w:lang w:val="en-US" w:eastAsia="zh-CN"/>
        </w:rPr>
      </w:pPr>
    </w:p>
    <w:p>
      <w:pPr>
        <w:rPr>
          <w:rFonts w:hint="eastAsia" w:ascii="仿宋" w:hAnsi="仿宋" w:eastAsia="仿宋" w:cs="仿宋"/>
          <w:b/>
          <w:bCs w:val="0"/>
          <w:color w:val="auto"/>
          <w:sz w:val="32"/>
          <w:szCs w:val="32"/>
          <w:lang w:val="en-US" w:eastAsia="zh-CN"/>
        </w:rPr>
      </w:pPr>
    </w:p>
    <w:p>
      <w:pPr>
        <w:ind w:firstLine="3213" w:firstLineChars="10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（十七）开标一览表</w:t>
      </w:r>
    </w:p>
    <w:p>
      <w:pPr>
        <w:pStyle w:val="22"/>
        <w:numPr>
          <w:ilvl w:val="0"/>
          <w:numId w:val="0"/>
        </w:numPr>
        <w:spacing w:line="360" w:lineRule="auto"/>
        <w:jc w:val="both"/>
        <w:rPr>
          <w:rFonts w:hint="eastAsia" w:ascii="仿宋" w:hAnsi="仿宋" w:eastAsia="仿宋" w:cs="仿宋"/>
          <w:b/>
          <w:color w:val="auto"/>
          <w:kern w:val="2"/>
          <w:sz w:val="30"/>
          <w:szCs w:val="20"/>
        </w:rPr>
      </w:pPr>
    </w:p>
    <w:p>
      <w:pPr>
        <w:pStyle w:val="22"/>
        <w:spacing w:line="360" w:lineRule="auto"/>
        <w:ind w:left="275" w:leftChars="-86" w:hanging="456" w:hangingChars="163"/>
        <w:jc w:val="both"/>
        <w:rPr>
          <w:rFonts w:hint="eastAsia" w:ascii="仿宋" w:hAnsi="仿宋" w:eastAsia="仿宋" w:cs="仿宋"/>
          <w:color w:val="auto"/>
          <w:sz w:val="28"/>
        </w:rPr>
      </w:pPr>
      <w:r>
        <w:rPr>
          <w:rFonts w:hint="eastAsia" w:ascii="仿宋" w:hAnsi="仿宋" w:eastAsia="仿宋" w:cs="仿宋"/>
          <w:color w:val="auto"/>
          <w:sz w:val="28"/>
        </w:rPr>
        <w:t>投标人名称：                      招标项目名称：</w:t>
      </w:r>
    </w:p>
    <w:p>
      <w:pPr>
        <w:pStyle w:val="22"/>
        <w:spacing w:line="360" w:lineRule="auto"/>
        <w:ind w:left="275" w:leftChars="-86" w:hanging="456" w:hangingChars="163"/>
        <w:jc w:val="both"/>
        <w:rPr>
          <w:rFonts w:hint="eastAsia" w:ascii="仿宋" w:hAnsi="仿宋" w:eastAsia="仿宋" w:cs="仿宋"/>
          <w:color w:val="auto"/>
          <w:sz w:val="28"/>
        </w:rPr>
      </w:pPr>
      <w:r>
        <w:rPr>
          <w:rFonts w:hint="eastAsia" w:ascii="仿宋" w:hAnsi="仿宋" w:eastAsia="仿宋" w:cs="仿宋"/>
          <w:color w:val="auto"/>
          <w:sz w:val="28"/>
        </w:rPr>
        <w:t>招标文件编号：</w:t>
      </w:r>
    </w:p>
    <w:tbl>
      <w:tblPr>
        <w:tblStyle w:val="17"/>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856"/>
        <w:gridCol w:w="1957"/>
        <w:gridCol w:w="136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noWrap w:val="0"/>
            <w:vAlign w:val="center"/>
          </w:tcPr>
          <w:p>
            <w:pPr>
              <w:pStyle w:val="22"/>
              <w:ind w:left="-104" w:leftChars="-342" w:right="-743" w:rightChars="-354" w:hanging="614" w:hangingChars="256"/>
              <w:jc w:val="center"/>
              <w:rPr>
                <w:rFonts w:hint="eastAsia" w:ascii="仿宋" w:hAnsi="仿宋" w:eastAsia="仿宋" w:cs="仿宋"/>
                <w:color w:val="auto"/>
                <w:sz w:val="24"/>
                <w:szCs w:val="24"/>
              </w:rPr>
            </w:pPr>
            <w:r>
              <w:rPr>
                <w:rFonts w:hint="eastAsia" w:ascii="仿宋" w:hAnsi="仿宋" w:eastAsia="仿宋" w:cs="仿宋"/>
                <w:color w:val="auto"/>
                <w:sz w:val="24"/>
                <w:szCs w:val="24"/>
              </w:rPr>
              <w:t>标段</w:t>
            </w:r>
          </w:p>
        </w:tc>
        <w:tc>
          <w:tcPr>
            <w:tcW w:w="2856" w:type="dxa"/>
            <w:noWrap w:val="0"/>
            <w:vAlign w:val="center"/>
          </w:tcPr>
          <w:p>
            <w:pPr>
              <w:pStyle w:val="22"/>
              <w:ind w:left="-128" w:leftChars="-422" w:right="-743" w:rightChars="-354" w:hanging="758" w:hangingChars="316"/>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1957" w:type="dxa"/>
            <w:noWrap w:val="0"/>
            <w:vAlign w:val="center"/>
          </w:tcPr>
          <w:p>
            <w:pPr>
              <w:pStyle w:val="22"/>
              <w:ind w:left="-342" w:right="-354"/>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投标报价（万元）</w:t>
            </w:r>
          </w:p>
        </w:tc>
        <w:tc>
          <w:tcPr>
            <w:tcW w:w="1369" w:type="dxa"/>
            <w:noWrap w:val="0"/>
            <w:vAlign w:val="center"/>
          </w:tcPr>
          <w:p>
            <w:pPr>
              <w:pStyle w:val="22"/>
              <w:ind w:left="-342" w:right="-354"/>
              <w:jc w:val="center"/>
              <w:rPr>
                <w:rFonts w:hint="eastAsia" w:ascii="仿宋" w:hAnsi="仿宋" w:eastAsia="仿宋" w:cs="仿宋"/>
                <w:color w:val="auto"/>
                <w:sz w:val="24"/>
                <w:szCs w:val="24"/>
              </w:rPr>
            </w:pPr>
            <w:r>
              <w:rPr>
                <w:rFonts w:hint="eastAsia" w:ascii="仿宋" w:hAnsi="仿宋" w:eastAsia="仿宋" w:cs="仿宋"/>
                <w:color w:val="auto"/>
                <w:sz w:val="24"/>
                <w:szCs w:val="24"/>
              </w:rPr>
              <w:t>交货日期</w:t>
            </w:r>
          </w:p>
        </w:tc>
        <w:tc>
          <w:tcPr>
            <w:tcW w:w="1761" w:type="dxa"/>
            <w:noWrap w:val="0"/>
            <w:vAlign w:val="center"/>
          </w:tcPr>
          <w:p>
            <w:pPr>
              <w:pStyle w:val="22"/>
              <w:ind w:left="-342" w:right="-354"/>
              <w:jc w:val="center"/>
              <w:rPr>
                <w:rFonts w:hint="eastAsia" w:ascii="仿宋" w:hAnsi="仿宋" w:eastAsia="仿宋" w:cs="仿宋"/>
                <w:color w:val="auto"/>
                <w:sz w:val="24"/>
                <w:szCs w:val="24"/>
              </w:rPr>
            </w:pPr>
            <w:r>
              <w:rPr>
                <w:rFonts w:hint="eastAsia" w:ascii="仿宋" w:hAnsi="仿宋" w:eastAsia="仿宋" w:cs="仿宋"/>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noWrap w:val="0"/>
            <w:vAlign w:val="center"/>
          </w:tcPr>
          <w:p>
            <w:pPr>
              <w:pStyle w:val="22"/>
              <w:ind w:left="-342" w:right="-354"/>
              <w:jc w:val="center"/>
              <w:rPr>
                <w:rFonts w:hint="eastAsia" w:ascii="仿宋" w:hAnsi="仿宋" w:eastAsia="仿宋" w:cs="仿宋"/>
                <w:color w:val="auto"/>
                <w:sz w:val="24"/>
                <w:szCs w:val="24"/>
              </w:rPr>
            </w:pPr>
          </w:p>
        </w:tc>
        <w:tc>
          <w:tcPr>
            <w:tcW w:w="2856" w:type="dxa"/>
            <w:noWrap w:val="0"/>
            <w:vAlign w:val="center"/>
          </w:tcPr>
          <w:p>
            <w:pPr>
              <w:pStyle w:val="22"/>
              <w:ind w:left="-342" w:right="-354"/>
              <w:jc w:val="center"/>
              <w:rPr>
                <w:rFonts w:hint="eastAsia" w:ascii="仿宋" w:hAnsi="仿宋" w:eastAsia="仿宋" w:cs="仿宋"/>
                <w:color w:val="auto"/>
                <w:sz w:val="24"/>
                <w:szCs w:val="24"/>
              </w:rPr>
            </w:pPr>
          </w:p>
        </w:tc>
        <w:tc>
          <w:tcPr>
            <w:tcW w:w="1957" w:type="dxa"/>
            <w:noWrap w:val="0"/>
            <w:vAlign w:val="center"/>
          </w:tcPr>
          <w:p>
            <w:pPr>
              <w:pStyle w:val="22"/>
              <w:ind w:left="-342" w:right="-354"/>
              <w:jc w:val="center"/>
              <w:rPr>
                <w:rFonts w:hint="eastAsia" w:ascii="仿宋" w:hAnsi="仿宋" w:eastAsia="仿宋" w:cs="仿宋"/>
                <w:color w:val="auto"/>
                <w:sz w:val="24"/>
                <w:szCs w:val="24"/>
              </w:rPr>
            </w:pPr>
          </w:p>
        </w:tc>
        <w:tc>
          <w:tcPr>
            <w:tcW w:w="1369" w:type="dxa"/>
            <w:noWrap w:val="0"/>
            <w:vAlign w:val="center"/>
          </w:tcPr>
          <w:p>
            <w:pPr>
              <w:pStyle w:val="22"/>
              <w:ind w:left="-342" w:right="-354"/>
              <w:jc w:val="center"/>
              <w:rPr>
                <w:rFonts w:hint="eastAsia" w:ascii="仿宋" w:hAnsi="仿宋" w:eastAsia="仿宋" w:cs="仿宋"/>
                <w:color w:val="auto"/>
                <w:sz w:val="24"/>
                <w:szCs w:val="24"/>
              </w:rPr>
            </w:pPr>
          </w:p>
        </w:tc>
        <w:tc>
          <w:tcPr>
            <w:tcW w:w="1761" w:type="dxa"/>
            <w:noWrap w:val="0"/>
            <w:vAlign w:val="center"/>
          </w:tcPr>
          <w:p>
            <w:pPr>
              <w:pStyle w:val="22"/>
              <w:ind w:left="-342" w:right="-354"/>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00" w:type="dxa"/>
            <w:gridSpan w:val="5"/>
            <w:noWrap w:val="0"/>
            <w:vAlign w:val="center"/>
          </w:tcPr>
          <w:p>
            <w:pPr>
              <w:pStyle w:val="22"/>
              <w:ind w:left="-342" w:right="-354" w:firstLine="472" w:firstLineChars="197"/>
              <w:jc w:val="both"/>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noWrap w:val="0"/>
            <w:vAlign w:val="center"/>
          </w:tcPr>
          <w:p>
            <w:pPr>
              <w:pStyle w:val="22"/>
              <w:ind w:left="-342" w:right="-354"/>
              <w:jc w:val="center"/>
              <w:rPr>
                <w:rFonts w:hint="eastAsia" w:ascii="仿宋" w:hAnsi="仿宋" w:eastAsia="仿宋" w:cs="仿宋"/>
                <w:color w:val="auto"/>
                <w:sz w:val="24"/>
                <w:szCs w:val="24"/>
              </w:rPr>
            </w:pPr>
          </w:p>
        </w:tc>
        <w:tc>
          <w:tcPr>
            <w:tcW w:w="2856" w:type="dxa"/>
            <w:noWrap w:val="0"/>
            <w:vAlign w:val="center"/>
          </w:tcPr>
          <w:p>
            <w:pPr>
              <w:pStyle w:val="22"/>
              <w:ind w:left="-342" w:right="69" w:firstLine="266" w:firstLineChars="111"/>
              <w:jc w:val="center"/>
              <w:rPr>
                <w:rFonts w:hint="eastAsia" w:ascii="仿宋" w:hAnsi="仿宋" w:eastAsia="仿宋" w:cs="仿宋"/>
                <w:color w:val="auto"/>
                <w:sz w:val="24"/>
                <w:szCs w:val="24"/>
              </w:rPr>
            </w:pPr>
          </w:p>
        </w:tc>
        <w:tc>
          <w:tcPr>
            <w:tcW w:w="1957" w:type="dxa"/>
            <w:noWrap w:val="0"/>
            <w:vAlign w:val="center"/>
          </w:tcPr>
          <w:p>
            <w:pPr>
              <w:pStyle w:val="22"/>
              <w:ind w:left="-342" w:right="-354"/>
              <w:jc w:val="center"/>
              <w:rPr>
                <w:rFonts w:hint="eastAsia" w:ascii="仿宋" w:hAnsi="仿宋" w:eastAsia="仿宋" w:cs="仿宋"/>
                <w:color w:val="auto"/>
                <w:sz w:val="24"/>
                <w:szCs w:val="24"/>
              </w:rPr>
            </w:pPr>
          </w:p>
        </w:tc>
        <w:tc>
          <w:tcPr>
            <w:tcW w:w="1369" w:type="dxa"/>
            <w:noWrap w:val="0"/>
            <w:vAlign w:val="center"/>
          </w:tcPr>
          <w:p>
            <w:pPr>
              <w:pStyle w:val="22"/>
              <w:ind w:left="-342" w:right="-354"/>
              <w:jc w:val="center"/>
              <w:rPr>
                <w:rFonts w:hint="eastAsia" w:ascii="仿宋" w:hAnsi="仿宋" w:eastAsia="仿宋" w:cs="仿宋"/>
                <w:color w:val="auto"/>
                <w:sz w:val="24"/>
                <w:szCs w:val="24"/>
              </w:rPr>
            </w:pPr>
          </w:p>
        </w:tc>
        <w:tc>
          <w:tcPr>
            <w:tcW w:w="1761" w:type="dxa"/>
            <w:noWrap w:val="0"/>
            <w:vAlign w:val="center"/>
          </w:tcPr>
          <w:p>
            <w:pPr>
              <w:pStyle w:val="22"/>
              <w:ind w:left="-342" w:right="-354"/>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00" w:type="dxa"/>
            <w:gridSpan w:val="5"/>
            <w:noWrap w:val="0"/>
            <w:vAlign w:val="center"/>
          </w:tcPr>
          <w:p>
            <w:pPr>
              <w:pStyle w:val="22"/>
              <w:ind w:left="-342" w:right="-354" w:firstLine="388" w:firstLineChars="162"/>
              <w:jc w:val="both"/>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noWrap w:val="0"/>
            <w:vAlign w:val="center"/>
          </w:tcPr>
          <w:p>
            <w:pPr>
              <w:pStyle w:val="22"/>
              <w:ind w:left="-342" w:right="-354"/>
              <w:jc w:val="center"/>
              <w:rPr>
                <w:rFonts w:hint="eastAsia" w:ascii="仿宋" w:hAnsi="仿宋" w:eastAsia="仿宋" w:cs="仿宋"/>
                <w:color w:val="auto"/>
                <w:sz w:val="24"/>
                <w:szCs w:val="24"/>
              </w:rPr>
            </w:pPr>
          </w:p>
        </w:tc>
        <w:tc>
          <w:tcPr>
            <w:tcW w:w="2856" w:type="dxa"/>
            <w:noWrap w:val="0"/>
            <w:vAlign w:val="center"/>
          </w:tcPr>
          <w:p>
            <w:pPr>
              <w:pStyle w:val="22"/>
              <w:ind w:left="-342" w:right="-354"/>
              <w:jc w:val="center"/>
              <w:rPr>
                <w:rFonts w:hint="eastAsia" w:ascii="仿宋" w:hAnsi="仿宋" w:eastAsia="仿宋" w:cs="仿宋"/>
                <w:color w:val="auto"/>
                <w:sz w:val="24"/>
                <w:szCs w:val="24"/>
              </w:rPr>
            </w:pPr>
          </w:p>
        </w:tc>
        <w:tc>
          <w:tcPr>
            <w:tcW w:w="1957" w:type="dxa"/>
            <w:noWrap w:val="0"/>
            <w:vAlign w:val="center"/>
          </w:tcPr>
          <w:p>
            <w:pPr>
              <w:pStyle w:val="22"/>
              <w:ind w:left="-342" w:right="-354"/>
              <w:jc w:val="center"/>
              <w:rPr>
                <w:rFonts w:hint="eastAsia" w:ascii="仿宋" w:hAnsi="仿宋" w:eastAsia="仿宋" w:cs="仿宋"/>
                <w:color w:val="auto"/>
                <w:sz w:val="24"/>
                <w:szCs w:val="24"/>
              </w:rPr>
            </w:pPr>
          </w:p>
        </w:tc>
        <w:tc>
          <w:tcPr>
            <w:tcW w:w="1369" w:type="dxa"/>
            <w:noWrap w:val="0"/>
            <w:vAlign w:val="center"/>
          </w:tcPr>
          <w:p>
            <w:pPr>
              <w:pStyle w:val="22"/>
              <w:ind w:left="-342" w:right="-354"/>
              <w:jc w:val="center"/>
              <w:rPr>
                <w:rFonts w:hint="eastAsia" w:ascii="仿宋" w:hAnsi="仿宋" w:eastAsia="仿宋" w:cs="仿宋"/>
                <w:color w:val="auto"/>
                <w:sz w:val="24"/>
                <w:szCs w:val="24"/>
              </w:rPr>
            </w:pPr>
          </w:p>
        </w:tc>
        <w:tc>
          <w:tcPr>
            <w:tcW w:w="1761" w:type="dxa"/>
            <w:noWrap w:val="0"/>
            <w:vAlign w:val="center"/>
          </w:tcPr>
          <w:p>
            <w:pPr>
              <w:pStyle w:val="22"/>
              <w:ind w:left="-342" w:right="-354"/>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900" w:type="dxa"/>
            <w:gridSpan w:val="5"/>
            <w:noWrap w:val="0"/>
            <w:vAlign w:val="center"/>
          </w:tcPr>
          <w:p>
            <w:pPr>
              <w:pStyle w:val="22"/>
              <w:ind w:left="-342" w:leftChars="-163" w:right="-354"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p>
        </w:tc>
      </w:tr>
    </w:tbl>
    <w:p>
      <w:pPr>
        <w:pStyle w:val="22"/>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投标单位法人授权代表签字（盖章）：</w:t>
      </w:r>
    </w:p>
    <w:p>
      <w:pPr>
        <w:spacing w:line="440" w:lineRule="exact"/>
        <w:rPr>
          <w:rFonts w:hint="eastAsia" w:ascii="宋体" w:hAnsi="宋体"/>
          <w:b/>
          <w:color w:val="auto"/>
          <w:sz w:val="32"/>
        </w:rPr>
      </w:pPr>
    </w:p>
    <w:p>
      <w:pPr>
        <w:rPr>
          <w:rFonts w:hint="eastAsia"/>
          <w:color w:val="auto"/>
        </w:rPr>
      </w:pPr>
    </w:p>
    <w:p>
      <w:pPr>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rPr>
          <w:rFonts w:hint="eastAsia" w:ascii="仿宋" w:hAnsi="仿宋" w:eastAsia="仿宋" w:cs="仿宋"/>
          <w:b/>
          <w:bCs w:val="0"/>
          <w:color w:val="auto"/>
          <w:sz w:val="32"/>
          <w:szCs w:val="32"/>
          <w:lang w:val="en-US" w:eastAsia="zh-CN"/>
        </w:rPr>
      </w:pPr>
    </w:p>
    <w:p>
      <w:pPr>
        <w:numPr>
          <w:ilvl w:val="0"/>
          <w:numId w:val="0"/>
        </w:numPr>
        <w:ind w:leftChars="0"/>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（十八）分项报价表</w:t>
      </w:r>
    </w:p>
    <w:p>
      <w:pPr>
        <w:pStyle w:val="23"/>
        <w:numPr>
          <w:ilvl w:val="0"/>
          <w:numId w:val="0"/>
        </w:numPr>
        <w:ind w:leftChars="0"/>
        <w:rPr>
          <w:rFonts w:hint="eastAsia"/>
          <w:color w:val="auto"/>
          <w:highlight w:val="none"/>
          <w:lang w:val="en-US" w:eastAsia="zh-CN"/>
        </w:rPr>
      </w:pPr>
    </w:p>
    <w:p>
      <w:pP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投标人名称（公章）：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招标编号/标段号：</w:t>
      </w:r>
      <w:r>
        <w:rPr>
          <w:rFonts w:hint="eastAsia" w:ascii="仿宋" w:hAnsi="仿宋" w:eastAsia="仿宋" w:cs="仿宋"/>
          <w:color w:val="auto"/>
          <w:sz w:val="28"/>
          <w:szCs w:val="28"/>
          <w:highlight w:val="none"/>
          <w:u w:val="single"/>
        </w:rPr>
        <w:t>　　　　　　　　　　　</w:t>
      </w:r>
    </w:p>
    <w:p>
      <w:pPr>
        <w:rPr>
          <w:rFonts w:hint="eastAsia" w:ascii="宋体" w:hAnsi="宋体"/>
          <w:color w:val="auto"/>
          <w:sz w:val="24"/>
          <w:highlight w:val="none"/>
          <w:u w:val="single"/>
        </w:rPr>
      </w:pPr>
    </w:p>
    <w:tbl>
      <w:tblPr>
        <w:tblStyle w:val="17"/>
        <w:tblpPr w:leftFromText="180" w:rightFromText="180" w:vertAnchor="text" w:horzAnchor="page" w:tblpX="1346" w:tblpY="296"/>
        <w:tblOverlap w:val="never"/>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320"/>
        <w:gridCol w:w="1176"/>
        <w:gridCol w:w="1050"/>
        <w:gridCol w:w="705"/>
        <w:gridCol w:w="956"/>
        <w:gridCol w:w="1331"/>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5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320"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名称</w:t>
            </w:r>
          </w:p>
        </w:tc>
        <w:tc>
          <w:tcPr>
            <w:tcW w:w="117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050"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制造商</w:t>
            </w:r>
          </w:p>
        </w:tc>
        <w:tc>
          <w:tcPr>
            <w:tcW w:w="70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956" w:type="dxa"/>
            <w:noWrap w:val="0"/>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w:t>
            </w:r>
          </w:p>
        </w:tc>
        <w:tc>
          <w:tcPr>
            <w:tcW w:w="1331" w:type="dxa"/>
            <w:noWrap w:val="0"/>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单价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lang w:eastAsia="zh-CN"/>
              </w:rPr>
              <w:t>）</w:t>
            </w:r>
          </w:p>
        </w:tc>
        <w:tc>
          <w:tcPr>
            <w:tcW w:w="159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5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20" w:type="dxa"/>
            <w:noWrap w:val="0"/>
            <w:vAlign w:val="center"/>
          </w:tcPr>
          <w:p>
            <w:pPr>
              <w:jc w:val="center"/>
              <w:rPr>
                <w:rFonts w:hint="eastAsia" w:ascii="仿宋" w:hAnsi="仿宋" w:eastAsia="仿宋" w:cs="仿宋"/>
                <w:color w:val="auto"/>
                <w:sz w:val="24"/>
                <w:highlight w:val="none"/>
              </w:rPr>
            </w:pPr>
          </w:p>
        </w:tc>
        <w:tc>
          <w:tcPr>
            <w:tcW w:w="1176" w:type="dxa"/>
            <w:noWrap w:val="0"/>
            <w:vAlign w:val="center"/>
          </w:tcPr>
          <w:p>
            <w:pPr>
              <w:jc w:val="center"/>
              <w:rPr>
                <w:rFonts w:hint="eastAsia" w:ascii="仿宋" w:hAnsi="仿宋" w:eastAsia="仿宋" w:cs="仿宋"/>
                <w:color w:val="auto"/>
                <w:sz w:val="24"/>
                <w:highlight w:val="none"/>
              </w:rPr>
            </w:pPr>
          </w:p>
        </w:tc>
        <w:tc>
          <w:tcPr>
            <w:tcW w:w="1050" w:type="dxa"/>
            <w:noWrap w:val="0"/>
            <w:vAlign w:val="center"/>
          </w:tcPr>
          <w:p>
            <w:pPr>
              <w:jc w:val="center"/>
              <w:rPr>
                <w:rFonts w:hint="eastAsia" w:ascii="仿宋" w:hAnsi="仿宋" w:eastAsia="仿宋" w:cs="仿宋"/>
                <w:color w:val="auto"/>
                <w:sz w:val="24"/>
                <w:highlight w:val="none"/>
              </w:rPr>
            </w:pPr>
          </w:p>
        </w:tc>
        <w:tc>
          <w:tcPr>
            <w:tcW w:w="705" w:type="dxa"/>
            <w:noWrap w:val="0"/>
            <w:vAlign w:val="center"/>
          </w:tcPr>
          <w:p>
            <w:pPr>
              <w:jc w:val="center"/>
              <w:rPr>
                <w:rFonts w:hint="eastAsia" w:ascii="仿宋" w:hAnsi="仿宋" w:eastAsia="仿宋" w:cs="仿宋"/>
                <w:color w:val="auto"/>
                <w:sz w:val="24"/>
                <w:highlight w:val="none"/>
              </w:rPr>
            </w:pPr>
          </w:p>
        </w:tc>
        <w:tc>
          <w:tcPr>
            <w:tcW w:w="956" w:type="dxa"/>
            <w:noWrap w:val="0"/>
            <w:vAlign w:val="center"/>
          </w:tcPr>
          <w:p>
            <w:pPr>
              <w:jc w:val="center"/>
              <w:rPr>
                <w:rFonts w:hint="eastAsia" w:ascii="仿宋" w:hAnsi="仿宋" w:eastAsia="仿宋" w:cs="仿宋"/>
                <w:color w:val="auto"/>
                <w:sz w:val="24"/>
                <w:highlight w:val="none"/>
              </w:rPr>
            </w:pPr>
          </w:p>
        </w:tc>
        <w:tc>
          <w:tcPr>
            <w:tcW w:w="1331" w:type="dxa"/>
            <w:noWrap w:val="0"/>
            <w:vAlign w:val="center"/>
          </w:tcPr>
          <w:p>
            <w:pPr>
              <w:jc w:val="center"/>
              <w:rPr>
                <w:rFonts w:hint="eastAsia" w:ascii="仿宋" w:hAnsi="仿宋" w:eastAsia="仿宋" w:cs="仿宋"/>
                <w:color w:val="auto"/>
                <w:sz w:val="24"/>
                <w:highlight w:val="none"/>
              </w:rPr>
            </w:pPr>
          </w:p>
        </w:tc>
        <w:tc>
          <w:tcPr>
            <w:tcW w:w="1594"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5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20" w:type="dxa"/>
            <w:noWrap w:val="0"/>
            <w:vAlign w:val="center"/>
          </w:tcPr>
          <w:p>
            <w:pPr>
              <w:jc w:val="center"/>
              <w:rPr>
                <w:rFonts w:hint="eastAsia" w:ascii="仿宋" w:hAnsi="仿宋" w:eastAsia="仿宋" w:cs="仿宋"/>
                <w:color w:val="auto"/>
                <w:sz w:val="24"/>
                <w:highlight w:val="none"/>
              </w:rPr>
            </w:pPr>
          </w:p>
        </w:tc>
        <w:tc>
          <w:tcPr>
            <w:tcW w:w="1176" w:type="dxa"/>
            <w:noWrap w:val="0"/>
            <w:vAlign w:val="center"/>
          </w:tcPr>
          <w:p>
            <w:pPr>
              <w:jc w:val="center"/>
              <w:rPr>
                <w:rFonts w:hint="eastAsia" w:ascii="仿宋" w:hAnsi="仿宋" w:eastAsia="仿宋" w:cs="仿宋"/>
                <w:color w:val="auto"/>
                <w:sz w:val="24"/>
                <w:highlight w:val="none"/>
              </w:rPr>
            </w:pPr>
          </w:p>
        </w:tc>
        <w:tc>
          <w:tcPr>
            <w:tcW w:w="1050" w:type="dxa"/>
            <w:noWrap w:val="0"/>
            <w:vAlign w:val="center"/>
          </w:tcPr>
          <w:p>
            <w:pPr>
              <w:jc w:val="center"/>
              <w:rPr>
                <w:rFonts w:hint="eastAsia" w:ascii="仿宋" w:hAnsi="仿宋" w:eastAsia="仿宋" w:cs="仿宋"/>
                <w:color w:val="auto"/>
                <w:sz w:val="24"/>
                <w:highlight w:val="none"/>
              </w:rPr>
            </w:pPr>
          </w:p>
        </w:tc>
        <w:tc>
          <w:tcPr>
            <w:tcW w:w="705" w:type="dxa"/>
            <w:noWrap w:val="0"/>
            <w:vAlign w:val="center"/>
          </w:tcPr>
          <w:p>
            <w:pPr>
              <w:jc w:val="center"/>
              <w:rPr>
                <w:rFonts w:hint="eastAsia" w:ascii="仿宋" w:hAnsi="仿宋" w:eastAsia="仿宋" w:cs="仿宋"/>
                <w:color w:val="auto"/>
                <w:sz w:val="24"/>
                <w:highlight w:val="none"/>
              </w:rPr>
            </w:pPr>
          </w:p>
        </w:tc>
        <w:tc>
          <w:tcPr>
            <w:tcW w:w="956" w:type="dxa"/>
            <w:noWrap w:val="0"/>
            <w:vAlign w:val="center"/>
          </w:tcPr>
          <w:p>
            <w:pPr>
              <w:jc w:val="center"/>
              <w:rPr>
                <w:rFonts w:hint="eastAsia" w:ascii="仿宋" w:hAnsi="仿宋" w:eastAsia="仿宋" w:cs="仿宋"/>
                <w:color w:val="auto"/>
                <w:sz w:val="24"/>
                <w:highlight w:val="none"/>
              </w:rPr>
            </w:pPr>
          </w:p>
        </w:tc>
        <w:tc>
          <w:tcPr>
            <w:tcW w:w="1331" w:type="dxa"/>
            <w:noWrap w:val="0"/>
            <w:vAlign w:val="center"/>
          </w:tcPr>
          <w:p>
            <w:pPr>
              <w:jc w:val="center"/>
              <w:rPr>
                <w:rFonts w:hint="eastAsia" w:ascii="仿宋" w:hAnsi="仿宋" w:eastAsia="仿宋" w:cs="仿宋"/>
                <w:color w:val="auto"/>
                <w:sz w:val="24"/>
                <w:highlight w:val="none"/>
              </w:rPr>
            </w:pPr>
          </w:p>
        </w:tc>
        <w:tc>
          <w:tcPr>
            <w:tcW w:w="1594"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5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320" w:type="dxa"/>
            <w:noWrap w:val="0"/>
            <w:vAlign w:val="center"/>
          </w:tcPr>
          <w:p>
            <w:pPr>
              <w:jc w:val="center"/>
              <w:rPr>
                <w:rFonts w:hint="eastAsia" w:ascii="仿宋" w:hAnsi="仿宋" w:eastAsia="仿宋" w:cs="仿宋"/>
                <w:color w:val="auto"/>
                <w:sz w:val="24"/>
                <w:highlight w:val="none"/>
              </w:rPr>
            </w:pPr>
          </w:p>
        </w:tc>
        <w:tc>
          <w:tcPr>
            <w:tcW w:w="1176" w:type="dxa"/>
            <w:noWrap w:val="0"/>
            <w:vAlign w:val="center"/>
          </w:tcPr>
          <w:p>
            <w:pPr>
              <w:jc w:val="center"/>
              <w:rPr>
                <w:rFonts w:hint="eastAsia" w:ascii="仿宋" w:hAnsi="仿宋" w:eastAsia="仿宋" w:cs="仿宋"/>
                <w:color w:val="auto"/>
                <w:sz w:val="24"/>
                <w:highlight w:val="none"/>
              </w:rPr>
            </w:pPr>
          </w:p>
        </w:tc>
        <w:tc>
          <w:tcPr>
            <w:tcW w:w="1050" w:type="dxa"/>
            <w:noWrap w:val="0"/>
            <w:vAlign w:val="center"/>
          </w:tcPr>
          <w:p>
            <w:pPr>
              <w:jc w:val="center"/>
              <w:rPr>
                <w:rFonts w:hint="eastAsia" w:ascii="仿宋" w:hAnsi="仿宋" w:eastAsia="仿宋" w:cs="仿宋"/>
                <w:color w:val="auto"/>
                <w:sz w:val="24"/>
                <w:highlight w:val="none"/>
              </w:rPr>
            </w:pPr>
          </w:p>
        </w:tc>
        <w:tc>
          <w:tcPr>
            <w:tcW w:w="705" w:type="dxa"/>
            <w:noWrap w:val="0"/>
            <w:vAlign w:val="center"/>
          </w:tcPr>
          <w:p>
            <w:pPr>
              <w:jc w:val="center"/>
              <w:rPr>
                <w:rFonts w:hint="eastAsia" w:ascii="仿宋" w:hAnsi="仿宋" w:eastAsia="仿宋" w:cs="仿宋"/>
                <w:color w:val="auto"/>
                <w:sz w:val="24"/>
                <w:highlight w:val="none"/>
              </w:rPr>
            </w:pPr>
          </w:p>
        </w:tc>
        <w:tc>
          <w:tcPr>
            <w:tcW w:w="956" w:type="dxa"/>
            <w:noWrap w:val="0"/>
            <w:vAlign w:val="center"/>
          </w:tcPr>
          <w:p>
            <w:pPr>
              <w:jc w:val="center"/>
              <w:rPr>
                <w:rFonts w:hint="eastAsia" w:ascii="仿宋" w:hAnsi="仿宋" w:eastAsia="仿宋" w:cs="仿宋"/>
                <w:color w:val="auto"/>
                <w:sz w:val="24"/>
                <w:highlight w:val="none"/>
              </w:rPr>
            </w:pPr>
          </w:p>
        </w:tc>
        <w:tc>
          <w:tcPr>
            <w:tcW w:w="1331" w:type="dxa"/>
            <w:noWrap w:val="0"/>
            <w:vAlign w:val="center"/>
          </w:tcPr>
          <w:p>
            <w:pPr>
              <w:jc w:val="center"/>
              <w:rPr>
                <w:rFonts w:hint="eastAsia" w:ascii="仿宋" w:hAnsi="仿宋" w:eastAsia="仿宋" w:cs="仿宋"/>
                <w:color w:val="auto"/>
                <w:sz w:val="24"/>
                <w:highlight w:val="none"/>
              </w:rPr>
            </w:pPr>
          </w:p>
        </w:tc>
        <w:tc>
          <w:tcPr>
            <w:tcW w:w="1594"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5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320" w:type="dxa"/>
            <w:noWrap w:val="0"/>
            <w:vAlign w:val="center"/>
          </w:tcPr>
          <w:p>
            <w:pPr>
              <w:jc w:val="center"/>
              <w:rPr>
                <w:rFonts w:hint="eastAsia" w:ascii="仿宋" w:hAnsi="仿宋" w:eastAsia="仿宋" w:cs="仿宋"/>
                <w:color w:val="auto"/>
                <w:sz w:val="24"/>
                <w:highlight w:val="none"/>
              </w:rPr>
            </w:pPr>
          </w:p>
        </w:tc>
        <w:tc>
          <w:tcPr>
            <w:tcW w:w="1176" w:type="dxa"/>
            <w:noWrap w:val="0"/>
            <w:vAlign w:val="center"/>
          </w:tcPr>
          <w:p>
            <w:pPr>
              <w:jc w:val="center"/>
              <w:rPr>
                <w:rFonts w:hint="eastAsia" w:ascii="仿宋" w:hAnsi="仿宋" w:eastAsia="仿宋" w:cs="仿宋"/>
                <w:color w:val="auto"/>
                <w:sz w:val="24"/>
                <w:highlight w:val="none"/>
              </w:rPr>
            </w:pPr>
          </w:p>
        </w:tc>
        <w:tc>
          <w:tcPr>
            <w:tcW w:w="1050" w:type="dxa"/>
            <w:noWrap w:val="0"/>
            <w:vAlign w:val="center"/>
          </w:tcPr>
          <w:p>
            <w:pPr>
              <w:jc w:val="center"/>
              <w:rPr>
                <w:rFonts w:hint="eastAsia" w:ascii="仿宋" w:hAnsi="仿宋" w:eastAsia="仿宋" w:cs="仿宋"/>
                <w:color w:val="auto"/>
                <w:sz w:val="24"/>
                <w:highlight w:val="none"/>
              </w:rPr>
            </w:pPr>
          </w:p>
        </w:tc>
        <w:tc>
          <w:tcPr>
            <w:tcW w:w="705" w:type="dxa"/>
            <w:noWrap w:val="0"/>
            <w:vAlign w:val="center"/>
          </w:tcPr>
          <w:p>
            <w:pPr>
              <w:jc w:val="center"/>
              <w:rPr>
                <w:rFonts w:hint="eastAsia" w:ascii="仿宋" w:hAnsi="仿宋" w:eastAsia="仿宋" w:cs="仿宋"/>
                <w:color w:val="auto"/>
                <w:sz w:val="24"/>
                <w:highlight w:val="none"/>
              </w:rPr>
            </w:pPr>
          </w:p>
        </w:tc>
        <w:tc>
          <w:tcPr>
            <w:tcW w:w="956" w:type="dxa"/>
            <w:noWrap w:val="0"/>
            <w:vAlign w:val="center"/>
          </w:tcPr>
          <w:p>
            <w:pPr>
              <w:jc w:val="center"/>
              <w:rPr>
                <w:rFonts w:hint="eastAsia" w:ascii="仿宋" w:hAnsi="仿宋" w:eastAsia="仿宋" w:cs="仿宋"/>
                <w:color w:val="auto"/>
                <w:sz w:val="24"/>
                <w:highlight w:val="none"/>
              </w:rPr>
            </w:pPr>
          </w:p>
        </w:tc>
        <w:tc>
          <w:tcPr>
            <w:tcW w:w="1331" w:type="dxa"/>
            <w:noWrap w:val="0"/>
            <w:vAlign w:val="center"/>
          </w:tcPr>
          <w:p>
            <w:pPr>
              <w:jc w:val="center"/>
              <w:rPr>
                <w:rFonts w:hint="eastAsia" w:ascii="仿宋" w:hAnsi="仿宋" w:eastAsia="仿宋" w:cs="仿宋"/>
                <w:color w:val="auto"/>
                <w:sz w:val="24"/>
                <w:highlight w:val="none"/>
              </w:rPr>
            </w:pPr>
          </w:p>
        </w:tc>
        <w:tc>
          <w:tcPr>
            <w:tcW w:w="1594"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5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320" w:type="dxa"/>
            <w:noWrap w:val="0"/>
            <w:vAlign w:val="center"/>
          </w:tcPr>
          <w:p>
            <w:pPr>
              <w:jc w:val="center"/>
              <w:rPr>
                <w:rFonts w:hint="eastAsia" w:ascii="仿宋" w:hAnsi="仿宋" w:eastAsia="仿宋" w:cs="仿宋"/>
                <w:color w:val="auto"/>
                <w:sz w:val="24"/>
                <w:highlight w:val="none"/>
              </w:rPr>
            </w:pPr>
          </w:p>
        </w:tc>
        <w:tc>
          <w:tcPr>
            <w:tcW w:w="1176" w:type="dxa"/>
            <w:noWrap w:val="0"/>
            <w:vAlign w:val="center"/>
          </w:tcPr>
          <w:p>
            <w:pPr>
              <w:jc w:val="center"/>
              <w:rPr>
                <w:rFonts w:hint="eastAsia" w:ascii="仿宋" w:hAnsi="仿宋" w:eastAsia="仿宋" w:cs="仿宋"/>
                <w:color w:val="auto"/>
                <w:sz w:val="24"/>
                <w:highlight w:val="none"/>
              </w:rPr>
            </w:pPr>
          </w:p>
        </w:tc>
        <w:tc>
          <w:tcPr>
            <w:tcW w:w="1050" w:type="dxa"/>
            <w:noWrap w:val="0"/>
            <w:vAlign w:val="center"/>
          </w:tcPr>
          <w:p>
            <w:pPr>
              <w:jc w:val="center"/>
              <w:rPr>
                <w:rFonts w:hint="eastAsia" w:ascii="仿宋" w:hAnsi="仿宋" w:eastAsia="仿宋" w:cs="仿宋"/>
                <w:color w:val="auto"/>
                <w:sz w:val="24"/>
                <w:highlight w:val="none"/>
              </w:rPr>
            </w:pPr>
          </w:p>
        </w:tc>
        <w:tc>
          <w:tcPr>
            <w:tcW w:w="705" w:type="dxa"/>
            <w:noWrap w:val="0"/>
            <w:vAlign w:val="center"/>
          </w:tcPr>
          <w:p>
            <w:pPr>
              <w:jc w:val="center"/>
              <w:rPr>
                <w:rFonts w:hint="eastAsia" w:ascii="仿宋" w:hAnsi="仿宋" w:eastAsia="仿宋" w:cs="仿宋"/>
                <w:color w:val="auto"/>
                <w:sz w:val="24"/>
                <w:highlight w:val="none"/>
              </w:rPr>
            </w:pPr>
          </w:p>
        </w:tc>
        <w:tc>
          <w:tcPr>
            <w:tcW w:w="956" w:type="dxa"/>
            <w:noWrap w:val="0"/>
            <w:vAlign w:val="center"/>
          </w:tcPr>
          <w:p>
            <w:pPr>
              <w:jc w:val="center"/>
              <w:rPr>
                <w:rFonts w:hint="eastAsia" w:ascii="仿宋" w:hAnsi="仿宋" w:eastAsia="仿宋" w:cs="仿宋"/>
                <w:color w:val="auto"/>
                <w:sz w:val="24"/>
                <w:highlight w:val="none"/>
              </w:rPr>
            </w:pPr>
          </w:p>
        </w:tc>
        <w:tc>
          <w:tcPr>
            <w:tcW w:w="1331" w:type="dxa"/>
            <w:noWrap w:val="0"/>
            <w:vAlign w:val="center"/>
          </w:tcPr>
          <w:p>
            <w:pPr>
              <w:jc w:val="center"/>
              <w:rPr>
                <w:rFonts w:hint="eastAsia" w:ascii="仿宋" w:hAnsi="仿宋" w:eastAsia="仿宋" w:cs="仿宋"/>
                <w:color w:val="auto"/>
                <w:sz w:val="24"/>
                <w:highlight w:val="none"/>
              </w:rPr>
            </w:pPr>
          </w:p>
        </w:tc>
        <w:tc>
          <w:tcPr>
            <w:tcW w:w="1594"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5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320" w:type="dxa"/>
            <w:noWrap w:val="0"/>
            <w:vAlign w:val="center"/>
          </w:tcPr>
          <w:p>
            <w:pPr>
              <w:jc w:val="center"/>
              <w:rPr>
                <w:rFonts w:hint="eastAsia" w:ascii="仿宋" w:hAnsi="仿宋" w:eastAsia="仿宋" w:cs="仿宋"/>
                <w:color w:val="auto"/>
                <w:sz w:val="24"/>
                <w:highlight w:val="none"/>
              </w:rPr>
            </w:pPr>
          </w:p>
        </w:tc>
        <w:tc>
          <w:tcPr>
            <w:tcW w:w="1176" w:type="dxa"/>
            <w:noWrap w:val="0"/>
            <w:vAlign w:val="center"/>
          </w:tcPr>
          <w:p>
            <w:pPr>
              <w:jc w:val="center"/>
              <w:rPr>
                <w:rFonts w:hint="eastAsia" w:ascii="仿宋" w:hAnsi="仿宋" w:eastAsia="仿宋" w:cs="仿宋"/>
                <w:color w:val="auto"/>
                <w:sz w:val="24"/>
                <w:highlight w:val="none"/>
              </w:rPr>
            </w:pPr>
          </w:p>
        </w:tc>
        <w:tc>
          <w:tcPr>
            <w:tcW w:w="1050" w:type="dxa"/>
            <w:noWrap w:val="0"/>
            <w:vAlign w:val="center"/>
          </w:tcPr>
          <w:p>
            <w:pPr>
              <w:jc w:val="center"/>
              <w:rPr>
                <w:rFonts w:hint="eastAsia" w:ascii="仿宋" w:hAnsi="仿宋" w:eastAsia="仿宋" w:cs="仿宋"/>
                <w:color w:val="auto"/>
                <w:sz w:val="24"/>
                <w:highlight w:val="none"/>
              </w:rPr>
            </w:pPr>
          </w:p>
        </w:tc>
        <w:tc>
          <w:tcPr>
            <w:tcW w:w="705" w:type="dxa"/>
            <w:noWrap w:val="0"/>
            <w:vAlign w:val="center"/>
          </w:tcPr>
          <w:p>
            <w:pPr>
              <w:jc w:val="center"/>
              <w:rPr>
                <w:rFonts w:hint="eastAsia" w:ascii="仿宋" w:hAnsi="仿宋" w:eastAsia="仿宋" w:cs="仿宋"/>
                <w:color w:val="auto"/>
                <w:sz w:val="24"/>
                <w:highlight w:val="none"/>
              </w:rPr>
            </w:pPr>
          </w:p>
        </w:tc>
        <w:tc>
          <w:tcPr>
            <w:tcW w:w="956" w:type="dxa"/>
            <w:noWrap w:val="0"/>
            <w:vAlign w:val="center"/>
          </w:tcPr>
          <w:p>
            <w:pPr>
              <w:jc w:val="center"/>
              <w:rPr>
                <w:rFonts w:hint="eastAsia" w:ascii="仿宋" w:hAnsi="仿宋" w:eastAsia="仿宋" w:cs="仿宋"/>
                <w:color w:val="auto"/>
                <w:sz w:val="24"/>
                <w:highlight w:val="none"/>
              </w:rPr>
            </w:pPr>
          </w:p>
        </w:tc>
        <w:tc>
          <w:tcPr>
            <w:tcW w:w="1331" w:type="dxa"/>
            <w:noWrap w:val="0"/>
            <w:vAlign w:val="center"/>
          </w:tcPr>
          <w:p>
            <w:pPr>
              <w:jc w:val="center"/>
              <w:rPr>
                <w:rFonts w:hint="eastAsia" w:ascii="仿宋" w:hAnsi="仿宋" w:eastAsia="仿宋" w:cs="仿宋"/>
                <w:color w:val="auto"/>
                <w:sz w:val="24"/>
                <w:highlight w:val="none"/>
              </w:rPr>
            </w:pPr>
          </w:p>
        </w:tc>
        <w:tc>
          <w:tcPr>
            <w:tcW w:w="1594"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5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20" w:type="dxa"/>
            <w:noWrap w:val="0"/>
            <w:vAlign w:val="center"/>
          </w:tcPr>
          <w:p>
            <w:pPr>
              <w:jc w:val="center"/>
              <w:rPr>
                <w:rFonts w:hint="eastAsia" w:ascii="仿宋" w:hAnsi="仿宋" w:eastAsia="仿宋" w:cs="仿宋"/>
                <w:color w:val="auto"/>
                <w:sz w:val="24"/>
                <w:highlight w:val="none"/>
              </w:rPr>
            </w:pPr>
          </w:p>
        </w:tc>
        <w:tc>
          <w:tcPr>
            <w:tcW w:w="1176" w:type="dxa"/>
            <w:noWrap w:val="0"/>
            <w:vAlign w:val="center"/>
          </w:tcPr>
          <w:p>
            <w:pPr>
              <w:jc w:val="center"/>
              <w:rPr>
                <w:rFonts w:hint="eastAsia" w:ascii="仿宋" w:hAnsi="仿宋" w:eastAsia="仿宋" w:cs="仿宋"/>
                <w:color w:val="auto"/>
                <w:sz w:val="24"/>
                <w:highlight w:val="none"/>
              </w:rPr>
            </w:pPr>
          </w:p>
        </w:tc>
        <w:tc>
          <w:tcPr>
            <w:tcW w:w="1050" w:type="dxa"/>
            <w:noWrap w:val="0"/>
            <w:vAlign w:val="center"/>
          </w:tcPr>
          <w:p>
            <w:pPr>
              <w:jc w:val="center"/>
              <w:rPr>
                <w:rFonts w:hint="eastAsia" w:ascii="仿宋" w:hAnsi="仿宋" w:eastAsia="仿宋" w:cs="仿宋"/>
                <w:color w:val="auto"/>
                <w:sz w:val="24"/>
                <w:highlight w:val="none"/>
              </w:rPr>
            </w:pPr>
          </w:p>
        </w:tc>
        <w:tc>
          <w:tcPr>
            <w:tcW w:w="705" w:type="dxa"/>
            <w:noWrap w:val="0"/>
            <w:vAlign w:val="center"/>
          </w:tcPr>
          <w:p>
            <w:pPr>
              <w:jc w:val="center"/>
              <w:rPr>
                <w:rFonts w:hint="eastAsia" w:ascii="仿宋" w:hAnsi="仿宋" w:eastAsia="仿宋" w:cs="仿宋"/>
                <w:color w:val="auto"/>
                <w:sz w:val="24"/>
                <w:highlight w:val="none"/>
              </w:rPr>
            </w:pPr>
          </w:p>
        </w:tc>
        <w:tc>
          <w:tcPr>
            <w:tcW w:w="956" w:type="dxa"/>
            <w:noWrap w:val="0"/>
            <w:vAlign w:val="center"/>
          </w:tcPr>
          <w:p>
            <w:pPr>
              <w:jc w:val="center"/>
              <w:rPr>
                <w:rFonts w:hint="eastAsia" w:ascii="仿宋" w:hAnsi="仿宋" w:eastAsia="仿宋" w:cs="仿宋"/>
                <w:color w:val="auto"/>
                <w:sz w:val="24"/>
                <w:highlight w:val="none"/>
              </w:rPr>
            </w:pPr>
          </w:p>
        </w:tc>
        <w:tc>
          <w:tcPr>
            <w:tcW w:w="1331" w:type="dxa"/>
            <w:noWrap w:val="0"/>
            <w:vAlign w:val="center"/>
          </w:tcPr>
          <w:p>
            <w:pPr>
              <w:jc w:val="center"/>
              <w:rPr>
                <w:rFonts w:hint="eastAsia" w:ascii="仿宋" w:hAnsi="仿宋" w:eastAsia="仿宋" w:cs="仿宋"/>
                <w:color w:val="auto"/>
                <w:sz w:val="24"/>
                <w:highlight w:val="none"/>
              </w:rPr>
            </w:pPr>
          </w:p>
        </w:tc>
        <w:tc>
          <w:tcPr>
            <w:tcW w:w="1594" w:type="dxa"/>
            <w:noWrap w:val="0"/>
            <w:vAlign w:val="center"/>
          </w:tcPr>
          <w:p>
            <w:pPr>
              <w:jc w:val="center"/>
              <w:rPr>
                <w:rFonts w:hint="eastAsia" w:ascii="仿宋" w:hAnsi="仿宋" w:eastAsia="仿宋" w:cs="仿宋"/>
                <w:color w:val="auto"/>
                <w:sz w:val="24"/>
                <w:highlight w:val="none"/>
              </w:rPr>
            </w:pPr>
          </w:p>
        </w:tc>
      </w:tr>
    </w:tbl>
    <w:p>
      <w:pPr>
        <w:rPr>
          <w:rFonts w:hint="eastAsia" w:ascii="宋体" w:hAnsi="宋体"/>
          <w:color w:val="auto"/>
          <w:sz w:val="24"/>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注：此表需详列投标的每种设备。</w:t>
      </w:r>
    </w:p>
    <w:p>
      <w:pPr>
        <w:rPr>
          <w:rFonts w:hint="eastAsia" w:ascii="仿宋" w:hAnsi="仿宋" w:eastAsia="仿宋" w:cs="仿宋"/>
          <w:color w:val="auto"/>
          <w:sz w:val="28"/>
          <w:szCs w:val="28"/>
          <w:highlight w:val="none"/>
        </w:rPr>
      </w:pPr>
    </w:p>
    <w:p>
      <w:pPr>
        <w:ind w:left="2880" w:hanging="2880"/>
        <w:rPr>
          <w:rFonts w:hint="eastAsia" w:ascii="仿宋" w:hAnsi="仿宋" w:eastAsia="仿宋" w:cs="仿宋"/>
          <w:color w:val="auto"/>
          <w:sz w:val="28"/>
          <w:szCs w:val="28"/>
          <w:u w:val="single"/>
        </w:rPr>
      </w:pPr>
      <w:r>
        <w:rPr>
          <w:rFonts w:hint="eastAsia" w:ascii="仿宋" w:hAnsi="仿宋" w:eastAsia="仿宋" w:cs="仿宋"/>
          <w:color w:val="auto"/>
          <w:sz w:val="28"/>
          <w:szCs w:val="28"/>
          <w:highlight w:val="none"/>
        </w:rPr>
        <w:t>投标人代表签字：</w:t>
      </w:r>
      <w:r>
        <w:rPr>
          <w:rFonts w:hint="eastAsia" w:ascii="仿宋" w:hAnsi="仿宋" w:eastAsia="仿宋" w:cs="仿宋"/>
          <w:color w:val="auto"/>
          <w:sz w:val="28"/>
          <w:szCs w:val="28"/>
          <w:highlight w:val="none"/>
          <w:u w:val="single"/>
        </w:rPr>
        <w:t>　　　　　　　　　　　　　　　</w:t>
      </w:r>
    </w:p>
    <w:p>
      <w:pPr>
        <w:rPr>
          <w:rFonts w:hint="eastAsia" w:ascii="仿宋" w:hAnsi="仿宋" w:eastAsia="仿宋" w:cs="仿宋"/>
          <w:b/>
          <w:bCs w:val="0"/>
          <w:color w:val="auto"/>
          <w:sz w:val="32"/>
          <w:szCs w:val="32"/>
          <w:lang w:val="en-US" w:eastAsia="zh-CN"/>
        </w:rPr>
      </w:pPr>
    </w:p>
    <w:p>
      <w:pPr>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（十九）简要说明一览表</w:t>
      </w:r>
    </w:p>
    <w:p>
      <w:pPr>
        <w:rPr>
          <w:rFonts w:hint="eastAsia" w:ascii="宋体" w:hAnsi="宋体"/>
          <w:b/>
          <w:color w:val="auto"/>
          <w:sz w:val="24"/>
          <w:highlight w:val="none"/>
        </w:rPr>
      </w:pPr>
    </w:p>
    <w:p>
      <w:pP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投标人名称（公章）：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招标编号/标段号：</w:t>
      </w:r>
      <w:r>
        <w:rPr>
          <w:rFonts w:hint="eastAsia" w:ascii="仿宋" w:hAnsi="仿宋" w:eastAsia="仿宋" w:cs="仿宋"/>
          <w:color w:val="auto"/>
          <w:sz w:val="28"/>
          <w:szCs w:val="28"/>
          <w:highlight w:val="none"/>
          <w:u w:val="single"/>
        </w:rPr>
        <w:t>　　　　　　</w:t>
      </w:r>
    </w:p>
    <w:p>
      <w:pPr>
        <w:rPr>
          <w:rFonts w:hint="eastAsia" w:ascii="宋体" w:hAnsi="宋体"/>
          <w:color w:val="auto"/>
          <w:sz w:val="24"/>
          <w:highlight w:val="none"/>
          <w:u w:val="single"/>
        </w:rPr>
      </w:pPr>
    </w:p>
    <w:tbl>
      <w:tblPr>
        <w:tblStyle w:val="17"/>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78"/>
        <w:gridCol w:w="2008"/>
        <w:gridCol w:w="1807"/>
        <w:gridCol w:w="985"/>
        <w:gridCol w:w="122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78"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名称</w:t>
            </w:r>
          </w:p>
        </w:tc>
        <w:tc>
          <w:tcPr>
            <w:tcW w:w="2008"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规格型号及主要技术参数</w:t>
            </w:r>
          </w:p>
        </w:tc>
        <w:tc>
          <w:tcPr>
            <w:tcW w:w="180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性能说明</w:t>
            </w:r>
          </w:p>
        </w:tc>
        <w:tc>
          <w:tcPr>
            <w:tcW w:w="985" w:type="dxa"/>
            <w:noWrap w:val="0"/>
            <w:vAlign w:val="center"/>
          </w:tcPr>
          <w:p>
            <w:pPr>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数量</w:t>
            </w:r>
          </w:p>
        </w:tc>
        <w:tc>
          <w:tcPr>
            <w:tcW w:w="1224" w:type="dxa"/>
            <w:noWrap w:val="0"/>
            <w:vAlign w:val="center"/>
          </w:tcPr>
          <w:p>
            <w:pPr>
              <w:jc w:val="center"/>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单位</w:t>
            </w:r>
          </w:p>
        </w:tc>
        <w:tc>
          <w:tcPr>
            <w:tcW w:w="120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bl>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注：此表需详列投标</w:t>
      </w:r>
      <w:r>
        <w:rPr>
          <w:rFonts w:hint="eastAsia" w:ascii="仿宋" w:hAnsi="仿宋" w:eastAsia="仿宋" w:cs="仿宋"/>
          <w:color w:val="auto"/>
          <w:sz w:val="28"/>
          <w:szCs w:val="28"/>
          <w:highlight w:val="none"/>
          <w:lang w:eastAsia="zh-CN"/>
        </w:rPr>
        <w:t>的响应清单</w:t>
      </w:r>
      <w:r>
        <w:rPr>
          <w:rFonts w:hint="eastAsia" w:ascii="仿宋" w:hAnsi="仿宋" w:eastAsia="仿宋" w:cs="仿宋"/>
          <w:color w:val="auto"/>
          <w:sz w:val="28"/>
          <w:szCs w:val="28"/>
          <w:highlight w:val="none"/>
        </w:rPr>
        <w:t>。</w:t>
      </w:r>
    </w:p>
    <w:p>
      <w:pPr>
        <w:rPr>
          <w:rFonts w:hint="eastAsia" w:ascii="仿宋" w:hAnsi="仿宋" w:eastAsia="仿宋" w:cs="仿宋"/>
          <w:color w:val="auto"/>
          <w:sz w:val="28"/>
          <w:szCs w:val="28"/>
          <w:highlight w:val="none"/>
        </w:rPr>
      </w:pPr>
    </w:p>
    <w:p>
      <w:pPr>
        <w:ind w:left="2880" w:hanging="28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投标人代表签字：</w:t>
      </w:r>
      <w:r>
        <w:rPr>
          <w:rFonts w:hint="eastAsia" w:ascii="仿宋" w:hAnsi="仿宋" w:eastAsia="仿宋" w:cs="仿宋"/>
          <w:color w:val="auto"/>
          <w:sz w:val="28"/>
          <w:szCs w:val="28"/>
          <w:highlight w:val="none"/>
          <w:u w:val="single"/>
        </w:rPr>
        <w:t>　　　　　　　　　　　　　　　</w:t>
      </w:r>
    </w:p>
    <w:p>
      <w:pPr>
        <w:rPr>
          <w:rFonts w:hint="eastAsia" w:ascii="宋体" w:hAnsi="宋体"/>
          <w:color w:val="auto"/>
          <w:sz w:val="24"/>
        </w:rPr>
      </w:pPr>
      <w:r>
        <w:rPr>
          <w:rFonts w:hint="eastAsia" w:ascii="宋体" w:hAnsi="宋体"/>
          <w:b/>
          <w:color w:val="auto"/>
          <w:sz w:val="30"/>
        </w:rPr>
        <w:t xml:space="preserve"> </w:t>
      </w:r>
    </w:p>
    <w:p>
      <w:pPr>
        <w:pStyle w:val="23"/>
        <w:rPr>
          <w:rFonts w:hint="eastAsia" w:ascii="宋体" w:hAnsi="宋体"/>
          <w:b/>
          <w:color w:val="auto"/>
          <w:sz w:val="30"/>
        </w:rPr>
      </w:pPr>
    </w:p>
    <w:p>
      <w:pPr>
        <w:rPr>
          <w:rFonts w:hint="eastAsia"/>
          <w:color w:val="auto"/>
        </w:rPr>
      </w:pPr>
    </w:p>
    <w:p>
      <w:pPr>
        <w:ind w:firstLine="3213" w:firstLineChars="1000"/>
        <w:rPr>
          <w:rFonts w:hint="eastAsia" w:ascii="仿宋" w:hAnsi="仿宋" w:eastAsia="仿宋" w:cs="仿宋"/>
          <w:b/>
          <w:bCs w:val="0"/>
          <w:color w:val="auto"/>
          <w:sz w:val="32"/>
          <w:szCs w:val="32"/>
          <w:lang w:val="en-US" w:eastAsia="zh-CN"/>
        </w:rPr>
      </w:pPr>
    </w:p>
    <w:p>
      <w:pPr>
        <w:ind w:firstLine="3213" w:firstLineChars="1000"/>
        <w:rPr>
          <w:rFonts w:hint="eastAsia" w:ascii="仿宋" w:hAnsi="仿宋" w:eastAsia="仿宋" w:cs="仿宋"/>
          <w:b/>
          <w:bCs w:val="0"/>
          <w:color w:val="auto"/>
          <w:sz w:val="32"/>
          <w:szCs w:val="32"/>
          <w:lang w:val="en-US" w:eastAsia="zh-CN"/>
        </w:rPr>
      </w:pPr>
    </w:p>
    <w:p>
      <w:pPr>
        <w:ind w:firstLine="3213" w:firstLineChars="1000"/>
        <w:rPr>
          <w:rFonts w:hint="eastAsia" w:ascii="仿宋" w:hAnsi="仿宋" w:eastAsia="仿宋" w:cs="仿宋"/>
          <w:b/>
          <w:bCs w:val="0"/>
          <w:color w:val="auto"/>
          <w:sz w:val="32"/>
          <w:szCs w:val="32"/>
          <w:lang w:val="en-US" w:eastAsia="zh-CN"/>
        </w:rPr>
      </w:pPr>
    </w:p>
    <w:p>
      <w:pPr>
        <w:ind w:firstLine="3213" w:firstLineChars="1000"/>
        <w:rPr>
          <w:rFonts w:hint="eastAsia" w:ascii="仿宋" w:hAnsi="仿宋" w:eastAsia="仿宋" w:cs="仿宋"/>
          <w:b/>
          <w:bCs w:val="0"/>
          <w:color w:val="auto"/>
          <w:sz w:val="32"/>
          <w:szCs w:val="32"/>
          <w:lang w:val="en-US" w:eastAsia="zh-CN"/>
        </w:rPr>
      </w:pPr>
    </w:p>
    <w:p>
      <w:pPr>
        <w:ind w:firstLine="3213" w:firstLineChars="1000"/>
        <w:rPr>
          <w:rFonts w:hint="eastAsia" w:ascii="仿宋" w:hAnsi="仿宋" w:eastAsia="仿宋" w:cs="仿宋"/>
          <w:b/>
          <w:bCs w:val="0"/>
          <w:color w:val="auto"/>
          <w:sz w:val="32"/>
          <w:szCs w:val="32"/>
          <w:lang w:val="en-US" w:eastAsia="zh-CN"/>
        </w:rPr>
      </w:pPr>
    </w:p>
    <w:p>
      <w:pPr>
        <w:ind w:firstLine="3213" w:firstLineChars="1000"/>
        <w:rPr>
          <w:rFonts w:hint="eastAsia" w:ascii="仿宋" w:hAnsi="仿宋" w:eastAsia="仿宋" w:cs="仿宋"/>
          <w:b/>
          <w:bCs w:val="0"/>
          <w:color w:val="auto"/>
          <w:sz w:val="32"/>
          <w:szCs w:val="32"/>
          <w:lang w:val="en-US" w:eastAsia="zh-CN"/>
        </w:rPr>
      </w:pPr>
    </w:p>
    <w:p>
      <w:pPr>
        <w:ind w:firstLine="3213" w:firstLineChars="1000"/>
        <w:rPr>
          <w:rFonts w:hint="eastAsia" w:ascii="仿宋" w:hAnsi="仿宋" w:eastAsia="仿宋" w:cs="仿宋"/>
          <w:b/>
          <w:bCs w:val="0"/>
          <w:color w:val="auto"/>
          <w:sz w:val="32"/>
          <w:szCs w:val="32"/>
          <w:lang w:val="en-US" w:eastAsia="zh-CN"/>
        </w:rPr>
      </w:pPr>
    </w:p>
    <w:p>
      <w:pPr>
        <w:ind w:firstLine="3213" w:firstLineChars="1000"/>
        <w:rPr>
          <w:rFonts w:hint="eastAsia" w:ascii="仿宋" w:hAnsi="仿宋" w:eastAsia="仿宋" w:cs="仿宋"/>
          <w:b/>
          <w:bCs w:val="0"/>
          <w:color w:val="auto"/>
          <w:sz w:val="32"/>
          <w:szCs w:val="32"/>
          <w:lang w:val="en-US" w:eastAsia="zh-CN"/>
        </w:rPr>
      </w:pPr>
    </w:p>
    <w:p>
      <w:pPr>
        <w:ind w:firstLine="3213" w:firstLineChars="1000"/>
        <w:rPr>
          <w:rFonts w:hint="eastAsia" w:ascii="仿宋" w:hAnsi="仿宋" w:eastAsia="仿宋" w:cs="仿宋"/>
          <w:b/>
          <w:bCs w:val="0"/>
          <w:color w:val="auto"/>
          <w:sz w:val="32"/>
          <w:szCs w:val="32"/>
          <w:lang w:val="en-US" w:eastAsia="zh-CN"/>
        </w:rPr>
      </w:pPr>
    </w:p>
    <w:p>
      <w:pPr>
        <w:rPr>
          <w:rFonts w:hint="eastAsia" w:ascii="仿宋" w:hAnsi="仿宋" w:eastAsia="仿宋" w:cs="仿宋"/>
          <w:b/>
          <w:bCs w:val="0"/>
          <w:color w:val="auto"/>
          <w:sz w:val="32"/>
          <w:szCs w:val="32"/>
          <w:lang w:val="en-US" w:eastAsia="zh-CN"/>
        </w:rPr>
      </w:pPr>
    </w:p>
    <w:p>
      <w:pPr>
        <w:ind w:firstLine="3213" w:firstLineChars="10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（二十）法人代表授权书格式</w:t>
      </w:r>
    </w:p>
    <w:p>
      <w:pPr>
        <w:pStyle w:val="23"/>
        <w:rPr>
          <w:rFonts w:hint="eastAsia"/>
          <w:color w:val="auto"/>
        </w:rPr>
      </w:pPr>
    </w:p>
    <w:p>
      <w:pPr>
        <w:pStyle w:val="8"/>
        <w:spacing w:line="240" w:lineRule="auto"/>
        <w:ind w:firstLine="420"/>
        <w:rPr>
          <w:rFonts w:hint="eastAsia" w:ascii="仿宋" w:hAnsi="仿宋" w:eastAsia="仿宋" w:cs="仿宋"/>
          <w:color w:val="auto"/>
          <w:sz w:val="28"/>
          <w:szCs w:val="28"/>
        </w:rPr>
      </w:pPr>
      <w:r>
        <w:rPr>
          <w:rFonts w:hint="eastAsia" w:ascii="仿宋" w:hAnsi="仿宋" w:eastAsia="仿宋" w:cs="仿宋"/>
          <w:color w:val="auto"/>
          <w:sz w:val="28"/>
          <w:szCs w:val="28"/>
        </w:rPr>
        <w:t>本授权书声明：注册于</w:t>
      </w:r>
      <w:r>
        <w:rPr>
          <w:rFonts w:hint="eastAsia" w:ascii="仿宋" w:hAnsi="仿宋" w:eastAsia="仿宋" w:cs="仿宋"/>
          <w:color w:val="auto"/>
          <w:sz w:val="28"/>
          <w:szCs w:val="28"/>
          <w:u w:val="single"/>
        </w:rPr>
        <w:t>（地区的名称）</w:t>
      </w:r>
      <w:r>
        <w:rPr>
          <w:rFonts w:hint="eastAsia" w:ascii="仿宋" w:hAnsi="仿宋" w:eastAsia="仿宋" w:cs="仿宋"/>
          <w:color w:val="auto"/>
          <w:sz w:val="28"/>
          <w:szCs w:val="28"/>
        </w:rPr>
        <w:t>的</w:t>
      </w:r>
      <w:r>
        <w:rPr>
          <w:rFonts w:hint="eastAsia" w:ascii="仿宋" w:hAnsi="仿宋" w:eastAsia="仿宋" w:cs="仿宋"/>
          <w:color w:val="auto"/>
          <w:sz w:val="28"/>
          <w:szCs w:val="28"/>
          <w:u w:val="single"/>
        </w:rPr>
        <w:t>（公司名称）</w:t>
      </w:r>
      <w:r>
        <w:rPr>
          <w:rFonts w:hint="eastAsia" w:ascii="仿宋" w:hAnsi="仿宋" w:eastAsia="仿宋" w:cs="仿宋"/>
          <w:color w:val="auto"/>
          <w:sz w:val="28"/>
          <w:szCs w:val="28"/>
        </w:rPr>
        <w:t>，在下面签字的法人代表</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，代表本公司授权在下面签字的</w:t>
      </w:r>
      <w:r>
        <w:rPr>
          <w:rFonts w:hint="eastAsia" w:ascii="仿宋" w:hAnsi="仿宋" w:eastAsia="仿宋" w:cs="仿宋"/>
          <w:color w:val="auto"/>
          <w:sz w:val="28"/>
          <w:szCs w:val="28"/>
          <w:u w:val="single"/>
        </w:rPr>
        <w:t>（被授权人的姓名、职务）</w:t>
      </w:r>
      <w:r>
        <w:rPr>
          <w:rFonts w:hint="eastAsia" w:ascii="仿宋" w:hAnsi="仿宋" w:eastAsia="仿宋" w:cs="仿宋"/>
          <w:color w:val="auto"/>
          <w:sz w:val="28"/>
          <w:szCs w:val="28"/>
        </w:rPr>
        <w:t>为本公司的合法代理人，就</w:t>
      </w:r>
      <w:r>
        <w:rPr>
          <w:rFonts w:hint="eastAsia" w:ascii="仿宋" w:hAnsi="仿宋" w:eastAsia="仿宋" w:cs="仿宋"/>
          <w:color w:val="auto"/>
          <w:sz w:val="28"/>
          <w:szCs w:val="28"/>
          <w:u w:val="single"/>
        </w:rPr>
        <w:t>　（项目名称）　</w:t>
      </w:r>
      <w:r>
        <w:rPr>
          <w:rFonts w:hint="eastAsia" w:ascii="仿宋" w:hAnsi="仿宋" w:eastAsia="仿宋" w:cs="仿宋"/>
          <w:color w:val="auto"/>
          <w:sz w:val="28"/>
          <w:szCs w:val="28"/>
        </w:rPr>
        <w:t>的投标，以本公司的名义处理一切与之有关的事务。</w:t>
      </w:r>
    </w:p>
    <w:p>
      <w:pPr>
        <w:ind w:firstLine="482"/>
        <w:rPr>
          <w:rFonts w:hint="eastAsia" w:ascii="仿宋" w:hAnsi="仿宋" w:eastAsia="仿宋" w:cs="仿宋"/>
          <w:color w:val="auto"/>
          <w:sz w:val="28"/>
          <w:szCs w:val="28"/>
        </w:rPr>
      </w:pPr>
      <w:r>
        <w:rPr>
          <w:rFonts w:hint="eastAsia" w:ascii="仿宋" w:hAnsi="仿宋" w:eastAsia="仿宋" w:cs="仿宋"/>
          <w:color w:val="auto"/>
          <w:sz w:val="28"/>
          <w:szCs w:val="28"/>
        </w:rPr>
        <w:t>本授权书于20</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日签字生效，特此声明。</w:t>
      </w:r>
    </w:p>
    <w:p>
      <w:pPr>
        <w:ind w:firstLine="482"/>
        <w:rPr>
          <w:rFonts w:hint="eastAsia" w:ascii="仿宋" w:hAnsi="仿宋" w:eastAsia="仿宋" w:cs="仿宋"/>
          <w:color w:val="auto"/>
          <w:sz w:val="28"/>
          <w:szCs w:val="28"/>
        </w:rPr>
      </w:pPr>
    </w:p>
    <w:p>
      <w:pPr>
        <w:ind w:firstLine="482"/>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法人身份证正反面：</w:t>
      </w:r>
    </w:p>
    <w:p>
      <w:pPr>
        <w:ind w:firstLine="482"/>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被授权人身份证正反面：</w:t>
      </w:r>
    </w:p>
    <w:p>
      <w:pPr>
        <w:ind w:firstLine="482"/>
        <w:rPr>
          <w:rFonts w:hint="eastAsia" w:ascii="仿宋" w:hAnsi="仿宋" w:eastAsia="仿宋" w:cs="仿宋"/>
          <w:color w:val="auto"/>
          <w:sz w:val="28"/>
          <w:szCs w:val="28"/>
        </w:rPr>
      </w:pPr>
      <w:r>
        <w:rPr>
          <w:rFonts w:hint="eastAsia" w:ascii="仿宋" w:hAnsi="仿宋" w:eastAsia="仿宋" w:cs="仿宋"/>
          <w:color w:val="auto"/>
          <w:sz w:val="28"/>
          <w:szCs w:val="28"/>
        </w:rPr>
        <w:t>法人代表签字</w:t>
      </w:r>
      <w:r>
        <w:rPr>
          <w:rFonts w:hint="eastAsia" w:ascii="仿宋" w:hAnsi="仿宋" w:eastAsia="仿宋" w:cs="仿宋"/>
          <w:color w:val="auto"/>
          <w:sz w:val="28"/>
          <w:szCs w:val="28"/>
          <w:u w:val="single"/>
        </w:rPr>
        <w:t>　　　　　　　　　　　　　　　　　</w:t>
      </w:r>
    </w:p>
    <w:p>
      <w:pPr>
        <w:ind w:firstLine="482"/>
        <w:rPr>
          <w:rFonts w:hint="eastAsia" w:ascii="仿宋" w:hAnsi="仿宋" w:eastAsia="仿宋" w:cs="仿宋"/>
          <w:color w:val="auto"/>
          <w:sz w:val="28"/>
          <w:szCs w:val="28"/>
        </w:rPr>
      </w:pPr>
      <w:r>
        <w:rPr>
          <w:rFonts w:hint="eastAsia" w:ascii="仿宋" w:hAnsi="仿宋" w:eastAsia="仿宋" w:cs="仿宋"/>
          <w:color w:val="auto"/>
          <w:sz w:val="28"/>
          <w:szCs w:val="28"/>
        </w:rPr>
        <w:t>被授权人签字</w:t>
      </w:r>
      <w:r>
        <w:rPr>
          <w:rFonts w:hint="eastAsia" w:ascii="仿宋" w:hAnsi="仿宋" w:eastAsia="仿宋" w:cs="仿宋"/>
          <w:color w:val="auto"/>
          <w:sz w:val="28"/>
          <w:szCs w:val="28"/>
          <w:u w:val="single"/>
        </w:rPr>
        <w:t>　　　　　　　　　　　　　　　　　</w:t>
      </w:r>
    </w:p>
    <w:p>
      <w:pPr>
        <w:ind w:firstLine="482"/>
        <w:rPr>
          <w:rFonts w:hint="eastAsia" w:ascii="仿宋" w:hAnsi="仿宋" w:eastAsia="仿宋" w:cs="仿宋"/>
          <w:color w:val="auto"/>
          <w:sz w:val="28"/>
          <w:szCs w:val="28"/>
          <w:u w:val="single"/>
        </w:rPr>
      </w:pPr>
      <w:r>
        <w:rPr>
          <w:rFonts w:hint="eastAsia" w:ascii="仿宋" w:hAnsi="仿宋" w:eastAsia="仿宋" w:cs="仿宋"/>
          <w:color w:val="auto"/>
          <w:sz w:val="28"/>
          <w:szCs w:val="28"/>
        </w:rPr>
        <w:t>公      章：</w:t>
      </w:r>
      <w:r>
        <w:rPr>
          <w:rFonts w:hint="eastAsia" w:ascii="仿宋" w:hAnsi="仿宋" w:eastAsia="仿宋" w:cs="仿宋"/>
          <w:color w:val="auto"/>
          <w:sz w:val="28"/>
          <w:szCs w:val="28"/>
          <w:u w:val="single"/>
        </w:rPr>
        <w:t xml:space="preserve">                         </w:t>
      </w:r>
    </w:p>
    <w:p>
      <w:pPr>
        <w:pStyle w:val="23"/>
        <w:rPr>
          <w:rFonts w:hint="eastAsia"/>
          <w:color w:val="auto"/>
        </w:rPr>
      </w:pPr>
    </w:p>
    <w:p>
      <w:pPr>
        <w:rPr>
          <w:rFonts w:hint="eastAsia"/>
        </w:rPr>
      </w:pPr>
    </w:p>
    <w:p>
      <w:pPr>
        <w:ind w:firstLine="480"/>
        <w:rPr>
          <w:rFonts w:hint="eastAsia" w:ascii="仿宋" w:hAnsi="仿宋" w:eastAsia="仿宋" w:cs="仿宋"/>
          <w:color w:val="auto"/>
          <w:sz w:val="28"/>
          <w:szCs w:val="28"/>
          <w:u w:val="single"/>
        </w:rPr>
      </w:pPr>
      <w:r>
        <w:rPr>
          <w:rFonts w:hint="eastAsia" w:ascii="仿宋" w:hAnsi="仿宋" w:eastAsia="仿宋" w:cs="仿宋"/>
          <w:color w:val="auto"/>
          <w:sz w:val="28"/>
          <w:szCs w:val="28"/>
        </w:rPr>
        <w:t>　　　　　　　　　　　　　　　授权日期：20</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w:t>
      </w:r>
    </w:p>
    <w:p>
      <w:pPr>
        <w:rPr>
          <w:rFonts w:hint="eastAsia" w:ascii="仿宋" w:hAnsi="仿宋" w:eastAsia="仿宋" w:cs="仿宋"/>
          <w:color w:val="auto"/>
          <w:sz w:val="28"/>
          <w:szCs w:val="28"/>
        </w:rPr>
      </w:pPr>
    </w:p>
    <w:p>
      <w:pPr>
        <w:ind w:firstLine="560" w:firstLineChars="200"/>
        <w:rPr>
          <w:rFonts w:hint="eastAsia" w:ascii="仿宋" w:hAnsi="仿宋" w:eastAsia="仿宋" w:cs="仿宋"/>
          <w:b/>
          <w:color w:val="auto"/>
          <w:sz w:val="28"/>
          <w:szCs w:val="28"/>
        </w:rPr>
      </w:pPr>
      <w:r>
        <w:rPr>
          <w:rFonts w:hint="eastAsia" w:ascii="仿宋" w:hAnsi="仿宋" w:eastAsia="仿宋" w:cs="仿宋"/>
          <w:color w:val="auto"/>
          <w:sz w:val="28"/>
          <w:szCs w:val="28"/>
        </w:rPr>
        <w:t>注：法人代表本人作为公司代理人前来参加投标的投标方，可不提供此项证明文件。</w:t>
      </w:r>
    </w:p>
    <w:p>
      <w:pPr>
        <w:pStyle w:val="22"/>
        <w:spacing w:line="360" w:lineRule="auto"/>
        <w:ind w:firstLine="3614" w:firstLineChars="1200"/>
        <w:rPr>
          <w:rFonts w:hint="eastAsia" w:ascii="宋体" w:hAnsi="宋体"/>
          <w:b/>
          <w:color w:val="auto"/>
          <w:kern w:val="2"/>
          <w:sz w:val="30"/>
          <w:szCs w:val="20"/>
        </w:rPr>
      </w:pPr>
    </w:p>
    <w:p>
      <w:pPr>
        <w:jc w:val="cente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pStyle w:val="23"/>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pStyle w:val="5"/>
        <w:rPr>
          <w:rFonts w:hint="eastAsia" w:ascii="宋体" w:hAnsi="宋体"/>
          <w:b/>
          <w:color w:val="auto"/>
          <w:sz w:val="30"/>
        </w:rPr>
      </w:pPr>
    </w:p>
    <w:p>
      <w:pPr>
        <w:pStyle w:val="5"/>
        <w:rPr>
          <w:rFonts w:hint="eastAsia" w:ascii="宋体" w:hAnsi="宋体"/>
          <w:b/>
          <w:color w:val="auto"/>
          <w:sz w:val="30"/>
        </w:rPr>
      </w:pPr>
    </w:p>
    <w:p>
      <w:pPr>
        <w:pStyle w:val="5"/>
        <w:rPr>
          <w:rFonts w:hint="eastAsia" w:ascii="宋体" w:hAnsi="宋体"/>
          <w:b/>
          <w:color w:val="auto"/>
          <w:sz w:val="30"/>
        </w:rPr>
      </w:pPr>
    </w:p>
    <w:p>
      <w:pPr>
        <w:pStyle w:val="5"/>
        <w:rPr>
          <w:rFonts w:hint="eastAsia" w:ascii="宋体" w:hAnsi="宋体"/>
          <w:b/>
          <w:color w:val="auto"/>
          <w:sz w:val="30"/>
        </w:rPr>
      </w:pPr>
    </w:p>
    <w:p>
      <w:pPr>
        <w:pStyle w:val="5"/>
        <w:rPr>
          <w:rFonts w:hint="eastAsia" w:ascii="宋体" w:hAnsi="宋体"/>
          <w:b/>
          <w:color w:val="auto"/>
          <w:sz w:val="30"/>
        </w:rPr>
      </w:pPr>
    </w:p>
    <w:p>
      <w:pPr>
        <w:pStyle w:val="5"/>
        <w:rPr>
          <w:rFonts w:hint="eastAsia" w:ascii="宋体" w:hAnsi="宋体"/>
          <w:b/>
          <w:color w:val="auto"/>
          <w:sz w:val="30"/>
        </w:rPr>
      </w:pPr>
    </w:p>
    <w:p>
      <w:pPr>
        <w:rPr>
          <w:rFonts w:hint="eastAsia"/>
          <w:color w:val="auto"/>
        </w:rPr>
      </w:pPr>
    </w:p>
    <w:p>
      <w:pPr>
        <w:ind w:firstLine="3213" w:firstLineChars="10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（二十一）业绩表</w:t>
      </w:r>
    </w:p>
    <w:p>
      <w:pPr>
        <w:pStyle w:val="23"/>
        <w:rPr>
          <w:rFonts w:hint="eastAsia"/>
          <w:color w:val="auto"/>
          <w:lang w:val="en-US" w:eastAsia="zh-CN"/>
        </w:rPr>
      </w:pPr>
    </w:p>
    <w:p>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投标人名称（公章）：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招标编号：</w:t>
      </w:r>
      <w:r>
        <w:rPr>
          <w:rFonts w:hint="eastAsia" w:ascii="仿宋" w:hAnsi="仿宋" w:eastAsia="仿宋" w:cs="仿宋"/>
          <w:color w:val="auto"/>
          <w:sz w:val="28"/>
          <w:szCs w:val="28"/>
          <w:u w:val="single"/>
        </w:rPr>
        <w:t>　　　　　　　　　　　</w:t>
      </w:r>
    </w:p>
    <w:p>
      <w:pPr>
        <w:ind w:firstLine="1325" w:firstLineChars="550"/>
        <w:rPr>
          <w:rFonts w:hint="eastAsia" w:ascii="宋体" w:hAnsi="宋体"/>
          <w:b/>
          <w:color w:val="auto"/>
          <w:sz w:val="24"/>
        </w:rPr>
      </w:pPr>
    </w:p>
    <w:tbl>
      <w:tblPr>
        <w:tblStyle w:val="17"/>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780"/>
        <w:gridCol w:w="2232"/>
        <w:gridCol w:w="1682"/>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pStyle w:val="28"/>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地　　区</w:t>
            </w:r>
          </w:p>
        </w:tc>
        <w:tc>
          <w:tcPr>
            <w:tcW w:w="2780" w:type="dxa"/>
            <w:noWrap w:val="0"/>
            <w:vAlign w:val="top"/>
          </w:tcPr>
          <w:p>
            <w:pPr>
              <w:pStyle w:val="28"/>
              <w:spacing w:line="360" w:lineRule="auto"/>
              <w:ind w:right="-107" w:rightChars="-51"/>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2232" w:type="dxa"/>
            <w:noWrap w:val="0"/>
            <w:vAlign w:val="top"/>
          </w:tcPr>
          <w:p>
            <w:pPr>
              <w:pStyle w:val="28"/>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规格及型号</w:t>
            </w:r>
          </w:p>
        </w:tc>
        <w:tc>
          <w:tcPr>
            <w:tcW w:w="1682" w:type="dxa"/>
            <w:noWrap w:val="0"/>
            <w:vAlign w:val="top"/>
          </w:tcPr>
          <w:p>
            <w:pPr>
              <w:pStyle w:val="28"/>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数 量</w:t>
            </w:r>
          </w:p>
        </w:tc>
        <w:tc>
          <w:tcPr>
            <w:tcW w:w="1716" w:type="dxa"/>
            <w:noWrap w:val="0"/>
            <w:vAlign w:val="top"/>
          </w:tcPr>
          <w:p>
            <w:pPr>
              <w:pStyle w:val="28"/>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10" w:type="dxa"/>
            <w:noWrap w:val="0"/>
            <w:vAlign w:val="top"/>
          </w:tcPr>
          <w:p>
            <w:pPr>
              <w:spacing w:line="480" w:lineRule="exact"/>
              <w:rPr>
                <w:rFonts w:hint="eastAsia" w:ascii="仿宋" w:hAnsi="仿宋" w:eastAsia="仿宋" w:cs="仿宋"/>
                <w:color w:val="auto"/>
                <w:sz w:val="24"/>
                <w:szCs w:val="24"/>
              </w:rPr>
            </w:pPr>
          </w:p>
        </w:tc>
        <w:tc>
          <w:tcPr>
            <w:tcW w:w="2780" w:type="dxa"/>
            <w:noWrap w:val="0"/>
            <w:vAlign w:val="top"/>
          </w:tcPr>
          <w:p>
            <w:pPr>
              <w:spacing w:line="480" w:lineRule="exact"/>
              <w:rPr>
                <w:rFonts w:hint="eastAsia" w:ascii="仿宋" w:hAnsi="仿宋" w:eastAsia="仿宋" w:cs="仿宋"/>
                <w:color w:val="auto"/>
                <w:sz w:val="24"/>
                <w:szCs w:val="24"/>
              </w:rPr>
            </w:pPr>
          </w:p>
        </w:tc>
        <w:tc>
          <w:tcPr>
            <w:tcW w:w="2232" w:type="dxa"/>
            <w:noWrap w:val="0"/>
            <w:vAlign w:val="top"/>
          </w:tcPr>
          <w:p>
            <w:pPr>
              <w:spacing w:line="480" w:lineRule="exact"/>
              <w:rPr>
                <w:rFonts w:hint="eastAsia" w:ascii="仿宋" w:hAnsi="仿宋" w:eastAsia="仿宋" w:cs="仿宋"/>
                <w:color w:val="auto"/>
                <w:sz w:val="24"/>
                <w:szCs w:val="24"/>
              </w:rPr>
            </w:pPr>
          </w:p>
        </w:tc>
        <w:tc>
          <w:tcPr>
            <w:tcW w:w="1682" w:type="dxa"/>
            <w:noWrap w:val="0"/>
            <w:vAlign w:val="top"/>
          </w:tcPr>
          <w:p>
            <w:pPr>
              <w:spacing w:line="480" w:lineRule="exact"/>
              <w:rPr>
                <w:rFonts w:hint="eastAsia" w:ascii="仿宋" w:hAnsi="仿宋" w:eastAsia="仿宋" w:cs="仿宋"/>
                <w:color w:val="auto"/>
                <w:sz w:val="24"/>
                <w:szCs w:val="24"/>
              </w:rPr>
            </w:pPr>
          </w:p>
        </w:tc>
        <w:tc>
          <w:tcPr>
            <w:tcW w:w="1716" w:type="dxa"/>
            <w:noWrap w:val="0"/>
            <w:vAlign w:val="top"/>
          </w:tcPr>
          <w:p>
            <w:pPr>
              <w:spacing w:line="48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10" w:type="dxa"/>
            <w:noWrap w:val="0"/>
            <w:vAlign w:val="top"/>
          </w:tcPr>
          <w:p>
            <w:pPr>
              <w:spacing w:line="480" w:lineRule="exact"/>
              <w:rPr>
                <w:rFonts w:hint="eastAsia" w:ascii="仿宋" w:hAnsi="仿宋" w:eastAsia="仿宋" w:cs="仿宋"/>
                <w:color w:val="auto"/>
                <w:sz w:val="24"/>
                <w:szCs w:val="24"/>
              </w:rPr>
            </w:pPr>
          </w:p>
        </w:tc>
        <w:tc>
          <w:tcPr>
            <w:tcW w:w="2780" w:type="dxa"/>
            <w:noWrap w:val="0"/>
            <w:vAlign w:val="top"/>
          </w:tcPr>
          <w:p>
            <w:pPr>
              <w:spacing w:line="480" w:lineRule="exact"/>
              <w:rPr>
                <w:rFonts w:hint="eastAsia" w:ascii="仿宋" w:hAnsi="仿宋" w:eastAsia="仿宋" w:cs="仿宋"/>
                <w:color w:val="auto"/>
                <w:sz w:val="24"/>
                <w:szCs w:val="24"/>
              </w:rPr>
            </w:pPr>
          </w:p>
        </w:tc>
        <w:tc>
          <w:tcPr>
            <w:tcW w:w="2232" w:type="dxa"/>
            <w:noWrap w:val="0"/>
            <w:vAlign w:val="top"/>
          </w:tcPr>
          <w:p>
            <w:pPr>
              <w:spacing w:line="480" w:lineRule="exact"/>
              <w:rPr>
                <w:rFonts w:hint="eastAsia" w:ascii="仿宋" w:hAnsi="仿宋" w:eastAsia="仿宋" w:cs="仿宋"/>
                <w:color w:val="auto"/>
                <w:sz w:val="24"/>
                <w:szCs w:val="24"/>
              </w:rPr>
            </w:pPr>
          </w:p>
        </w:tc>
        <w:tc>
          <w:tcPr>
            <w:tcW w:w="1682" w:type="dxa"/>
            <w:noWrap w:val="0"/>
            <w:vAlign w:val="top"/>
          </w:tcPr>
          <w:p>
            <w:pPr>
              <w:spacing w:line="480" w:lineRule="exact"/>
              <w:rPr>
                <w:rFonts w:hint="eastAsia" w:ascii="仿宋" w:hAnsi="仿宋" w:eastAsia="仿宋" w:cs="仿宋"/>
                <w:color w:val="auto"/>
                <w:sz w:val="24"/>
                <w:szCs w:val="24"/>
              </w:rPr>
            </w:pPr>
          </w:p>
        </w:tc>
        <w:tc>
          <w:tcPr>
            <w:tcW w:w="1716" w:type="dxa"/>
            <w:noWrap w:val="0"/>
            <w:vAlign w:val="top"/>
          </w:tcPr>
          <w:p>
            <w:pPr>
              <w:spacing w:line="48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0" w:type="dxa"/>
            <w:noWrap w:val="0"/>
            <w:vAlign w:val="top"/>
          </w:tcPr>
          <w:p>
            <w:pPr>
              <w:spacing w:line="480" w:lineRule="exact"/>
              <w:rPr>
                <w:rFonts w:hint="eastAsia" w:ascii="仿宋" w:hAnsi="仿宋" w:eastAsia="仿宋" w:cs="仿宋"/>
                <w:color w:val="auto"/>
                <w:sz w:val="24"/>
                <w:szCs w:val="24"/>
              </w:rPr>
            </w:pPr>
          </w:p>
        </w:tc>
        <w:tc>
          <w:tcPr>
            <w:tcW w:w="2780" w:type="dxa"/>
            <w:noWrap w:val="0"/>
            <w:vAlign w:val="top"/>
          </w:tcPr>
          <w:p>
            <w:pPr>
              <w:spacing w:line="480" w:lineRule="exact"/>
              <w:rPr>
                <w:rFonts w:hint="eastAsia" w:ascii="仿宋" w:hAnsi="仿宋" w:eastAsia="仿宋" w:cs="仿宋"/>
                <w:color w:val="auto"/>
                <w:sz w:val="24"/>
                <w:szCs w:val="24"/>
              </w:rPr>
            </w:pPr>
          </w:p>
        </w:tc>
        <w:tc>
          <w:tcPr>
            <w:tcW w:w="2232" w:type="dxa"/>
            <w:noWrap w:val="0"/>
            <w:vAlign w:val="top"/>
          </w:tcPr>
          <w:p>
            <w:pPr>
              <w:spacing w:line="480" w:lineRule="exact"/>
              <w:rPr>
                <w:rFonts w:hint="eastAsia" w:ascii="仿宋" w:hAnsi="仿宋" w:eastAsia="仿宋" w:cs="仿宋"/>
                <w:color w:val="auto"/>
                <w:sz w:val="24"/>
                <w:szCs w:val="24"/>
              </w:rPr>
            </w:pPr>
          </w:p>
        </w:tc>
        <w:tc>
          <w:tcPr>
            <w:tcW w:w="1682" w:type="dxa"/>
            <w:noWrap w:val="0"/>
            <w:vAlign w:val="top"/>
          </w:tcPr>
          <w:p>
            <w:pPr>
              <w:spacing w:line="480" w:lineRule="exact"/>
              <w:rPr>
                <w:rFonts w:hint="eastAsia" w:ascii="仿宋" w:hAnsi="仿宋" w:eastAsia="仿宋" w:cs="仿宋"/>
                <w:color w:val="auto"/>
                <w:sz w:val="24"/>
                <w:szCs w:val="24"/>
              </w:rPr>
            </w:pPr>
          </w:p>
        </w:tc>
        <w:tc>
          <w:tcPr>
            <w:tcW w:w="1716" w:type="dxa"/>
            <w:noWrap w:val="0"/>
            <w:vAlign w:val="top"/>
          </w:tcPr>
          <w:p>
            <w:pPr>
              <w:spacing w:line="48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10" w:type="dxa"/>
            <w:noWrap w:val="0"/>
            <w:vAlign w:val="top"/>
          </w:tcPr>
          <w:p>
            <w:pPr>
              <w:spacing w:line="480" w:lineRule="exact"/>
              <w:rPr>
                <w:rFonts w:hint="eastAsia" w:ascii="仿宋" w:hAnsi="仿宋" w:eastAsia="仿宋" w:cs="仿宋"/>
                <w:color w:val="auto"/>
                <w:sz w:val="24"/>
                <w:szCs w:val="24"/>
              </w:rPr>
            </w:pPr>
          </w:p>
        </w:tc>
        <w:tc>
          <w:tcPr>
            <w:tcW w:w="2780" w:type="dxa"/>
            <w:noWrap w:val="0"/>
            <w:vAlign w:val="top"/>
          </w:tcPr>
          <w:p>
            <w:pPr>
              <w:spacing w:line="480" w:lineRule="exact"/>
              <w:rPr>
                <w:rFonts w:hint="eastAsia" w:ascii="仿宋" w:hAnsi="仿宋" w:eastAsia="仿宋" w:cs="仿宋"/>
                <w:color w:val="auto"/>
                <w:sz w:val="24"/>
                <w:szCs w:val="24"/>
              </w:rPr>
            </w:pPr>
          </w:p>
        </w:tc>
        <w:tc>
          <w:tcPr>
            <w:tcW w:w="2232" w:type="dxa"/>
            <w:noWrap w:val="0"/>
            <w:vAlign w:val="top"/>
          </w:tcPr>
          <w:p>
            <w:pPr>
              <w:spacing w:line="480" w:lineRule="exact"/>
              <w:rPr>
                <w:rFonts w:hint="eastAsia" w:ascii="仿宋" w:hAnsi="仿宋" w:eastAsia="仿宋" w:cs="仿宋"/>
                <w:color w:val="auto"/>
                <w:sz w:val="24"/>
                <w:szCs w:val="24"/>
              </w:rPr>
            </w:pPr>
          </w:p>
        </w:tc>
        <w:tc>
          <w:tcPr>
            <w:tcW w:w="1682" w:type="dxa"/>
            <w:noWrap w:val="0"/>
            <w:vAlign w:val="top"/>
          </w:tcPr>
          <w:p>
            <w:pPr>
              <w:spacing w:line="480" w:lineRule="exact"/>
              <w:rPr>
                <w:rFonts w:hint="eastAsia" w:ascii="仿宋" w:hAnsi="仿宋" w:eastAsia="仿宋" w:cs="仿宋"/>
                <w:color w:val="auto"/>
                <w:sz w:val="24"/>
                <w:szCs w:val="24"/>
              </w:rPr>
            </w:pPr>
          </w:p>
        </w:tc>
        <w:tc>
          <w:tcPr>
            <w:tcW w:w="1716" w:type="dxa"/>
            <w:noWrap w:val="0"/>
            <w:vAlign w:val="top"/>
          </w:tcPr>
          <w:p>
            <w:pPr>
              <w:spacing w:line="48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0" w:type="dxa"/>
            <w:noWrap w:val="0"/>
            <w:vAlign w:val="top"/>
          </w:tcPr>
          <w:p>
            <w:pPr>
              <w:spacing w:line="480" w:lineRule="exact"/>
              <w:rPr>
                <w:rFonts w:hint="eastAsia" w:ascii="仿宋" w:hAnsi="仿宋" w:eastAsia="仿宋" w:cs="仿宋"/>
                <w:color w:val="auto"/>
                <w:sz w:val="24"/>
                <w:szCs w:val="24"/>
              </w:rPr>
            </w:pPr>
          </w:p>
        </w:tc>
        <w:tc>
          <w:tcPr>
            <w:tcW w:w="2780" w:type="dxa"/>
            <w:noWrap w:val="0"/>
            <w:vAlign w:val="top"/>
          </w:tcPr>
          <w:p>
            <w:pPr>
              <w:spacing w:line="480" w:lineRule="exact"/>
              <w:rPr>
                <w:rFonts w:hint="eastAsia" w:ascii="仿宋" w:hAnsi="仿宋" w:eastAsia="仿宋" w:cs="仿宋"/>
                <w:color w:val="auto"/>
                <w:sz w:val="24"/>
                <w:szCs w:val="24"/>
              </w:rPr>
            </w:pPr>
          </w:p>
        </w:tc>
        <w:tc>
          <w:tcPr>
            <w:tcW w:w="2232" w:type="dxa"/>
            <w:noWrap w:val="0"/>
            <w:vAlign w:val="top"/>
          </w:tcPr>
          <w:p>
            <w:pPr>
              <w:spacing w:line="480" w:lineRule="exact"/>
              <w:rPr>
                <w:rFonts w:hint="eastAsia" w:ascii="仿宋" w:hAnsi="仿宋" w:eastAsia="仿宋" w:cs="仿宋"/>
                <w:color w:val="auto"/>
                <w:sz w:val="24"/>
                <w:szCs w:val="24"/>
              </w:rPr>
            </w:pPr>
          </w:p>
        </w:tc>
        <w:tc>
          <w:tcPr>
            <w:tcW w:w="1682" w:type="dxa"/>
            <w:noWrap w:val="0"/>
            <w:vAlign w:val="top"/>
          </w:tcPr>
          <w:p>
            <w:pPr>
              <w:spacing w:line="480" w:lineRule="exact"/>
              <w:rPr>
                <w:rFonts w:hint="eastAsia" w:ascii="仿宋" w:hAnsi="仿宋" w:eastAsia="仿宋" w:cs="仿宋"/>
                <w:color w:val="auto"/>
                <w:sz w:val="24"/>
                <w:szCs w:val="24"/>
              </w:rPr>
            </w:pPr>
          </w:p>
        </w:tc>
        <w:tc>
          <w:tcPr>
            <w:tcW w:w="1716" w:type="dxa"/>
            <w:noWrap w:val="0"/>
            <w:vAlign w:val="top"/>
          </w:tcPr>
          <w:p>
            <w:pPr>
              <w:spacing w:line="48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10" w:type="dxa"/>
            <w:noWrap w:val="0"/>
            <w:vAlign w:val="top"/>
          </w:tcPr>
          <w:p>
            <w:pPr>
              <w:spacing w:line="480" w:lineRule="exact"/>
              <w:rPr>
                <w:rFonts w:hint="eastAsia" w:ascii="仿宋" w:hAnsi="仿宋" w:eastAsia="仿宋" w:cs="仿宋"/>
                <w:color w:val="auto"/>
                <w:sz w:val="24"/>
                <w:szCs w:val="24"/>
              </w:rPr>
            </w:pPr>
          </w:p>
        </w:tc>
        <w:tc>
          <w:tcPr>
            <w:tcW w:w="2780" w:type="dxa"/>
            <w:noWrap w:val="0"/>
            <w:vAlign w:val="top"/>
          </w:tcPr>
          <w:p>
            <w:pPr>
              <w:spacing w:line="480" w:lineRule="exact"/>
              <w:rPr>
                <w:rFonts w:hint="eastAsia" w:ascii="仿宋" w:hAnsi="仿宋" w:eastAsia="仿宋" w:cs="仿宋"/>
                <w:color w:val="auto"/>
                <w:sz w:val="24"/>
                <w:szCs w:val="24"/>
              </w:rPr>
            </w:pPr>
          </w:p>
        </w:tc>
        <w:tc>
          <w:tcPr>
            <w:tcW w:w="2232" w:type="dxa"/>
            <w:noWrap w:val="0"/>
            <w:vAlign w:val="top"/>
          </w:tcPr>
          <w:p>
            <w:pPr>
              <w:spacing w:line="480" w:lineRule="exact"/>
              <w:rPr>
                <w:rFonts w:hint="eastAsia" w:ascii="仿宋" w:hAnsi="仿宋" w:eastAsia="仿宋" w:cs="仿宋"/>
                <w:color w:val="auto"/>
                <w:sz w:val="24"/>
                <w:szCs w:val="24"/>
              </w:rPr>
            </w:pPr>
          </w:p>
        </w:tc>
        <w:tc>
          <w:tcPr>
            <w:tcW w:w="1682" w:type="dxa"/>
            <w:noWrap w:val="0"/>
            <w:vAlign w:val="top"/>
          </w:tcPr>
          <w:p>
            <w:pPr>
              <w:spacing w:line="480" w:lineRule="exact"/>
              <w:rPr>
                <w:rFonts w:hint="eastAsia" w:ascii="仿宋" w:hAnsi="仿宋" w:eastAsia="仿宋" w:cs="仿宋"/>
                <w:color w:val="auto"/>
                <w:sz w:val="24"/>
                <w:szCs w:val="24"/>
              </w:rPr>
            </w:pPr>
          </w:p>
        </w:tc>
        <w:tc>
          <w:tcPr>
            <w:tcW w:w="1716" w:type="dxa"/>
            <w:noWrap w:val="0"/>
            <w:vAlign w:val="top"/>
          </w:tcPr>
          <w:p>
            <w:pPr>
              <w:spacing w:line="480" w:lineRule="exact"/>
              <w:rPr>
                <w:rFonts w:hint="eastAsia" w:ascii="仿宋" w:hAnsi="仿宋" w:eastAsia="仿宋" w:cs="仿宋"/>
                <w:color w:val="auto"/>
                <w:sz w:val="24"/>
                <w:szCs w:val="24"/>
              </w:rPr>
            </w:pPr>
          </w:p>
        </w:tc>
      </w:tr>
    </w:tbl>
    <w:p>
      <w:pPr>
        <w:widowControl/>
        <w:spacing w:before="100" w:beforeAutospacing="1" w:after="100" w:afterAutospacing="1" w:line="360" w:lineRule="auto"/>
        <w:ind w:firstLine="897"/>
        <w:jc w:val="left"/>
        <w:rPr>
          <w:rFonts w:hint="eastAsia" w:ascii="宋体" w:hAnsi="宋体"/>
          <w:color w:val="auto"/>
          <w:sz w:val="24"/>
        </w:rPr>
      </w:pPr>
    </w:p>
    <w:p>
      <w:pPr>
        <w:widowControl/>
        <w:spacing w:before="100" w:beforeAutospacing="1" w:after="100" w:afterAutospacing="1" w:line="360" w:lineRule="auto"/>
        <w:ind w:firstLine="897"/>
        <w:jc w:val="left"/>
        <w:rPr>
          <w:rFonts w:hint="eastAsia" w:ascii="宋体" w:hAnsi="宋体"/>
          <w:color w:val="auto"/>
          <w:sz w:val="24"/>
        </w:rPr>
      </w:pPr>
    </w:p>
    <w:p>
      <w:pPr>
        <w:rPr>
          <w:rFonts w:hint="eastAsia"/>
          <w:color w:val="auto"/>
        </w:rPr>
      </w:pPr>
    </w:p>
    <w:p>
      <w:pPr>
        <w:widowControl w:val="0"/>
        <w:adjustRightInd w:val="0"/>
        <w:snapToGrid w:val="0"/>
        <w:spacing w:line="360" w:lineRule="auto"/>
        <w:jc w:val="left"/>
        <w:rPr>
          <w:rFonts w:hint="eastAsia" w:ascii="仿宋" w:hAnsi="仿宋" w:eastAsia="仿宋" w:cs="仿宋"/>
          <w:color w:val="auto"/>
          <w:kern w:val="2"/>
          <w:sz w:val="28"/>
          <w:szCs w:val="28"/>
          <w:lang w:val="en-US" w:eastAsia="zh-Hans" w:bidi="ar-SA"/>
        </w:rPr>
      </w:pPr>
    </w:p>
    <w:p>
      <w:pPr>
        <w:pStyle w:val="14"/>
        <w:jc w:val="both"/>
        <w:rPr>
          <w:rFonts w:hint="eastAsia" w:ascii="宋体" w:hAnsi="宋体"/>
          <w:b/>
          <w:color w:val="auto"/>
          <w:sz w:val="30"/>
        </w:rPr>
      </w:pPr>
    </w:p>
    <w:p>
      <w:pPr>
        <w:pStyle w:val="14"/>
        <w:jc w:val="both"/>
        <w:rPr>
          <w:rFonts w:hint="eastAsia" w:ascii="宋体" w:hAnsi="宋体"/>
          <w:b/>
          <w:color w:val="auto"/>
          <w:sz w:val="30"/>
        </w:rPr>
      </w:pPr>
    </w:p>
    <w:p>
      <w:pPr>
        <w:pStyle w:val="14"/>
        <w:jc w:val="both"/>
        <w:rPr>
          <w:rFonts w:hint="eastAsia" w:ascii="宋体" w:hAnsi="宋体"/>
          <w:b/>
          <w:color w:val="auto"/>
          <w:sz w:val="30"/>
        </w:rPr>
      </w:pPr>
    </w:p>
    <w:p>
      <w:pPr>
        <w:pStyle w:val="23"/>
        <w:jc w:val="both"/>
        <w:rPr>
          <w:rFonts w:hint="eastAsia"/>
          <w:color w:val="auto"/>
        </w:rPr>
      </w:pPr>
    </w:p>
    <w:p>
      <w:pPr>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6"/>
        <w:rPr>
          <w:rFonts w:hint="eastAsia"/>
          <w:color w:val="auto"/>
        </w:rPr>
      </w:pPr>
    </w:p>
    <w:p>
      <w:pPr>
        <w:pStyle w:val="5"/>
        <w:ind w:left="0" w:leftChars="0" w:firstLine="0" w:firstLineChars="0"/>
        <w:rPr>
          <w:rFonts w:hint="eastAsia"/>
          <w:color w:val="auto"/>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8"/>
          <w:sz w:val="32"/>
          <w:szCs w:val="32"/>
        </w:rPr>
      </w:pPr>
      <w:r>
        <w:rPr>
          <w:rFonts w:hint="eastAsia" w:ascii="仿宋" w:hAnsi="仿宋" w:eastAsia="仿宋" w:cs="仿宋"/>
          <w:b/>
          <w:bCs w:val="0"/>
          <w:color w:val="auto"/>
          <w:sz w:val="32"/>
          <w:szCs w:val="32"/>
          <w:lang w:val="en-US" w:eastAsia="zh-CN"/>
        </w:rPr>
        <w:t>（二十二）</w:t>
      </w:r>
      <w:r>
        <w:rPr>
          <w:rStyle w:val="20"/>
          <w:rFonts w:ascii="宋体" w:hAnsi="宋体" w:eastAsia="宋体" w:cs="宋体"/>
          <w:i w:val="0"/>
          <w:iCs w:val="0"/>
          <w:caps w:val="0"/>
          <w:color w:val="auto"/>
          <w:spacing w:val="8"/>
          <w:sz w:val="32"/>
          <w:szCs w:val="32"/>
          <w:shd w:val="clear" w:color="auto" w:fill="FFFFFF"/>
        </w:rPr>
        <w:t>中小企业声明函(货物)</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32"/>
          <w:szCs w:val="32"/>
        </w:rPr>
      </w:pPr>
    </w:p>
    <w:p>
      <w:pPr>
        <w:keepNext w:val="0"/>
        <w:keepLines w:val="0"/>
        <w:widowControl/>
        <w:suppressLineNumbers w:val="0"/>
        <w:jc w:val="left"/>
        <w:rPr>
          <w:color w:val="auto"/>
          <w:sz w:val="32"/>
          <w:szCs w:val="32"/>
        </w:rPr>
      </w:pPr>
      <w:r>
        <w:rPr>
          <w:rFonts w:hint="eastAsia" w:ascii="仿宋" w:hAnsi="仿宋" w:eastAsia="仿宋" w:cs="仿宋"/>
          <w:color w:val="auto"/>
          <w:kern w:val="0"/>
          <w:sz w:val="32"/>
          <w:szCs w:val="32"/>
          <w:lang w:val="en-US" w:eastAsia="zh-CN" w:bidi="ar"/>
        </w:rPr>
        <w:t>本公司(联合体)郑重声明，根据《政府采购促进中小企业发展管理办法》(财库</w:t>
      </w:r>
      <w:r>
        <w:rPr>
          <w:rFonts w:ascii="宋体" w:hAnsi="宋体" w:eastAsia="宋体" w:cs="宋体"/>
          <w:color w:val="auto"/>
          <w:kern w:val="0"/>
          <w:sz w:val="32"/>
          <w:szCs w:val="32"/>
          <w:lang w:val="en-US" w:eastAsia="zh-CN" w:bidi="ar"/>
        </w:rPr>
        <w:t>〔</w:t>
      </w:r>
      <w:r>
        <w:rPr>
          <w:rFonts w:hint="eastAsia" w:ascii="仿宋" w:hAnsi="仿宋" w:eastAsia="仿宋" w:cs="仿宋"/>
          <w:color w:val="auto"/>
          <w:kern w:val="0"/>
          <w:sz w:val="32"/>
          <w:szCs w:val="32"/>
          <w:lang w:val="en-US" w:eastAsia="zh-CN" w:bidi="ar"/>
        </w:rPr>
        <w:t>2020</w:t>
      </w:r>
      <w:r>
        <w:rPr>
          <w:rFonts w:ascii="宋体" w:hAnsi="宋体" w:eastAsia="宋体" w:cs="宋体"/>
          <w:color w:val="auto"/>
          <w:kern w:val="0"/>
          <w:sz w:val="32"/>
          <w:szCs w:val="32"/>
          <w:lang w:val="en-US" w:eastAsia="zh-CN" w:bidi="ar"/>
        </w:rPr>
        <w:t>〕</w:t>
      </w:r>
      <w:r>
        <w:rPr>
          <w:rFonts w:hint="eastAsia" w:ascii="仿宋" w:hAnsi="仿宋" w:eastAsia="仿宋" w:cs="仿宋"/>
          <w:color w:val="auto"/>
          <w:kern w:val="0"/>
          <w:sz w:val="32"/>
          <w:szCs w:val="32"/>
          <w:lang w:val="en-US" w:eastAsia="zh-CN" w:bidi="ar"/>
        </w:rPr>
        <w:t>46 号)的规定，本公司 (联合体)参加(单位名称)的(项目名称)采购活动，提 供的货物全部由符合政策要求的中小企业制造。相关企业 (含联合体中的中小企业、签订分包意向协议的中小企业) 的具体情况如下:</w:t>
      </w:r>
    </w:p>
    <w:p>
      <w:pPr>
        <w:keepNext w:val="0"/>
        <w:keepLines w:val="0"/>
        <w:widowControl/>
        <w:suppressLineNumbers w:val="0"/>
        <w:jc w:val="left"/>
        <w:rPr>
          <w:color w:val="auto"/>
          <w:sz w:val="32"/>
          <w:szCs w:val="32"/>
        </w:rPr>
      </w:pPr>
      <w:r>
        <w:rPr>
          <w:rFonts w:ascii="宋体" w:hAnsi="宋体" w:eastAsia="宋体" w:cs="宋体"/>
          <w:color w:val="auto"/>
          <w:kern w:val="0"/>
          <w:sz w:val="32"/>
          <w:szCs w:val="32"/>
          <w:lang w:val="en-US" w:eastAsia="zh-CN" w:bidi="ar"/>
        </w:rPr>
        <w:br w:type="textWrapping"/>
      </w:r>
      <w:r>
        <w:rPr>
          <w:rFonts w:hint="eastAsia" w:ascii="仿宋" w:hAnsi="仿宋" w:eastAsia="仿宋" w:cs="仿宋"/>
          <w:color w:val="auto"/>
          <w:kern w:val="0"/>
          <w:sz w:val="32"/>
          <w:szCs w:val="32"/>
          <w:lang w:val="en-US" w:eastAsia="zh-CN" w:bidi="ar"/>
        </w:rPr>
        <w:t>1. (标的名称) ，属于(采购文件中明确的所属行业) 行业;制造商为(企业名称)，从业人员 人，营业收 入为 万元，资产总额为 万元，属于(中型企业、小 型企业、微型企业);</w:t>
      </w:r>
    </w:p>
    <w:p>
      <w:pPr>
        <w:keepNext w:val="0"/>
        <w:keepLines w:val="0"/>
        <w:widowControl/>
        <w:suppressLineNumbers w:val="0"/>
        <w:jc w:val="left"/>
        <w:rPr>
          <w:color w:val="auto"/>
          <w:sz w:val="32"/>
          <w:szCs w:val="32"/>
        </w:rPr>
      </w:pPr>
      <w:r>
        <w:rPr>
          <w:rFonts w:ascii="宋体" w:hAnsi="宋体" w:eastAsia="宋体" w:cs="宋体"/>
          <w:color w:val="auto"/>
          <w:kern w:val="0"/>
          <w:sz w:val="32"/>
          <w:szCs w:val="32"/>
          <w:lang w:val="en-US" w:eastAsia="zh-CN" w:bidi="ar"/>
        </w:rPr>
        <w:br w:type="textWrapping"/>
      </w:r>
      <w:r>
        <w:rPr>
          <w:rFonts w:hint="eastAsia" w:ascii="仿宋" w:hAnsi="仿宋" w:eastAsia="仿宋" w:cs="仿宋"/>
          <w:color w:val="auto"/>
          <w:kern w:val="0"/>
          <w:sz w:val="32"/>
          <w:szCs w:val="32"/>
          <w:lang w:val="en-US" w:eastAsia="zh-CN" w:bidi="ar"/>
        </w:rPr>
        <w:t>2. (标的名称) ，属于(采购文件中明确的所属行业) 行业;制造商为(企业名称)，从业人员 人，营业收入 为 万元，资产总额为 万元，属于(中型企业、小型 企业、微型企业);......</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color="auto" w:fill="FFFFFF"/>
        </w:rPr>
        <w:t>以上企业，不属于大企业的分支机构，不存在控股股东为大企业的情形，也不存在与大企业的负责人为同一人的情形。</w:t>
      </w:r>
    </w:p>
    <w:p>
      <w:pPr>
        <w:keepNext w:val="0"/>
        <w:keepLines w:val="0"/>
        <w:widowControl/>
        <w:suppressLineNumbers w:val="0"/>
        <w:jc w:val="left"/>
        <w:rPr>
          <w:i w:val="0"/>
          <w:iCs w:val="0"/>
          <w:caps w:val="0"/>
          <w:color w:val="auto"/>
          <w:spacing w:val="8"/>
          <w:sz w:val="32"/>
          <w:szCs w:val="32"/>
        </w:rPr>
      </w:pPr>
      <w:r>
        <w:rPr>
          <w:rFonts w:hint="eastAsia" w:ascii="仿宋" w:hAnsi="仿宋" w:eastAsia="仿宋" w:cs="仿宋"/>
          <w:color w:val="auto"/>
          <w:kern w:val="0"/>
          <w:sz w:val="32"/>
          <w:szCs w:val="32"/>
          <w:lang w:val="en-US" w:eastAsia="zh-CN" w:bidi="ar"/>
        </w:rPr>
        <w:t>本企业对上述声明内容的真实性负责。如有虚假，将依</w:t>
      </w:r>
      <w:r>
        <w:rPr>
          <w:rFonts w:hint="eastAsia" w:ascii="仿宋" w:hAnsi="仿宋" w:eastAsia="仿宋" w:cs="仿宋"/>
          <w:i w:val="0"/>
          <w:iCs w:val="0"/>
          <w:caps w:val="0"/>
          <w:color w:val="auto"/>
          <w:spacing w:val="8"/>
          <w:sz w:val="32"/>
          <w:szCs w:val="32"/>
          <w:shd w:val="clear" w:color="auto" w:fill="FFFFFF"/>
        </w:rPr>
        <w:t>法承担相应责任。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color="auto" w:fill="FFFFFF"/>
        </w:rPr>
        <w:t>                                                                                     企业名称(盖章):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color="auto" w:fill="FFFFFF"/>
        </w:rPr>
        <w:t>                                                                                     日期:</w:t>
      </w:r>
    </w:p>
    <w:p>
      <w:pPr>
        <w:keepNext w:val="0"/>
        <w:keepLines w:val="0"/>
        <w:widowControl/>
        <w:suppressLineNumbers w:val="0"/>
        <w:ind w:firstLine="640"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从业人员、营业收入、资产总额填报上一年度数据，无上一年度数据的新成立企业可不填报。</w:t>
      </w:r>
    </w:p>
    <w:p/>
    <w:p/>
    <w:sectPr>
      <w:footerReference r:id="rId12" w:type="first"/>
      <w:headerReference r:id="rId10" w:type="default"/>
      <w:footerReference r:id="rId11" w:type="default"/>
      <w:pgSz w:w="11900" w:h="16840"/>
      <w:pgMar w:top="1440" w:right="1531" w:bottom="1440" w:left="1531" w:header="851" w:footer="992" w:gutter="0"/>
      <w:pgNumType w:fmt="decimal"/>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ngsana New">
    <w:altName w:val="Times New Roman"/>
    <w:panose1 w:val="02020603050405020304"/>
    <w:charset w:val="00"/>
    <w:family w:val="roman"/>
    <w:pitch w:val="default"/>
    <w:sig w:usb0="00000000" w:usb1="00000000" w:usb2="00000000" w:usb3="00000000" w:csb0="00010001" w:csb1="00000000"/>
  </w:font>
  <w:font w:name="Songti SC Bold">
    <w:altName w:val="微软雅黑"/>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swiss"/>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彩虹小标宋">
    <w:altName w:val="方正小标宋简体"/>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ascii="Times New Roman" w:hAnsi="Times New Roman" w:eastAsia="Arial Unicode MS"/>
        <w:color w:val="auto"/>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lang w:val="en-US"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path/>
              <v:fill on="f" focussize="0,0"/>
              <v:stroke on="f"/>
              <v:imagedata o:title=""/>
              <o:lock v:ext="edit" aspectratio="f"/>
              <v:textbox inset="0mm,0mm,0mm,0mm" style="mso-fit-shape-to-text:t;">
                <w:txbxContent>
                  <w:p>
                    <w:pPr>
                      <w:pStyle w:val="1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r>
      <w:rPr>
        <w:rFonts w:hint="eastAsia" w:ascii="彩虹小标宋" w:eastAsia="彩虹小标宋"/>
        <w:bCs/>
        <w:i/>
        <w:u w:val="single"/>
        <w:lang w:eastAsia="zh-CN"/>
      </w:rPr>
      <w:t>新疆维吾尔自治区哈密市公共资源交易服务中心</w:t>
    </w:r>
    <w:r>
      <w:rPr>
        <w:rFonts w:hint="eastAsia" w:ascii="彩虹小标宋" w:eastAsia="彩虹小标宋"/>
        <w:b/>
        <w:bCs/>
        <w:i/>
        <w:u w:val="single"/>
        <w:lang w:eastAsia="zh-CN"/>
      </w:rPr>
      <w:t xml:space="preserve">                                </w:t>
    </w:r>
    <w:r>
      <w:rPr>
        <w:rFonts w:hint="eastAsia" w:ascii="彩虹小标宋" w:eastAsia="彩虹小标宋"/>
        <w:bCs/>
        <w:i/>
        <w:u w:val="single"/>
        <w:lang w:eastAsia="zh-CN"/>
      </w:rPr>
      <w:t xml:space="preserve"> 电话:0902---</w:t>
    </w:r>
    <w:r>
      <w:rPr>
        <w:rFonts w:hint="default" w:ascii="彩虹小标宋" w:eastAsia="彩虹小标宋"/>
        <w:bCs/>
        <w:i/>
        <w:u w:val="single"/>
        <w:lang w:val="en-US" w:eastAsia="zh-CN"/>
      </w:rPr>
      <w:t>2206007</w: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36</w:t>
                    </w:r>
                    <w:r>
                      <w:fldChar w:fldCharType="end"/>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101</w:t>
                    </w:r>
                    <w:r>
                      <w:fldChar w:fldCharType="end"/>
                    </w:r>
                  </w:p>
                </w:txbxContent>
              </v:textbox>
            </v:shape>
          </w:pict>
        </mc:Fallback>
      </mc:AlternateContent>
    </w:r>
    <w:r>
      <w:rPr>
        <w:rFonts w:hint="eastAsia" w:ascii="彩虹小标宋" w:eastAsia="彩虹小标宋"/>
        <w:bCs/>
        <w:i/>
        <w:u w:val="single"/>
        <w:lang w:eastAsia="zh-CN"/>
      </w:rPr>
      <w:t>新疆维吾尔自治区哈密市公共资源交易服务中心</w:t>
    </w:r>
    <w:r>
      <w:rPr>
        <w:rFonts w:hint="eastAsia" w:ascii="彩虹小标宋" w:eastAsia="彩虹小标宋"/>
        <w:b/>
        <w:bCs/>
        <w:i/>
        <w:u w:val="single"/>
        <w:lang w:eastAsia="zh-CN"/>
      </w:rPr>
      <w:t xml:space="preserve">                                </w:t>
    </w:r>
    <w:r>
      <w:rPr>
        <w:rFonts w:hint="eastAsia" w:ascii="彩虹小标宋" w:eastAsia="彩虹小标宋"/>
        <w:bCs/>
        <w:i/>
        <w:u w:val="single"/>
        <w:lang w:eastAsia="zh-CN"/>
      </w:rPr>
      <w:t xml:space="preserve"> 电话:0902---</w:t>
    </w:r>
    <w:r>
      <w:rPr>
        <w:rFonts w:hint="default" w:ascii="彩虹小标宋" w:eastAsia="彩虹小标宋"/>
        <w:bCs/>
        <w:i/>
        <w:u w:val="single"/>
        <w:lang w:val="en-US" w:eastAsia="zh-CN"/>
      </w:rPr>
      <w:t>2206007</w:t>
    </w:r>
  </w:p>
  <w:p>
    <w:pPr>
      <w:pStyle w:val="29"/>
      <w:jc w:val="both"/>
      <w:rPr>
        <w:rFonts w:ascii="Times New Roman" w:hAnsi="Times New Roman" w:eastAsia="Arial Unicode MS"/>
        <w:color w:val="auto"/>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100</w:t>
                    </w:r>
                    <w:r>
                      <w:fldChar w:fldCharType="end"/>
                    </w:r>
                  </w:p>
                </w:txbxContent>
              </v:textbox>
            </v:shape>
          </w:pict>
        </mc:Fallback>
      </mc:AlternateContent>
    </w:r>
    <w:r>
      <w:rPr>
        <w:rFonts w:hint="eastAsia" w:ascii="彩虹小标宋" w:eastAsia="彩虹小标宋"/>
        <w:bCs/>
        <w:i/>
        <w:u w:val="single"/>
        <w:lang w:eastAsia="zh-CN"/>
      </w:rPr>
      <w:t>新疆维吾尔自治区哈密市公共资源交易服务中心</w:t>
    </w:r>
    <w:r>
      <w:rPr>
        <w:rFonts w:hint="eastAsia" w:ascii="彩虹小标宋" w:eastAsia="彩虹小标宋"/>
        <w:b/>
        <w:bCs/>
        <w:i/>
        <w:u w:val="single"/>
        <w:lang w:eastAsia="zh-CN"/>
      </w:rPr>
      <w:t xml:space="preserve">                                </w:t>
    </w:r>
    <w:r>
      <w:rPr>
        <w:rFonts w:hint="eastAsia" w:ascii="彩虹小标宋" w:eastAsia="彩虹小标宋"/>
        <w:bCs/>
        <w:i/>
        <w:u w:val="single"/>
        <w:lang w:eastAsia="zh-CN"/>
      </w:rPr>
      <w:t xml:space="preserve"> 电话:0902---</w:t>
    </w:r>
    <w:r>
      <w:rPr>
        <w:rFonts w:hint="eastAsia" w:ascii="彩虹小标宋" w:eastAsia="彩虹小标宋"/>
        <w:bCs/>
        <w:i/>
        <w:u w:val="single"/>
        <w:lang w:val="en-US" w:eastAsia="zh-CN"/>
      </w:rPr>
      <w:t>2260175</w:t>
    </w:r>
  </w:p>
  <w:p>
    <w:pPr>
      <w:tabs>
        <w:tab w:val="left" w:pos="7347"/>
      </w:tabs>
      <w:rPr>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rPr>
        <w:lang w:eastAsia="zh-CN"/>
      </w:rPr>
    </w:pPr>
    <w:r>
      <w:rPr>
        <w:rFonts w:hint="eastAsia" w:ascii="楷体_GB2312" w:eastAsia="楷体_GB2312"/>
        <w:bCs/>
        <w:lang w:eastAsia="zh-CN"/>
      </w:rPr>
      <w:t>公平 公开 公正                                   新疆维吾尔自治区哈密市公共资源交易服务中心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rPr>
        <w:lang w:eastAsia="zh-CN"/>
      </w:rPr>
    </w:pPr>
    <w:r>
      <w:rPr>
        <w:rFonts w:hint="eastAsia" w:ascii="楷体_GB2312" w:eastAsia="楷体_GB2312"/>
        <w:bCs/>
        <w:lang w:eastAsia="zh-CN"/>
      </w:rPr>
      <w:t>公平 公开 公正                                          新疆维吾尔自治区哈密市公共资源交易服务中心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rPr>
        <w:lang w:eastAsia="zh-CN"/>
      </w:rPr>
    </w:pPr>
    <w:r>
      <w:rPr>
        <w:rFonts w:hint="eastAsia" w:ascii="楷体_GB2312" w:eastAsia="楷体_GB2312"/>
        <w:bCs/>
      </w:rPr>
      <w:t xml:space="preserve">公平 公开 公正                                      </w:t>
    </w:r>
    <w:r>
      <w:rPr>
        <w:rFonts w:hint="eastAsia" w:ascii="楷体_GB2312" w:eastAsia="楷体_GB2312"/>
        <w:bCs/>
        <w:lang w:val="en-US" w:eastAsia="zh-CN"/>
      </w:rPr>
      <w:t xml:space="preserve">  </w:t>
    </w:r>
    <w:r>
      <w:rPr>
        <w:rFonts w:hint="eastAsia" w:ascii="楷体_GB2312" w:eastAsia="楷体_GB2312"/>
        <w:bCs/>
      </w:rPr>
      <w:t xml:space="preserve">  </w:t>
    </w:r>
    <w:r>
      <w:rPr>
        <w:rFonts w:hint="eastAsia" w:ascii="楷体_GB2312" w:eastAsia="楷体_GB2312"/>
        <w:bCs/>
        <w:lang w:eastAsia="zh-CN"/>
      </w:rPr>
      <w:t>新疆维吾尔自治区哈密市公共资源交易服务中心</w:t>
    </w:r>
  </w:p>
  <w:p>
    <w:pPr>
      <w:pStyle w:val="13"/>
      <w:jc w:val="both"/>
      <w:rPr>
        <w:rFonts w:hint="eastAsia" w:ascii="楷体_GB2312" w:eastAsia="楷体_GB2312"/>
        <w:bCs/>
      </w:rPr>
    </w:pP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B0B4D"/>
    <w:multiLevelType w:val="singleLevel"/>
    <w:tmpl w:val="88CB0B4D"/>
    <w:lvl w:ilvl="0" w:tentative="0">
      <w:start w:val="2"/>
      <w:numFmt w:val="chineseCounting"/>
      <w:suff w:val="space"/>
      <w:lvlText w:val="第%1部分"/>
      <w:lvlJc w:val="left"/>
      <w:rPr>
        <w:rFonts w:hint="eastAsia"/>
      </w:rPr>
    </w:lvl>
  </w:abstractNum>
  <w:abstractNum w:abstractNumId="1">
    <w:nsid w:val="A4C0CEC0"/>
    <w:multiLevelType w:val="singleLevel"/>
    <w:tmpl w:val="A4C0CEC0"/>
    <w:lvl w:ilvl="0" w:tentative="0">
      <w:start w:val="8"/>
      <w:numFmt w:val="chineseCounting"/>
      <w:suff w:val="nothing"/>
      <w:lvlText w:val="（%1）"/>
      <w:lvlJc w:val="left"/>
      <w:rPr>
        <w:rFonts w:hint="eastAsia"/>
      </w:rPr>
    </w:lvl>
  </w:abstractNum>
  <w:abstractNum w:abstractNumId="2">
    <w:nsid w:val="29C35491"/>
    <w:multiLevelType w:val="singleLevel"/>
    <w:tmpl w:val="29C35491"/>
    <w:lvl w:ilvl="0" w:tentative="0">
      <w:start w:val="3"/>
      <w:numFmt w:val="chineseCounting"/>
      <w:suff w:val="nothing"/>
      <w:lvlText w:val="第%1章、"/>
      <w:lvlJc w:val="left"/>
      <w:rPr>
        <w:rFonts w:hint="eastAsia"/>
      </w:rPr>
    </w:lvl>
  </w:abstractNum>
  <w:abstractNum w:abstractNumId="3">
    <w:nsid w:val="3D65EE67"/>
    <w:multiLevelType w:val="singleLevel"/>
    <w:tmpl w:val="3D65EE67"/>
    <w:lvl w:ilvl="0" w:tentative="0">
      <w:start w:val="16"/>
      <w:numFmt w:val="chineseCounting"/>
      <w:suff w:val="nothing"/>
      <w:lvlText w:val="（%1）"/>
      <w:lvlJc w:val="left"/>
      <w:rPr>
        <w:rFonts w:hint="eastAsia"/>
      </w:rPr>
    </w:lvl>
  </w:abstractNum>
  <w:abstractNum w:abstractNumId="4">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5">
    <w:nsid w:val="5CC5E957"/>
    <w:multiLevelType w:val="singleLevel"/>
    <w:tmpl w:val="5CC5E957"/>
    <w:lvl w:ilvl="0" w:tentative="0">
      <w:start w:val="1"/>
      <w:numFmt w:val="decimal"/>
      <w:suff w:val="nothing"/>
      <w:lvlText w:val="%1、"/>
      <w:lvlJc w:val="left"/>
    </w:lvl>
  </w:abstractNum>
  <w:abstractNum w:abstractNumId="6">
    <w:nsid w:val="5D9B57E9"/>
    <w:multiLevelType w:val="singleLevel"/>
    <w:tmpl w:val="5D9B57E9"/>
    <w:lvl w:ilvl="0" w:tentative="0">
      <w:start w:val="1"/>
      <w:numFmt w:val="chineseCounting"/>
      <w:suff w:val="nothing"/>
      <w:lvlText w:val="%1、"/>
      <w:lvlJc w:val="left"/>
      <w:rPr>
        <w:rFonts w:hint="eastAsia"/>
      </w:rPr>
    </w:lvl>
  </w:abstractNum>
  <w:abstractNum w:abstractNumId="7">
    <w:nsid w:val="70173B42"/>
    <w:multiLevelType w:val="singleLevel"/>
    <w:tmpl w:val="70173B42"/>
    <w:lvl w:ilvl="0" w:tentative="0">
      <w:start w:val="6"/>
      <w:numFmt w:val="chineseCounting"/>
      <w:suff w:val="space"/>
      <w:lvlText w:val="第%1部分"/>
      <w:lvlJc w:val="left"/>
      <w:rPr>
        <w:rFonts w:hint="eastAsia"/>
      </w:rPr>
    </w:lvl>
  </w:abstractNum>
  <w:num w:numId="1">
    <w:abstractNumId w:val="0"/>
  </w:num>
  <w:num w:numId="2">
    <w:abstractNumId w:val="2"/>
  </w:num>
  <w:num w:numId="3">
    <w:abstractNumId w:val="6"/>
  </w:num>
  <w:num w:numId="4">
    <w:abstractNumId w:val="7"/>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95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5"/>
    <w:qFormat/>
    <w:uiPriority w:val="0"/>
    <w:pPr>
      <w:keepNext/>
      <w:keepLines/>
      <w:widowControl w:val="0"/>
      <w:spacing w:before="260" w:beforeLines="0" w:after="260" w:afterLines="0" w:line="415" w:lineRule="auto"/>
      <w:outlineLvl w:val="2"/>
    </w:pPr>
    <w:rPr>
      <w:rFonts w:cs="Angsana New"/>
      <w:b/>
      <w:bCs/>
      <w:sz w:val="32"/>
      <w:szCs w:val="32"/>
      <w:lang w:bidi="th-TH"/>
    </w:rPr>
  </w:style>
  <w:style w:type="character" w:default="1" w:styleId="19">
    <w:name w:val="Default Paragraph Font"/>
    <w:semiHidden/>
    <w:uiPriority w:val="0"/>
  </w:style>
  <w:style w:type="table" w:default="1" w:styleId="17">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toa heading"/>
    <w:basedOn w:val="1"/>
    <w:next w:val="1"/>
    <w:qFormat/>
    <w:uiPriority w:val="99"/>
    <w:pPr>
      <w:spacing w:before="120"/>
    </w:pPr>
    <w:rPr>
      <w:rFonts w:ascii="Arial" w:hAnsi="Arial" w:eastAsia="仿宋"/>
      <w:sz w:val="24"/>
      <w:szCs w:val="20"/>
    </w:rPr>
  </w:style>
  <w:style w:type="paragraph" w:styleId="7">
    <w:name w:val="Body Text"/>
    <w:basedOn w:val="1"/>
    <w:next w:val="1"/>
    <w:qFormat/>
    <w:uiPriority w:val="99"/>
    <w:pPr>
      <w:widowControl/>
      <w:jc w:val="left"/>
    </w:pPr>
    <w:rPr>
      <w:kern w:val="0"/>
      <w:sz w:val="24"/>
      <w:szCs w:val="20"/>
    </w:rPr>
  </w:style>
  <w:style w:type="paragraph" w:styleId="8">
    <w:name w:val="Body Text Indent"/>
    <w:basedOn w:val="1"/>
    <w:next w:val="9"/>
    <w:qFormat/>
    <w:uiPriority w:val="0"/>
    <w:pPr>
      <w:spacing w:line="600" w:lineRule="exact"/>
      <w:ind w:firstLine="720"/>
    </w:pPr>
    <w:rPr>
      <w:rFonts w:ascii="仿宋_GB2312" w:eastAsia="仿宋_GB2312"/>
      <w:sz w:val="32"/>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rPr>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qFormat/>
    <w:uiPriority w:val="0"/>
    <w:pPr>
      <w:adjustRightInd w:val="0"/>
      <w:spacing w:line="312" w:lineRule="atLeast"/>
      <w:jc w:val="left"/>
      <w:textAlignment w:val="baseline"/>
    </w:pPr>
    <w:rPr>
      <w:rFonts w:ascii="Times New Roman" w:hAnsi="Times New Roman"/>
      <w:kern w:val="0"/>
      <w:sz w:val="18"/>
      <w:szCs w:val="2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0" w:after="0" w:afterAutospacing="0"/>
      <w:ind w:left="0" w:right="0"/>
      <w:jc w:val="left"/>
    </w:pPr>
    <w:rPr>
      <w:kern w:val="0"/>
      <w:sz w:val="24"/>
      <w:lang w:val="en-US" w:eastAsia="zh-CN" w:bidi="ar"/>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paragraph" w:customStyle="1" w:styleId="21">
    <w:name w:val="正文 A"/>
    <w:qFormat/>
    <w:uiPriority w:val="0"/>
    <w:pPr>
      <w:widowControl w:val="0"/>
      <w:spacing w:line="360" w:lineRule="auto"/>
      <w:ind w:firstLine="472"/>
      <w:jc w:val="both"/>
    </w:pPr>
    <w:rPr>
      <w:rFonts w:ascii="Songti SC Bold" w:hAnsi="Arial Unicode MS" w:eastAsia="Arial Unicode MS" w:cs="Arial Unicode MS"/>
      <w:color w:val="000000"/>
      <w:sz w:val="24"/>
      <w:szCs w:val="24"/>
      <w:lang w:val="zh-Hans" w:eastAsia="zh-Hans" w:bidi="ar-SA"/>
    </w:rPr>
  </w:style>
  <w:style w:type="paragraph" w:customStyle="1" w:styleId="2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3">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4">
    <w:name w:val="Normal_0"/>
    <w:qFormat/>
    <w:uiPriority w:val="0"/>
    <w:rPr>
      <w:rFonts w:ascii="Times New Roman" w:hAnsi="Times New Roman" w:eastAsia="Times New Roman" w:cs="Times New Roman"/>
      <w:sz w:val="24"/>
      <w:szCs w:val="24"/>
      <w:lang w:bidi="ar-SA"/>
    </w:rPr>
  </w:style>
  <w:style w:type="character" w:customStyle="1" w:styleId="25">
    <w:name w:val="font31"/>
    <w:basedOn w:val="19"/>
    <w:qFormat/>
    <w:uiPriority w:val="0"/>
    <w:rPr>
      <w:rFonts w:hint="eastAsia" w:ascii="宋体" w:hAnsi="宋体" w:eastAsia="宋体" w:cs="宋体"/>
      <w:b/>
      <w:bCs/>
      <w:color w:val="000000"/>
      <w:sz w:val="20"/>
      <w:szCs w:val="20"/>
      <w:u w:val="none"/>
    </w:rPr>
  </w:style>
  <w:style w:type="paragraph" w:customStyle="1" w:styleId="26">
    <w:name w:val="正文文本1"/>
    <w:qFormat/>
    <w:uiPriority w:val="0"/>
    <w:pPr>
      <w:widowControl w:val="0"/>
      <w:jc w:val="both"/>
    </w:pPr>
    <w:rPr>
      <w:rFonts w:ascii="宋体" w:hAnsi="宋体" w:eastAsia="宋体" w:cs="宋体"/>
      <w:b/>
      <w:bCs/>
      <w:color w:val="000000"/>
      <w:sz w:val="44"/>
      <w:szCs w:val="44"/>
      <w:lang w:val="en-US" w:eastAsia="zh-CN" w:bidi="ar-SA"/>
    </w:rPr>
  </w:style>
  <w:style w:type="paragraph" w:customStyle="1" w:styleId="2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2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页脚1"/>
    <w:qFormat/>
    <w:uiPriority w:val="0"/>
    <w:pPr>
      <w:widowControl w:val="0"/>
      <w:tabs>
        <w:tab w:val="center" w:pos="4153"/>
        <w:tab w:val="right" w:pos="8306"/>
      </w:tabs>
    </w:pPr>
    <w:rPr>
      <w:rFonts w:ascii="宋体" w:hAnsi="宋体" w:eastAsia="宋体" w:cs="宋体"/>
      <w:color w:val="00000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28246</Words>
  <Characters>30912</Characters>
  <Lines>0</Lines>
  <Paragraphs>0</Paragraphs>
  <TotalTime>0</TotalTime>
  <ScaleCrop>false</ScaleCrop>
  <LinksUpToDate>false</LinksUpToDate>
  <CharactersWithSpaces>33120</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2024-07-18T03:56:01Z</dcterms:created>
  <dc:creator>Administrator</dc:creator>
  <cp:lastModifiedBy>Administrator</cp:lastModifiedBy>
  <dcterms:modified xsi:type="dcterms:W3CDTF">2024-07-18T03:56:32Z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D151087BB0374AA4BC7FF1E8BC6BF3CE</vt:lpwstr>
  </property>
</Properties>
</file>