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71554">
      <w:pPr>
        <w:pStyle w:val="14"/>
        <w:widowControl/>
        <w:ind w:left="0" w:leftChars="0" w:firstLine="0" w:firstLineChars="0"/>
        <w:jc w:val="left"/>
        <w:rPr>
          <w:rFonts w:hint="default" w:ascii="宋体" w:hAnsi="宋体" w:eastAsia="宋体" w:cs="Times New Roman"/>
          <w:b/>
          <w:bCs/>
          <w:color w:val="auto"/>
          <w:w w:val="95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w w:val="95"/>
          <w:kern w:val="2"/>
          <w:sz w:val="36"/>
          <w:szCs w:val="36"/>
          <w:highlight w:val="none"/>
          <w:lang w:val="en-US" w:eastAsia="zh-CN" w:bidi="ar-SA"/>
        </w:rPr>
        <w:t>克拉玛依市第五中学、第十中学食堂劳务派遣服务采购项目</w:t>
      </w:r>
      <w:r>
        <w:rPr>
          <w:rFonts w:hint="eastAsia" w:ascii="宋体" w:hAnsi="宋体" w:cs="Times New Roman"/>
          <w:b/>
          <w:bCs/>
          <w:color w:val="auto"/>
          <w:w w:val="95"/>
          <w:kern w:val="2"/>
          <w:sz w:val="36"/>
          <w:szCs w:val="36"/>
          <w:highlight w:val="none"/>
          <w:lang w:val="en-US" w:eastAsia="zh-CN" w:bidi="ar-SA"/>
        </w:rPr>
        <w:t>评分表</w:t>
      </w:r>
    </w:p>
    <w:p w14:paraId="398A4963"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1FE160C"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采购项目评分表</w:t>
      </w:r>
    </w:p>
    <w:tbl>
      <w:tblPr>
        <w:tblStyle w:val="11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70"/>
        <w:gridCol w:w="908"/>
        <w:gridCol w:w="6941"/>
      </w:tblGrid>
      <w:tr w14:paraId="4DAF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A4D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37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BA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90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5D4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分值</w:t>
            </w:r>
          </w:p>
          <w:p w14:paraId="08BA14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范围</w:t>
            </w:r>
          </w:p>
        </w:tc>
        <w:tc>
          <w:tcPr>
            <w:tcW w:w="6941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2514C3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评分说明</w:t>
            </w:r>
          </w:p>
        </w:tc>
      </w:tr>
      <w:tr w14:paraId="74B9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20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6D4AF9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技术商务评分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C15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报价分</w:t>
            </w:r>
          </w:p>
          <w:p w14:paraId="49B84CD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75E19B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0-10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596C1F14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文件要求且报价最低的投标报价为评标基准价，其价格分为满分，其他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的价格分统一按照下列公式计算：</w:t>
            </w:r>
          </w:p>
          <w:p w14:paraId="4EAAE62C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报价得分=（评标基准价/投标报价）*100*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分值计算保留两位小数。   </w:t>
            </w:r>
          </w:p>
        </w:tc>
      </w:tr>
      <w:tr w14:paraId="2BF3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29C04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F76CAC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履约能力（25分）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3A034C9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F151713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企业具有餐饮服务相关体系认证资质的 (如：食品安全、职业健康安全、 环境管理、质量管理、危害分析体系证等) ，每项得1分，最多得 5 分</w:t>
            </w:r>
          </w:p>
        </w:tc>
      </w:tr>
      <w:tr w14:paraId="6906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7AD3A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9710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FCC3266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BFB9470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近3年企业获得区级或以上荣誉较多，反馈意见良好等，每项荣誉得1分、每项售后意见得0.5分，最多得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分。（附相关证明材料加盖公章、同类荣誉只算一个、同一业主只算一个）</w:t>
            </w:r>
          </w:p>
        </w:tc>
      </w:tr>
      <w:tr w14:paraId="447A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CE1AA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E2E67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857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27FCE6A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2159411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  <w:t>近三年承担过同类项目业绩，否属于有效业绩由评审委员会根据供应商项目业绩中服务内容、技术特点等与本项目的类似程度进行认定。每具有一个业绩得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  <w:t>分，并附清晰可见的业绩证明资料（中标通知书或成交通知书或合同），最多得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  <w:t>分，未附业绩证明资料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或提供证明资料模糊不清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  <w:t>的不得分。</w:t>
            </w:r>
          </w:p>
        </w:tc>
      </w:tr>
      <w:tr w14:paraId="7539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F44A5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2788C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7B4F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D9DF807"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供应商信誉度较高，服务反馈意见良好等。每一项得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分，最多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分， (同一项目只限提供一份，附相关证明材料加盖公章) ，反馈意见良好</w:t>
            </w:r>
          </w:p>
        </w:tc>
      </w:tr>
      <w:tr w14:paraId="5AF9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999C0C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1A52D1C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服务方案（65分）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17B2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0-10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9C8A017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供应商根据对项目的调研和对项目需求的理解程度，提供项目前期调研及项目需求的调研论证说明，进行横向对比。前期调研细致充分，对项目的服务内容理解全面深刻的得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7-10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分；前期调研了解，对项目的理解准确的得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分；前期调研了解一般的得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 (提供书面调研材料)</w:t>
            </w:r>
          </w:p>
        </w:tc>
      </w:tr>
      <w:tr w14:paraId="6DCE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55DE2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28FF81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0FF0"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0-10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A3D1A13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配置专职管理员、专职食品卫生安全管理员、高级厨师、中级厨师、服务员等，各供应商人员配备进行横向对比，项目团队配备人员齐全、合理、完全满足服务要求较好的，得5-10分；一般得2-5分；项目团队配备方案差得1-2分。</w:t>
            </w:r>
          </w:p>
          <w:p w14:paraId="7F428C5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（以上人员须提供相应证件如：身份证、健康证、厨师证等，及近两个月社保缴纳证明，不提供不得分）</w:t>
            </w:r>
          </w:p>
        </w:tc>
      </w:tr>
      <w:tr w14:paraId="7AE8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6B50E2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9EB3DB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E3D4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0-10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B156A07"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持有具体的食堂配餐方案,充分满足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就餐人员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健康、多样化需求，保证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就餐人员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膳食的营养性、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丰富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性；有详细具体的食品加工流程及标准；有膳食安排计划、提供完善、详细餐厅服务管理流程及标准等，内容具体、合理，操作性强得7-10分；内容具体，操作性一般得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-7分；内容较差的得0-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分；不提供不得分。</w:t>
            </w:r>
          </w:p>
        </w:tc>
      </w:tr>
      <w:tr w14:paraId="6EF2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DA149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4904F7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C2D7">
            <w:pPr>
              <w:jc w:val="center"/>
              <w:rPr>
                <w:rFonts w:hint="default" w:ascii="宋体" w:hAnsi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0-10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61C512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食品质量安全控制方案包含原料的验收、存储安全、食品生产安全、食品质量控制等内容。</w:t>
            </w:r>
          </w:p>
          <w:p w14:paraId="6576164E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方案周到、切实可行、安全可靠、管理到位得7-10分；</w:t>
            </w:r>
          </w:p>
          <w:p w14:paraId="3BCF56F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全面切合实际、无漏项、管理需加强得3-7分；</w:t>
            </w:r>
          </w:p>
          <w:p w14:paraId="054DD083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全面不足、可行、安全、管理不到位得0-3分；</w:t>
            </w:r>
          </w:p>
        </w:tc>
      </w:tr>
      <w:tr w14:paraId="1342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B7D1C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695918">
            <w:pPr>
              <w:pStyle w:val="2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B0A2F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818166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卫生管理方案包含餐品的卫生方案、厨房设施的卫生管理方案、用餐餐具卫生管理方案、保持就餐环境卫生方案等内容</w:t>
            </w:r>
          </w:p>
          <w:p w14:paraId="0F0DCEA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卫生管理方案健全、严格合理得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496F639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卫生管理方案健全、一般严格得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7519380D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卫生管理方案不可行得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分；未考虑的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5019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361F56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15ED68">
            <w:pPr>
              <w:pStyle w:val="2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42E3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D486A5F">
            <w:pPr>
              <w:pStyle w:val="13"/>
              <w:jc w:val="both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int="eastAsia" w:hAnsi="宋体" w:cs="Times New Roman"/>
                <w:color w:val="auto"/>
                <w:kern w:val="2"/>
              </w:rPr>
              <w:t>针对各类紧急、突发情况提供预案，详细的组织方案、各类情况考虑周全、可行性强、措施合理，得</w:t>
            </w:r>
            <w:r>
              <w:rPr>
                <w:rFonts w:hint="eastAsia" w:hAnsi="宋体" w:cs="Times New Roman"/>
                <w:color w:val="auto"/>
                <w:kern w:val="2"/>
                <w:lang w:val="en-US" w:eastAsia="zh-CN"/>
              </w:rPr>
              <w:t>3-5</w:t>
            </w:r>
            <w:r>
              <w:rPr>
                <w:rFonts w:hint="eastAsia" w:hAnsi="宋体" w:cs="Times New Roman"/>
                <w:color w:val="auto"/>
                <w:kern w:val="2"/>
              </w:rPr>
              <w:t>分；</w:t>
            </w:r>
            <w:r>
              <w:rPr>
                <w:rFonts w:hAnsi="宋体" w:cs="Times New Roman"/>
                <w:color w:val="auto"/>
                <w:kern w:val="2"/>
              </w:rPr>
              <w:t xml:space="preserve"> </w:t>
            </w:r>
          </w:p>
          <w:p w14:paraId="0B8D4942">
            <w:pPr>
              <w:pStyle w:val="13"/>
              <w:jc w:val="both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int="eastAsia" w:hAnsi="宋体" w:cs="Times New Roman"/>
                <w:color w:val="auto"/>
                <w:kern w:val="2"/>
              </w:rPr>
              <w:t>提供了完整的组织方案、各类情况考虑基本全面、基本可行性、有一定针对性，得</w:t>
            </w:r>
            <w:r>
              <w:rPr>
                <w:rFonts w:hint="eastAsia" w:hAnsi="宋体" w:cs="Times New Roman"/>
                <w:color w:val="auto"/>
                <w:kern w:val="2"/>
                <w:lang w:val="en-US" w:eastAsia="zh-CN"/>
              </w:rPr>
              <w:t>2-3</w:t>
            </w:r>
            <w:r>
              <w:rPr>
                <w:rFonts w:hint="eastAsia" w:hAnsi="宋体" w:cs="Times New Roman"/>
                <w:color w:val="auto"/>
                <w:kern w:val="2"/>
              </w:rPr>
              <w:t>分；</w:t>
            </w:r>
            <w:r>
              <w:rPr>
                <w:rFonts w:hAnsi="宋体" w:cs="Times New Roman"/>
                <w:color w:val="auto"/>
                <w:kern w:val="2"/>
              </w:rPr>
              <w:t xml:space="preserve"> </w:t>
            </w:r>
          </w:p>
          <w:p w14:paraId="64A56536">
            <w:pPr>
              <w:pStyle w:val="13"/>
              <w:jc w:val="both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int="eastAsia" w:hAnsi="宋体" w:cs="Times New Roman"/>
                <w:color w:val="auto"/>
                <w:kern w:val="2"/>
              </w:rPr>
              <w:t>提供的组织方案有缺漏、情况考虑不完整、缺乏可行性和针对性，得</w:t>
            </w:r>
            <w:r>
              <w:rPr>
                <w:rFonts w:hint="eastAsia" w:hAnsi="宋体" w:cs="Times New Roman"/>
                <w:color w:val="auto"/>
                <w:kern w:val="2"/>
                <w:lang w:val="en-US" w:eastAsia="zh-CN"/>
              </w:rPr>
              <w:t>0-2</w:t>
            </w:r>
            <w:r>
              <w:rPr>
                <w:rFonts w:hint="eastAsia" w:hAnsi="宋体" w:cs="Times New Roman"/>
                <w:color w:val="auto"/>
                <w:kern w:val="2"/>
              </w:rPr>
              <w:t>分；</w:t>
            </w:r>
            <w:r>
              <w:rPr>
                <w:rFonts w:hAnsi="宋体" w:cs="Times New Roman"/>
                <w:color w:val="auto"/>
                <w:kern w:val="2"/>
              </w:rPr>
              <w:t xml:space="preserve"> </w:t>
            </w:r>
          </w:p>
          <w:p w14:paraId="5C0ABD90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未提供相关内容，得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分。</w:t>
            </w:r>
          </w:p>
        </w:tc>
      </w:tr>
      <w:tr w14:paraId="59CF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3A29A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21CB8B">
            <w:pPr>
              <w:pStyle w:val="2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40A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1DBD6C1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供应商针对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重大活动、人流高峰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等提供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保障方案</w:t>
            </w:r>
          </w:p>
          <w:p w14:paraId="3338536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保障方案内容全面、针对性强，执行科学可行，得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分； </w:t>
            </w:r>
          </w:p>
          <w:p w14:paraId="1ED787A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保障方案内容较全面、针对性较强，执行较科学可行，得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2-3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分； </w:t>
            </w:r>
          </w:p>
          <w:p w14:paraId="7A498E91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保障方案内容较全面、针对性一般，可执行性一般，得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分； </w:t>
            </w:r>
          </w:p>
          <w:p w14:paraId="7276A8A2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未提供或保障方案内容全面性、针对性、可执行性差，得0分。</w:t>
            </w:r>
          </w:p>
        </w:tc>
      </w:tr>
      <w:tr w14:paraId="155F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FE4C0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F6554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179BAF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55B01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承诺服务期内定期对相关人员培训、考核；</w:t>
            </w:r>
          </w:p>
          <w:p w14:paraId="05741DC1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培训方案多样化、内容详细、清晰完整、切实可行，使之人员更加专业化。对个人素质、专业能力、职业道德、工作满意度等方面进行日常考核，设置合理、 有力的奖惩方案，能确保拟投入人员严格履行岗位职责，得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3-5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分； </w:t>
            </w:r>
          </w:p>
          <w:p w14:paraId="5619633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培训方案单一、内容简要、可操作性一般，日常考核及奖惩方案的合理性一般， 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2-3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分； </w:t>
            </w:r>
          </w:p>
          <w:p w14:paraId="4FFE9E3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培训方案较差、内容简要、可操作性较差，日常考核及奖惩方案的合理性较差， 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0-2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分； </w:t>
            </w:r>
          </w:p>
          <w:p w14:paraId="53A33C2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未提供或人员日常培训、考核方案的完整、合理性差，得 0 分</w:t>
            </w:r>
          </w:p>
        </w:tc>
      </w:tr>
      <w:tr w14:paraId="5147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8903BF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60A2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3DE04B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968641E">
            <w:pPr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有完善的人员资薪酬管理体系和制度保障，能保证薪酬安全可靠，及时发放；并在标书中书面承诺不拖欠劳务人员薪酬得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分。</w:t>
            </w:r>
          </w:p>
        </w:tc>
      </w:tr>
      <w:tr w14:paraId="5040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CE9B6F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9E18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8881D1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0-5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C81DF0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fill="FFFFFF"/>
              </w:rPr>
              <w:t>根据本项目实际情况，以及对本项目现场了解情况，各供应商提出贴合实际的合理化建议，提出的合理化建议针对性强，可行性较强得4-5分；提出的合理化建议针对性一般、基本可行的得2-3分 ；针对本项目提出的合理化建议针对性较差、可行性一般的得0-1分。</w:t>
            </w:r>
          </w:p>
        </w:tc>
      </w:tr>
      <w:tr w14:paraId="3BB7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879AD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总分</w:t>
            </w:r>
          </w:p>
        </w:tc>
        <w:tc>
          <w:tcPr>
            <w:tcW w:w="90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D90D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100分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C809E1C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57CF7812"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93167"/>
    <w:rsid w:val="08A148C2"/>
    <w:rsid w:val="11975C51"/>
    <w:rsid w:val="18653133"/>
    <w:rsid w:val="29E3170A"/>
    <w:rsid w:val="38DA464B"/>
    <w:rsid w:val="3D5C6D91"/>
    <w:rsid w:val="49FC64D8"/>
    <w:rsid w:val="4C60295E"/>
    <w:rsid w:val="5CF72B1A"/>
    <w:rsid w:val="71F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宋体" w:hAnsi="宋体" w:eastAsia="仿宋" w:cs="Times New Roman"/>
      <w:b/>
      <w:spacing w:val="6"/>
      <w:kern w:val="44"/>
      <w:sz w:val="32"/>
      <w:szCs w:val="22"/>
      <w:lang w:eastAsia="en-US" w:bidi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1"/>
    </w:pPr>
    <w:rPr>
      <w:rFonts w:ascii="Arial" w:hAnsi="Arial" w:eastAsia="仿宋" w:cs="Times New Roman"/>
      <w:b/>
      <w:spacing w:val="6"/>
      <w:sz w:val="30"/>
      <w:szCs w:val="22"/>
      <w:lang w:eastAsia="en-US" w:bidi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120" w:beforeLines="50" w:after="120" w:afterLines="50"/>
      <w:ind w:firstLine="0" w:firstLineChars="0"/>
      <w:jc w:val="center"/>
      <w:outlineLvl w:val="2"/>
    </w:pPr>
    <w:rPr>
      <w:rFonts w:ascii="Cambria" w:hAnsi="Cambria" w:eastAsia="仿宋" w:cs="Times New Roman"/>
      <w:b/>
      <w:bCs/>
      <w:spacing w:val="0"/>
      <w:sz w:val="28"/>
      <w:szCs w:val="22"/>
      <w:lang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autoSpaceDE w:val="0"/>
      <w:autoSpaceDN w:val="0"/>
      <w:adjustRightInd w:val="0"/>
      <w:spacing w:before="40" w:after="40" w:line="320" w:lineRule="atLeast"/>
      <w:ind w:firstLine="357"/>
      <w:textAlignment w:val="baseline"/>
    </w:pPr>
    <w:rPr>
      <w:sz w:val="1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2"/>
    <w:semiHidden/>
    <w:qFormat/>
    <w:uiPriority w:val="0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Arial" w:hAnsi="Arial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1871</Words>
  <Characters>1978</Characters>
  <Lines>0</Lines>
  <Paragraphs>0</Paragraphs>
  <TotalTime>285</TotalTime>
  <ScaleCrop>false</ScaleCrop>
  <LinksUpToDate>false</LinksUpToDate>
  <CharactersWithSpaces>2005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2025-01-24T05:27:00Z</dcterms:created>
  <dc:creator>奔赴.</dc:creator>
  <cp:lastModifiedBy>文文&amp;Rui</cp:lastModifiedBy>
  <cp:lastPrinted>2025-02-21T03:11:00Z</cp:lastPrinted>
  <dcterms:modified xsi:type="dcterms:W3CDTF">2025-03-11T08:11:43Z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33E938FB21494C1581FFA91190535B43_11</vt:lpwstr>
  </property>
  <property fmtid="{D5CDD505-2E9C-101B-9397-08002B2CF9AE}" pid="4" name="KSOTemplateDocerSaveRecord">
    <vt:lpwstr>eyJoZGlkIjoiN2RkNmQ2YTc0MjcyZDdiOWJhODAwYTcxODVjOGNkYzIiLCJ1c2VySWQiOiI2NjEzMTM0OTgifQ==</vt:lpwstr>
  </property>
</Properties>
</file>