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sz w:val="84"/>
          <w:szCs w:val="84"/>
          <w:highlight w:val="none"/>
        </w:rPr>
      </w:pPr>
      <w:r>
        <w:rPr>
          <w:highlight w:val="none"/>
        </w:rPr>
        <w:drawing>
          <wp:anchor distT="0" distB="0" distL="114300" distR="114300" simplePos="0" relativeHeight="251659264" behindDoc="1" locked="0" layoutInCell="1" allowOverlap="1">
            <wp:simplePos x="0" y="0"/>
            <wp:positionH relativeFrom="column">
              <wp:posOffset>3171190</wp:posOffset>
            </wp:positionH>
            <wp:positionV relativeFrom="paragraph">
              <wp:posOffset>-346075</wp:posOffset>
            </wp:positionV>
            <wp:extent cx="2390775" cy="10001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rcRect l="14278" t="20805" r="19109" b="18851"/>
                    <a:stretch>
                      <a:fillRect/>
                    </a:stretch>
                  </pic:blipFill>
                  <pic:spPr>
                    <a:xfrm>
                      <a:off x="0" y="0"/>
                      <a:ext cx="2390775" cy="10001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sz w:val="84"/>
          <w:szCs w:val="84"/>
          <w:highlight w:val="none"/>
        </w:rPr>
      </w:pPr>
    </w:p>
    <w:p>
      <w:pPr>
        <w:jc w:val="center"/>
        <w:rPr>
          <w:rFonts w:hint="eastAsia" w:ascii="宋体" w:hAnsi="宋体" w:cs="宋体"/>
          <w:b/>
          <w:sz w:val="56"/>
          <w:szCs w:val="56"/>
          <w:highlight w:val="none"/>
        </w:rPr>
      </w:pPr>
    </w:p>
    <w:p>
      <w:pPr>
        <w:jc w:val="center"/>
        <w:rPr>
          <w:rFonts w:hint="eastAsia" w:ascii="宋体" w:hAnsi="宋体" w:eastAsia="宋体" w:cs="宋体"/>
          <w:b/>
          <w:sz w:val="84"/>
          <w:szCs w:val="84"/>
          <w:highlight w:val="none"/>
          <w:lang w:eastAsia="zh-CN"/>
        </w:rPr>
      </w:pPr>
      <w:r>
        <w:rPr>
          <w:rFonts w:hint="eastAsia" w:ascii="宋体" w:hAnsi="宋体" w:cs="宋体"/>
          <w:b/>
          <w:sz w:val="56"/>
          <w:szCs w:val="56"/>
          <w:highlight w:val="none"/>
          <w:lang w:eastAsia="zh-CN"/>
        </w:rPr>
        <w:t>阜康市第一中学理、化学科教室设备购置项目</w:t>
      </w:r>
    </w:p>
    <w:p>
      <w:pPr>
        <w:jc w:val="center"/>
        <w:rPr>
          <w:rFonts w:hint="eastAsia" w:ascii="宋体" w:hAnsi="宋体" w:cs="宋体"/>
          <w:b/>
          <w:sz w:val="84"/>
          <w:szCs w:val="84"/>
          <w:highlight w:val="none"/>
        </w:rPr>
      </w:pPr>
    </w:p>
    <w:p>
      <w:pPr>
        <w:jc w:val="center"/>
        <w:rPr>
          <w:rFonts w:hint="eastAsia" w:ascii="宋体" w:hAnsi="宋体" w:cs="宋体"/>
          <w:b/>
          <w:sz w:val="84"/>
          <w:szCs w:val="84"/>
          <w:highlight w:val="none"/>
        </w:rPr>
      </w:pPr>
    </w:p>
    <w:p>
      <w:pPr>
        <w:jc w:val="center"/>
        <w:rPr>
          <w:rFonts w:hint="eastAsia" w:ascii="宋体" w:hAnsi="宋体" w:cs="宋体"/>
          <w:b/>
          <w:sz w:val="84"/>
          <w:szCs w:val="84"/>
          <w:highlight w:val="none"/>
        </w:rPr>
      </w:pPr>
      <w:r>
        <w:rPr>
          <w:rFonts w:hint="eastAsia" w:ascii="宋体" w:hAnsi="宋体" w:cs="宋体"/>
          <w:b/>
          <w:sz w:val="56"/>
          <w:szCs w:val="56"/>
          <w:highlight w:val="none"/>
        </w:rPr>
        <w:t>竞争性磋商文件</w:t>
      </w:r>
    </w:p>
    <w:p>
      <w:pPr>
        <w:pStyle w:val="15"/>
        <w:spacing w:before="120" w:after="120"/>
        <w:ind w:firstLine="880"/>
        <w:jc w:val="center"/>
        <w:rPr>
          <w:rFonts w:hint="eastAsia" w:hAnsi="宋体" w:cs="宋体"/>
          <w:bCs/>
          <w:sz w:val="44"/>
          <w:highlight w:val="none"/>
        </w:rPr>
      </w:pPr>
    </w:p>
    <w:p>
      <w:pPr>
        <w:pStyle w:val="16"/>
        <w:rPr>
          <w:rFonts w:hint="eastAsia"/>
        </w:rPr>
      </w:pPr>
    </w:p>
    <w:p>
      <w:pPr>
        <w:spacing w:line="360" w:lineRule="auto"/>
        <w:jc w:val="center"/>
        <w:rPr>
          <w:rFonts w:hint="eastAsia" w:ascii="宋体" w:hAnsi="宋体" w:cs="宋体"/>
          <w:b/>
          <w:sz w:val="72"/>
          <w:highlight w:val="none"/>
        </w:rPr>
      </w:pPr>
    </w:p>
    <w:p>
      <w:pPr>
        <w:pStyle w:val="2"/>
        <w:rPr>
          <w:rFonts w:hint="eastAsia"/>
        </w:rPr>
      </w:pPr>
    </w:p>
    <w:p>
      <w:pPr>
        <w:tabs>
          <w:tab w:val="left" w:pos="3240"/>
          <w:tab w:val="left" w:pos="3420"/>
        </w:tabs>
        <w:spacing w:line="360" w:lineRule="auto"/>
        <w:ind w:left="3024" w:leftChars="400" w:hanging="2184" w:hangingChars="400"/>
        <w:jc w:val="left"/>
        <w:rPr>
          <w:rFonts w:hint="default" w:ascii="宋体" w:hAnsi="宋体" w:eastAsia="宋体" w:cs="宋体"/>
          <w:bCs/>
          <w:sz w:val="28"/>
          <w:szCs w:val="28"/>
          <w:highlight w:val="none"/>
          <w:u w:val="single"/>
          <w:lang w:eastAsia="zh-CN"/>
        </w:rPr>
      </w:pPr>
      <w:r>
        <w:rPr>
          <w:rFonts w:hint="eastAsia" w:ascii="宋体" w:hAnsi="宋体" w:cs="宋体"/>
          <w:bCs/>
          <w:spacing w:val="133"/>
          <w:kern w:val="0"/>
          <w:sz w:val="28"/>
          <w:szCs w:val="28"/>
          <w:highlight w:val="none"/>
          <w:fitText w:val="1920" w:id="1611862931"/>
        </w:rPr>
        <w:t>项目名</w:t>
      </w:r>
      <w:r>
        <w:rPr>
          <w:rFonts w:hint="eastAsia" w:ascii="宋体" w:hAnsi="宋体" w:cs="宋体"/>
          <w:bCs/>
          <w:spacing w:val="1"/>
          <w:kern w:val="0"/>
          <w:sz w:val="28"/>
          <w:szCs w:val="28"/>
          <w:highlight w:val="none"/>
          <w:fitText w:val="1920" w:id="1611862931"/>
        </w:rPr>
        <w:t>称</w:t>
      </w:r>
      <w:r>
        <w:rPr>
          <w:rFonts w:hint="eastAsia" w:ascii="宋体" w:hAnsi="宋体" w:cs="宋体"/>
          <w:bCs/>
          <w:sz w:val="28"/>
          <w:szCs w:val="28"/>
          <w:highlight w:val="none"/>
        </w:rPr>
        <w:t>：</w:t>
      </w:r>
      <w:r>
        <w:rPr>
          <w:rFonts w:hint="eastAsia" w:ascii="宋体" w:hAnsi="宋体" w:cs="宋体"/>
          <w:bCs/>
          <w:sz w:val="28"/>
          <w:szCs w:val="28"/>
          <w:highlight w:val="none"/>
          <w:u w:val="single"/>
          <w:lang w:eastAsia="zh-CN"/>
        </w:rPr>
        <w:t>阜康市第一中学理、化学科教室设备购置项目</w:t>
      </w:r>
    </w:p>
    <w:p>
      <w:pPr>
        <w:tabs>
          <w:tab w:val="left" w:pos="3240"/>
          <w:tab w:val="left" w:pos="3420"/>
        </w:tabs>
        <w:spacing w:line="360" w:lineRule="auto"/>
        <w:ind w:leftChars="400"/>
        <w:rPr>
          <w:rFonts w:hint="default" w:ascii="宋体" w:hAnsi="宋体" w:eastAsia="宋体" w:cs="宋体"/>
          <w:bCs/>
          <w:sz w:val="28"/>
          <w:szCs w:val="28"/>
          <w:highlight w:val="none"/>
          <w:lang w:val="en-US" w:eastAsia="zh-CN"/>
        </w:rPr>
      </w:pPr>
      <w:r>
        <w:rPr>
          <w:rFonts w:hint="eastAsia" w:ascii="宋体" w:hAnsi="宋体" w:cs="宋体"/>
          <w:bCs/>
          <w:spacing w:val="133"/>
          <w:kern w:val="0"/>
          <w:sz w:val="28"/>
          <w:szCs w:val="28"/>
          <w:highlight w:val="none"/>
          <w:fitText w:val="1920" w:id="2037597820"/>
        </w:rPr>
        <w:t>采购编</w:t>
      </w:r>
      <w:r>
        <w:rPr>
          <w:rFonts w:hint="eastAsia" w:ascii="宋体" w:hAnsi="宋体" w:cs="宋体"/>
          <w:bCs/>
          <w:spacing w:val="1"/>
          <w:kern w:val="0"/>
          <w:sz w:val="28"/>
          <w:szCs w:val="28"/>
          <w:highlight w:val="none"/>
          <w:fitText w:val="1920" w:id="2037597820"/>
        </w:rPr>
        <w:t>号</w:t>
      </w:r>
      <w:r>
        <w:rPr>
          <w:rFonts w:hint="eastAsia" w:ascii="宋体" w:hAnsi="宋体" w:cs="宋体"/>
          <w:bCs/>
          <w:sz w:val="28"/>
          <w:szCs w:val="28"/>
          <w:highlight w:val="none"/>
        </w:rPr>
        <w:t>：</w:t>
      </w:r>
      <w:r>
        <w:rPr>
          <w:rFonts w:hint="eastAsia" w:ascii="宋体" w:hAnsi="宋体" w:cs="宋体"/>
          <w:bCs/>
          <w:sz w:val="28"/>
          <w:szCs w:val="28"/>
          <w:highlight w:val="none"/>
          <w:u w:val="single"/>
          <w:lang w:eastAsia="zh-CN"/>
        </w:rPr>
        <w:t>24-RTC061</w:t>
      </w:r>
    </w:p>
    <w:p>
      <w:pPr>
        <w:tabs>
          <w:tab w:val="left" w:pos="3240"/>
          <w:tab w:val="left" w:pos="3420"/>
        </w:tabs>
        <w:spacing w:line="360" w:lineRule="auto"/>
        <w:ind w:leftChars="400"/>
        <w:rPr>
          <w:rFonts w:hint="default" w:ascii="宋体" w:hAnsi="宋体" w:eastAsia="宋体" w:cs="宋体"/>
          <w:bCs/>
          <w:sz w:val="28"/>
          <w:szCs w:val="28"/>
          <w:highlight w:val="none"/>
          <w:lang w:eastAsia="zh-CN"/>
        </w:rPr>
      </w:pPr>
      <w:r>
        <w:rPr>
          <w:rFonts w:hint="eastAsia" w:ascii="宋体" w:hAnsi="宋体" w:cs="宋体"/>
          <w:bCs/>
          <w:spacing w:val="270"/>
          <w:kern w:val="0"/>
          <w:sz w:val="28"/>
          <w:szCs w:val="28"/>
          <w:highlight w:val="none"/>
          <w:fitText w:val="1920" w:id="1454575655"/>
        </w:rPr>
        <w:t>采购</w:t>
      </w:r>
      <w:r>
        <w:rPr>
          <w:rFonts w:hint="eastAsia" w:ascii="宋体" w:hAnsi="宋体" w:cs="宋体"/>
          <w:bCs/>
          <w:spacing w:val="0"/>
          <w:kern w:val="0"/>
          <w:sz w:val="28"/>
          <w:szCs w:val="28"/>
          <w:highlight w:val="none"/>
          <w:fitText w:val="1920" w:id="1454575655"/>
        </w:rPr>
        <w:t>人</w:t>
      </w:r>
      <w:r>
        <w:rPr>
          <w:rFonts w:hint="eastAsia" w:ascii="宋体" w:hAnsi="宋体" w:cs="宋体"/>
          <w:bCs/>
          <w:sz w:val="28"/>
          <w:szCs w:val="28"/>
          <w:highlight w:val="none"/>
        </w:rPr>
        <w:t>：</w:t>
      </w:r>
      <w:r>
        <w:rPr>
          <w:rFonts w:hint="eastAsia" w:ascii="宋体" w:hAnsi="宋体" w:cs="宋体"/>
          <w:bCs/>
          <w:sz w:val="28"/>
          <w:szCs w:val="28"/>
          <w:highlight w:val="none"/>
          <w:u w:val="single"/>
          <w:lang w:eastAsia="zh-CN"/>
        </w:rPr>
        <w:t>阜康市第一中学</w:t>
      </w:r>
    </w:p>
    <w:p>
      <w:pPr>
        <w:tabs>
          <w:tab w:val="left" w:pos="3240"/>
          <w:tab w:val="left" w:pos="3420"/>
        </w:tabs>
        <w:spacing w:line="360" w:lineRule="auto"/>
        <w:ind w:leftChars="400"/>
        <w:jc w:val="both"/>
        <w:rPr>
          <w:rFonts w:hint="eastAsia" w:ascii="宋体" w:hAnsi="宋体" w:cs="宋体"/>
          <w:bCs/>
          <w:sz w:val="28"/>
          <w:szCs w:val="28"/>
          <w:highlight w:val="none"/>
          <w:u w:val="single"/>
        </w:rPr>
      </w:pPr>
      <w:r>
        <w:rPr>
          <w:rFonts w:hint="eastAsia" w:ascii="宋体" w:hAnsi="宋体" w:cs="宋体"/>
          <w:bCs/>
          <w:spacing w:val="16"/>
          <w:kern w:val="0"/>
          <w:sz w:val="28"/>
          <w:szCs w:val="28"/>
          <w:highlight w:val="none"/>
          <w:fitText w:val="2156" w:id="1080383172"/>
        </w:rPr>
        <w:t>采购代理机构</w:t>
      </w:r>
      <w:r>
        <w:rPr>
          <w:rFonts w:hint="eastAsia" w:ascii="宋体" w:hAnsi="宋体" w:cs="宋体"/>
          <w:bCs/>
          <w:spacing w:val="2"/>
          <w:kern w:val="0"/>
          <w:sz w:val="28"/>
          <w:szCs w:val="28"/>
          <w:highlight w:val="none"/>
          <w:fitText w:val="2156" w:id="1080383172"/>
        </w:rPr>
        <w:t>：</w:t>
      </w:r>
      <w:r>
        <w:rPr>
          <w:rFonts w:hint="eastAsia" w:ascii="宋体" w:hAnsi="宋体" w:cs="宋体"/>
          <w:bCs/>
          <w:sz w:val="28"/>
          <w:szCs w:val="28"/>
          <w:highlight w:val="none"/>
          <w:u w:val="single"/>
        </w:rPr>
        <w:t>新疆榕泰项目管理咨询有限公司</w:t>
      </w:r>
    </w:p>
    <w:p>
      <w:pPr>
        <w:tabs>
          <w:tab w:val="left" w:pos="3240"/>
          <w:tab w:val="left" w:pos="3420"/>
        </w:tabs>
        <w:spacing w:line="360" w:lineRule="auto"/>
        <w:ind w:leftChars="400"/>
        <w:rPr>
          <w:rFonts w:hint="eastAsia" w:ascii="宋体" w:hAnsi="宋体" w:cs="宋体"/>
          <w:highlight w:val="none"/>
        </w:rPr>
        <w:sectPr>
          <w:headerReference r:id="rId3" w:type="default"/>
          <w:type w:val="nextColumn"/>
          <w:pgSz w:w="11906" w:h="16838"/>
          <w:pgMar w:top="1911" w:right="1474" w:bottom="1882" w:left="1587" w:header="851" w:footer="992" w:gutter="0"/>
          <w:cols w:space="720" w:num="1"/>
          <w:docGrid w:linePitch="312" w:charSpace="0"/>
        </w:sectPr>
      </w:pPr>
      <w:r>
        <w:rPr>
          <w:rFonts w:hint="eastAsia" w:ascii="宋体" w:hAnsi="宋体" w:cs="宋体"/>
          <w:bCs/>
          <w:spacing w:val="680"/>
          <w:kern w:val="0"/>
          <w:sz w:val="28"/>
          <w:szCs w:val="32"/>
          <w:highlight w:val="none"/>
          <w:fitText w:val="1920" w:id="604264249"/>
        </w:rPr>
        <w:t>日</w:t>
      </w:r>
      <w:r>
        <w:rPr>
          <w:rFonts w:hint="eastAsia" w:ascii="宋体" w:hAnsi="宋体" w:cs="宋体"/>
          <w:bCs/>
          <w:spacing w:val="0"/>
          <w:kern w:val="0"/>
          <w:sz w:val="28"/>
          <w:szCs w:val="32"/>
          <w:highlight w:val="none"/>
          <w:fitText w:val="1920" w:id="604264249"/>
        </w:rPr>
        <w:t>期</w:t>
      </w:r>
      <w:r>
        <w:rPr>
          <w:rFonts w:hint="eastAsia" w:ascii="宋体" w:hAnsi="宋体" w:cs="宋体"/>
          <w:bCs/>
          <w:sz w:val="28"/>
          <w:szCs w:val="32"/>
          <w:highlight w:val="none"/>
        </w:rPr>
        <w:t>：</w:t>
      </w:r>
      <w:r>
        <w:rPr>
          <w:rFonts w:hint="eastAsia" w:ascii="宋体" w:hAnsi="宋体" w:cs="宋体"/>
          <w:bCs/>
          <w:sz w:val="28"/>
          <w:szCs w:val="32"/>
          <w:highlight w:val="none"/>
          <w:u w:val="single"/>
        </w:rPr>
        <w:t>202</w:t>
      </w:r>
      <w:r>
        <w:rPr>
          <w:rFonts w:hint="eastAsia" w:ascii="宋体" w:hAnsi="宋体" w:cs="宋体"/>
          <w:bCs/>
          <w:sz w:val="28"/>
          <w:szCs w:val="32"/>
          <w:highlight w:val="none"/>
          <w:u w:val="single"/>
          <w:lang w:val="en-US" w:eastAsia="zh-CN"/>
        </w:rPr>
        <w:t>4</w:t>
      </w:r>
      <w:r>
        <w:rPr>
          <w:rFonts w:hint="eastAsia" w:ascii="宋体" w:hAnsi="宋体" w:cs="宋体"/>
          <w:bCs/>
          <w:sz w:val="28"/>
          <w:szCs w:val="32"/>
          <w:highlight w:val="none"/>
          <w:u w:val="single"/>
        </w:rPr>
        <w:t>年</w:t>
      </w:r>
      <w:r>
        <w:rPr>
          <w:rFonts w:hint="eastAsia" w:ascii="宋体" w:hAnsi="宋体" w:cs="宋体"/>
          <w:bCs/>
          <w:sz w:val="28"/>
          <w:szCs w:val="32"/>
          <w:highlight w:val="none"/>
          <w:u w:val="single"/>
          <w:lang w:val="en-US" w:eastAsia="zh-CN"/>
        </w:rPr>
        <w:t>6</w:t>
      </w:r>
      <w:r>
        <w:rPr>
          <w:rFonts w:hint="eastAsia" w:ascii="宋体" w:hAnsi="宋体" w:cs="宋体"/>
          <w:bCs/>
          <w:sz w:val="28"/>
          <w:szCs w:val="32"/>
          <w:highlight w:val="none"/>
          <w:u w:val="single"/>
        </w:rPr>
        <w:t>月</w:t>
      </w:r>
    </w:p>
    <w:p>
      <w:pPr>
        <w:widowControl/>
        <w:jc w:val="center"/>
        <w:rPr>
          <w:rFonts w:hint="eastAsia" w:ascii="宋体" w:hAnsi="宋体" w:cs="宋体"/>
          <w:b/>
          <w:sz w:val="36"/>
          <w:szCs w:val="36"/>
        </w:rPr>
      </w:pPr>
      <w:r>
        <w:rPr>
          <w:rFonts w:hint="eastAsia" w:ascii="宋体" w:hAnsi="宋体" w:cs="宋体"/>
          <w:b/>
          <w:sz w:val="36"/>
          <w:szCs w:val="36"/>
        </w:rPr>
        <w:t>目      录</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3"/>
        <w:spacing w:line="600" w:lineRule="auto"/>
        <w:rPr>
          <w:rFonts w:hint="eastAsia" w:cs="宋体"/>
          <w:b w:val="0"/>
          <w:szCs w:val="28"/>
          <w:highlight w:val="none"/>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r>
        <w:rPr>
          <w:rFonts w:hint="eastAsia" w:cs="宋体"/>
          <w:sz w:val="32"/>
          <w:szCs w:val="32"/>
          <w:highlight w:val="none"/>
        </w:rPr>
        <w:fldChar w:fldCharType="begin"/>
      </w:r>
      <w:r>
        <w:rPr>
          <w:rFonts w:hint="eastAsia" w:cs="宋体"/>
          <w:sz w:val="32"/>
          <w:szCs w:val="32"/>
          <w:highlight w:val="none"/>
        </w:rPr>
        <w:instrText xml:space="preserve"> HYPERLINK \l "_Toc97371941" </w:instrText>
      </w:r>
      <w:r>
        <w:rPr>
          <w:rFonts w:hint="eastAsia" w:cs="宋体"/>
          <w:sz w:val="32"/>
          <w:szCs w:val="32"/>
          <w:highlight w:val="none"/>
        </w:rPr>
        <w:fldChar w:fldCharType="separate"/>
      </w:r>
      <w:r>
        <w:rPr>
          <w:rStyle w:val="54"/>
          <w:rFonts w:hint="eastAsia" w:cs="宋体"/>
          <w:color w:val="auto"/>
          <w:sz w:val="32"/>
          <w:szCs w:val="32"/>
          <w:highlight w:val="none"/>
        </w:rPr>
        <w:t>第一章   采购邀请</w:t>
      </w:r>
      <w:r>
        <w:rPr>
          <w:rFonts w:hint="eastAsia" w:cs="宋体"/>
          <w:sz w:val="32"/>
          <w:szCs w:val="32"/>
          <w:highlight w:val="none"/>
        </w:rPr>
        <w:tab/>
      </w:r>
      <w:r>
        <w:rPr>
          <w:rFonts w:hint="eastAsia" w:cs="宋体"/>
          <w:sz w:val="32"/>
          <w:szCs w:val="32"/>
          <w:highlight w:val="none"/>
        </w:rPr>
        <w:fldChar w:fldCharType="begin"/>
      </w:r>
      <w:r>
        <w:rPr>
          <w:rFonts w:hint="eastAsia" w:cs="宋体"/>
          <w:sz w:val="32"/>
          <w:szCs w:val="32"/>
          <w:highlight w:val="none"/>
        </w:rPr>
        <w:instrText xml:space="preserve"> PAGEREF _Toc97371941 \h </w:instrText>
      </w:r>
      <w:r>
        <w:rPr>
          <w:rFonts w:hint="eastAsia" w:cs="宋体"/>
          <w:sz w:val="32"/>
          <w:szCs w:val="32"/>
          <w:highlight w:val="none"/>
        </w:rPr>
        <w:fldChar w:fldCharType="separate"/>
      </w:r>
      <w:r>
        <w:rPr>
          <w:rFonts w:hint="eastAsia" w:cs="宋体"/>
          <w:sz w:val="32"/>
          <w:szCs w:val="32"/>
          <w:highlight w:val="none"/>
        </w:rPr>
        <w:t>1</w:t>
      </w:r>
      <w:r>
        <w:rPr>
          <w:rFonts w:hint="eastAsia" w:cs="宋体"/>
          <w:sz w:val="32"/>
          <w:szCs w:val="32"/>
          <w:highlight w:val="none"/>
        </w:rPr>
        <w:fldChar w:fldCharType="end"/>
      </w:r>
      <w:r>
        <w:rPr>
          <w:rFonts w:hint="eastAsia" w:cs="宋体"/>
          <w:sz w:val="32"/>
          <w:szCs w:val="32"/>
          <w:highlight w:val="none"/>
        </w:rPr>
        <w:fldChar w:fldCharType="end"/>
      </w:r>
    </w:p>
    <w:p>
      <w:pPr>
        <w:pStyle w:val="33"/>
        <w:spacing w:line="600" w:lineRule="auto"/>
        <w:rPr>
          <w:rFonts w:hint="eastAsia" w:cs="宋体"/>
          <w:b w:val="0"/>
          <w:szCs w:val="28"/>
          <w:highlight w:val="none"/>
        </w:rPr>
      </w:pPr>
      <w:r>
        <w:rPr>
          <w:rFonts w:hint="eastAsia" w:cs="宋体"/>
          <w:sz w:val="32"/>
          <w:szCs w:val="32"/>
          <w:highlight w:val="none"/>
        </w:rPr>
        <w:fldChar w:fldCharType="begin"/>
      </w:r>
      <w:r>
        <w:rPr>
          <w:rFonts w:hint="eastAsia" w:cs="宋体"/>
          <w:sz w:val="32"/>
          <w:szCs w:val="32"/>
          <w:highlight w:val="none"/>
        </w:rPr>
        <w:instrText xml:space="preserve"> HYPERLINK \l "_Toc97371942" </w:instrText>
      </w:r>
      <w:r>
        <w:rPr>
          <w:rFonts w:hint="eastAsia" w:cs="宋体"/>
          <w:sz w:val="32"/>
          <w:szCs w:val="32"/>
          <w:highlight w:val="none"/>
        </w:rPr>
        <w:fldChar w:fldCharType="separate"/>
      </w:r>
      <w:r>
        <w:rPr>
          <w:rStyle w:val="54"/>
          <w:rFonts w:hint="eastAsia" w:cs="宋体"/>
          <w:color w:val="auto"/>
          <w:sz w:val="32"/>
          <w:szCs w:val="32"/>
          <w:highlight w:val="none"/>
        </w:rPr>
        <w:t>第二章   供应商须知</w:t>
      </w:r>
      <w:r>
        <w:rPr>
          <w:rFonts w:hint="eastAsia" w:cs="宋体"/>
          <w:sz w:val="32"/>
          <w:szCs w:val="32"/>
          <w:highlight w:val="none"/>
        </w:rPr>
        <w:tab/>
      </w:r>
      <w:r>
        <w:rPr>
          <w:rFonts w:hint="eastAsia" w:cs="宋体"/>
          <w:sz w:val="32"/>
          <w:szCs w:val="32"/>
          <w:highlight w:val="none"/>
        </w:rPr>
        <w:fldChar w:fldCharType="begin"/>
      </w:r>
      <w:r>
        <w:rPr>
          <w:rFonts w:hint="eastAsia" w:cs="宋体"/>
          <w:sz w:val="32"/>
          <w:szCs w:val="32"/>
          <w:highlight w:val="none"/>
        </w:rPr>
        <w:instrText xml:space="preserve"> PAGEREF _Toc97371942 \h </w:instrText>
      </w:r>
      <w:r>
        <w:rPr>
          <w:rFonts w:hint="eastAsia" w:cs="宋体"/>
          <w:sz w:val="32"/>
          <w:szCs w:val="32"/>
          <w:highlight w:val="none"/>
        </w:rPr>
        <w:fldChar w:fldCharType="separate"/>
      </w:r>
      <w:r>
        <w:rPr>
          <w:rFonts w:hint="eastAsia" w:cs="宋体"/>
          <w:sz w:val="32"/>
          <w:szCs w:val="32"/>
          <w:highlight w:val="none"/>
        </w:rPr>
        <w:t>3</w:t>
      </w:r>
      <w:r>
        <w:rPr>
          <w:rFonts w:hint="eastAsia" w:cs="宋体"/>
          <w:sz w:val="32"/>
          <w:szCs w:val="32"/>
          <w:highlight w:val="none"/>
        </w:rPr>
        <w:fldChar w:fldCharType="end"/>
      </w:r>
      <w:r>
        <w:rPr>
          <w:rFonts w:hint="eastAsia" w:cs="宋体"/>
          <w:sz w:val="32"/>
          <w:szCs w:val="32"/>
          <w:highlight w:val="none"/>
        </w:rPr>
        <w:fldChar w:fldCharType="end"/>
      </w:r>
    </w:p>
    <w:p>
      <w:pPr>
        <w:pStyle w:val="33"/>
        <w:spacing w:line="600" w:lineRule="auto"/>
        <w:rPr>
          <w:rFonts w:hint="eastAsia" w:cs="宋体"/>
          <w:b w:val="0"/>
          <w:szCs w:val="28"/>
          <w:highlight w:val="none"/>
        </w:rPr>
      </w:pPr>
      <w:r>
        <w:rPr>
          <w:rFonts w:hint="eastAsia" w:cs="宋体"/>
          <w:sz w:val="32"/>
          <w:szCs w:val="32"/>
          <w:highlight w:val="none"/>
        </w:rPr>
        <w:fldChar w:fldCharType="begin"/>
      </w:r>
      <w:r>
        <w:rPr>
          <w:rFonts w:hint="eastAsia" w:cs="宋体"/>
          <w:sz w:val="32"/>
          <w:szCs w:val="32"/>
          <w:highlight w:val="none"/>
        </w:rPr>
        <w:instrText xml:space="preserve"> HYPERLINK \l "_Toc97371943" </w:instrText>
      </w:r>
      <w:r>
        <w:rPr>
          <w:rFonts w:hint="eastAsia" w:cs="宋体"/>
          <w:sz w:val="32"/>
          <w:szCs w:val="32"/>
          <w:highlight w:val="none"/>
        </w:rPr>
        <w:fldChar w:fldCharType="separate"/>
      </w:r>
      <w:r>
        <w:rPr>
          <w:rStyle w:val="54"/>
          <w:rFonts w:hint="eastAsia" w:cs="宋体"/>
          <w:color w:val="auto"/>
          <w:sz w:val="32"/>
          <w:szCs w:val="32"/>
          <w:highlight w:val="none"/>
        </w:rPr>
        <w:t>第三章   评审方法和评</w:t>
      </w:r>
      <w:bookmarkStart w:id="0" w:name="_Hlt124183293"/>
      <w:bookmarkStart w:id="1" w:name="_Hlt124183294"/>
      <w:r>
        <w:rPr>
          <w:rStyle w:val="54"/>
          <w:rFonts w:hint="eastAsia" w:cs="宋体"/>
          <w:color w:val="auto"/>
          <w:sz w:val="32"/>
          <w:szCs w:val="32"/>
          <w:highlight w:val="none"/>
        </w:rPr>
        <w:t>审</w:t>
      </w:r>
      <w:bookmarkEnd w:id="0"/>
      <w:bookmarkEnd w:id="1"/>
      <w:r>
        <w:rPr>
          <w:rStyle w:val="54"/>
          <w:rFonts w:hint="eastAsia" w:cs="宋体"/>
          <w:color w:val="auto"/>
          <w:sz w:val="32"/>
          <w:szCs w:val="32"/>
          <w:highlight w:val="none"/>
        </w:rPr>
        <w:t>标准</w:t>
      </w:r>
      <w:r>
        <w:rPr>
          <w:rFonts w:hint="eastAsia" w:cs="宋体"/>
          <w:sz w:val="32"/>
          <w:szCs w:val="32"/>
          <w:highlight w:val="none"/>
        </w:rPr>
        <w:tab/>
      </w:r>
      <w:r>
        <w:rPr>
          <w:rFonts w:hint="eastAsia" w:cs="宋体"/>
          <w:sz w:val="32"/>
          <w:szCs w:val="32"/>
          <w:highlight w:val="none"/>
        </w:rPr>
        <w:t>1</w:t>
      </w:r>
      <w:r>
        <w:rPr>
          <w:rFonts w:hint="eastAsia" w:cs="宋体"/>
          <w:sz w:val="32"/>
          <w:szCs w:val="32"/>
          <w:highlight w:val="none"/>
        </w:rPr>
        <w:fldChar w:fldCharType="end"/>
      </w:r>
      <w:r>
        <w:rPr>
          <w:rFonts w:hint="eastAsia" w:cs="宋体"/>
          <w:sz w:val="32"/>
          <w:szCs w:val="32"/>
          <w:highlight w:val="none"/>
        </w:rPr>
        <w:t>6</w:t>
      </w:r>
    </w:p>
    <w:p>
      <w:pPr>
        <w:pStyle w:val="33"/>
        <w:spacing w:line="600" w:lineRule="auto"/>
        <w:rPr>
          <w:rFonts w:hint="eastAsia" w:cs="宋体"/>
          <w:b w:val="0"/>
          <w:szCs w:val="28"/>
          <w:highlight w:val="none"/>
        </w:rPr>
      </w:pPr>
      <w:r>
        <w:rPr>
          <w:rFonts w:hint="eastAsia" w:cs="宋体"/>
          <w:sz w:val="32"/>
          <w:szCs w:val="32"/>
          <w:highlight w:val="none"/>
        </w:rPr>
        <w:fldChar w:fldCharType="begin"/>
      </w:r>
      <w:r>
        <w:rPr>
          <w:rFonts w:hint="eastAsia" w:cs="宋体"/>
          <w:sz w:val="32"/>
          <w:szCs w:val="32"/>
          <w:highlight w:val="none"/>
        </w:rPr>
        <w:instrText xml:space="preserve"> HYPERLINK \l "_Toc97371945" </w:instrText>
      </w:r>
      <w:r>
        <w:rPr>
          <w:rFonts w:hint="eastAsia" w:cs="宋体"/>
          <w:sz w:val="32"/>
          <w:szCs w:val="32"/>
          <w:highlight w:val="none"/>
        </w:rPr>
        <w:fldChar w:fldCharType="separate"/>
      </w:r>
      <w:r>
        <w:rPr>
          <w:rStyle w:val="54"/>
          <w:rFonts w:hint="eastAsia" w:cs="宋体"/>
          <w:color w:val="auto"/>
          <w:sz w:val="32"/>
          <w:szCs w:val="32"/>
          <w:highlight w:val="none"/>
        </w:rPr>
        <w:t>第四章   采购需求</w:t>
      </w:r>
      <w:r>
        <w:rPr>
          <w:rFonts w:hint="eastAsia" w:cs="宋体"/>
          <w:sz w:val="32"/>
          <w:szCs w:val="32"/>
          <w:highlight w:val="none"/>
        </w:rPr>
        <w:tab/>
      </w:r>
      <w:r>
        <w:rPr>
          <w:rFonts w:hint="eastAsia" w:cs="宋体"/>
          <w:sz w:val="32"/>
          <w:szCs w:val="32"/>
          <w:highlight w:val="none"/>
        </w:rPr>
        <w:fldChar w:fldCharType="begin"/>
      </w:r>
      <w:r>
        <w:rPr>
          <w:rFonts w:hint="eastAsia" w:cs="宋体"/>
          <w:sz w:val="32"/>
          <w:szCs w:val="32"/>
          <w:highlight w:val="none"/>
        </w:rPr>
        <w:instrText xml:space="preserve"> PAGEREF _Toc97371945 \h </w:instrText>
      </w:r>
      <w:r>
        <w:rPr>
          <w:rFonts w:hint="eastAsia" w:cs="宋体"/>
          <w:sz w:val="32"/>
          <w:szCs w:val="32"/>
          <w:highlight w:val="none"/>
        </w:rPr>
        <w:fldChar w:fldCharType="separate"/>
      </w:r>
      <w:r>
        <w:rPr>
          <w:rFonts w:hint="eastAsia" w:cs="宋体"/>
          <w:sz w:val="32"/>
          <w:szCs w:val="32"/>
          <w:highlight w:val="none"/>
        </w:rPr>
        <w:t>29</w:t>
      </w:r>
      <w:r>
        <w:rPr>
          <w:rFonts w:hint="eastAsia" w:cs="宋体"/>
          <w:sz w:val="32"/>
          <w:szCs w:val="32"/>
          <w:highlight w:val="none"/>
        </w:rPr>
        <w:fldChar w:fldCharType="end"/>
      </w:r>
      <w:r>
        <w:rPr>
          <w:rFonts w:hint="eastAsia" w:cs="宋体"/>
          <w:sz w:val="32"/>
          <w:szCs w:val="32"/>
          <w:highlight w:val="none"/>
        </w:rPr>
        <w:fldChar w:fldCharType="end"/>
      </w:r>
    </w:p>
    <w:p>
      <w:pPr>
        <w:pStyle w:val="33"/>
        <w:spacing w:line="600" w:lineRule="auto"/>
        <w:rPr>
          <w:rFonts w:hint="eastAsia" w:cs="宋体"/>
          <w:b w:val="0"/>
          <w:szCs w:val="28"/>
          <w:highlight w:val="yellow"/>
        </w:rPr>
      </w:pPr>
      <w:r>
        <w:rPr>
          <w:rFonts w:hint="eastAsia" w:cs="宋体"/>
          <w:sz w:val="32"/>
          <w:szCs w:val="32"/>
          <w:highlight w:val="none"/>
        </w:rPr>
        <w:fldChar w:fldCharType="begin"/>
      </w:r>
      <w:r>
        <w:rPr>
          <w:rFonts w:hint="eastAsia" w:cs="宋体"/>
          <w:sz w:val="32"/>
          <w:szCs w:val="32"/>
          <w:highlight w:val="none"/>
        </w:rPr>
        <w:instrText xml:space="preserve"> HYPERLINK \l "_Toc97371946" </w:instrText>
      </w:r>
      <w:r>
        <w:rPr>
          <w:rFonts w:hint="eastAsia" w:cs="宋体"/>
          <w:sz w:val="32"/>
          <w:szCs w:val="32"/>
          <w:highlight w:val="none"/>
        </w:rPr>
        <w:fldChar w:fldCharType="separate"/>
      </w:r>
      <w:r>
        <w:rPr>
          <w:rStyle w:val="54"/>
          <w:rFonts w:hint="eastAsia" w:cs="宋体"/>
          <w:color w:val="auto"/>
          <w:sz w:val="32"/>
          <w:szCs w:val="32"/>
          <w:highlight w:val="none"/>
        </w:rPr>
        <w:t>第五章   合同草案条款</w:t>
      </w:r>
      <w:r>
        <w:rPr>
          <w:rFonts w:hint="eastAsia" w:cs="宋体"/>
          <w:sz w:val="32"/>
          <w:szCs w:val="32"/>
          <w:highlight w:val="none"/>
        </w:rPr>
        <w:tab/>
      </w:r>
      <w:r>
        <w:rPr>
          <w:rFonts w:hint="eastAsia" w:cs="宋体"/>
          <w:sz w:val="32"/>
          <w:szCs w:val="32"/>
          <w:highlight w:val="none"/>
        </w:rPr>
        <w:fldChar w:fldCharType="begin"/>
      </w:r>
      <w:r>
        <w:rPr>
          <w:rFonts w:hint="eastAsia" w:cs="宋体"/>
          <w:sz w:val="32"/>
          <w:szCs w:val="32"/>
          <w:highlight w:val="none"/>
        </w:rPr>
        <w:instrText xml:space="preserve"> PAGEREF _Toc97371946 \h </w:instrText>
      </w:r>
      <w:r>
        <w:rPr>
          <w:rFonts w:hint="eastAsia" w:cs="宋体"/>
          <w:sz w:val="32"/>
          <w:szCs w:val="32"/>
          <w:highlight w:val="none"/>
        </w:rPr>
        <w:fldChar w:fldCharType="separate"/>
      </w:r>
      <w:r>
        <w:rPr>
          <w:rFonts w:hint="eastAsia" w:cs="宋体"/>
          <w:sz w:val="32"/>
          <w:szCs w:val="32"/>
          <w:highlight w:val="none"/>
        </w:rPr>
        <w:t>53</w:t>
      </w:r>
      <w:r>
        <w:rPr>
          <w:rFonts w:hint="eastAsia" w:cs="宋体"/>
          <w:sz w:val="32"/>
          <w:szCs w:val="32"/>
          <w:highlight w:val="none"/>
        </w:rPr>
        <w:fldChar w:fldCharType="end"/>
      </w:r>
      <w:r>
        <w:rPr>
          <w:rFonts w:hint="eastAsia" w:cs="宋体"/>
          <w:sz w:val="32"/>
          <w:szCs w:val="32"/>
          <w:highlight w:val="none"/>
        </w:rPr>
        <w:fldChar w:fldCharType="end"/>
      </w:r>
    </w:p>
    <w:p>
      <w:pPr>
        <w:pStyle w:val="33"/>
        <w:spacing w:line="600" w:lineRule="auto"/>
        <w:rPr>
          <w:rFonts w:hint="eastAsia" w:cs="宋体"/>
          <w:b w:val="0"/>
          <w:sz w:val="21"/>
          <w:szCs w:val="22"/>
        </w:rPr>
      </w:pPr>
      <w:r>
        <w:rPr>
          <w:rFonts w:hint="eastAsia" w:cs="宋体"/>
          <w:sz w:val="32"/>
          <w:szCs w:val="32"/>
        </w:rPr>
        <w:fldChar w:fldCharType="begin"/>
      </w:r>
      <w:r>
        <w:rPr>
          <w:rFonts w:hint="eastAsia" w:cs="宋体"/>
          <w:sz w:val="32"/>
          <w:szCs w:val="32"/>
        </w:rPr>
        <w:instrText xml:space="preserve"> HYPERLINK \l "_Toc97371947" </w:instrText>
      </w:r>
      <w:r>
        <w:rPr>
          <w:rFonts w:hint="eastAsia" w:cs="宋体"/>
          <w:sz w:val="32"/>
          <w:szCs w:val="32"/>
        </w:rPr>
        <w:fldChar w:fldCharType="separate"/>
      </w:r>
      <w:r>
        <w:rPr>
          <w:rStyle w:val="54"/>
          <w:rFonts w:hint="eastAsia" w:cs="宋体"/>
          <w:color w:val="auto"/>
          <w:sz w:val="32"/>
          <w:szCs w:val="32"/>
        </w:rPr>
        <w:t>第六章   响应文件格式</w:t>
      </w:r>
      <w:r>
        <w:rPr>
          <w:rFonts w:hint="eastAsia" w:cs="宋体"/>
          <w:sz w:val="32"/>
          <w:szCs w:val="32"/>
        </w:rPr>
        <w:tab/>
      </w:r>
      <w:r>
        <w:rPr>
          <w:rFonts w:hint="eastAsia" w:cs="宋体"/>
          <w:sz w:val="32"/>
          <w:szCs w:val="32"/>
        </w:rPr>
        <w:fldChar w:fldCharType="begin"/>
      </w:r>
      <w:r>
        <w:rPr>
          <w:rFonts w:hint="eastAsia" w:cs="宋体"/>
          <w:sz w:val="32"/>
          <w:szCs w:val="32"/>
        </w:rPr>
        <w:instrText xml:space="preserve"> PAGEREF _Toc97371947 \h </w:instrText>
      </w:r>
      <w:r>
        <w:rPr>
          <w:rFonts w:hint="eastAsia" w:cs="宋体"/>
          <w:sz w:val="32"/>
          <w:szCs w:val="32"/>
        </w:rPr>
        <w:fldChar w:fldCharType="separate"/>
      </w:r>
      <w:r>
        <w:rPr>
          <w:rFonts w:hint="eastAsia" w:cs="宋体"/>
          <w:sz w:val="32"/>
          <w:szCs w:val="32"/>
        </w:rPr>
        <w:t>57</w:t>
      </w:r>
      <w:r>
        <w:rPr>
          <w:rFonts w:hint="eastAsia" w:cs="宋体"/>
          <w:sz w:val="32"/>
          <w:szCs w:val="32"/>
        </w:rPr>
        <w:fldChar w:fldCharType="end"/>
      </w:r>
      <w:r>
        <w:rPr>
          <w:rFonts w:hint="eastAsia" w:cs="宋体"/>
          <w:sz w:val="32"/>
          <w:szCs w:val="32"/>
        </w:rPr>
        <w:fldChar w:fldCharType="end"/>
      </w:r>
    </w:p>
    <w:p>
      <w:pPr>
        <w:pStyle w:val="33"/>
        <w:spacing w:line="360" w:lineRule="auto"/>
        <w:rPr>
          <w:rFonts w:hint="eastAsia" w:cs="宋体"/>
          <w:b w:val="0"/>
        </w:rPr>
      </w:pPr>
      <w:r>
        <w:rPr>
          <w:rFonts w:hint="eastAsia" w:cs="宋体"/>
          <w:b w:val="0"/>
        </w:rPr>
        <w:fldChar w:fldCharType="end"/>
      </w:r>
    </w:p>
    <w:p>
      <w:pPr>
        <w:pStyle w:val="33"/>
        <w:spacing w:line="360" w:lineRule="auto"/>
        <w:rPr>
          <w:rFonts w:hint="eastAsia" w:cs="宋体"/>
          <w:b w:val="0"/>
          <w:sz w:val="36"/>
          <w:szCs w:val="36"/>
        </w:rPr>
      </w:pPr>
      <w:bookmarkStart w:id="2" w:name="_Toc97371941"/>
    </w:p>
    <w:p>
      <w:pPr>
        <w:spacing w:line="360" w:lineRule="auto"/>
        <w:jc w:val="both"/>
        <w:outlineLvl w:val="0"/>
        <w:rPr>
          <w:rFonts w:hint="eastAsia" w:ascii="宋体" w:hAnsi="宋体" w:cs="宋体"/>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r>
        <w:rPr>
          <w:rFonts w:hint="eastAsia" w:ascii="宋体" w:hAnsi="宋体" w:cs="宋体"/>
          <w:b/>
          <w:sz w:val="36"/>
          <w:szCs w:val="36"/>
        </w:rPr>
        <w:br w:type="page"/>
      </w:r>
    </w:p>
    <w:bookmarkEnd w:id="2"/>
    <w:p>
      <w:pPr>
        <w:spacing w:line="360" w:lineRule="auto"/>
        <w:jc w:val="center"/>
        <w:outlineLvl w:val="0"/>
        <w:rPr>
          <w:rFonts w:hint="default" w:ascii="宋体" w:hAnsi="宋体" w:eastAsia="宋体" w:cs="宋体"/>
          <w:b/>
          <w:sz w:val="36"/>
          <w:szCs w:val="36"/>
          <w:highlight w:val="none"/>
          <w:lang w:val="en-US" w:eastAsia="zh-CN"/>
        </w:rPr>
      </w:pPr>
      <w:bookmarkStart w:id="3" w:name="_Toc17830"/>
      <w:bookmarkStart w:id="4" w:name="_Hlk126679706"/>
      <w:r>
        <w:rPr>
          <w:rFonts w:hint="eastAsia" w:ascii="宋体" w:hAnsi="宋体" w:eastAsia="宋体" w:cs="宋体"/>
          <w:b/>
          <w:sz w:val="36"/>
          <w:szCs w:val="36"/>
          <w:highlight w:val="none"/>
          <w:lang w:val="en-US" w:eastAsia="zh-CN"/>
        </w:rPr>
        <w:t>第一章   采购邀请</w:t>
      </w:r>
      <w:bookmarkEnd w:id="3"/>
    </w:p>
    <w:p>
      <w:pPr>
        <w:jc w:val="center"/>
        <w:rPr>
          <w:rFonts w:hint="eastAsia" w:ascii="宋体" w:hAnsi="宋体" w:cs="宋体"/>
          <w:b/>
          <w:sz w:val="32"/>
        </w:rPr>
      </w:pPr>
      <w:r>
        <w:rPr>
          <w:rFonts w:hint="eastAsia" w:ascii="宋体" w:hAnsi="宋体" w:cs="宋体"/>
          <w:b/>
          <w:sz w:val="32"/>
        </w:rPr>
        <w:t>竞争性磋商公告</w:t>
      </w:r>
    </w:p>
    <w:p>
      <w:pPr>
        <w:rPr>
          <w:rFonts w:hint="eastAsia" w:ascii="宋体" w:hAnsi="宋体" w:cs="宋体"/>
        </w:rPr>
      </w:pPr>
    </w:p>
    <w:p>
      <w:pPr>
        <w:pBdr>
          <w:top w:val="single" w:color="auto" w:sz="4" w:space="1"/>
          <w:left w:val="single" w:color="auto" w:sz="4" w:space="4"/>
          <w:bottom w:val="single" w:color="auto" w:sz="4" w:space="1"/>
          <w:right w:val="single" w:color="auto" w:sz="4" w:space="4"/>
        </w:pBdr>
        <w:spacing w:line="360" w:lineRule="auto"/>
        <w:jc w:val="center"/>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sz w:val="24"/>
          <w:u w:val="single"/>
        </w:rPr>
        <w:t xml:space="preserve"> </w:t>
      </w:r>
      <w:r>
        <w:rPr>
          <w:rFonts w:hint="eastAsia" w:ascii="宋体" w:hAnsi="宋体"/>
          <w:sz w:val="24"/>
          <w:u w:val="single"/>
          <w:lang w:eastAsia="zh-CN"/>
        </w:rPr>
        <w:t>阜康市第一中学理、化学科教室设备购置项目</w:t>
      </w:r>
      <w:r>
        <w:rPr>
          <w:rFonts w:hint="eastAsia" w:ascii="宋体" w:hAnsi="宋体"/>
          <w:sz w:val="24"/>
          <w:u w:val="single"/>
        </w:rPr>
        <w:t>的潜在供应商应在政采云网址：</w:t>
      </w:r>
      <w:r>
        <w:rPr>
          <w:rFonts w:hint="eastAsia" w:ascii="宋体" w:hAnsi="宋体"/>
          <w:color w:val="auto"/>
          <w:sz w:val="24"/>
          <w:highlight w:val="none"/>
          <w:u w:val="single"/>
        </w:rPr>
        <w:t>https://www.zcygov.cn/获取采购文件，并于</w:t>
      </w:r>
      <w:r>
        <w:rPr>
          <w:rFonts w:hint="eastAsia" w:ascii="宋体" w:hAnsi="宋体"/>
          <w:color w:val="auto"/>
          <w:sz w:val="24"/>
          <w:highlight w:val="none"/>
          <w:u w:val="single"/>
          <w:lang w:eastAsia="zh-CN"/>
        </w:rPr>
        <w:t>2024年6月27日11点00分</w:t>
      </w:r>
      <w:r>
        <w:rPr>
          <w:rFonts w:hint="eastAsia" w:ascii="宋体" w:hAnsi="宋体"/>
          <w:sz w:val="24"/>
          <w:highlight w:val="none"/>
          <w:u w:val="single"/>
        </w:rPr>
        <w:t>（北京时间）前提交响应文件。</w:t>
      </w:r>
    </w:p>
    <w:p>
      <w:pPr>
        <w:spacing w:line="360" w:lineRule="auto"/>
        <w:ind w:firstLine="200"/>
        <w:rPr>
          <w:rFonts w:hint="eastAsia" w:ascii="宋体" w:hAnsi="宋体" w:cs="宋体"/>
          <w:sz w:val="24"/>
          <w:highlight w:val="none"/>
        </w:rPr>
      </w:pPr>
    </w:p>
    <w:p>
      <w:pPr>
        <w:spacing w:line="360" w:lineRule="auto"/>
        <w:ind w:firstLine="200"/>
        <w:rPr>
          <w:rFonts w:hint="eastAsia" w:ascii="宋体" w:hAnsi="宋体" w:cs="宋体"/>
          <w:b/>
          <w:sz w:val="24"/>
          <w:highlight w:val="none"/>
        </w:rPr>
      </w:pPr>
      <w:bookmarkStart w:id="5" w:name="_Toc35393629"/>
      <w:bookmarkStart w:id="6" w:name="_Toc28359012"/>
      <w:bookmarkStart w:id="7" w:name="_Toc35393798"/>
      <w:bookmarkStart w:id="8" w:name="_Toc28359089"/>
      <w:r>
        <w:rPr>
          <w:rFonts w:hint="eastAsia" w:ascii="宋体" w:hAnsi="宋体" w:cs="宋体"/>
          <w:b/>
          <w:sz w:val="24"/>
          <w:highlight w:val="none"/>
        </w:rPr>
        <w:t>一、项目基本情况</w:t>
      </w:r>
      <w:bookmarkEnd w:id="5"/>
      <w:bookmarkEnd w:id="6"/>
      <w:bookmarkEnd w:id="7"/>
      <w:bookmarkEnd w:id="8"/>
    </w:p>
    <w:p>
      <w:pPr>
        <w:spacing w:line="360" w:lineRule="auto"/>
        <w:ind w:firstLine="480" w:firstLineChars="200"/>
        <w:rPr>
          <w:rFonts w:hint="eastAsia" w:ascii="宋体" w:hAnsi="宋体" w:eastAsia="宋体" w:cs="宋体"/>
          <w:bCs/>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24-RTC061</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阜康市第一中学理、化学科教室设备购置项目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采购方式：竞争性磋商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预算金额：</w:t>
      </w:r>
      <w:r>
        <w:rPr>
          <w:rFonts w:hint="eastAsia" w:ascii="宋体" w:hAnsi="宋体" w:cs="宋体"/>
          <w:sz w:val="24"/>
          <w:highlight w:val="none"/>
          <w:lang w:val="en-US" w:eastAsia="zh-CN"/>
        </w:rPr>
        <w:t>1300000.00元</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最高限价：</w:t>
      </w:r>
      <w:r>
        <w:rPr>
          <w:rFonts w:hint="eastAsia" w:ascii="宋体" w:hAnsi="宋体" w:cs="宋体"/>
          <w:sz w:val="24"/>
          <w:highlight w:val="none"/>
          <w:lang w:val="en-US" w:eastAsia="zh-CN"/>
        </w:rPr>
        <w:t>1300000.00元</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采购需求：</w:t>
      </w:r>
      <w:r>
        <w:rPr>
          <w:rFonts w:hint="eastAsia" w:ascii="宋体" w:hAnsi="宋体" w:cs="宋体"/>
          <w:sz w:val="24"/>
          <w:highlight w:val="none"/>
          <w:lang w:val="en-US" w:eastAsia="zh-CN"/>
        </w:rPr>
        <w:t>理、化学科教室设备购置，本项为交钥匙项目，包括配送、安装调试、培训、质保（具体详见竞争性磋商文件）</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合同履行期限：</w:t>
      </w:r>
      <w:r>
        <w:rPr>
          <w:rFonts w:hint="eastAsia" w:ascii="宋体" w:hAnsi="宋体" w:cs="宋体"/>
          <w:kern w:val="0"/>
          <w:sz w:val="24"/>
          <w:highlight w:val="none"/>
          <w:lang w:val="en-US" w:eastAsia="zh-CN"/>
        </w:rPr>
        <w:t>一个月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w:t>
      </w:r>
      <w:r>
        <w:rPr>
          <w:rFonts w:hint="eastAsia" w:ascii="宋体" w:hAnsi="宋体" w:cs="宋体"/>
          <w:i/>
          <w:sz w:val="24"/>
          <w:highlight w:val="none"/>
        </w:rPr>
        <w:t>否</w:t>
      </w:r>
      <w:r>
        <w:rPr>
          <w:rFonts w:hint="eastAsia" w:ascii="宋体" w:hAnsi="宋体" w:cs="宋体"/>
          <w:sz w:val="24"/>
          <w:highlight w:val="none"/>
        </w:rPr>
        <w:t>）接受联合体。</w:t>
      </w:r>
    </w:p>
    <w:p>
      <w:pPr>
        <w:spacing w:line="360" w:lineRule="auto"/>
        <w:ind w:firstLine="200"/>
        <w:rPr>
          <w:rFonts w:hint="eastAsia" w:ascii="宋体" w:hAnsi="宋体" w:cs="宋体"/>
          <w:b/>
          <w:sz w:val="24"/>
          <w:highlight w:val="none"/>
        </w:rPr>
      </w:pPr>
      <w:bookmarkStart w:id="9" w:name="_Toc28359090"/>
      <w:bookmarkStart w:id="10" w:name="_Toc35393630"/>
      <w:bookmarkStart w:id="11" w:name="_Toc35393799"/>
      <w:bookmarkStart w:id="12" w:name="_Toc28359013"/>
      <w:r>
        <w:rPr>
          <w:rFonts w:hint="eastAsia" w:ascii="宋体" w:hAnsi="宋体" w:cs="宋体"/>
          <w:b/>
          <w:sz w:val="24"/>
          <w:highlight w:val="none"/>
        </w:rPr>
        <w:t>二、申请人的资格要求：</w:t>
      </w:r>
      <w:bookmarkEnd w:id="9"/>
      <w:bookmarkEnd w:id="10"/>
      <w:bookmarkEnd w:id="11"/>
      <w:bookmarkEnd w:id="12"/>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pPr>
        <w:spacing w:line="360" w:lineRule="auto"/>
        <w:ind w:firstLine="480" w:firstLineChars="200"/>
        <w:rPr>
          <w:rFonts w:hint="eastAsia" w:ascii="宋体" w:hAnsi="宋体" w:cs="宋体"/>
          <w:sz w:val="24"/>
          <w:highlight w:val="none"/>
        </w:rPr>
      </w:pPr>
      <w:bookmarkStart w:id="13" w:name="_Toc28359014"/>
      <w:bookmarkStart w:id="14" w:name="_Toc28359091"/>
      <w:r>
        <w:rPr>
          <w:rFonts w:hint="eastAsia" w:ascii="宋体" w:hAnsi="宋体" w:cs="宋体"/>
          <w:sz w:val="24"/>
          <w:highlight w:val="none"/>
        </w:rPr>
        <w:t>2.落实政府采购政策需满足的资格要求：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（1）单位负责人为同一人或者存在直接控股、管理关系的不同供应商，不得同时参加本项目同一合同项的投标；</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（2）为本项目某包提供整体设计、规范编制或者项目管理、监理、检测等服务的供应商，不得参加该合同项的投标；</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（3）未被“信用中国”网站（www.creditchina.gov.cn）、“中国政府采购网”（www.ccgp.gov.cn）列入失信被执行人、重大税收违法案件当事人名单、政府采购严重失信行为记录名单；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本项目专门面向中小企业采购</w:t>
      </w:r>
      <w:r>
        <w:rPr>
          <w:rFonts w:hint="eastAsia" w:ascii="宋体" w:hAnsi="宋体" w:cs="宋体"/>
          <w:sz w:val="24"/>
          <w:highlight w:val="none"/>
        </w:rPr>
        <w:t>。</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3.本项目的特定资格要求：</w:t>
      </w:r>
      <w:r>
        <w:rPr>
          <w:rFonts w:hint="eastAsia" w:ascii="宋体" w:hAnsi="宋体" w:eastAsia="宋体" w:cs="宋体"/>
          <w:sz w:val="24"/>
          <w:highlight w:val="none"/>
          <w:lang w:eastAsia="zh-CN"/>
        </w:rPr>
        <w:t>无</w:t>
      </w:r>
    </w:p>
    <w:p>
      <w:pPr>
        <w:spacing w:line="360" w:lineRule="auto"/>
        <w:ind w:firstLine="200"/>
        <w:rPr>
          <w:rFonts w:hint="eastAsia" w:ascii="宋体" w:hAnsi="宋体" w:cs="宋体"/>
          <w:b/>
          <w:sz w:val="24"/>
          <w:highlight w:val="none"/>
        </w:rPr>
      </w:pPr>
      <w:bookmarkStart w:id="15" w:name="_Toc35393631"/>
      <w:bookmarkStart w:id="16" w:name="_Toc35393800"/>
      <w:r>
        <w:rPr>
          <w:rFonts w:hint="eastAsia" w:ascii="宋体" w:hAnsi="宋体" w:cs="宋体"/>
          <w:b/>
          <w:sz w:val="24"/>
          <w:highlight w:val="none"/>
        </w:rPr>
        <w:t>三、获取采购文件</w:t>
      </w:r>
      <w:bookmarkEnd w:id="13"/>
      <w:bookmarkEnd w:id="14"/>
      <w:bookmarkEnd w:id="15"/>
      <w:bookmarkEnd w:id="16"/>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时间：</w:t>
      </w:r>
      <w:r>
        <w:rPr>
          <w:rFonts w:hint="eastAsia" w:ascii="宋体" w:hAnsi="宋体"/>
          <w:sz w:val="24"/>
          <w:highlight w:val="none"/>
          <w:u w:val="single"/>
          <w:lang w:eastAsia="zh-CN"/>
        </w:rPr>
        <w:t>2024年</w:t>
      </w:r>
      <w:r>
        <w:rPr>
          <w:rFonts w:hint="eastAsia" w:ascii="宋体" w:hAnsi="宋体"/>
          <w:sz w:val="24"/>
          <w:highlight w:val="none"/>
          <w:u w:val="single"/>
          <w:lang w:val="en-US" w:eastAsia="zh-CN"/>
        </w:rPr>
        <w:t>6</w:t>
      </w:r>
      <w:r>
        <w:rPr>
          <w:rFonts w:hint="eastAsia" w:ascii="宋体" w:hAnsi="宋体"/>
          <w:sz w:val="24"/>
          <w:highlight w:val="none"/>
          <w:u w:val="single"/>
          <w:lang w:eastAsia="zh-CN"/>
        </w:rPr>
        <w:t>月</w:t>
      </w:r>
      <w:r>
        <w:rPr>
          <w:rFonts w:hint="eastAsia" w:ascii="宋体" w:hAnsi="宋体"/>
          <w:sz w:val="24"/>
          <w:highlight w:val="none"/>
          <w:u w:val="single"/>
          <w:lang w:val="en-US" w:eastAsia="zh-CN"/>
        </w:rPr>
        <w:t>14</w:t>
      </w:r>
      <w:r>
        <w:rPr>
          <w:rFonts w:hint="eastAsia" w:ascii="宋体" w:hAnsi="宋体"/>
          <w:sz w:val="24"/>
          <w:highlight w:val="none"/>
          <w:u w:val="single"/>
          <w:lang w:eastAsia="zh-CN"/>
        </w:rPr>
        <w:t>日</w:t>
      </w:r>
      <w:r>
        <w:rPr>
          <w:rFonts w:hint="eastAsia" w:ascii="宋体" w:hAnsi="宋体" w:cs="宋体"/>
          <w:sz w:val="24"/>
          <w:highlight w:val="none"/>
          <w:u w:val="single"/>
        </w:rPr>
        <w:t>至</w:t>
      </w:r>
      <w:r>
        <w:rPr>
          <w:rFonts w:hint="eastAsia" w:ascii="宋体" w:hAnsi="宋体"/>
          <w:sz w:val="24"/>
          <w:highlight w:val="none"/>
          <w:u w:val="single"/>
          <w:lang w:eastAsia="zh-CN"/>
        </w:rPr>
        <w:t>2024年</w:t>
      </w:r>
      <w:r>
        <w:rPr>
          <w:rFonts w:hint="eastAsia" w:ascii="宋体" w:hAnsi="宋体"/>
          <w:sz w:val="24"/>
          <w:highlight w:val="none"/>
          <w:u w:val="single"/>
          <w:lang w:val="en-US" w:eastAsia="zh-CN"/>
        </w:rPr>
        <w:t>6</w:t>
      </w:r>
      <w:r>
        <w:rPr>
          <w:rFonts w:hint="eastAsia" w:ascii="宋体" w:hAnsi="宋体"/>
          <w:sz w:val="24"/>
          <w:highlight w:val="none"/>
          <w:u w:val="single"/>
          <w:lang w:eastAsia="zh-CN"/>
        </w:rPr>
        <w:t>月</w:t>
      </w:r>
      <w:r>
        <w:rPr>
          <w:rFonts w:hint="eastAsia" w:ascii="宋体" w:hAnsi="宋体"/>
          <w:sz w:val="24"/>
          <w:highlight w:val="none"/>
          <w:u w:val="single"/>
          <w:lang w:val="en-US" w:eastAsia="zh-CN"/>
        </w:rPr>
        <w:t>26</w:t>
      </w:r>
      <w:r>
        <w:rPr>
          <w:rFonts w:hint="eastAsia" w:ascii="宋体" w:hAnsi="宋体"/>
          <w:sz w:val="24"/>
          <w:highlight w:val="none"/>
          <w:u w:val="single"/>
          <w:lang w:eastAsia="zh-CN"/>
        </w:rPr>
        <w:t>日</w:t>
      </w:r>
      <w:r>
        <w:rPr>
          <w:rFonts w:hint="eastAsia" w:ascii="宋体" w:hAnsi="宋体" w:cs="宋体"/>
          <w:sz w:val="24"/>
          <w:highlight w:val="none"/>
        </w:rPr>
        <w:t>，每天</w:t>
      </w:r>
      <w:r>
        <w:rPr>
          <w:rFonts w:hint="eastAsia" w:ascii="宋体" w:hAnsi="宋体" w:cs="宋体"/>
          <w:sz w:val="24"/>
          <w:highlight w:val="none"/>
          <w:u w:val="single"/>
        </w:rPr>
        <w:t xml:space="preserve">上午00:00 至12:00 ，下午12:00 至23:59 </w:t>
      </w:r>
      <w:r>
        <w:rPr>
          <w:rFonts w:hint="eastAsia" w:ascii="宋体" w:hAnsi="宋体" w:cs="宋体"/>
          <w:sz w:val="24"/>
          <w:highlight w:val="none"/>
        </w:rPr>
        <w:t>（北京时间，法定节假日除外 ）</w:t>
      </w:r>
    </w:p>
    <w:p>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售价：￥0.00元/份</w:t>
      </w:r>
    </w:p>
    <w:p>
      <w:pPr>
        <w:spacing w:line="360" w:lineRule="auto"/>
        <w:ind w:firstLine="200"/>
        <w:rPr>
          <w:rFonts w:hint="eastAsia" w:ascii="宋体" w:hAnsi="宋体" w:cs="宋体"/>
          <w:b/>
          <w:sz w:val="24"/>
          <w:highlight w:val="none"/>
        </w:rPr>
      </w:pPr>
      <w:bookmarkStart w:id="17" w:name="_Toc35393632"/>
      <w:bookmarkStart w:id="18" w:name="_Toc28359092"/>
      <w:bookmarkStart w:id="19" w:name="_Toc28359015"/>
      <w:bookmarkStart w:id="20" w:name="_Toc35393801"/>
      <w:r>
        <w:rPr>
          <w:rFonts w:hint="eastAsia" w:ascii="宋体" w:hAnsi="宋体" w:cs="宋体"/>
          <w:b/>
          <w:sz w:val="24"/>
          <w:highlight w:val="none"/>
        </w:rPr>
        <w:t>四、响应文件提交</w:t>
      </w:r>
      <w:bookmarkEnd w:id="17"/>
      <w:bookmarkEnd w:id="18"/>
      <w:bookmarkEnd w:id="19"/>
      <w:bookmarkEnd w:id="20"/>
    </w:p>
    <w:p>
      <w:pPr>
        <w:spacing w:line="360" w:lineRule="auto"/>
        <w:ind w:firstLine="480" w:firstLineChars="200"/>
        <w:rPr>
          <w:rFonts w:hint="eastAsia" w:ascii="宋体" w:hAnsi="宋体" w:cs="宋体"/>
          <w:bCs/>
          <w:sz w:val="24"/>
          <w:highlight w:val="none"/>
        </w:rPr>
      </w:pPr>
      <w:r>
        <w:rPr>
          <w:rFonts w:hint="eastAsia" w:ascii="宋体" w:hAnsi="宋体" w:cs="宋体"/>
          <w:sz w:val="24"/>
          <w:highlight w:val="none"/>
        </w:rPr>
        <w:t>截止时间：</w:t>
      </w:r>
      <w:r>
        <w:rPr>
          <w:rFonts w:hint="eastAsia" w:ascii="宋体" w:hAnsi="宋体"/>
          <w:sz w:val="24"/>
          <w:highlight w:val="none"/>
          <w:u w:val="single"/>
          <w:lang w:eastAsia="zh-CN"/>
        </w:rPr>
        <w:t>2024年6月27日11点00分</w:t>
      </w:r>
      <w:r>
        <w:rPr>
          <w:rFonts w:hint="eastAsia" w:ascii="宋体" w:hAnsi="宋体" w:cs="宋体"/>
          <w:bCs/>
          <w:sz w:val="24"/>
          <w:highlight w:val="none"/>
        </w:rPr>
        <w:t>（北京时间）</w:t>
      </w:r>
    </w:p>
    <w:p>
      <w:pPr>
        <w:spacing w:line="360" w:lineRule="auto"/>
        <w:ind w:left="1199" w:leftChars="228" w:hanging="720" w:hangingChars="300"/>
        <w:rPr>
          <w:rFonts w:hint="eastAsia" w:ascii="宋体" w:hAnsi="宋体" w:eastAsia="宋体" w:cs="宋体"/>
          <w:bCs/>
          <w:sz w:val="24"/>
          <w:highlight w:val="none"/>
          <w:u w:val="single"/>
          <w:lang w:eastAsia="zh-CN"/>
        </w:rPr>
      </w:pPr>
      <w:r>
        <w:rPr>
          <w:rFonts w:hint="eastAsia" w:ascii="宋体" w:hAnsi="宋体" w:cs="宋体"/>
          <w:sz w:val="24"/>
          <w:highlight w:val="none"/>
        </w:rPr>
        <w:t>递交地点：请登录政采云投标客户端</w:t>
      </w:r>
      <w:r>
        <w:rPr>
          <w:rFonts w:hint="eastAsia" w:ascii="宋体" w:hAnsi="宋体" w:cs="宋体"/>
          <w:sz w:val="24"/>
          <w:highlight w:val="none"/>
          <w:lang w:val="en-US" w:eastAsia="zh-CN"/>
        </w:rPr>
        <w:t>递交</w:t>
      </w:r>
    </w:p>
    <w:p>
      <w:pPr>
        <w:spacing w:line="360" w:lineRule="auto"/>
        <w:ind w:firstLine="200"/>
        <w:rPr>
          <w:rFonts w:hint="eastAsia" w:ascii="宋体" w:hAnsi="宋体" w:cs="宋体"/>
          <w:b/>
          <w:sz w:val="24"/>
          <w:highlight w:val="none"/>
        </w:rPr>
      </w:pPr>
      <w:bookmarkStart w:id="21" w:name="_Toc28359093"/>
      <w:bookmarkStart w:id="22" w:name="_Toc28359016"/>
      <w:bookmarkStart w:id="23" w:name="_Toc35393633"/>
      <w:bookmarkStart w:id="24" w:name="_Toc35393802"/>
      <w:r>
        <w:rPr>
          <w:rFonts w:hint="eastAsia" w:ascii="宋体" w:hAnsi="宋体" w:cs="宋体"/>
          <w:b/>
          <w:sz w:val="24"/>
          <w:highlight w:val="none"/>
        </w:rPr>
        <w:t>五、开启</w:t>
      </w:r>
      <w:bookmarkEnd w:id="21"/>
      <w:bookmarkEnd w:id="22"/>
      <w:bookmarkEnd w:id="23"/>
      <w:bookmarkEnd w:id="24"/>
    </w:p>
    <w:p>
      <w:pPr>
        <w:spacing w:line="360" w:lineRule="auto"/>
        <w:ind w:firstLine="480" w:firstLineChars="200"/>
        <w:rPr>
          <w:rFonts w:hint="eastAsia" w:ascii="宋体" w:hAnsi="宋体" w:cs="宋体"/>
          <w:bCs/>
          <w:sz w:val="24"/>
          <w:u w:val="single"/>
        </w:rPr>
      </w:pPr>
      <w:r>
        <w:rPr>
          <w:rFonts w:hint="eastAsia" w:ascii="宋体" w:hAnsi="宋体" w:cs="宋体"/>
          <w:sz w:val="24"/>
          <w:highlight w:val="none"/>
        </w:rPr>
        <w:t>时间：</w:t>
      </w:r>
      <w:r>
        <w:rPr>
          <w:rFonts w:hint="eastAsia" w:ascii="宋体" w:hAnsi="宋体"/>
          <w:sz w:val="24"/>
          <w:highlight w:val="none"/>
          <w:u w:val="single"/>
          <w:lang w:eastAsia="zh-CN"/>
        </w:rPr>
        <w:t>2024年6月27日11点00分</w:t>
      </w:r>
      <w:r>
        <w:rPr>
          <w:rFonts w:hint="eastAsia" w:ascii="宋体" w:hAnsi="宋体" w:cs="宋体"/>
          <w:bCs/>
          <w:sz w:val="24"/>
          <w:highlight w:val="none"/>
        </w:rPr>
        <w:t>（北京时间）</w:t>
      </w:r>
    </w:p>
    <w:p>
      <w:pPr>
        <w:spacing w:line="360" w:lineRule="auto"/>
        <w:ind w:left="1199" w:leftChars="228" w:hanging="720" w:hangingChars="300"/>
        <w:rPr>
          <w:rFonts w:hint="eastAsia" w:ascii="宋体" w:hAnsi="宋体" w:cs="宋体"/>
          <w:bCs/>
          <w:sz w:val="24"/>
          <w:u w:val="single"/>
        </w:rPr>
      </w:pPr>
      <w:r>
        <w:rPr>
          <w:rFonts w:hint="eastAsia" w:ascii="宋体" w:hAnsi="宋体" w:cs="宋体"/>
          <w:sz w:val="24"/>
        </w:rPr>
        <w:t>开启地点：新疆政府采购云平台（https://www.zcygov.cn/）</w:t>
      </w:r>
    </w:p>
    <w:p>
      <w:pPr>
        <w:spacing w:line="360" w:lineRule="auto"/>
        <w:ind w:firstLine="200"/>
        <w:rPr>
          <w:rFonts w:hint="eastAsia" w:ascii="宋体" w:hAnsi="宋体" w:cs="宋体"/>
          <w:b/>
          <w:sz w:val="24"/>
        </w:rPr>
      </w:pPr>
      <w:bookmarkStart w:id="25" w:name="_Toc28359094"/>
      <w:bookmarkStart w:id="26" w:name="_Toc35393634"/>
      <w:bookmarkStart w:id="27" w:name="_Toc28359017"/>
      <w:bookmarkStart w:id="28" w:name="_Toc35393803"/>
      <w:r>
        <w:rPr>
          <w:rFonts w:hint="eastAsia" w:ascii="宋体" w:hAnsi="宋体" w:cs="宋体"/>
          <w:b/>
          <w:sz w:val="24"/>
        </w:rPr>
        <w:t>六、公告期限</w:t>
      </w:r>
      <w:bookmarkEnd w:id="25"/>
      <w:bookmarkEnd w:id="26"/>
      <w:bookmarkEnd w:id="27"/>
      <w:bookmarkEnd w:id="28"/>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自本公告发布之日起3个工作日。</w:t>
      </w:r>
    </w:p>
    <w:p>
      <w:pPr>
        <w:spacing w:line="360" w:lineRule="auto"/>
        <w:ind w:firstLine="200"/>
        <w:rPr>
          <w:rFonts w:hint="eastAsia" w:ascii="宋体" w:hAnsi="宋体" w:cs="宋体"/>
          <w:b/>
          <w:sz w:val="24"/>
        </w:rPr>
      </w:pPr>
      <w:bookmarkStart w:id="29" w:name="_Toc35393804"/>
      <w:bookmarkStart w:id="30" w:name="_Toc35393635"/>
      <w:r>
        <w:rPr>
          <w:rFonts w:hint="eastAsia" w:ascii="宋体" w:hAnsi="宋体" w:cs="宋体"/>
          <w:b/>
          <w:sz w:val="24"/>
        </w:rPr>
        <w:t>七、其他补充事宜</w:t>
      </w:r>
      <w:bookmarkEnd w:id="29"/>
      <w:bookmarkEnd w:id="30"/>
    </w:p>
    <w:p>
      <w:pPr>
        <w:spacing w:line="360" w:lineRule="auto"/>
        <w:ind w:firstLine="480" w:firstLineChars="200"/>
        <w:rPr>
          <w:rFonts w:hint="eastAsia" w:ascii="宋体" w:hAnsi="宋体" w:cs="宋体"/>
          <w:kern w:val="0"/>
          <w:sz w:val="24"/>
        </w:rPr>
      </w:pPr>
      <w:r>
        <w:rPr>
          <w:rFonts w:hint="eastAsia" w:ascii="宋体" w:hAnsi="宋体" w:cs="宋体"/>
          <w:kern w:val="0"/>
          <w:sz w:val="24"/>
        </w:rPr>
        <w:t>1、磋商保证金形式：以银行转账、电子保函、电汇、银行汇票等非现金形式提交。</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2、本项目采用全流程不见面电子开评标，供应商需要使用CA加密设备，供应商可通过新疆数字证书认证中心官网（https://www.xjca.com.cn/）或下载“新疆政务通”APP自行进行申领。</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3、本项目实行网上全流程不见面电子开评标，采用加密电子响应文件（供应商须使用CA加密设备通过政采云电子投标客户端制作响应文件）。若供应商参与投标，自行承担投标一切费用。</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4、各供应商在开标前应确保成为新疆维吾尔自治区政府采购网正式注册入库供应商，并完成CA数字证书申领。因未注册入库、未办理CA数字证书等原因造成无法投标或投标失败等后果由供应商自行承担。</w:t>
      </w:r>
    </w:p>
    <w:p>
      <w:pPr>
        <w:spacing w:line="360" w:lineRule="auto"/>
        <w:ind w:firstLine="480" w:firstLineChars="200"/>
        <w:rPr>
          <w:rFonts w:hint="eastAsia" w:ascii="宋体" w:hAnsi="宋体" w:cs="宋体"/>
          <w:kern w:val="0"/>
          <w:sz w:val="24"/>
        </w:rPr>
      </w:pPr>
      <w:r>
        <w:rPr>
          <w:rFonts w:hint="eastAsia" w:ascii="宋体" w:hAnsi="宋体" w:cs="宋体"/>
          <w:kern w:val="0"/>
          <w:sz w:val="24"/>
        </w:rPr>
        <w:t>5、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 进行咨询。</w:t>
      </w:r>
    </w:p>
    <w:p>
      <w:pPr>
        <w:spacing w:line="360" w:lineRule="auto"/>
        <w:ind w:firstLine="480" w:firstLineChars="200"/>
        <w:rPr>
          <w:rFonts w:hint="eastAsia" w:ascii="宋体" w:hAnsi="宋体" w:cs="宋体"/>
          <w:kern w:val="0"/>
          <w:sz w:val="24"/>
        </w:rPr>
      </w:pPr>
      <w:r>
        <w:rPr>
          <w:rFonts w:hint="eastAsia" w:ascii="宋体" w:hAnsi="宋体" w:cs="宋体"/>
          <w:kern w:val="0"/>
          <w:sz w:val="24"/>
        </w:rPr>
        <w:t>6、供应商在开标时须使用制作加密电子</w:t>
      </w:r>
      <w:r>
        <w:rPr>
          <w:rFonts w:hint="eastAsia" w:ascii="宋体" w:hAnsi="宋体" w:cs="宋体"/>
          <w:kern w:val="0"/>
          <w:sz w:val="24"/>
          <w:lang w:eastAsia="zh-CN"/>
        </w:rPr>
        <w:t>响应文件</w:t>
      </w:r>
      <w:r>
        <w:rPr>
          <w:rFonts w:hint="eastAsia" w:ascii="宋体" w:hAnsi="宋体" w:cs="宋体"/>
          <w:kern w:val="0"/>
          <w:sz w:val="24"/>
        </w:rPr>
        <w:t>所使用的CA锁及电脑，电脑须提前配置好浏览器（建议使用谷歌浏览器），以便开标时解锁。</w:t>
      </w:r>
    </w:p>
    <w:p>
      <w:pPr>
        <w:spacing w:line="360" w:lineRule="auto"/>
        <w:ind w:firstLine="480" w:firstLineChars="200"/>
        <w:rPr>
          <w:rFonts w:hint="eastAsia" w:ascii="宋体" w:hAnsi="宋体" w:cs="宋体"/>
          <w:kern w:val="0"/>
          <w:sz w:val="24"/>
        </w:rPr>
      </w:pPr>
      <w:r>
        <w:rPr>
          <w:rFonts w:hint="eastAsia" w:ascii="宋体" w:hAnsi="宋体" w:cs="宋体"/>
          <w:kern w:val="0"/>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pacing w:line="360" w:lineRule="auto"/>
        <w:ind w:firstLine="480" w:firstLineChars="200"/>
        <w:rPr>
          <w:rFonts w:hint="eastAsia" w:ascii="宋体" w:hAnsi="宋体" w:cs="宋体"/>
          <w:kern w:val="0"/>
          <w:sz w:val="24"/>
        </w:rPr>
      </w:pPr>
      <w:r>
        <w:rPr>
          <w:rFonts w:hint="eastAsia" w:ascii="宋体" w:hAnsi="宋体" w:cs="宋体"/>
          <w:kern w:val="0"/>
          <w:sz w:val="24"/>
        </w:rPr>
        <w:t>8、为了保证开评标顺利进行，政采云线上开标功能完全实现，供应商开标所使用的电脑设备须具有视频及语音功能。</w:t>
      </w:r>
    </w:p>
    <w:p>
      <w:pPr>
        <w:spacing w:line="360" w:lineRule="auto"/>
        <w:ind w:firstLine="480" w:firstLineChars="200"/>
        <w:rPr>
          <w:rFonts w:hint="eastAsia" w:ascii="宋体" w:hAnsi="宋体" w:cs="宋体"/>
          <w:kern w:val="0"/>
          <w:sz w:val="24"/>
        </w:rPr>
      </w:pPr>
      <w:r>
        <w:rPr>
          <w:rFonts w:hint="eastAsia" w:ascii="宋体" w:hAnsi="宋体" w:cs="宋体"/>
          <w:kern w:val="0"/>
          <w:sz w:val="24"/>
        </w:rPr>
        <w:t>9、发布媒介：</w:t>
      </w:r>
      <w:r>
        <w:rPr>
          <w:rFonts w:hint="eastAsia" w:ascii="宋体" w:hAnsi="宋体" w:cs="宋体"/>
          <w:kern w:val="0"/>
          <w:sz w:val="24"/>
          <w:lang w:val="en-US" w:eastAsia="zh-CN"/>
        </w:rPr>
        <w:t>中国政府采购网、</w:t>
      </w:r>
      <w:r>
        <w:rPr>
          <w:rFonts w:hint="eastAsia" w:ascii="宋体" w:hAnsi="宋体" w:cs="宋体"/>
          <w:kern w:val="0"/>
          <w:sz w:val="24"/>
        </w:rPr>
        <w:t>新疆政府采购网。</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10、采购项目需要落实的政府采购政策：节约能源、保护环境、扶持不发达地区和少数民族地区、促进中小企业发展、促进残疾人就业、政府采购信用担保等。</w:t>
      </w:r>
    </w:p>
    <w:p>
      <w:pPr>
        <w:spacing w:line="360" w:lineRule="auto"/>
        <w:ind w:firstLine="200"/>
        <w:rPr>
          <w:rFonts w:hint="eastAsia" w:ascii="宋体" w:hAnsi="宋体" w:cs="宋体"/>
          <w:b/>
          <w:sz w:val="24"/>
        </w:rPr>
      </w:pPr>
      <w:bookmarkStart w:id="31" w:name="_Toc28359018"/>
      <w:bookmarkStart w:id="32" w:name="_Toc28359095"/>
      <w:bookmarkStart w:id="33" w:name="_Toc35393805"/>
      <w:bookmarkStart w:id="34" w:name="_Toc35393636"/>
      <w:r>
        <w:rPr>
          <w:rFonts w:hint="eastAsia" w:ascii="宋体" w:hAnsi="宋体" w:cs="宋体"/>
          <w:b/>
          <w:sz w:val="24"/>
        </w:rPr>
        <w:t>八、凡对本次采购提出询问，请按以下方式联系。</w:t>
      </w:r>
      <w:bookmarkEnd w:id="31"/>
      <w:bookmarkEnd w:id="32"/>
      <w:bookmarkEnd w:id="33"/>
      <w:bookmarkEnd w:id="34"/>
    </w:p>
    <w:p>
      <w:pPr>
        <w:spacing w:line="360" w:lineRule="auto"/>
        <w:ind w:firstLine="480" w:firstLineChars="200"/>
        <w:rPr>
          <w:rFonts w:hint="eastAsia" w:ascii="宋体" w:hAnsi="宋体" w:cs="宋体"/>
          <w:b/>
          <w:sz w:val="24"/>
        </w:rPr>
      </w:pPr>
      <w:bookmarkStart w:id="35" w:name="_Toc28359019"/>
      <w:bookmarkStart w:id="36" w:name="_Toc35393806"/>
      <w:bookmarkStart w:id="37" w:name="_Toc35393637"/>
      <w:bookmarkStart w:id="38" w:name="_Toc28359096"/>
      <w:r>
        <w:rPr>
          <w:rFonts w:hint="eastAsia" w:ascii="宋体" w:hAnsi="宋体" w:cs="宋体"/>
          <w:sz w:val="24"/>
        </w:rPr>
        <w:t>1.采购人信息</w:t>
      </w:r>
      <w:bookmarkEnd w:id="35"/>
      <w:bookmarkEnd w:id="36"/>
      <w:bookmarkEnd w:id="37"/>
      <w:bookmarkEnd w:id="38"/>
    </w:p>
    <w:p>
      <w:pPr>
        <w:spacing w:line="360" w:lineRule="auto"/>
        <w:ind w:firstLine="480" w:firstLineChars="200"/>
        <w:jc w:val="left"/>
        <w:rPr>
          <w:rFonts w:hint="eastAsia" w:ascii="宋体" w:hAnsi="宋体" w:eastAsia="宋体" w:cs="宋体"/>
          <w:sz w:val="24"/>
          <w:u w:val="single"/>
          <w:lang w:eastAsia="zh-CN"/>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sz w:val="24"/>
          <w:u w:val="single"/>
          <w:lang w:eastAsia="zh-CN"/>
        </w:rPr>
        <w:t>阜康市第一中学</w:t>
      </w:r>
    </w:p>
    <w:p>
      <w:pPr>
        <w:spacing w:line="360" w:lineRule="auto"/>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u w:val="single"/>
          <w:lang w:eastAsia="zh-CN"/>
        </w:rPr>
        <w:t>阜康市</w:t>
      </w:r>
    </w:p>
    <w:p>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0994-3227858</w:t>
      </w:r>
    </w:p>
    <w:p>
      <w:pPr>
        <w:spacing w:line="360" w:lineRule="auto"/>
        <w:ind w:firstLine="468" w:firstLineChars="195"/>
        <w:rPr>
          <w:rFonts w:hint="eastAsia" w:ascii="宋体" w:hAnsi="宋体" w:cs="宋体"/>
          <w:b/>
          <w:sz w:val="24"/>
        </w:rPr>
      </w:pPr>
      <w:bookmarkStart w:id="39" w:name="_Toc28359020"/>
      <w:bookmarkStart w:id="40" w:name="_Toc35393807"/>
      <w:bookmarkStart w:id="41" w:name="_Toc28359097"/>
      <w:bookmarkStart w:id="42" w:name="_Toc35393638"/>
      <w:r>
        <w:rPr>
          <w:rFonts w:hint="eastAsia" w:ascii="宋体" w:hAnsi="宋体" w:cs="宋体"/>
          <w:sz w:val="24"/>
        </w:rPr>
        <w:t>2.采购代理机构信息</w:t>
      </w:r>
      <w:bookmarkEnd w:id="39"/>
      <w:bookmarkEnd w:id="40"/>
      <w:bookmarkEnd w:id="41"/>
      <w:bookmarkEnd w:id="42"/>
    </w:p>
    <w:p>
      <w:pPr>
        <w:spacing w:line="360" w:lineRule="auto"/>
        <w:ind w:firstLine="480" w:firstLineChars="200"/>
        <w:rPr>
          <w:rFonts w:hint="eastAsia" w:ascii="宋体" w:hAnsi="宋体" w:cs="宋体"/>
          <w:sz w:val="24"/>
        </w:rPr>
      </w:pPr>
      <w:r>
        <w:rPr>
          <w:rFonts w:hint="eastAsia" w:ascii="宋体" w:hAnsi="宋体" w:cs="宋体"/>
          <w:sz w:val="24"/>
        </w:rPr>
        <w:t xml:space="preserve">名    称： </w:t>
      </w:r>
      <w:r>
        <w:rPr>
          <w:rFonts w:hint="eastAsia" w:ascii="宋体" w:hAnsi="宋体" w:cs="宋体"/>
          <w:sz w:val="24"/>
          <w:u w:val="single"/>
        </w:rPr>
        <w:t>新疆榕泰项目管理咨询有限公司</w:t>
      </w:r>
    </w:p>
    <w:p>
      <w:pPr>
        <w:spacing w:line="360" w:lineRule="auto"/>
        <w:ind w:left="1679" w:leftChars="228" w:hanging="1200" w:hangingChars="500"/>
        <w:rPr>
          <w:rFonts w:hint="eastAsia" w:ascii="宋体" w:hAnsi="宋体" w:cs="宋体"/>
          <w:sz w:val="24"/>
          <w:u w:val="single"/>
        </w:rPr>
      </w:pPr>
      <w:r>
        <w:rPr>
          <w:rFonts w:hint="eastAsia" w:ascii="宋体" w:hAnsi="宋体" w:cs="宋体"/>
          <w:sz w:val="24"/>
        </w:rPr>
        <w:t xml:space="preserve">地    址： </w:t>
      </w:r>
      <w:r>
        <w:rPr>
          <w:rFonts w:hint="eastAsia" w:ascii="宋体" w:hAnsi="宋体" w:cs="宋体"/>
          <w:sz w:val="24"/>
          <w:u w:val="single"/>
        </w:rPr>
        <w:t>新疆乌鲁木齐市水磨沟区南湖南路111号深圳汇宾楼前楼4楼418室</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 xml:space="preserve">联系方式： </w:t>
      </w:r>
      <w:r>
        <w:rPr>
          <w:rFonts w:hint="eastAsia" w:ascii="宋体" w:hAnsi="宋体" w:cs="宋体"/>
          <w:sz w:val="24"/>
          <w:u w:val="single"/>
          <w:lang w:eastAsia="zh-CN"/>
        </w:rPr>
        <w:t>0991-4630007</w:t>
      </w:r>
    </w:p>
    <w:p>
      <w:pPr>
        <w:spacing w:line="360" w:lineRule="auto"/>
        <w:ind w:firstLine="468" w:firstLineChars="195"/>
        <w:rPr>
          <w:rFonts w:hint="eastAsia" w:ascii="宋体" w:hAnsi="宋体" w:cs="宋体"/>
          <w:b/>
          <w:sz w:val="24"/>
        </w:rPr>
      </w:pPr>
      <w:bookmarkStart w:id="43" w:name="_Toc28359021"/>
      <w:bookmarkStart w:id="44" w:name="_Toc35393808"/>
      <w:bookmarkStart w:id="45" w:name="_Toc28359098"/>
      <w:bookmarkStart w:id="46" w:name="_Toc35393639"/>
      <w:r>
        <w:rPr>
          <w:rFonts w:hint="eastAsia" w:ascii="宋体" w:hAnsi="宋体" w:cs="宋体"/>
          <w:sz w:val="24"/>
        </w:rPr>
        <w:t>3.项目联系方式</w:t>
      </w:r>
      <w:bookmarkEnd w:id="43"/>
      <w:bookmarkEnd w:id="44"/>
      <w:bookmarkEnd w:id="45"/>
      <w:bookmarkEnd w:id="46"/>
    </w:p>
    <w:p>
      <w:pPr>
        <w:pStyle w:val="26"/>
        <w:spacing w:line="360" w:lineRule="auto"/>
        <w:ind w:firstLine="480" w:firstLineChars="200"/>
        <w:rPr>
          <w:rFonts w:hint="eastAsia" w:hAnsi="宋体" w:eastAsia="宋体" w:cs="宋体"/>
          <w:sz w:val="24"/>
          <w:szCs w:val="24"/>
          <w:lang w:eastAsia="zh-CN"/>
        </w:rPr>
      </w:pPr>
      <w:r>
        <w:rPr>
          <w:rFonts w:hAnsi="宋体" w:cs="宋体"/>
          <w:sz w:val="24"/>
          <w:szCs w:val="24"/>
        </w:rPr>
        <w:t>项目联系人：</w:t>
      </w:r>
      <w:r>
        <w:rPr>
          <w:rFonts w:hint="eastAsia" w:hAnsi="宋体" w:cs="宋体"/>
          <w:sz w:val="24"/>
          <w:szCs w:val="24"/>
          <w:u w:val="single"/>
          <w:lang w:eastAsia="zh-CN"/>
        </w:rPr>
        <w:t>陈工</w:t>
      </w:r>
    </w:p>
    <w:p>
      <w:pPr>
        <w:spacing w:line="360" w:lineRule="auto"/>
        <w:ind w:firstLine="480" w:firstLineChars="200"/>
        <w:outlineLvl w:val="0"/>
        <w:rPr>
          <w:rFonts w:hint="eastAsia" w:hAnsi="宋体" w:cs="宋体"/>
          <w:sz w:val="24"/>
          <w:szCs w:val="24"/>
          <w:u w:val="single"/>
          <w:lang w:eastAsia="zh-CN"/>
        </w:rPr>
      </w:pPr>
      <w:r>
        <w:rPr>
          <w:rFonts w:hAnsi="宋体" w:cs="宋体"/>
          <w:sz w:val="24"/>
          <w:szCs w:val="24"/>
        </w:rPr>
        <w:t xml:space="preserve">电    话： </w:t>
      </w:r>
      <w:bookmarkEnd w:id="4"/>
      <w:bookmarkStart w:id="47" w:name="_Toc226965856"/>
      <w:bookmarkStart w:id="48" w:name="_Toc305158854"/>
      <w:bookmarkStart w:id="49" w:name="_Toc265228423"/>
      <w:bookmarkStart w:id="50" w:name="_Toc195842950"/>
      <w:bookmarkStart w:id="51" w:name="_Toc305158928"/>
      <w:bookmarkStart w:id="52" w:name="_Toc353873938"/>
      <w:bookmarkStart w:id="53" w:name="_Toc264969275"/>
      <w:bookmarkStart w:id="54" w:name="_Toc353825548"/>
      <w:bookmarkStart w:id="55" w:name="_Toc127151777"/>
      <w:bookmarkStart w:id="56" w:name="_Toc512937850"/>
      <w:bookmarkStart w:id="57" w:name="_Toc150774783"/>
      <w:bookmarkStart w:id="58" w:name="_Toc127161488"/>
      <w:bookmarkStart w:id="59" w:name="_Toc97371942"/>
      <w:r>
        <w:rPr>
          <w:rFonts w:hint="eastAsia" w:ascii="宋体" w:hAnsi="宋体" w:eastAsia="宋体" w:cs="宋体"/>
          <w:sz w:val="24"/>
          <w:szCs w:val="24"/>
          <w:u w:val="single"/>
          <w:lang w:eastAsia="zh-CN"/>
        </w:rPr>
        <w:t>0991-4630007</w:t>
      </w:r>
    </w:p>
    <w:p>
      <w:pPr>
        <w:spacing w:line="360" w:lineRule="auto"/>
        <w:ind w:firstLine="480" w:firstLineChars="200"/>
        <w:outlineLvl w:val="0"/>
        <w:rPr>
          <w:rFonts w:hint="eastAsia" w:ascii="宋体" w:hAnsi="宋体" w:cs="宋体"/>
          <w:b/>
          <w:sz w:val="36"/>
          <w:szCs w:val="36"/>
        </w:rPr>
      </w:pPr>
      <w:r>
        <w:rPr>
          <w:rFonts w:hint="eastAsia" w:hAnsi="宋体" w:cs="宋体"/>
          <w:sz w:val="24"/>
          <w:szCs w:val="24"/>
          <w:u w:val="single"/>
          <w:lang w:eastAsia="zh-CN"/>
        </w:rPr>
        <w:br w:type="page"/>
      </w:r>
    </w:p>
    <w:p>
      <w:pPr>
        <w:pStyle w:val="87"/>
        <w:rPr>
          <w:rFonts w:hint="eastAsia" w:hAnsi="宋体" w:cs="宋体"/>
          <w:b/>
          <w:color w:val="auto"/>
          <w:sz w:val="36"/>
          <w:szCs w:val="36"/>
        </w:rPr>
      </w:pPr>
    </w:p>
    <w:p>
      <w:pPr>
        <w:pStyle w:val="87"/>
        <w:rPr>
          <w:rFonts w:hint="eastAsia" w:hAnsi="宋体" w:cs="宋体"/>
          <w:b/>
          <w:color w:val="auto"/>
          <w:sz w:val="36"/>
          <w:szCs w:val="36"/>
        </w:rPr>
      </w:pPr>
    </w:p>
    <w:p>
      <w:pPr>
        <w:pStyle w:val="87"/>
        <w:rPr>
          <w:rFonts w:hint="eastAsia" w:hAnsi="宋体" w:cs="宋体"/>
          <w:b/>
          <w:color w:val="auto"/>
          <w:sz w:val="36"/>
          <w:szCs w:val="36"/>
        </w:rPr>
      </w:pPr>
    </w:p>
    <w:p>
      <w:pPr>
        <w:pStyle w:val="87"/>
        <w:rPr>
          <w:rFonts w:hint="eastAsia" w:hAnsi="宋体" w:cs="宋体"/>
          <w:b/>
          <w:color w:val="auto"/>
          <w:sz w:val="36"/>
          <w:szCs w:val="36"/>
        </w:rPr>
      </w:pPr>
    </w:p>
    <w:p>
      <w:pPr>
        <w:pStyle w:val="87"/>
        <w:rPr>
          <w:rFonts w:hint="eastAsia" w:hAnsi="宋体" w:cs="宋体"/>
          <w:b/>
          <w:color w:val="auto"/>
          <w:sz w:val="36"/>
          <w:szCs w:val="36"/>
        </w:rPr>
      </w:pPr>
    </w:p>
    <w:p>
      <w:pPr>
        <w:pStyle w:val="87"/>
        <w:rPr>
          <w:rFonts w:hint="eastAsia" w:hAnsi="宋体" w:cs="宋体"/>
          <w:b/>
          <w:color w:val="auto"/>
          <w:sz w:val="36"/>
          <w:szCs w:val="36"/>
        </w:rPr>
      </w:pPr>
    </w:p>
    <w:p>
      <w:pPr>
        <w:pStyle w:val="87"/>
        <w:rPr>
          <w:rFonts w:hint="eastAsia" w:hAnsi="宋体" w:cs="宋体"/>
          <w:b/>
          <w:color w:val="auto"/>
          <w:sz w:val="36"/>
          <w:szCs w:val="36"/>
        </w:rPr>
      </w:pPr>
    </w:p>
    <w:p>
      <w:pPr>
        <w:spacing w:line="360" w:lineRule="auto"/>
        <w:outlineLvl w:val="0"/>
        <w:rPr>
          <w:rFonts w:hint="eastAsia" w:ascii="宋体" w:hAnsi="宋体" w:cs="宋体"/>
          <w:b/>
          <w:sz w:val="36"/>
          <w:szCs w:val="36"/>
        </w:rPr>
      </w:pPr>
    </w:p>
    <w:p>
      <w:pPr>
        <w:spacing w:line="360" w:lineRule="auto"/>
        <w:outlineLvl w:val="0"/>
        <w:rPr>
          <w:rFonts w:hint="eastAsia" w:ascii="宋体" w:hAnsi="宋体" w:cs="宋体"/>
          <w:b/>
          <w:sz w:val="36"/>
          <w:szCs w:val="36"/>
        </w:rPr>
      </w:pPr>
    </w:p>
    <w:p>
      <w:pPr>
        <w:spacing w:line="360" w:lineRule="auto"/>
        <w:jc w:val="center"/>
        <w:outlineLvl w:val="0"/>
        <w:rPr>
          <w:rFonts w:hint="eastAsia" w:ascii="宋体" w:hAnsi="宋体" w:cs="宋体"/>
          <w:b/>
          <w:sz w:val="32"/>
          <w:szCs w:val="32"/>
        </w:rPr>
      </w:pPr>
      <w:r>
        <w:rPr>
          <w:rFonts w:hint="eastAsia" w:ascii="宋体" w:hAnsi="宋体" w:cs="宋体"/>
          <w:b/>
          <w:sz w:val="36"/>
          <w:szCs w:val="36"/>
        </w:rPr>
        <w:t>第二章   供应商须知</w:t>
      </w:r>
      <w:bookmarkEnd w:id="47"/>
      <w:bookmarkEnd w:id="48"/>
      <w:bookmarkEnd w:id="49"/>
      <w:bookmarkEnd w:id="50"/>
      <w:bookmarkEnd w:id="51"/>
      <w:bookmarkEnd w:id="52"/>
      <w:bookmarkEnd w:id="53"/>
      <w:bookmarkEnd w:id="54"/>
      <w:bookmarkEnd w:id="55"/>
      <w:bookmarkEnd w:id="56"/>
      <w:bookmarkEnd w:id="57"/>
      <w:bookmarkEnd w:id="58"/>
      <w:bookmarkEnd w:id="59"/>
    </w:p>
    <w:p>
      <w:pPr>
        <w:pStyle w:val="6"/>
        <w:tabs>
          <w:tab w:val="center" w:pos="4592"/>
          <w:tab w:val="left" w:pos="7860"/>
        </w:tabs>
        <w:spacing w:before="0" w:line="360" w:lineRule="auto"/>
        <w:rPr>
          <w:rFonts w:hint="eastAsia" w:ascii="宋体" w:hAnsi="宋体" w:eastAsia="宋体" w:cs="宋体"/>
          <w:sz w:val="28"/>
        </w:rPr>
      </w:pPr>
      <w:bookmarkStart w:id="60" w:name="_Toc164608633"/>
      <w:bookmarkStart w:id="61" w:name="_Toc226309763"/>
      <w:bookmarkStart w:id="62" w:name="_Toc127161433"/>
      <w:bookmarkStart w:id="63" w:name="_Toc164351613"/>
      <w:bookmarkStart w:id="64" w:name="_Toc150774724"/>
      <w:bookmarkStart w:id="65" w:name="_Toc520356144"/>
      <w:bookmarkStart w:id="66" w:name="_Toc151193689"/>
      <w:bookmarkStart w:id="67" w:name="_Toc151193907"/>
      <w:bookmarkStart w:id="68" w:name="_Toc151193833"/>
      <w:bookmarkStart w:id="69" w:name="_Toc195842884"/>
      <w:bookmarkStart w:id="70" w:name="_Toc151193617"/>
      <w:bookmarkStart w:id="71" w:name="_Toc151190146"/>
      <w:bookmarkStart w:id="72" w:name="_Toc164608788"/>
      <w:bookmarkStart w:id="73" w:name="_Toc127151720"/>
      <w:bookmarkStart w:id="74" w:name="_Toc150774619"/>
      <w:bookmarkStart w:id="75" w:name="_Toc226965792"/>
      <w:bookmarkStart w:id="76" w:name="_Toc150509270"/>
      <w:bookmarkStart w:id="77" w:name="_Toc151193761"/>
      <w:bookmarkStart w:id="78" w:name="_Toc164229360"/>
      <w:bookmarkStart w:id="79" w:name="_Toc142311021"/>
      <w:bookmarkStart w:id="80" w:name="_Toc149720812"/>
      <w:bookmarkStart w:id="81" w:name="_Toc226965709"/>
      <w:bookmarkStart w:id="82" w:name="_Toc127151519"/>
      <w:bookmarkStart w:id="83" w:name="_Toc150480757"/>
      <w:bookmarkStart w:id="84" w:name="_Toc226337215"/>
      <w:bookmarkStart w:id="85" w:name="_Toc164229214"/>
      <w:r>
        <w:rPr>
          <w:rFonts w:hint="eastAsia" w:ascii="宋体" w:hAnsi="宋体" w:eastAsia="宋体" w:cs="宋体"/>
          <w:sz w:val="28"/>
        </w:rPr>
        <w:br w:type="page"/>
      </w:r>
      <w:r>
        <w:rPr>
          <w:rFonts w:hint="eastAsia" w:ascii="宋体" w:hAnsi="宋体" w:eastAsia="宋体" w:cs="宋体"/>
          <w:sz w:val="28"/>
        </w:rPr>
        <w:t>供应商须知资料表</w:t>
      </w:r>
    </w:p>
    <w:p>
      <w:pPr>
        <w:spacing w:line="360" w:lineRule="auto"/>
        <w:ind w:firstLine="480"/>
        <w:rPr>
          <w:rFonts w:hint="eastAsia" w:ascii="宋体" w:hAnsi="宋体" w:cs="宋体"/>
        </w:rPr>
      </w:pPr>
      <w:r>
        <w:rPr>
          <w:rFonts w:hint="eastAsia" w:ascii="宋体" w:hAnsi="宋体" w:cs="宋体"/>
          <w:sz w:val="24"/>
        </w:rPr>
        <w:t>本表是对供应商须知的具体补充和修改，如有矛盾，均以本资料表为准。标记“</w:t>
      </w:r>
      <w:r>
        <w:rPr>
          <w:rFonts w:hint="eastAsia" w:ascii="宋体" w:hAnsi="宋体" w:cs="宋体"/>
          <w:b/>
          <w:sz w:val="24"/>
        </w:rPr>
        <w:t>■</w:t>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46"/>
        <w:tblpPr w:leftFromText="180" w:rightFromText="180" w:vertAnchor="text" w:horzAnchor="page" w:tblpX="1120" w:tblpY="457"/>
        <w:tblOverlap w:val="never"/>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2" w:type="dxa"/>
            <w:noWrap w:val="0"/>
            <w:vAlign w:val="top"/>
          </w:tcPr>
          <w:p>
            <w:pPr>
              <w:jc w:val="center"/>
              <w:rPr>
                <w:rFonts w:hint="eastAsia" w:ascii="宋体" w:hAnsi="宋体" w:cs="宋体"/>
                <w:bCs/>
              </w:rPr>
            </w:pPr>
            <w:r>
              <w:rPr>
                <w:rFonts w:hint="eastAsia" w:ascii="宋体" w:hAnsi="宋体" w:cs="宋体"/>
                <w:bCs/>
              </w:rPr>
              <w:t>序号</w:t>
            </w:r>
          </w:p>
        </w:tc>
        <w:tc>
          <w:tcPr>
            <w:tcW w:w="1903" w:type="dxa"/>
            <w:noWrap w:val="0"/>
            <w:vAlign w:val="top"/>
          </w:tcPr>
          <w:p>
            <w:pPr>
              <w:jc w:val="center"/>
              <w:rPr>
                <w:rFonts w:hint="eastAsia" w:ascii="宋体" w:hAnsi="宋体" w:cs="宋体"/>
                <w:bCs/>
              </w:rPr>
            </w:pPr>
            <w:r>
              <w:rPr>
                <w:rFonts w:hint="eastAsia" w:ascii="宋体" w:hAnsi="宋体" w:cs="宋体"/>
                <w:bCs/>
                <w:sz w:val="24"/>
              </w:rPr>
              <w:t>条目</w:t>
            </w:r>
          </w:p>
        </w:tc>
        <w:tc>
          <w:tcPr>
            <w:tcW w:w="7604" w:type="dxa"/>
            <w:noWrap w:val="0"/>
            <w:vAlign w:val="top"/>
          </w:tcPr>
          <w:p>
            <w:pPr>
              <w:jc w:val="center"/>
              <w:rPr>
                <w:rFonts w:hint="eastAsia" w:ascii="宋体" w:hAnsi="宋体" w:cs="宋体"/>
                <w:bCs/>
              </w:rPr>
            </w:pPr>
            <w:r>
              <w:rPr>
                <w:rFonts w:hint="eastAsia" w:ascii="宋体" w:hAnsi="宋体" w:cs="宋体"/>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rPr>
            </w:pPr>
            <w:r>
              <w:rPr>
                <w:rFonts w:hint="eastAsia" w:ascii="宋体" w:hAnsi="宋体" w:cs="宋体"/>
                <w:sz w:val="24"/>
              </w:rPr>
              <w:t>项目名称</w:t>
            </w:r>
          </w:p>
        </w:tc>
        <w:tc>
          <w:tcPr>
            <w:tcW w:w="7604" w:type="dxa"/>
            <w:noWrap w:val="0"/>
            <w:vAlign w:val="center"/>
          </w:tcPr>
          <w:p>
            <w:pPr>
              <w:spacing w:line="400" w:lineRule="exact"/>
              <w:rPr>
                <w:rFonts w:hint="eastAsia" w:ascii="宋体" w:hAnsi="宋体" w:eastAsia="宋体" w:cs="宋体"/>
                <w:sz w:val="24"/>
                <w:lang w:eastAsia="zh-CN"/>
              </w:rPr>
            </w:pPr>
            <w:r>
              <w:rPr>
                <w:rFonts w:hint="eastAsia" w:ascii="宋体" w:hAnsi="宋体" w:cs="宋体"/>
                <w:sz w:val="24"/>
                <w:highlight w:val="none"/>
                <w:lang w:eastAsia="zh-CN"/>
              </w:rPr>
              <w:t>阜康市第一中学理、化学科教室设备购置项目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rPr>
            </w:pPr>
            <w:r>
              <w:rPr>
                <w:rFonts w:hint="eastAsia" w:ascii="宋体" w:hAnsi="宋体" w:cs="宋体"/>
                <w:sz w:val="24"/>
              </w:rPr>
              <w:t>采购人</w:t>
            </w:r>
          </w:p>
        </w:tc>
        <w:tc>
          <w:tcPr>
            <w:tcW w:w="7604" w:type="dxa"/>
            <w:noWrap w:val="0"/>
            <w:vAlign w:val="center"/>
          </w:tcPr>
          <w:p>
            <w:pPr>
              <w:widowControl/>
              <w:tabs>
                <w:tab w:val="center" w:pos="4153"/>
              </w:tabs>
              <w:spacing w:line="400" w:lineRule="exact"/>
              <w:jc w:val="left"/>
              <w:rPr>
                <w:rFonts w:hint="eastAsia" w:ascii="宋体" w:hAnsi="宋体" w:eastAsia="宋体" w:cs="宋体"/>
                <w:sz w:val="24"/>
                <w:lang w:eastAsia="zh-CN"/>
              </w:rPr>
            </w:pPr>
            <w:r>
              <w:rPr>
                <w:rFonts w:hint="eastAsia" w:ascii="宋体" w:hAnsi="宋体" w:cs="宋体"/>
                <w:sz w:val="24"/>
              </w:rPr>
              <w:t>采购人名称：</w:t>
            </w:r>
            <w:r>
              <w:rPr>
                <w:rFonts w:hint="eastAsia" w:ascii="宋体" w:hAnsi="宋体" w:cs="宋体"/>
                <w:sz w:val="24"/>
                <w:lang w:eastAsia="zh-CN"/>
              </w:rPr>
              <w:t>阜康市第一中学</w:t>
            </w:r>
          </w:p>
          <w:p>
            <w:pPr>
              <w:widowControl/>
              <w:tabs>
                <w:tab w:val="center" w:pos="4153"/>
              </w:tabs>
              <w:spacing w:line="400" w:lineRule="exact"/>
              <w:jc w:val="left"/>
              <w:rPr>
                <w:rFonts w:hint="eastAsia" w:ascii="宋体" w:hAnsi="宋体" w:cs="宋体"/>
                <w:sz w:val="24"/>
                <w:highlight w:val="none"/>
              </w:rPr>
            </w:pPr>
            <w:r>
              <w:rPr>
                <w:rFonts w:hint="eastAsia" w:ascii="宋体" w:hAnsi="宋体" w:cs="宋体"/>
                <w:sz w:val="24"/>
                <w:highlight w:val="none"/>
              </w:rPr>
              <w:t>详细地址：</w:t>
            </w:r>
            <w:r>
              <w:rPr>
                <w:rFonts w:hint="eastAsia" w:ascii="宋体" w:hAnsi="宋体" w:cs="宋体"/>
                <w:sz w:val="24"/>
                <w:lang w:eastAsia="zh-CN"/>
              </w:rPr>
              <w:t>阜康市</w:t>
            </w:r>
          </w:p>
          <w:p>
            <w:pPr>
              <w:tabs>
                <w:tab w:val="left" w:pos="3737"/>
              </w:tabs>
              <w:spacing w:line="400" w:lineRule="exact"/>
              <w:rPr>
                <w:rFonts w:hint="eastAsia" w:ascii="宋体" w:hAnsi="宋体" w:eastAsia="宋体" w:cs="宋体"/>
                <w:sz w:val="24"/>
                <w:lang w:eastAsia="zh-CN"/>
              </w:rPr>
            </w:pPr>
            <w:r>
              <w:rPr>
                <w:rFonts w:hint="eastAsia" w:ascii="宋体" w:hAnsi="宋体" w:cs="宋体"/>
                <w:sz w:val="24"/>
                <w:highlight w:val="none"/>
              </w:rPr>
              <w:t>联系方式：</w:t>
            </w:r>
            <w:r>
              <w:rPr>
                <w:rFonts w:hint="eastAsia" w:ascii="宋体" w:hAnsi="宋体" w:cs="宋体"/>
                <w:sz w:val="24"/>
                <w:highlight w:val="none"/>
                <w:lang w:eastAsia="zh-CN"/>
              </w:rPr>
              <w:t>0994-3227858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采购内容</w:t>
            </w:r>
          </w:p>
        </w:tc>
        <w:tc>
          <w:tcPr>
            <w:tcW w:w="7604"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lang w:val="en-US" w:eastAsia="zh-CN"/>
              </w:rPr>
              <w:t>理、化学科教室设备购置，本项为交钥匙项目，包括配送、安装调试、培训、质保</w:t>
            </w:r>
            <w:r>
              <w:rPr>
                <w:rFonts w:hint="eastAsia" w:ascii="宋体" w:hAnsi="宋体" w:cs="宋体"/>
                <w:sz w:val="24"/>
                <w:highlight w:val="none"/>
                <w:lang w:eastAsia="zh-CN"/>
              </w:rPr>
              <w:t>（具体详见竞争性磋商文件）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rPr>
            </w:pPr>
            <w:r>
              <w:rPr>
                <w:rFonts w:hint="eastAsia" w:ascii="宋体" w:hAnsi="宋体" w:cs="宋体"/>
                <w:sz w:val="24"/>
              </w:rPr>
              <w:t>资金来源</w:t>
            </w:r>
          </w:p>
        </w:tc>
        <w:tc>
          <w:tcPr>
            <w:tcW w:w="7604" w:type="dxa"/>
            <w:noWrap w:val="0"/>
            <w:vAlign w:val="center"/>
          </w:tcPr>
          <w:p>
            <w:pPr>
              <w:spacing w:line="400" w:lineRule="exact"/>
              <w:rPr>
                <w:rFonts w:hint="default" w:ascii="宋体" w:hAnsi="宋体" w:eastAsia="宋体" w:cs="宋体"/>
                <w:sz w:val="24"/>
                <w:lang w:val="en-US" w:eastAsia="zh-CN"/>
              </w:rPr>
            </w:pPr>
            <w:r>
              <w:rPr>
                <w:rFonts w:hint="eastAsia" w:ascii="宋体" w:hAnsi="宋体" w:cs="宋体"/>
                <w:sz w:val="24"/>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预算金额</w:t>
            </w:r>
          </w:p>
        </w:tc>
        <w:tc>
          <w:tcPr>
            <w:tcW w:w="7604" w:type="dxa"/>
            <w:noWrap w:val="0"/>
            <w:vAlign w:val="center"/>
          </w:tcPr>
          <w:p>
            <w:pPr>
              <w:spacing w:line="400" w:lineRule="exact"/>
              <w:jc w:val="left"/>
              <w:rPr>
                <w:rFonts w:hint="default" w:ascii="宋体" w:hAnsi="宋体" w:cs="宋体"/>
                <w:sz w:val="24"/>
                <w:highlight w:val="none"/>
                <w:lang w:val="en-US" w:eastAsia="zh-CN"/>
              </w:rPr>
            </w:pPr>
            <w:r>
              <w:rPr>
                <w:rFonts w:hint="eastAsia" w:ascii="宋体" w:hAnsi="宋体" w:cs="宋体"/>
                <w:sz w:val="24"/>
                <w:highlight w:val="none"/>
                <w:lang w:val="en-US" w:eastAsia="zh-CN"/>
              </w:rPr>
              <w:t>1300000.00元（</w:t>
            </w:r>
            <w:r>
              <w:rPr>
                <w:rFonts w:hint="eastAsia" w:ascii="宋体" w:hAnsi="宋体" w:cs="宋体"/>
                <w:sz w:val="24"/>
                <w:highlight w:val="none"/>
              </w:rPr>
              <w:t>最高限价：</w:t>
            </w:r>
            <w:r>
              <w:rPr>
                <w:rFonts w:hint="eastAsia" w:ascii="宋体" w:hAnsi="宋体" w:cs="宋体"/>
                <w:sz w:val="24"/>
                <w:highlight w:val="none"/>
                <w:lang w:val="en-US" w:eastAsia="zh-CN"/>
              </w:rPr>
              <w:t>1300000.00元，超过此金额的报价做无效报价处理）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项目属性</w:t>
            </w:r>
          </w:p>
        </w:tc>
        <w:tc>
          <w:tcPr>
            <w:tcW w:w="7604" w:type="dxa"/>
            <w:noWrap w:val="0"/>
            <w:vAlign w:val="center"/>
          </w:tcPr>
          <w:p>
            <w:pPr>
              <w:jc w:val="left"/>
              <w:rPr>
                <w:rFonts w:hint="eastAsia" w:ascii="宋体" w:hAnsi="宋体" w:cs="宋体"/>
                <w:sz w:val="24"/>
              </w:rPr>
            </w:pPr>
            <w:r>
              <w:rPr>
                <w:rFonts w:hint="eastAsia" w:ascii="宋体" w:hAnsi="宋体" w:cs="宋体"/>
                <w:sz w:val="24"/>
              </w:rPr>
              <w:t>项目属性：</w:t>
            </w:r>
          </w:p>
          <w:p>
            <w:pPr>
              <w:jc w:val="left"/>
              <w:rPr>
                <w:rFonts w:hint="eastAsia" w:ascii="宋体" w:hAnsi="宋体" w:cs="宋体"/>
                <w:sz w:val="24"/>
              </w:rPr>
            </w:pPr>
            <w:r>
              <w:rPr>
                <w:rFonts w:hint="eastAsia" w:ascii="宋体" w:hAnsi="宋体" w:cs="宋体"/>
              </w:rPr>
              <w:sym w:font="Wingdings 2" w:char="00A3"/>
            </w:r>
            <w:r>
              <w:rPr>
                <w:rFonts w:hint="eastAsia" w:ascii="宋体" w:hAnsi="宋体" w:cs="宋体"/>
                <w:sz w:val="24"/>
              </w:rPr>
              <w:t>服务</w:t>
            </w:r>
          </w:p>
          <w:p>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货物</w:t>
            </w:r>
          </w:p>
          <w:p>
            <w:pPr>
              <w:jc w:val="left"/>
              <w:rPr>
                <w:rFonts w:hint="eastAsia" w:ascii="宋体" w:hAnsi="宋体" w:cs="宋体"/>
                <w:sz w:val="24"/>
                <w:u w:val="single"/>
              </w:rPr>
            </w:pPr>
            <w:r>
              <w:rPr>
                <w:rFonts w:hint="eastAsia" w:ascii="宋体" w:hAnsi="宋体" w:cs="宋体"/>
                <w:sz w:val="24"/>
              </w:rPr>
              <w:sym w:font="Wingdings 2" w:char="00A3"/>
            </w:r>
            <w:r>
              <w:rPr>
                <w:rFonts w:hint="eastAsia" w:ascii="宋体" w:hAnsi="宋体" w:cs="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科研仪器设备</w:t>
            </w:r>
          </w:p>
        </w:tc>
        <w:tc>
          <w:tcPr>
            <w:tcW w:w="7604" w:type="dxa"/>
            <w:noWrap w:val="0"/>
            <w:vAlign w:val="center"/>
          </w:tcPr>
          <w:p>
            <w:pPr>
              <w:jc w:val="left"/>
              <w:rPr>
                <w:rFonts w:hint="eastAsia" w:ascii="宋体" w:hAnsi="宋体" w:cs="宋体"/>
                <w:sz w:val="24"/>
              </w:rPr>
            </w:pPr>
            <w:r>
              <w:rPr>
                <w:rFonts w:hint="eastAsia" w:ascii="宋体" w:hAnsi="宋体" w:cs="宋体"/>
                <w:sz w:val="24"/>
              </w:rPr>
              <w:t>是否属于科研仪器设备采购项目：</w:t>
            </w:r>
          </w:p>
          <w:p>
            <w:pPr>
              <w:jc w:val="left"/>
              <w:rPr>
                <w:rFonts w:hint="eastAsia" w:ascii="宋体" w:hAnsi="宋体" w:cs="宋体"/>
                <w:sz w:val="24"/>
              </w:rPr>
            </w:pPr>
            <w:r>
              <w:rPr>
                <w:rFonts w:hint="eastAsia" w:ascii="宋体" w:hAnsi="宋体" w:cs="宋体"/>
              </w:rPr>
              <w:t>□</w:t>
            </w:r>
            <w:r>
              <w:rPr>
                <w:rFonts w:hint="eastAsia" w:ascii="宋体" w:hAnsi="宋体" w:cs="宋体"/>
                <w:sz w:val="24"/>
              </w:rPr>
              <w:t>是</w:t>
            </w:r>
          </w:p>
          <w:p>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rPr>
            </w:pPr>
            <w:r>
              <w:rPr>
                <w:rFonts w:hint="eastAsia" w:ascii="宋体" w:hAnsi="宋体" w:cs="宋体"/>
                <w:sz w:val="24"/>
              </w:rPr>
              <w:t>供应商</w:t>
            </w:r>
          </w:p>
          <w:p>
            <w:pPr>
              <w:spacing w:line="400" w:lineRule="exact"/>
              <w:jc w:val="center"/>
              <w:rPr>
                <w:rFonts w:hint="eastAsia" w:ascii="宋体" w:hAnsi="宋体" w:cs="宋体"/>
                <w:sz w:val="24"/>
              </w:rPr>
            </w:pPr>
            <w:r>
              <w:rPr>
                <w:rFonts w:hint="eastAsia" w:ascii="宋体" w:hAnsi="宋体" w:cs="宋体"/>
                <w:sz w:val="24"/>
              </w:rPr>
              <w:t>资格要求</w:t>
            </w:r>
          </w:p>
        </w:tc>
        <w:tc>
          <w:tcPr>
            <w:tcW w:w="7604" w:type="dxa"/>
            <w:noWrap w:val="0"/>
            <w:vAlign w:val="center"/>
          </w:tcPr>
          <w:p>
            <w:pPr>
              <w:spacing w:line="400" w:lineRule="exact"/>
              <w:rPr>
                <w:rFonts w:hint="eastAsia" w:ascii="宋体" w:hAnsi="宋体" w:cs="宋体"/>
                <w:bCs/>
                <w:kern w:val="0"/>
                <w:sz w:val="24"/>
              </w:rPr>
            </w:pPr>
            <w:r>
              <w:rPr>
                <w:rFonts w:hint="eastAsia" w:ascii="宋体" w:hAnsi="宋体" w:cs="宋体"/>
                <w:bCs/>
                <w:kern w:val="0"/>
                <w:sz w:val="24"/>
              </w:rPr>
              <w:t>1.满足《中华人民共和国政府采购法》第二十二条规定；</w:t>
            </w:r>
          </w:p>
          <w:p>
            <w:pPr>
              <w:spacing w:line="400" w:lineRule="exact"/>
              <w:rPr>
                <w:rFonts w:hint="eastAsia" w:ascii="宋体" w:hAnsi="宋体" w:cs="宋体"/>
                <w:bCs/>
                <w:kern w:val="0"/>
                <w:sz w:val="24"/>
              </w:rPr>
            </w:pPr>
            <w:r>
              <w:rPr>
                <w:rFonts w:hint="eastAsia" w:ascii="宋体" w:hAnsi="宋体" w:cs="宋体"/>
                <w:bCs/>
                <w:kern w:val="0"/>
                <w:sz w:val="24"/>
              </w:rPr>
              <w:t>2.落实政府采购政策需满足的资格要求：</w:t>
            </w:r>
          </w:p>
          <w:p>
            <w:pPr>
              <w:spacing w:line="400" w:lineRule="exact"/>
              <w:rPr>
                <w:rFonts w:hint="eastAsia" w:ascii="宋体" w:hAnsi="宋体" w:cs="宋体"/>
                <w:bCs/>
                <w:kern w:val="0"/>
                <w:sz w:val="24"/>
              </w:rPr>
            </w:pPr>
            <w:r>
              <w:rPr>
                <w:rFonts w:hint="eastAsia" w:ascii="宋体" w:hAnsi="宋体" w:cs="宋体"/>
                <w:bCs/>
                <w:kern w:val="0"/>
                <w:sz w:val="24"/>
              </w:rPr>
              <w:t>1）单位负责人为同一人或者存在直接控股、管理关系的不同供应商，不得同时参加本项目同一合同项下的投标；</w:t>
            </w:r>
          </w:p>
          <w:p>
            <w:pPr>
              <w:spacing w:line="400" w:lineRule="exact"/>
              <w:rPr>
                <w:rFonts w:hint="eastAsia" w:ascii="宋体" w:hAnsi="宋体" w:cs="宋体"/>
                <w:bCs/>
                <w:kern w:val="0"/>
                <w:sz w:val="24"/>
              </w:rPr>
            </w:pPr>
            <w:r>
              <w:rPr>
                <w:rFonts w:hint="eastAsia" w:ascii="宋体" w:hAnsi="宋体" w:cs="宋体"/>
                <w:bCs/>
                <w:kern w:val="0"/>
                <w:sz w:val="24"/>
              </w:rPr>
              <w:t>2）为本项目某包提供整体设计、规范编制或者项目管理、监理、检测等服务的供应商，不得参加该合同项的投标；</w:t>
            </w:r>
          </w:p>
          <w:p>
            <w:pPr>
              <w:spacing w:line="400" w:lineRule="exact"/>
              <w:rPr>
                <w:rFonts w:hint="eastAsia" w:ascii="宋体" w:hAnsi="宋体" w:cs="宋体"/>
                <w:bCs/>
                <w:kern w:val="0"/>
                <w:sz w:val="24"/>
                <w:lang w:eastAsia="zh-CN"/>
              </w:rPr>
            </w:pPr>
            <w:r>
              <w:rPr>
                <w:rFonts w:hint="eastAsia" w:ascii="宋体" w:hAnsi="宋体" w:cs="宋体"/>
                <w:bCs/>
                <w:kern w:val="0"/>
                <w:sz w:val="24"/>
              </w:rPr>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r>
              <w:rPr>
                <w:rFonts w:hint="eastAsia" w:ascii="宋体" w:hAnsi="宋体" w:cs="宋体"/>
                <w:bCs/>
                <w:kern w:val="0"/>
                <w:sz w:val="24"/>
                <w:lang w:eastAsia="zh-CN"/>
              </w:rPr>
              <w:t>；</w:t>
            </w:r>
          </w:p>
          <w:p>
            <w:pPr>
              <w:spacing w:line="400" w:lineRule="exact"/>
              <w:rPr>
                <w:rFonts w:hint="eastAsia" w:ascii="宋体" w:hAnsi="宋体" w:cs="宋体"/>
                <w:bCs/>
                <w:kern w:val="0"/>
                <w:sz w:val="24"/>
                <w:highlight w:val="yellow"/>
                <w:lang w:eastAsia="zh-CN"/>
              </w:rPr>
            </w:pPr>
            <w:r>
              <w:rPr>
                <w:rFonts w:hint="eastAsia" w:ascii="宋体" w:hAnsi="宋体" w:cs="宋体"/>
                <w:bCs/>
                <w:kern w:val="0"/>
                <w:sz w:val="24"/>
                <w:highlight w:val="none"/>
                <w:lang w:eastAsia="zh-CN"/>
              </w:rPr>
              <w:t>4）本项目专门面向中小企业采购。</w:t>
            </w:r>
          </w:p>
          <w:p>
            <w:pPr>
              <w:spacing w:line="400" w:lineRule="exact"/>
              <w:rPr>
                <w:rFonts w:hint="eastAsia" w:ascii="宋体" w:hAnsi="宋体" w:cs="宋体"/>
                <w:sz w:val="24"/>
              </w:rPr>
            </w:pPr>
            <w:r>
              <w:rPr>
                <w:rFonts w:hint="eastAsia" w:ascii="宋体" w:hAnsi="宋体" w:cs="宋体"/>
                <w:bCs/>
                <w:kern w:val="0"/>
                <w:sz w:val="24"/>
              </w:rPr>
              <w:t>3.本项目的特定资格要求：</w:t>
            </w:r>
            <w:r>
              <w:rPr>
                <w:rFonts w:hint="eastAsia" w:ascii="宋体" w:hAnsi="宋体" w:cs="宋体"/>
                <w:bCs/>
                <w:kern w:val="0"/>
                <w:sz w:val="24"/>
                <w:lang w:eastAsia="zh-CN"/>
              </w:rPr>
              <w:t>无</w:t>
            </w: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rPr>
            </w:pPr>
            <w:r>
              <w:rPr>
                <w:rFonts w:hint="eastAsia" w:ascii="宋体" w:hAnsi="宋体" w:cs="宋体"/>
                <w:sz w:val="24"/>
              </w:rPr>
              <w:t>采购方式</w:t>
            </w:r>
          </w:p>
        </w:tc>
        <w:tc>
          <w:tcPr>
            <w:tcW w:w="7604" w:type="dxa"/>
            <w:noWrap w:val="0"/>
            <w:vAlign w:val="center"/>
          </w:tcPr>
          <w:p>
            <w:pPr>
              <w:spacing w:line="400" w:lineRule="exact"/>
              <w:rPr>
                <w:rFonts w:hint="eastAsia" w:ascii="宋体" w:hAnsi="宋体" w:cs="宋体"/>
                <w:sz w:val="24"/>
              </w:rPr>
            </w:pPr>
            <w:r>
              <w:rPr>
                <w:rFonts w:hint="eastAsia" w:ascii="宋体" w:hAnsi="宋体" w:cs="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top"/>
          </w:tcPr>
          <w:p>
            <w:pPr>
              <w:spacing w:line="400" w:lineRule="exact"/>
              <w:jc w:val="center"/>
              <w:rPr>
                <w:rFonts w:hint="eastAsia" w:ascii="宋体" w:hAnsi="宋体" w:cs="宋体"/>
                <w:sz w:val="24"/>
                <w:highlight w:val="none"/>
              </w:rPr>
            </w:pPr>
            <w:r>
              <w:rPr>
                <w:rFonts w:hint="eastAsia" w:ascii="宋体" w:hAnsi="宋体" w:cs="宋体"/>
                <w:sz w:val="24"/>
                <w:highlight w:val="none"/>
              </w:rPr>
              <w:t>合同履行期限</w:t>
            </w:r>
          </w:p>
        </w:tc>
        <w:tc>
          <w:tcPr>
            <w:tcW w:w="7604" w:type="dxa"/>
            <w:noWrap w:val="0"/>
            <w:vAlign w:val="top"/>
          </w:tcPr>
          <w:p>
            <w:pPr>
              <w:spacing w:line="400" w:lineRule="exact"/>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付款方式</w:t>
            </w:r>
          </w:p>
        </w:tc>
        <w:tc>
          <w:tcPr>
            <w:tcW w:w="7604" w:type="dxa"/>
            <w:noWrap w:val="0"/>
            <w:vAlign w:val="center"/>
          </w:tcPr>
          <w:p>
            <w:pPr>
              <w:spacing w:line="400" w:lineRule="exact"/>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签订合同后付合同金额的30%，货到现场安装完成后付40%，验收合格正常使用后付至97%，质保期满后付清剩余款项。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lang w:val="en-US" w:eastAsia="zh-CN"/>
              </w:rPr>
              <w:t>质保期</w:t>
            </w:r>
          </w:p>
        </w:tc>
        <w:tc>
          <w:tcPr>
            <w:tcW w:w="7604" w:type="dxa"/>
            <w:noWrap w:val="0"/>
            <w:vAlign w:val="center"/>
          </w:tcPr>
          <w:p>
            <w:pPr>
              <w:spacing w:line="400" w:lineRule="exact"/>
              <w:rPr>
                <w:rFonts w:hint="default" w:ascii="宋体" w:hAnsi="宋体" w:cs="宋体"/>
                <w:sz w:val="24"/>
                <w:highlight w:val="none"/>
                <w:lang w:val="en-US"/>
              </w:rPr>
            </w:pPr>
            <w:r>
              <w:rPr>
                <w:rFonts w:hint="eastAsia" w:ascii="宋体" w:hAnsi="宋体" w:cs="宋体"/>
                <w:sz w:val="24"/>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rPr>
            </w:pPr>
            <w:r>
              <w:rPr>
                <w:rFonts w:hint="eastAsia" w:ascii="宋体" w:hAnsi="宋体" w:cs="宋体"/>
                <w:sz w:val="24"/>
              </w:rPr>
              <w:t>响应文件份数</w:t>
            </w:r>
          </w:p>
        </w:tc>
        <w:tc>
          <w:tcPr>
            <w:tcW w:w="7604" w:type="dxa"/>
            <w:noWrap w:val="0"/>
            <w:vAlign w:val="center"/>
          </w:tcPr>
          <w:p>
            <w:pPr>
              <w:spacing w:line="400" w:lineRule="exact"/>
              <w:rPr>
                <w:rFonts w:hint="eastAsia" w:ascii="宋体" w:hAnsi="宋体" w:cs="宋体"/>
                <w:sz w:val="24"/>
              </w:rPr>
            </w:pPr>
            <w:r>
              <w:rPr>
                <w:rFonts w:hint="eastAsia" w:ascii="宋体" w:hAnsi="宋体" w:cs="宋体"/>
                <w:sz w:val="24"/>
              </w:rPr>
              <w:t>电子版响应文件政采云网上上传。</w:t>
            </w:r>
          </w:p>
          <w:p>
            <w:pPr>
              <w:spacing w:line="400" w:lineRule="exact"/>
              <w:rPr>
                <w:rFonts w:hint="eastAsia" w:ascii="宋体" w:hAnsi="宋体" w:cs="宋体"/>
                <w:sz w:val="24"/>
              </w:rPr>
            </w:pPr>
            <w:r>
              <w:rPr>
                <w:rFonts w:hint="eastAsia" w:ascii="宋体" w:hAnsi="宋体" w:cs="宋体"/>
                <w:sz w:val="24"/>
              </w:rPr>
              <w:t>纸质版文件</w:t>
            </w:r>
            <w:r>
              <w:rPr>
                <w:rFonts w:hint="eastAsia" w:ascii="宋体" w:hAnsi="宋体" w:cs="宋体"/>
                <w:sz w:val="24"/>
                <w:lang w:eastAsia="zh-CN"/>
              </w:rPr>
              <w:t>（</w:t>
            </w:r>
            <w:r>
              <w:rPr>
                <w:rFonts w:hint="eastAsia" w:ascii="宋体" w:hAnsi="宋体" w:cs="宋体"/>
                <w:sz w:val="24"/>
                <w:lang w:val="en-US" w:eastAsia="zh-CN"/>
              </w:rPr>
              <w:t>成交供应商提供</w:t>
            </w:r>
            <w:r>
              <w:rPr>
                <w:rFonts w:hint="eastAsia" w:ascii="宋体" w:hAnsi="宋体" w:cs="宋体"/>
                <w:sz w:val="24"/>
                <w:lang w:eastAsia="zh-CN"/>
              </w:rPr>
              <w:t>）</w:t>
            </w:r>
            <w:r>
              <w:rPr>
                <w:rFonts w:hint="eastAsia" w:ascii="宋体" w:hAnsi="宋体" w:cs="宋体"/>
                <w:sz w:val="24"/>
              </w:rPr>
              <w:t>：一份正本，两份副本。</w:t>
            </w:r>
          </w:p>
          <w:p>
            <w:pPr>
              <w:spacing w:line="400" w:lineRule="exact"/>
              <w:rPr>
                <w:rFonts w:hint="eastAsia" w:ascii="宋体" w:hAnsi="宋体" w:cs="宋体"/>
                <w:sz w:val="24"/>
              </w:rPr>
            </w:pPr>
            <w:r>
              <w:rPr>
                <w:rFonts w:hint="eastAsia" w:ascii="宋体" w:hAnsi="宋体" w:cs="宋体"/>
                <w:sz w:val="24"/>
              </w:rPr>
              <w:t>项目开标结束后，成交单位需提供三份纸质响应文件（一份正本，两份副本）至采购代理机构（可邮寄）；注：不分册装订，采用死页胶装方式装订,装订应牢固、不易拆散和换页，不得采用活页装订。</w:t>
            </w:r>
          </w:p>
          <w:p>
            <w:pPr>
              <w:spacing w:line="400" w:lineRule="exact"/>
              <w:rPr>
                <w:rFonts w:hint="eastAsia" w:ascii="宋体" w:hAnsi="宋体" w:eastAsia="宋体" w:cs="宋体"/>
                <w:b/>
                <w:sz w:val="24"/>
                <w:lang w:eastAsia="zh-CN"/>
              </w:rPr>
            </w:pPr>
            <w:r>
              <w:rPr>
                <w:rFonts w:hint="eastAsia" w:ascii="宋体" w:hAnsi="宋体" w:cs="宋体"/>
                <w:sz w:val="24"/>
              </w:rPr>
              <w:t>递交地址：新疆榕泰项目管理咨询有限公司</w:t>
            </w:r>
            <w:r>
              <w:rPr>
                <w:rFonts w:hint="eastAsia" w:ascii="宋体" w:hAnsi="宋体" w:cs="宋体"/>
                <w:sz w:val="24"/>
                <w:lang w:eastAsia="zh-CN"/>
              </w:rPr>
              <w:t>，新疆乌鲁木齐市水磨沟区南湖南路111号深圳汇宾楼前楼4楼418室。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rPr>
            </w:pPr>
            <w:r>
              <w:rPr>
                <w:rFonts w:hint="eastAsia" w:ascii="宋体" w:hAnsi="宋体" w:cs="宋体"/>
                <w:sz w:val="24"/>
              </w:rPr>
              <w:t>电子标注意事项</w:t>
            </w:r>
          </w:p>
        </w:tc>
        <w:tc>
          <w:tcPr>
            <w:tcW w:w="7604" w:type="dxa"/>
            <w:noWrap w:val="0"/>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1.本项目采用全流程不见面电子开评标，供应商需要使用CA加密设备，供应商可通过新疆数字证书认证中心官网（https://www.xjca.com.cn/）或下载“新疆政务通”APP自行进行申领。</w:t>
            </w:r>
          </w:p>
          <w:p>
            <w:pPr>
              <w:widowControl/>
              <w:spacing w:line="360" w:lineRule="auto"/>
              <w:jc w:val="left"/>
              <w:rPr>
                <w:rFonts w:hint="eastAsia" w:ascii="宋体" w:hAnsi="宋体" w:cs="宋体"/>
                <w:kern w:val="0"/>
                <w:sz w:val="24"/>
              </w:rPr>
            </w:pPr>
            <w:r>
              <w:rPr>
                <w:rFonts w:hint="eastAsia" w:ascii="宋体" w:hAnsi="宋体" w:cs="宋体"/>
                <w:kern w:val="0"/>
                <w:sz w:val="24"/>
              </w:rPr>
              <w:t>2.本项目实行网上不见面电子开评标，采用加密电子响应文件（供应商须使用CA加密设备通过政采云电子投标客户端制作响应文件）。若供应商参与响应，自行承担一切费用。</w:t>
            </w:r>
          </w:p>
          <w:p>
            <w:pPr>
              <w:widowControl/>
              <w:spacing w:line="360" w:lineRule="auto"/>
              <w:jc w:val="left"/>
              <w:rPr>
                <w:rFonts w:hint="eastAsia" w:ascii="宋体" w:hAnsi="宋体" w:cs="宋体"/>
                <w:kern w:val="0"/>
                <w:sz w:val="24"/>
              </w:rPr>
            </w:pPr>
            <w:r>
              <w:rPr>
                <w:rFonts w:hint="eastAsia" w:ascii="宋体" w:hAnsi="宋体" w:cs="宋体"/>
                <w:kern w:val="0"/>
                <w:sz w:val="24"/>
              </w:rPr>
              <w:t>3.各供应商在开启前应确保成为新疆维吾尔自治区政府采购网正式注册入库供应商，并完成CA数字证书申领。因未注册入库、未办理CA数字证书等原因造成无法响应或响应失败等后果由供应商自行承担。</w:t>
            </w:r>
          </w:p>
          <w:p>
            <w:pPr>
              <w:widowControl/>
              <w:spacing w:line="360" w:lineRule="auto"/>
              <w:jc w:val="left"/>
              <w:rPr>
                <w:rFonts w:hint="eastAsia" w:ascii="宋体" w:hAnsi="宋体" w:cs="宋体"/>
                <w:kern w:val="0"/>
                <w:sz w:val="24"/>
              </w:rPr>
            </w:pPr>
            <w:r>
              <w:rPr>
                <w:rFonts w:hint="eastAsia" w:ascii="宋体" w:hAnsi="宋体" w:cs="宋体"/>
                <w:kern w:val="0"/>
                <w:sz w:val="24"/>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pPr>
              <w:widowControl/>
              <w:spacing w:line="360" w:lineRule="auto"/>
              <w:jc w:val="left"/>
              <w:rPr>
                <w:rFonts w:hint="eastAsia" w:ascii="宋体" w:hAnsi="宋体" w:cs="宋体"/>
                <w:kern w:val="0"/>
                <w:sz w:val="24"/>
              </w:rPr>
            </w:pPr>
            <w:r>
              <w:rPr>
                <w:rFonts w:hint="eastAsia" w:ascii="宋体" w:hAnsi="宋体" w:cs="宋体"/>
                <w:kern w:val="0"/>
                <w:sz w:val="24"/>
              </w:rPr>
              <w:t>5.供应商在开标时须使用制作加密电子响应文件所使用的CA锁及电脑，电脑须提前配置好浏览器（建议使用谷歌浏览器），以便开启时解锁。</w:t>
            </w:r>
          </w:p>
          <w:p>
            <w:pPr>
              <w:widowControl/>
              <w:spacing w:line="360" w:lineRule="auto"/>
              <w:jc w:val="left"/>
              <w:rPr>
                <w:rFonts w:hint="eastAsia" w:ascii="宋体" w:hAnsi="宋体" w:cs="宋体"/>
                <w:kern w:val="0"/>
                <w:sz w:val="24"/>
              </w:rPr>
            </w:pPr>
            <w:r>
              <w:rPr>
                <w:rFonts w:hint="eastAsia" w:ascii="宋体" w:hAnsi="宋体" w:cs="宋体"/>
                <w:kern w:val="0"/>
                <w:sz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pacing w:line="360" w:lineRule="auto"/>
              <w:rPr>
                <w:rFonts w:hint="eastAsia" w:ascii="宋体" w:hAnsi="宋体" w:cs="宋体"/>
                <w:sz w:val="24"/>
              </w:rPr>
            </w:pPr>
            <w:r>
              <w:rPr>
                <w:rFonts w:hint="eastAsia" w:ascii="宋体" w:hAnsi="宋体" w:cs="宋体"/>
                <w:kern w:val="0"/>
                <w:sz w:val="24"/>
              </w:rPr>
              <w:t>7.为了保证开评标顺利进行，政采云线上开标功能完全实现，供应商开启所使用的电脑设备须具有视频及语音功能。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692" w:type="dxa"/>
            <w:vMerge w:val="restart"/>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响应文件开启</w:t>
            </w:r>
          </w:p>
        </w:tc>
        <w:tc>
          <w:tcPr>
            <w:tcW w:w="7604" w:type="dxa"/>
            <w:noWrap w:val="0"/>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开启</w:t>
            </w:r>
            <w:r>
              <w:rPr>
                <w:rFonts w:ascii="宋体" w:hAnsi="宋体" w:cs="宋体"/>
                <w:sz w:val="24"/>
                <w:highlight w:val="none"/>
              </w:rPr>
              <w:t>地点：政采云平台（https://www.zcygov.cn ）</w:t>
            </w:r>
          </w:p>
          <w:p>
            <w:pPr>
              <w:widowControl/>
              <w:spacing w:line="360" w:lineRule="auto"/>
              <w:jc w:val="left"/>
              <w:rPr>
                <w:rFonts w:hint="eastAsia" w:ascii="宋体" w:hAnsi="宋体" w:cs="宋体"/>
                <w:kern w:val="0"/>
                <w:sz w:val="24"/>
                <w:highlight w:val="none"/>
              </w:rPr>
            </w:pPr>
            <w:r>
              <w:rPr>
                <w:rFonts w:hint="eastAsia" w:ascii="宋体" w:hAnsi="宋体" w:cs="宋体"/>
                <w:sz w:val="24"/>
                <w:highlight w:val="none"/>
              </w:rPr>
              <w:t>供应商</w:t>
            </w:r>
            <w:r>
              <w:rPr>
                <w:rFonts w:ascii="宋体" w:hAnsi="宋体" w:cs="宋体"/>
                <w:sz w:val="24"/>
                <w:highlight w:val="none"/>
              </w:rPr>
              <w:t xml:space="preserve">应于 </w:t>
            </w:r>
            <w:r>
              <w:rPr>
                <w:rFonts w:hint="eastAsia" w:ascii="宋体" w:hAnsi="宋体"/>
                <w:sz w:val="24"/>
                <w:highlight w:val="none"/>
                <w:u w:val="single"/>
                <w:lang w:eastAsia="zh-CN"/>
              </w:rPr>
              <w:t>2024年6月27日11点00分</w:t>
            </w:r>
            <w:r>
              <w:rPr>
                <w:rFonts w:hint="eastAsia" w:ascii="宋体" w:hAnsi="宋体" w:cs="宋体"/>
                <w:sz w:val="24"/>
                <w:highlight w:val="none"/>
              </w:rPr>
              <w:t>（北京时间）</w:t>
            </w:r>
            <w:r>
              <w:rPr>
                <w:rFonts w:ascii="宋体" w:hAnsi="宋体" w:cs="宋体"/>
                <w:sz w:val="24"/>
                <w:highlight w:val="none"/>
              </w:rPr>
              <w:t>之前将电子</w:t>
            </w:r>
            <w:r>
              <w:rPr>
                <w:rFonts w:hint="eastAsia" w:ascii="宋体" w:hAnsi="宋体" w:cs="宋体"/>
                <w:sz w:val="24"/>
                <w:highlight w:val="none"/>
              </w:rPr>
              <w:t>响应</w:t>
            </w:r>
            <w:r>
              <w:rPr>
                <w:rFonts w:ascii="宋体" w:hAnsi="宋体" w:cs="宋体"/>
                <w:sz w:val="24"/>
                <w:highlight w:val="none"/>
              </w:rPr>
              <w:t>文件上传到“政采云”平台。应按照本项目</w:t>
            </w:r>
            <w:r>
              <w:rPr>
                <w:rFonts w:hint="eastAsia" w:ascii="宋体" w:hAnsi="宋体" w:cs="宋体"/>
                <w:sz w:val="24"/>
                <w:highlight w:val="none"/>
              </w:rPr>
              <w:t>磋商</w:t>
            </w:r>
            <w:r>
              <w:rPr>
                <w:rFonts w:ascii="宋体" w:hAnsi="宋体" w:cs="宋体"/>
                <w:sz w:val="24"/>
                <w:highlight w:val="none"/>
              </w:rPr>
              <w:t>文件和政采云平台的要求编制、加密传输</w:t>
            </w:r>
            <w:r>
              <w:rPr>
                <w:rFonts w:hint="eastAsia" w:ascii="宋体" w:hAnsi="宋体" w:cs="宋体"/>
                <w:sz w:val="24"/>
                <w:highlight w:val="none"/>
              </w:rPr>
              <w:t>响应</w:t>
            </w:r>
            <w:r>
              <w:rPr>
                <w:rFonts w:ascii="宋体" w:hAnsi="宋体" w:cs="宋体"/>
                <w:sz w:val="24"/>
                <w:highlight w:val="none"/>
              </w:rPr>
              <w:t>文件。</w:t>
            </w:r>
            <w:r>
              <w:rPr>
                <w:rFonts w:hint="eastAsia" w:ascii="宋体" w:hAnsi="宋体" w:cs="宋体"/>
                <w:sz w:val="24"/>
                <w:highlight w:val="none"/>
              </w:rPr>
              <w:t>供应商</w:t>
            </w:r>
            <w:r>
              <w:rPr>
                <w:rFonts w:ascii="宋体" w:hAnsi="宋体" w:cs="宋体"/>
                <w:sz w:val="24"/>
                <w:highlight w:val="none"/>
              </w:rPr>
              <w:t>在使用系统进行</w:t>
            </w:r>
            <w:r>
              <w:rPr>
                <w:rFonts w:hint="eastAsia" w:ascii="宋体" w:hAnsi="宋体" w:cs="宋体"/>
                <w:sz w:val="24"/>
                <w:highlight w:val="none"/>
              </w:rPr>
              <w:t>响应</w:t>
            </w:r>
            <w:r>
              <w:rPr>
                <w:rFonts w:ascii="宋体" w:hAnsi="宋体" w:cs="宋体"/>
                <w:sz w:val="24"/>
                <w:highlight w:val="none"/>
              </w:rPr>
              <w:t>的过程中遇到涉及平台使用的任何问题，可致电政采云平台技术支持热线咨询，联系方式：</w:t>
            </w:r>
            <w:r>
              <w:rPr>
                <w:rFonts w:hint="eastAsia" w:ascii="宋体" w:hAnsi="宋体" w:cs="宋体"/>
                <w:kern w:val="0"/>
                <w:sz w:val="24"/>
                <w:highlight w:val="none"/>
              </w:rPr>
              <w:t xml:space="preserve">95763 </w:t>
            </w:r>
            <w:r>
              <w:rPr>
                <w:rFonts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92" w:type="dxa"/>
            <w:vMerge w:val="continue"/>
            <w:noWrap w:val="0"/>
            <w:vAlign w:val="center"/>
          </w:tcPr>
          <w:p>
            <w:pPr>
              <w:spacing w:line="400" w:lineRule="exact"/>
              <w:jc w:val="center"/>
              <w:rPr>
                <w:rFonts w:hint="eastAsia" w:ascii="宋体" w:hAnsi="宋体" w:cs="宋体"/>
                <w:sz w:val="24"/>
              </w:rPr>
            </w:pPr>
          </w:p>
        </w:tc>
        <w:tc>
          <w:tcPr>
            <w:tcW w:w="1903" w:type="dxa"/>
            <w:noWrap w:val="0"/>
            <w:vAlign w:val="center"/>
          </w:tcPr>
          <w:p>
            <w:pPr>
              <w:spacing w:line="400" w:lineRule="exact"/>
              <w:jc w:val="center"/>
              <w:rPr>
                <w:rFonts w:hint="eastAsia" w:ascii="宋体" w:hAnsi="宋体" w:cs="宋体"/>
                <w:sz w:val="24"/>
              </w:rPr>
            </w:pPr>
            <w:r>
              <w:rPr>
                <w:rFonts w:hint="eastAsia" w:ascii="宋体" w:hAnsi="宋体" w:cs="宋体"/>
                <w:sz w:val="24"/>
              </w:rPr>
              <w:t>响应文件解密</w:t>
            </w:r>
          </w:p>
        </w:tc>
        <w:tc>
          <w:tcPr>
            <w:tcW w:w="7604" w:type="dxa"/>
            <w:noWrap w:val="0"/>
            <w:vAlign w:val="center"/>
          </w:tcPr>
          <w:p>
            <w:pPr>
              <w:spacing w:line="360" w:lineRule="auto"/>
              <w:rPr>
                <w:rFonts w:hint="eastAsia" w:ascii="宋体" w:hAnsi="宋体" w:cs="宋体"/>
                <w:sz w:val="24"/>
              </w:rPr>
            </w:pPr>
            <w:r>
              <w:rPr>
                <w:rFonts w:hint="eastAsia" w:ascii="宋体" w:hAnsi="宋体" w:cs="宋体"/>
                <w:sz w:val="24"/>
              </w:rPr>
              <w:t>1.开启</w:t>
            </w:r>
            <w:r>
              <w:rPr>
                <w:rFonts w:ascii="宋体" w:hAnsi="宋体" w:cs="宋体"/>
                <w:sz w:val="24"/>
              </w:rPr>
              <w:t>当日，</w:t>
            </w:r>
            <w:r>
              <w:rPr>
                <w:rFonts w:hint="eastAsia" w:ascii="宋体" w:hAnsi="宋体" w:cs="宋体"/>
                <w:sz w:val="24"/>
              </w:rPr>
              <w:t>供应商</w:t>
            </w:r>
            <w:r>
              <w:rPr>
                <w:rFonts w:ascii="宋体" w:hAnsi="宋体" w:cs="宋体"/>
                <w:sz w:val="24"/>
              </w:rPr>
              <w:t>无需到达开标现场，仅需通过政采云平台“不见面”开标大厅完成远程解密、</w:t>
            </w:r>
            <w:r>
              <w:rPr>
                <w:rFonts w:hint="eastAsia" w:ascii="宋体" w:hAnsi="宋体" w:cs="宋体"/>
                <w:sz w:val="24"/>
              </w:rPr>
              <w:t>磋商、二次报价、</w:t>
            </w:r>
            <w:r>
              <w:rPr>
                <w:rFonts w:ascii="宋体" w:hAnsi="宋体" w:cs="宋体"/>
                <w:sz w:val="24"/>
              </w:rPr>
              <w:t>询标澄清、结果公布等交互环节。</w:t>
            </w:r>
            <w:r>
              <w:rPr>
                <w:rFonts w:hint="eastAsia" w:ascii="宋体" w:hAnsi="宋体" w:cs="宋体"/>
                <w:sz w:val="24"/>
              </w:rPr>
              <w:t>采购</w:t>
            </w:r>
            <w:r>
              <w:rPr>
                <w:rFonts w:ascii="宋体" w:hAnsi="宋体" w:cs="宋体"/>
                <w:sz w:val="24"/>
              </w:rPr>
              <w:t>代理机构点击开始解密 30 分钟内</w:t>
            </w:r>
            <w:r>
              <w:rPr>
                <w:rFonts w:hint="eastAsia" w:ascii="宋体" w:hAnsi="宋体" w:cs="宋体"/>
                <w:sz w:val="24"/>
              </w:rPr>
              <w:t>供应商</w:t>
            </w:r>
            <w:r>
              <w:rPr>
                <w:rFonts w:ascii="宋体" w:hAnsi="宋体" w:cs="宋体"/>
                <w:sz w:val="24"/>
              </w:rPr>
              <w:t>用“CA 锁”进行解密</w:t>
            </w:r>
            <w:r>
              <w:rPr>
                <w:rFonts w:hint="eastAsia" w:ascii="宋体" w:hAnsi="宋体" w:cs="宋体"/>
                <w:sz w:val="24"/>
              </w:rPr>
              <w:t>响应</w:t>
            </w:r>
            <w:r>
              <w:rPr>
                <w:rFonts w:ascii="宋体" w:hAnsi="宋体" w:cs="宋体"/>
                <w:sz w:val="24"/>
              </w:rPr>
              <w:t>文件。若</w:t>
            </w:r>
            <w:r>
              <w:rPr>
                <w:rFonts w:hint="eastAsia" w:ascii="宋体" w:hAnsi="宋体" w:cs="宋体"/>
                <w:sz w:val="24"/>
              </w:rPr>
              <w:t>供应商</w:t>
            </w:r>
            <w:r>
              <w:rPr>
                <w:rFonts w:ascii="宋体" w:hAnsi="宋体" w:cs="宋体"/>
                <w:sz w:val="24"/>
              </w:rPr>
              <w:t>在规定时间内未能解密、解密失败或解密超时的，视为</w:t>
            </w:r>
            <w:r>
              <w:rPr>
                <w:rFonts w:hint="eastAsia" w:ascii="宋体" w:hAnsi="宋体" w:cs="宋体"/>
                <w:sz w:val="24"/>
              </w:rPr>
              <w:t>供应商</w:t>
            </w:r>
            <w:r>
              <w:rPr>
                <w:rFonts w:ascii="宋体" w:hAnsi="宋体" w:cs="宋体"/>
                <w:sz w:val="24"/>
              </w:rPr>
              <w:t>撤销其响应文件</w:t>
            </w:r>
            <w:r>
              <w:rPr>
                <w:rFonts w:hint="eastAsia" w:ascii="宋体" w:hAnsi="宋体" w:cs="宋体"/>
                <w:sz w:val="24"/>
              </w:rPr>
              <w:t>，</w:t>
            </w:r>
            <w:r>
              <w:rPr>
                <w:rFonts w:ascii="宋体" w:hAnsi="宋体" w:cs="宋体"/>
                <w:sz w:val="24"/>
              </w:rPr>
              <w:t>系统内响应文件将被退回</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2.开启</w:t>
            </w:r>
            <w:r>
              <w:rPr>
                <w:rFonts w:ascii="宋体" w:hAnsi="宋体" w:cs="宋体"/>
                <w:sz w:val="24"/>
              </w:rPr>
              <w:t>前，</w:t>
            </w:r>
            <w:r>
              <w:rPr>
                <w:rFonts w:hint="eastAsia" w:ascii="宋体" w:hAnsi="宋体" w:cs="宋体"/>
                <w:sz w:val="24"/>
              </w:rPr>
              <w:t>供应商</w:t>
            </w:r>
            <w:r>
              <w:rPr>
                <w:rFonts w:ascii="宋体" w:hAnsi="宋体" w:cs="宋体"/>
                <w:sz w:val="24"/>
              </w:rPr>
              <w:t>务必在</w:t>
            </w:r>
            <w:r>
              <w:rPr>
                <w:rFonts w:hint="eastAsia" w:ascii="宋体" w:hAnsi="宋体"/>
                <w:sz w:val="24"/>
              </w:rPr>
              <w:t>政采云平台</w:t>
            </w:r>
            <w:r>
              <w:rPr>
                <w:rFonts w:ascii="宋体" w:hAnsi="宋体"/>
                <w:sz w:val="24"/>
              </w:rPr>
              <w:t>（https://www.zcygov.cn/）</w:t>
            </w:r>
            <w:r>
              <w:rPr>
                <w:rFonts w:ascii="宋体" w:hAnsi="宋体" w:cs="宋体"/>
                <w:sz w:val="24"/>
              </w:rPr>
              <w:t>响应文件上传模块中使用“模拟解密”功能，验证本机远程自助解密环境</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3.</w:t>
            </w:r>
            <w:r>
              <w:rPr>
                <w:rFonts w:hint="eastAsia" w:ascii="宋体" w:hAnsi="宋体"/>
                <w:sz w:val="24"/>
              </w:rPr>
              <w:t>解密与加密</w:t>
            </w:r>
            <w:r>
              <w:rPr>
                <w:rFonts w:hint="eastAsia" w:ascii="宋体" w:hAnsi="宋体" w:cs="宋体"/>
                <w:sz w:val="24"/>
              </w:rPr>
              <w:t>响应</w:t>
            </w:r>
            <w:r>
              <w:rPr>
                <w:rFonts w:hint="eastAsia" w:ascii="宋体" w:hAnsi="宋体"/>
                <w:sz w:val="24"/>
              </w:rPr>
              <w:t>文件须使用同一个 CA</w:t>
            </w:r>
            <w:r>
              <w:rPr>
                <w:rFonts w:ascii="宋体" w:hAnsi="宋体" w:cs="宋体"/>
                <w:sz w:val="24"/>
              </w:rPr>
              <w:t>（友情提示：若</w:t>
            </w:r>
            <w:r>
              <w:rPr>
                <w:rFonts w:hint="eastAsia" w:ascii="宋体" w:hAnsi="宋体" w:cs="宋体"/>
                <w:sz w:val="24"/>
              </w:rPr>
              <w:t>供应商</w:t>
            </w:r>
            <w:r>
              <w:rPr>
                <w:rFonts w:ascii="宋体" w:hAnsi="宋体" w:cs="宋体"/>
                <w:sz w:val="24"/>
              </w:rPr>
              <w:t>已领取副锁（含多把副锁）请注意正副锁的使用差别，</w:t>
            </w:r>
            <w:r>
              <w:rPr>
                <w:rFonts w:hint="eastAsia" w:ascii="宋体" w:hAnsi="宋体" w:cs="宋体"/>
                <w:sz w:val="24"/>
              </w:rPr>
              <w:t>务必使用生成响应文件的那把锁解密</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现场考察</w:t>
            </w:r>
          </w:p>
        </w:tc>
        <w:tc>
          <w:tcPr>
            <w:tcW w:w="7604" w:type="dxa"/>
            <w:noWrap w:val="0"/>
            <w:vAlign w:val="center"/>
          </w:tcPr>
          <w:p>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不组织</w:t>
            </w:r>
          </w:p>
          <w:p>
            <w:pPr>
              <w:jc w:val="left"/>
              <w:rPr>
                <w:rFonts w:hint="eastAsia" w:ascii="宋体" w:hAnsi="宋体" w:cs="宋体"/>
                <w:bCs/>
                <w:sz w:val="24"/>
              </w:rPr>
            </w:pPr>
            <w:r>
              <w:rPr>
                <w:rFonts w:hint="eastAsia" w:ascii="宋体" w:hAnsi="宋体" w:cs="宋体"/>
              </w:rPr>
              <w:t>□</w:t>
            </w:r>
            <w:r>
              <w:rPr>
                <w:rFonts w:hint="eastAsia" w:ascii="宋体" w:hAnsi="宋体" w:cs="宋体"/>
                <w:sz w:val="24"/>
              </w:rPr>
              <w:t>组织，考察时间：___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pPr>
              <w:pStyle w:val="26"/>
              <w:adjustRightInd w:val="0"/>
              <w:snapToGrid w:val="0"/>
              <w:rPr>
                <w:rFonts w:hAnsi="宋体" w:cs="宋体"/>
                <w:sz w:val="24"/>
                <w:szCs w:val="24"/>
              </w:rPr>
            </w:pPr>
            <w:r>
              <w:rPr>
                <w:rFonts w:hAnsi="宋体" w:cs="宋体"/>
                <w:sz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92" w:type="dxa"/>
            <w:noWrap w:val="0"/>
            <w:vAlign w:val="top"/>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磋商前答疑会</w:t>
            </w:r>
          </w:p>
        </w:tc>
        <w:tc>
          <w:tcPr>
            <w:tcW w:w="7604" w:type="dxa"/>
            <w:noWrap w:val="0"/>
            <w:vAlign w:val="center"/>
          </w:tcPr>
          <w:p>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不召开</w:t>
            </w:r>
          </w:p>
          <w:p>
            <w:pPr>
              <w:jc w:val="left"/>
              <w:rPr>
                <w:rFonts w:hint="eastAsia" w:ascii="宋体" w:hAnsi="宋体" w:cs="宋体"/>
                <w:sz w:val="24"/>
              </w:rPr>
            </w:pPr>
            <w:r>
              <w:rPr>
                <w:rFonts w:hint="eastAsia" w:ascii="宋体" w:hAnsi="宋体" w:cs="宋体"/>
              </w:rPr>
              <w:t>□</w:t>
            </w:r>
            <w:r>
              <w:rPr>
                <w:rFonts w:hint="eastAsia" w:ascii="宋体" w:hAnsi="宋体" w:cs="宋体"/>
                <w:sz w:val="24"/>
              </w:rPr>
              <w:t>召开，召开时间：___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pPr>
              <w:jc w:val="left"/>
              <w:rPr>
                <w:rFonts w:hint="eastAsia" w:ascii="宋体" w:hAnsi="宋体" w:cs="宋体"/>
                <w:sz w:val="24"/>
              </w:rPr>
            </w:pPr>
            <w:r>
              <w:rPr>
                <w:rFonts w:hint="eastAsia" w:ascii="宋体" w:hAnsi="宋体" w:cs="宋体"/>
                <w:sz w:val="24"/>
              </w:rPr>
              <w:t>召开地点：___________。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报价</w:t>
            </w:r>
          </w:p>
        </w:tc>
        <w:tc>
          <w:tcPr>
            <w:tcW w:w="7604" w:type="dxa"/>
            <w:noWrap w:val="0"/>
            <w:vAlign w:val="center"/>
          </w:tcPr>
          <w:p>
            <w:pPr>
              <w:jc w:val="left"/>
              <w:rPr>
                <w:rFonts w:hint="eastAsia" w:ascii="宋体" w:hAnsi="宋体" w:cs="宋体"/>
                <w:sz w:val="24"/>
              </w:rPr>
            </w:pPr>
            <w:r>
              <w:rPr>
                <w:rFonts w:hint="eastAsia" w:ascii="宋体" w:hAnsi="宋体" w:cs="宋体"/>
                <w:sz w:val="24"/>
              </w:rPr>
              <w:t>报价的特殊规定：</w:t>
            </w:r>
          </w:p>
          <w:p>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无</w:t>
            </w:r>
          </w:p>
          <w:p>
            <w:pPr>
              <w:jc w:val="left"/>
              <w:rPr>
                <w:rFonts w:hint="eastAsia" w:ascii="宋体" w:hAnsi="宋体" w:cs="宋体"/>
                <w:sz w:val="24"/>
              </w:rPr>
            </w:pPr>
            <w:r>
              <w:rPr>
                <w:rFonts w:hint="eastAsia" w:ascii="宋体" w:hAnsi="宋体" w:cs="宋体"/>
                <w:lang w:eastAsia="zh-CN"/>
              </w:rPr>
              <w:t>□</w:t>
            </w:r>
            <w:r>
              <w:rPr>
                <w:rFonts w:hint="eastAsia" w:ascii="宋体" w:hAnsi="宋体" w:cs="宋体"/>
                <w:sz w:val="24"/>
              </w:rPr>
              <w:t>有，具体情形：</w:t>
            </w:r>
            <w:r>
              <w:rPr>
                <w:rFonts w:hint="eastAsia" w:ascii="宋体" w:hAnsi="宋体" w:cs="宋体"/>
                <w:sz w:val="24"/>
                <w:lang w:val="en-US" w:eastAsia="zh-CN"/>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磋商保证金</w:t>
            </w:r>
          </w:p>
        </w:tc>
        <w:tc>
          <w:tcPr>
            <w:tcW w:w="7604" w:type="dxa"/>
            <w:noWrap w:val="0"/>
            <w:vAlign w:val="center"/>
          </w:tcPr>
          <w:p>
            <w:pPr>
              <w:pStyle w:val="26"/>
              <w:adjustRightInd w:val="0"/>
              <w:snapToGrid w:val="0"/>
              <w:rPr>
                <w:rFonts w:hAnsi="宋体" w:cs="宋体"/>
                <w:sz w:val="24"/>
                <w:szCs w:val="24"/>
                <w:highlight w:val="yellow"/>
              </w:rPr>
            </w:pPr>
            <w:r>
              <w:rPr>
                <w:rFonts w:hAnsi="宋体" w:cs="宋体"/>
                <w:sz w:val="24"/>
                <w:szCs w:val="24"/>
              </w:rPr>
              <w:t>磋商保证金金额：</w:t>
            </w:r>
            <w:r>
              <w:rPr>
                <w:rFonts w:hAnsi="宋体" w:cs="宋体"/>
                <w:sz w:val="24"/>
                <w:szCs w:val="24"/>
                <w:highlight w:val="none"/>
                <w:u w:val="single"/>
              </w:rPr>
              <w:t>￥</w:t>
            </w:r>
            <w:r>
              <w:rPr>
                <w:rFonts w:hint="eastAsia" w:hAnsi="宋体" w:cs="宋体"/>
                <w:sz w:val="24"/>
                <w:szCs w:val="24"/>
                <w:highlight w:val="none"/>
                <w:u w:val="single"/>
                <w:lang w:val="en-US" w:eastAsia="zh-CN"/>
              </w:rPr>
              <w:t>26000.00</w:t>
            </w:r>
            <w:r>
              <w:rPr>
                <w:rFonts w:hAnsi="宋体" w:cs="宋体"/>
                <w:sz w:val="24"/>
                <w:szCs w:val="24"/>
                <w:highlight w:val="none"/>
                <w:u w:val="single"/>
              </w:rPr>
              <w:t>元（大写：</w:t>
            </w:r>
            <w:r>
              <w:rPr>
                <w:rFonts w:hint="eastAsia" w:hAnsi="宋体" w:cs="宋体"/>
                <w:sz w:val="24"/>
                <w:szCs w:val="24"/>
                <w:highlight w:val="none"/>
                <w:u w:val="single"/>
                <w:lang w:val="en-US" w:eastAsia="zh-CN"/>
              </w:rPr>
              <w:t>贰万陆仟元整</w:t>
            </w:r>
            <w:r>
              <w:rPr>
                <w:rFonts w:hAnsi="宋体" w:cs="宋体"/>
                <w:sz w:val="24"/>
                <w:szCs w:val="24"/>
                <w:highlight w:val="none"/>
                <w:u w:val="single"/>
              </w:rPr>
              <w:t>）；</w:t>
            </w:r>
          </w:p>
          <w:p>
            <w:pPr>
              <w:spacing w:line="400" w:lineRule="exact"/>
              <w:rPr>
                <w:rFonts w:hint="eastAsia" w:ascii="宋体" w:hAnsi="宋体" w:cs="宋体"/>
                <w:b/>
                <w:sz w:val="24"/>
              </w:rPr>
            </w:pPr>
            <w:r>
              <w:rPr>
                <w:rFonts w:hint="eastAsia" w:ascii="宋体" w:hAnsi="宋体" w:cs="宋体"/>
                <w:b/>
                <w:sz w:val="24"/>
              </w:rPr>
              <w:t>磋商保证金银行及帐号：</w:t>
            </w:r>
          </w:p>
          <w:p>
            <w:pPr>
              <w:spacing w:line="400" w:lineRule="exact"/>
              <w:rPr>
                <w:rFonts w:hint="eastAsia" w:ascii="宋体" w:hAnsi="宋体" w:cs="宋体"/>
                <w:sz w:val="24"/>
              </w:rPr>
            </w:pPr>
            <w:r>
              <w:rPr>
                <w:rFonts w:hint="eastAsia" w:ascii="宋体" w:hAnsi="宋体" w:cs="宋体"/>
                <w:sz w:val="24"/>
              </w:rPr>
              <w:t xml:space="preserve">账户名：新疆榕泰项目管理咨询有限公司 </w:t>
            </w:r>
          </w:p>
          <w:p>
            <w:pPr>
              <w:spacing w:line="400" w:lineRule="exact"/>
              <w:rPr>
                <w:rFonts w:hint="eastAsia" w:ascii="宋体" w:hAnsi="宋体" w:cs="宋体"/>
                <w:sz w:val="24"/>
              </w:rPr>
            </w:pPr>
            <w:r>
              <w:rPr>
                <w:rFonts w:hint="eastAsia" w:ascii="宋体" w:hAnsi="宋体" w:cs="宋体"/>
                <w:sz w:val="24"/>
              </w:rPr>
              <w:t>开户行：</w:t>
            </w:r>
            <w:r>
              <w:rPr>
                <w:rFonts w:hint="eastAsia" w:ascii="宋体" w:hAnsi="宋体" w:cs="宋体"/>
                <w:kern w:val="0"/>
                <w:sz w:val="24"/>
                <w:lang w:bidi="ar"/>
              </w:rPr>
              <w:t>上海浦东发展银行股份有限公司乌鲁木齐南湖路支行</w:t>
            </w:r>
          </w:p>
          <w:p>
            <w:pPr>
              <w:spacing w:line="400" w:lineRule="exact"/>
              <w:rPr>
                <w:rFonts w:hint="eastAsia" w:ascii="宋体" w:hAnsi="宋体" w:cs="宋体"/>
                <w:sz w:val="24"/>
              </w:rPr>
            </w:pPr>
            <w:r>
              <w:rPr>
                <w:rFonts w:hint="eastAsia" w:ascii="宋体" w:hAnsi="宋体" w:cs="宋体"/>
                <w:sz w:val="24"/>
              </w:rPr>
              <w:t>帐  号：60060078801100000618</w:t>
            </w:r>
          </w:p>
          <w:p>
            <w:pPr>
              <w:pStyle w:val="21"/>
              <w:rPr>
                <w:rFonts w:hint="eastAsia"/>
              </w:rPr>
            </w:pPr>
            <w:r>
              <w:rPr>
                <w:rFonts w:hint="eastAsia"/>
              </w:rPr>
              <w:t>行  号：310881000053</w:t>
            </w:r>
          </w:p>
          <w:p>
            <w:pPr>
              <w:spacing w:line="400" w:lineRule="exact"/>
              <w:rPr>
                <w:rFonts w:hint="eastAsia" w:ascii="宋体" w:hAnsi="宋体" w:cs="宋体"/>
                <w:b/>
                <w:sz w:val="24"/>
              </w:rPr>
            </w:pPr>
            <w:r>
              <w:rPr>
                <w:rFonts w:hint="eastAsia" w:ascii="宋体" w:hAnsi="宋体" w:cs="宋体"/>
                <w:sz w:val="24"/>
              </w:rPr>
              <w:t>磋商保证金形式：转账或电汇等其他非现金形式，</w:t>
            </w:r>
            <w:r>
              <w:rPr>
                <w:rFonts w:hint="eastAsia" w:ascii="宋体" w:hAnsi="宋体" w:cs="宋体"/>
                <w:b/>
                <w:sz w:val="24"/>
              </w:rPr>
              <w:t>建议各供应商优先考虑采用电汇形式递交响应保证金，响应保证金缴纳截止时间同响应文件首次递交截止时间。如供应商保证金的形式为银行保函，银行保函有效期不小于投标有效期90天，须将有效期内的银行保函扫描件加盖单位公章附入响应文件中，如银行保函的有效期少于响应有效期90天的，其银行保函无效且响应文件作废标处理。</w:t>
            </w:r>
          </w:p>
          <w:p>
            <w:pPr>
              <w:jc w:val="left"/>
              <w:rPr>
                <w:rFonts w:hint="eastAsia" w:ascii="宋体" w:hAnsi="宋体" w:cs="宋体"/>
                <w:sz w:val="24"/>
              </w:rPr>
            </w:pPr>
            <w:r>
              <w:rPr>
                <w:rFonts w:hint="eastAsia" w:ascii="宋体" w:hAnsi="宋体" w:cs="宋体"/>
                <w:sz w:val="24"/>
              </w:rPr>
              <w:t>磋商保证金有效期与磋商有效期一致。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highlight w:val="none"/>
              </w:rPr>
            </w:pPr>
            <w:r>
              <w:rPr>
                <w:rFonts w:hint="eastAsia" w:ascii="宋体" w:hAnsi="宋体" w:eastAsia="宋体" w:cs="宋体"/>
                <w:sz w:val="24"/>
                <w:highlight w:val="none"/>
                <w:lang w:val="en-US" w:eastAsia="zh-CN"/>
              </w:rPr>
              <w:t>履约保证金</w:t>
            </w:r>
          </w:p>
        </w:tc>
        <w:tc>
          <w:tcPr>
            <w:tcW w:w="7604" w:type="dxa"/>
            <w:noWrap w:val="0"/>
            <w:vAlign w:val="center"/>
          </w:tcPr>
          <w:p>
            <w:pPr>
              <w:spacing w:line="360" w:lineRule="auto"/>
              <w:jc w:val="left"/>
              <w:rPr>
                <w:rFonts w:hint="eastAsia" w:ascii="宋体" w:hAnsi="宋体" w:eastAsia="宋体" w:cs="宋体"/>
                <w:sz w:val="24"/>
                <w:highlight w:val="none"/>
                <w:u w:val="single"/>
                <w:lang w:val="en-US" w:eastAsia="zh-CN"/>
              </w:rPr>
            </w:pPr>
            <w:r>
              <w:rPr>
                <w:rFonts w:hint="eastAsia" w:ascii="宋体" w:hAnsi="宋体" w:eastAsia="宋体" w:cs="宋体"/>
                <w:sz w:val="24"/>
                <w:highlight w:val="none"/>
                <w:lang w:val="en-US" w:eastAsia="zh-CN"/>
              </w:rPr>
              <w:t>履约保证金金额：</w:t>
            </w:r>
            <w:r>
              <w:rPr>
                <w:rFonts w:hint="eastAsia" w:ascii="宋体" w:cs="Times New Roman"/>
                <w:bCs/>
                <w:sz w:val="24"/>
                <w:highlight w:val="none"/>
                <w:lang w:val="en-US" w:eastAsia="zh-CN"/>
              </w:rPr>
              <w:t>/</w:t>
            </w:r>
          </w:p>
          <w:p>
            <w:pPr>
              <w:spacing w:line="360" w:lineRule="auto"/>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缴纳期限：</w:t>
            </w:r>
            <w:r>
              <w:rPr>
                <w:rFonts w:hint="eastAsia" w:ascii="宋体" w:cs="Times New Roman"/>
                <w:bCs/>
                <w:sz w:val="24"/>
                <w:highlight w:val="none"/>
                <w:lang w:val="en-US" w:eastAsia="zh-CN"/>
              </w:rPr>
              <w:t>/</w:t>
            </w:r>
          </w:p>
          <w:p>
            <w:pPr>
              <w:spacing w:line="360" w:lineRule="auto"/>
              <w:jc w:val="left"/>
              <w:rPr>
                <w:rFonts w:hint="default" w:ascii="宋体" w:hAnsi="宋体" w:cs="宋体"/>
                <w:sz w:val="24"/>
                <w:highlight w:val="none"/>
                <w:lang w:val="en-US"/>
              </w:rPr>
            </w:pPr>
            <w:r>
              <w:rPr>
                <w:rFonts w:hint="eastAsia" w:ascii="宋体" w:hAnsi="宋体" w:eastAsia="宋体" w:cs="宋体"/>
                <w:sz w:val="24"/>
                <w:highlight w:val="none"/>
                <w:lang w:val="en-US" w:eastAsia="zh-CN"/>
              </w:rPr>
              <w:t>缴纳方式：</w:t>
            </w:r>
            <w:r>
              <w:rPr>
                <w:rFonts w:hint="eastAsia" w:ascii="宋体" w:cs="Times New Roman"/>
                <w:bCs/>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响应有效期</w:t>
            </w:r>
          </w:p>
        </w:tc>
        <w:tc>
          <w:tcPr>
            <w:tcW w:w="7604" w:type="dxa"/>
            <w:noWrap w:val="0"/>
            <w:vAlign w:val="center"/>
          </w:tcPr>
          <w:p>
            <w:pPr>
              <w:jc w:val="left"/>
              <w:rPr>
                <w:rFonts w:hint="eastAsia" w:ascii="宋体" w:hAnsi="宋体" w:cs="宋体"/>
                <w:sz w:val="24"/>
              </w:rPr>
            </w:pPr>
            <w:r>
              <w:rPr>
                <w:rFonts w:hint="eastAsia" w:ascii="宋体" w:hAnsi="宋体" w:cs="宋体"/>
                <w:sz w:val="24"/>
              </w:rPr>
              <w:t>自提交响应文件的截止之日起算</w:t>
            </w:r>
            <w:r>
              <w:rPr>
                <w:rFonts w:hint="eastAsia" w:ascii="宋体" w:hAnsi="宋体" w:cs="宋体"/>
                <w:sz w:val="24"/>
                <w:u w:val="single"/>
              </w:rPr>
              <w:t>90_</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成交供应商的确认</w:t>
            </w:r>
          </w:p>
        </w:tc>
        <w:tc>
          <w:tcPr>
            <w:tcW w:w="7604" w:type="dxa"/>
            <w:noWrap w:val="0"/>
            <w:vAlign w:val="center"/>
          </w:tcPr>
          <w:p>
            <w:pPr>
              <w:pStyle w:val="26"/>
              <w:adjustRightInd w:val="0"/>
              <w:snapToGrid w:val="0"/>
              <w:rPr>
                <w:rFonts w:hAnsi="宋体" w:cs="宋体"/>
                <w:sz w:val="24"/>
              </w:rPr>
            </w:pPr>
            <w:r>
              <w:rPr>
                <w:rFonts w:hAnsi="宋体" w:cs="宋体"/>
                <w:sz w:val="24"/>
              </w:rPr>
              <w:t>采购人是否授权磋商小组直接确定成交供应商：</w:t>
            </w:r>
          </w:p>
          <w:p>
            <w:pPr>
              <w:pStyle w:val="26"/>
              <w:adjustRightInd w:val="0"/>
              <w:snapToGrid w:val="0"/>
              <w:rPr>
                <w:rFonts w:hAnsi="宋体" w:cs="宋体"/>
                <w:sz w:val="24"/>
              </w:rPr>
            </w:pPr>
            <w:r>
              <w:rPr>
                <w:rFonts w:hAnsi="宋体" w:cs="宋体"/>
              </w:rPr>
              <w:sym w:font="Wingdings 2" w:char="0052"/>
            </w:r>
            <w:r>
              <w:rPr>
                <w:rFonts w:hAnsi="宋体" w:cs="宋体"/>
                <w:sz w:val="24"/>
              </w:rPr>
              <w:t>否</w:t>
            </w:r>
          </w:p>
          <w:p>
            <w:pPr>
              <w:jc w:val="left"/>
              <w:rPr>
                <w:rFonts w:hint="eastAsia" w:ascii="宋体" w:hAnsi="宋体" w:cs="宋体"/>
                <w:sz w:val="24"/>
                <w:u w:val="single"/>
              </w:rPr>
            </w:pPr>
            <w:r>
              <w:rPr>
                <w:rFonts w:hint="eastAsia" w:ascii="宋体" w:hAnsi="宋体" w:cs="宋体"/>
              </w:rPr>
              <w:sym w:font="Wingdings 2" w:char="00A3"/>
            </w: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分包</w:t>
            </w:r>
          </w:p>
        </w:tc>
        <w:tc>
          <w:tcPr>
            <w:tcW w:w="7604" w:type="dxa"/>
            <w:noWrap w:val="0"/>
            <w:vAlign w:val="center"/>
          </w:tcPr>
          <w:p>
            <w:pPr>
              <w:jc w:val="left"/>
              <w:rPr>
                <w:rFonts w:hint="eastAsia" w:ascii="宋体" w:hAnsi="宋体" w:cs="宋体"/>
                <w:sz w:val="24"/>
              </w:rPr>
            </w:pPr>
            <w:r>
              <w:rPr>
                <w:rFonts w:hint="eastAsia" w:ascii="宋体" w:hAnsi="宋体" w:cs="宋体"/>
                <w:sz w:val="24"/>
              </w:rPr>
              <w:t xml:space="preserve">本项目是否允许分包： </w:t>
            </w:r>
          </w:p>
          <w:p>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不允许</w:t>
            </w:r>
          </w:p>
          <w:p>
            <w:pPr>
              <w:jc w:val="left"/>
              <w:rPr>
                <w:rFonts w:hint="eastAsia" w:ascii="宋体" w:hAnsi="宋体" w:cs="宋体"/>
                <w:sz w:val="24"/>
              </w:rPr>
            </w:pPr>
            <w:r>
              <w:rPr>
                <w:rFonts w:hint="eastAsia" w:ascii="宋体" w:hAnsi="宋体" w:cs="宋体"/>
              </w:rPr>
              <w:t>□</w:t>
            </w:r>
            <w:r>
              <w:rPr>
                <w:rFonts w:hint="eastAsia" w:ascii="宋体" w:hAnsi="宋体" w:cs="宋体"/>
                <w:sz w:val="24"/>
              </w:rPr>
              <w:t>允许，具体要求：_______。</w:t>
            </w:r>
          </w:p>
          <w:p>
            <w:pPr>
              <w:jc w:val="left"/>
              <w:rPr>
                <w:rFonts w:hint="eastAsia" w:ascii="宋体" w:hAnsi="宋体" w:cs="宋体"/>
                <w:sz w:val="24"/>
              </w:rPr>
            </w:pPr>
            <w:r>
              <w:rPr>
                <w:rFonts w:hint="eastAsia" w:ascii="宋体" w:hAnsi="宋体" w:cs="宋体"/>
                <w:sz w:val="24"/>
              </w:rPr>
              <w:t>（1）可以分包履行的具体内容：_______；</w:t>
            </w:r>
          </w:p>
          <w:p>
            <w:pPr>
              <w:jc w:val="left"/>
              <w:rPr>
                <w:rFonts w:hint="eastAsia" w:ascii="宋体" w:hAnsi="宋体" w:cs="宋体"/>
                <w:sz w:val="24"/>
              </w:rPr>
            </w:pPr>
            <w:r>
              <w:rPr>
                <w:rFonts w:hint="eastAsia" w:ascii="宋体" w:hAnsi="宋体" w:cs="宋体"/>
                <w:sz w:val="24"/>
              </w:rPr>
              <w:t>（2）允许分包的金额或者比例：_______；</w:t>
            </w:r>
          </w:p>
          <w:p>
            <w:pPr>
              <w:jc w:val="left"/>
              <w:rPr>
                <w:rFonts w:hint="eastAsia" w:ascii="宋体" w:hAnsi="宋体" w:cs="宋体"/>
                <w:sz w:val="24"/>
                <w:u w:val="single"/>
              </w:rPr>
            </w:pPr>
            <w:r>
              <w:rPr>
                <w:rFonts w:hint="eastAsia" w:ascii="宋体" w:hAnsi="宋体" w:cs="宋体"/>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2" w:type="dxa"/>
            <w:noWrap w:val="0"/>
            <w:vAlign w:val="center"/>
          </w:tcPr>
          <w:p>
            <w:pPr>
              <w:numPr>
                <w:ilvl w:val="0"/>
                <w:numId w:val="8"/>
              </w:numPr>
              <w:spacing w:line="400" w:lineRule="exact"/>
              <w:ind w:left="425" w:leftChars="0" w:hanging="425" w:firstLineChars="0"/>
              <w:jc w:val="center"/>
              <w:rPr>
                <w:rFonts w:hint="eastAsia" w:ascii="宋体" w:hAnsi="宋体" w:cs="宋体"/>
                <w:sz w:val="24"/>
              </w:rPr>
            </w:pPr>
          </w:p>
        </w:tc>
        <w:tc>
          <w:tcPr>
            <w:tcW w:w="1903" w:type="dxa"/>
            <w:noWrap w:val="0"/>
            <w:vAlign w:val="center"/>
          </w:tcPr>
          <w:p>
            <w:pPr>
              <w:jc w:val="center"/>
              <w:rPr>
                <w:rFonts w:hint="eastAsia" w:ascii="宋体" w:hAnsi="宋体" w:cs="宋体"/>
                <w:sz w:val="24"/>
              </w:rPr>
            </w:pPr>
            <w:r>
              <w:rPr>
                <w:rFonts w:hint="eastAsia" w:ascii="宋体" w:hAnsi="宋体" w:cs="宋体"/>
                <w:sz w:val="24"/>
              </w:rPr>
              <w:t>代理费</w:t>
            </w:r>
          </w:p>
        </w:tc>
        <w:tc>
          <w:tcPr>
            <w:tcW w:w="7604" w:type="dxa"/>
            <w:noWrap w:val="0"/>
            <w:vAlign w:val="center"/>
          </w:tcPr>
          <w:p>
            <w:pPr>
              <w:spacing w:line="360" w:lineRule="auto"/>
              <w:jc w:val="left"/>
              <w:rPr>
                <w:rFonts w:hint="eastAsia" w:ascii="宋体" w:hAnsi="宋体" w:cs="宋体"/>
                <w:sz w:val="24"/>
              </w:rPr>
            </w:pPr>
            <w:r>
              <w:rPr>
                <w:rFonts w:hint="eastAsia" w:ascii="宋体" w:hAnsi="宋体" w:cs="宋体"/>
                <w:sz w:val="24"/>
              </w:rPr>
              <w:t>收费对象：</w:t>
            </w:r>
          </w:p>
          <w:p>
            <w:pPr>
              <w:spacing w:line="360" w:lineRule="auto"/>
              <w:jc w:val="left"/>
              <w:rPr>
                <w:rFonts w:hint="eastAsia" w:ascii="宋体" w:hAnsi="宋体" w:cs="宋体"/>
                <w:sz w:val="24"/>
              </w:rPr>
            </w:pPr>
            <w:r>
              <w:rPr>
                <w:rFonts w:hint="eastAsia" w:ascii="宋体" w:hAnsi="宋体" w:cs="宋体"/>
              </w:rPr>
              <w:t>□</w:t>
            </w:r>
            <w:r>
              <w:rPr>
                <w:rFonts w:hint="eastAsia" w:ascii="宋体" w:hAnsi="宋体" w:cs="宋体"/>
                <w:sz w:val="24"/>
              </w:rPr>
              <w:t>采购人</w:t>
            </w:r>
          </w:p>
          <w:p>
            <w:pPr>
              <w:spacing w:line="360" w:lineRule="auto"/>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成交供应商</w:t>
            </w:r>
          </w:p>
          <w:p>
            <w:pPr>
              <w:spacing w:line="360" w:lineRule="auto"/>
              <w:jc w:val="left"/>
              <w:rPr>
                <w:rFonts w:hint="eastAsia" w:ascii="宋体" w:hAnsi="宋体" w:cs="宋体"/>
                <w:sz w:val="24"/>
                <w:u w:val="single"/>
              </w:rPr>
            </w:pPr>
            <w:r>
              <w:rPr>
                <w:rFonts w:hint="eastAsia" w:ascii="宋体" w:hAnsi="宋体" w:cs="宋体"/>
                <w:sz w:val="24"/>
              </w:rPr>
              <w:t>收费标准：</w:t>
            </w:r>
            <w:r>
              <w:rPr>
                <w:rFonts w:hint="eastAsia" w:ascii="宋体" w:hAnsi="宋体" w:cs="宋体"/>
                <w:kern w:val="0"/>
                <w:sz w:val="24"/>
                <w:u w:val="single"/>
              </w:rPr>
              <w:t>本项目服务费以成交金额为计费基数，</w:t>
            </w:r>
            <w:r>
              <w:rPr>
                <w:rFonts w:hint="eastAsia" w:ascii="宋体" w:hAnsi="宋体" w:cs="宋体"/>
                <w:sz w:val="24"/>
                <w:u w:val="single"/>
                <w:lang w:val="en-US" w:eastAsia="zh-CN"/>
              </w:rPr>
              <w:t>按照</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新疆维吾尔自治区招标代理服务收费指导意见</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新建招协</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24</w:t>
            </w:r>
            <w:r>
              <w:rPr>
                <w:rFonts w:hint="eastAsia" w:ascii="宋体" w:hAnsi="宋体" w:cs="宋体"/>
                <w:sz w:val="24"/>
                <w:highlight w:val="none"/>
                <w:u w:val="single"/>
              </w:rPr>
              <w:t>]</w:t>
            </w:r>
            <w:r>
              <w:rPr>
                <w:rFonts w:hint="eastAsia" w:ascii="宋体" w:hAnsi="宋体" w:cs="宋体"/>
                <w:sz w:val="24"/>
                <w:highlight w:val="none"/>
                <w:u w:val="single"/>
                <w:lang w:val="en-US" w:eastAsia="zh-CN"/>
              </w:rPr>
              <w:t>4号</w:t>
            </w:r>
            <w:r>
              <w:rPr>
                <w:rFonts w:hint="eastAsia" w:ascii="宋体" w:hAnsi="宋体" w:cs="宋体"/>
                <w:sz w:val="24"/>
                <w:highlight w:val="none"/>
                <w:u w:val="single"/>
                <w:lang w:eastAsia="zh-CN"/>
              </w:rPr>
              <w:t>）</w:t>
            </w:r>
            <w:r>
              <w:rPr>
                <w:rFonts w:hint="eastAsia" w:ascii="宋体" w:hAnsi="宋体" w:cs="宋体"/>
                <w:sz w:val="24"/>
                <w:highlight w:val="none"/>
                <w:u w:val="single"/>
              </w:rPr>
              <w:t>文件</w:t>
            </w:r>
            <w:r>
              <w:rPr>
                <w:rFonts w:hint="eastAsia" w:ascii="宋体" w:hAnsi="宋体" w:cs="宋体"/>
                <w:sz w:val="24"/>
                <w:u w:val="single"/>
              </w:rPr>
              <w:t>的标准执行，根据成交金额差额定率累进法计算；</w:t>
            </w:r>
          </w:p>
          <w:p>
            <w:pPr>
              <w:spacing w:line="360" w:lineRule="auto"/>
              <w:jc w:val="left"/>
              <w:rPr>
                <w:rFonts w:hint="eastAsia" w:ascii="宋体" w:hAnsi="宋体" w:cs="宋体"/>
                <w:sz w:val="24"/>
              </w:rPr>
            </w:pPr>
            <w:r>
              <w:rPr>
                <w:rFonts w:hint="eastAsia" w:ascii="宋体" w:hAnsi="宋体" w:cs="宋体"/>
                <w:sz w:val="24"/>
              </w:rPr>
              <w:t>缴纳时间：</w:t>
            </w:r>
            <w:r>
              <w:rPr>
                <w:rFonts w:hint="eastAsia" w:ascii="宋体" w:hAnsi="宋体" w:cs="宋体"/>
                <w:kern w:val="0"/>
                <w:sz w:val="24"/>
                <w:u w:val="single"/>
              </w:rPr>
              <w:t>本项目的成交供应商须在领取成交通知书时向采购代理机构一次性缴纳采购代理服务费</w:t>
            </w:r>
            <w:r>
              <w:rPr>
                <w:rFonts w:hint="eastAsia" w:ascii="宋体" w:hAnsi="宋体" w:cs="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692" w:type="dxa"/>
            <w:noWrap w:val="0"/>
            <w:vAlign w:val="center"/>
          </w:tcPr>
          <w:p>
            <w:pPr>
              <w:numPr>
                <w:ilvl w:val="0"/>
                <w:numId w:val="8"/>
              </w:numPr>
              <w:spacing w:line="400" w:lineRule="exact"/>
              <w:ind w:left="425" w:leftChars="0" w:hanging="425" w:firstLineChars="0"/>
              <w:jc w:val="center"/>
              <w:rPr>
                <w:rFonts w:hint="default" w:ascii="宋体" w:hAnsi="宋体" w:eastAsia="宋体" w:cs="宋体"/>
                <w:sz w:val="24"/>
                <w:lang w:val="en-US" w:eastAsia="zh-CN"/>
              </w:rPr>
            </w:pPr>
          </w:p>
        </w:tc>
        <w:tc>
          <w:tcPr>
            <w:tcW w:w="1903" w:type="dxa"/>
            <w:noWrap w:val="0"/>
            <w:vAlign w:val="center"/>
          </w:tcPr>
          <w:p>
            <w:pPr>
              <w:jc w:val="center"/>
              <w:rPr>
                <w:rFonts w:hint="eastAsia" w:ascii="宋体" w:hAnsi="宋体" w:cs="宋体"/>
                <w:sz w:val="24"/>
              </w:rPr>
            </w:pPr>
            <w:r>
              <w:rPr>
                <w:rFonts w:hint="eastAsia" w:ascii="宋体" w:hAnsi="宋体" w:cs="宋体"/>
                <w:sz w:val="24"/>
              </w:rPr>
              <w:t>其他要求</w:t>
            </w:r>
          </w:p>
        </w:tc>
        <w:tc>
          <w:tcPr>
            <w:tcW w:w="7604" w:type="dxa"/>
            <w:noWrap w:val="0"/>
            <w:vAlign w:val="center"/>
          </w:tcPr>
          <w:p>
            <w:pPr>
              <w:spacing w:line="360" w:lineRule="auto"/>
              <w:jc w:val="left"/>
              <w:rPr>
                <w:rFonts w:hint="eastAsia" w:ascii="宋体" w:hAnsi="宋体" w:cs="宋体"/>
                <w:b/>
                <w:bCs/>
                <w:sz w:val="24"/>
              </w:rPr>
            </w:pPr>
            <w:r>
              <w:rPr>
                <w:rFonts w:hint="eastAsia"/>
                <w:b/>
                <w:bCs/>
              </w:rPr>
              <w:t>①</w:t>
            </w:r>
            <w:r>
              <w:rPr>
                <w:rFonts w:hint="eastAsia" w:ascii="宋体" w:hAnsi="宋体" w:cs="宋体"/>
                <w:b/>
                <w:bCs/>
                <w:sz w:val="24"/>
              </w:rPr>
              <w:t>最后磋商报价：</w:t>
            </w:r>
          </w:p>
          <w:p>
            <w:pPr>
              <w:spacing w:line="360" w:lineRule="auto"/>
              <w:jc w:val="left"/>
              <w:rPr>
                <w:rFonts w:hint="eastAsia" w:ascii="宋体" w:hAnsi="宋体" w:cs="宋体"/>
                <w:sz w:val="24"/>
              </w:rPr>
            </w:pPr>
            <w:r>
              <w:rPr>
                <w:rFonts w:hint="eastAsia" w:ascii="宋体" w:hAnsi="宋体" w:cs="宋体"/>
                <w:sz w:val="24"/>
              </w:rPr>
              <w:t>二至多轮报价。响应文件中的报价为一次报价</w:t>
            </w:r>
          </w:p>
          <w:p>
            <w:pPr>
              <w:spacing w:line="360" w:lineRule="auto"/>
              <w:jc w:val="left"/>
              <w:rPr>
                <w:rFonts w:hint="eastAsia" w:ascii="宋体" w:hAnsi="宋体" w:cs="宋体"/>
                <w:sz w:val="24"/>
              </w:rPr>
            </w:pPr>
            <w:r>
              <w:rPr>
                <w:rFonts w:hint="eastAsia" w:ascii="宋体" w:hAnsi="宋体" w:cs="宋体"/>
                <w:b/>
                <w:bCs/>
                <w:sz w:val="24"/>
              </w:rPr>
              <w:t>②同一品牌的规定：</w:t>
            </w:r>
          </w:p>
          <w:p>
            <w:pPr>
              <w:spacing w:line="360" w:lineRule="auto"/>
              <w:jc w:val="left"/>
              <w:rPr>
                <w:rFonts w:hint="eastAsia" w:ascii="宋体" w:hAnsi="宋体" w:eastAsia="宋体" w:cs="宋体"/>
                <w:sz w:val="24"/>
              </w:rPr>
            </w:pPr>
            <w:r>
              <w:rPr>
                <w:rFonts w:hint="eastAsia" w:ascii="宋体" w:hAnsi="宋体" w:cs="宋体"/>
                <w:sz w:val="24"/>
              </w:rPr>
              <w:t>提供相同品牌产品且通过资格审查、符合性审查的不同供应商参加同一合同项下政府采购的，按一家供应商计算，评审后得分最高的同品牌供应商获得成交人推荐资格；评审得分相同的，由采购人或者采购人委托磋商小组按照磋商文件规定的方式确定一个供应商获得成交人推荐资格，磋商文件未规定的采取随机抽取方式确定，其他同品牌供应商不作为成交候选人。非单一产品采购项目，采购人应当根据采购项目技术构</w:t>
            </w:r>
            <w:r>
              <w:rPr>
                <w:rFonts w:hint="eastAsia" w:ascii="宋体" w:hAnsi="宋体" w:eastAsia="宋体" w:cs="宋体"/>
                <w:sz w:val="24"/>
              </w:rPr>
              <w:t>成、产品价格比重等合理确定核心产品，并在磋商文件中载明。多家供应商提供的核心产品品牌相同的，按前两款规定处理。</w:t>
            </w:r>
          </w:p>
          <w:p>
            <w:pPr>
              <w:spacing w:line="360" w:lineRule="auto"/>
              <w:jc w:val="left"/>
              <w:rPr>
                <w:rFonts w:hint="default" w:eastAsia="黑体"/>
                <w:lang w:val="en-US" w:eastAsia="zh-CN"/>
              </w:rPr>
            </w:pPr>
            <w:r>
              <w:rPr>
                <w:rFonts w:hint="eastAsia" w:ascii="宋体" w:hAnsi="宋体" w:eastAsia="宋体" w:cs="宋体"/>
                <w:b/>
                <w:bCs/>
                <w:sz w:val="24"/>
                <w:highlight w:val="none"/>
                <w:lang w:val="en-US" w:eastAsia="zh-CN"/>
              </w:rPr>
              <w:t>本项目核心产品：化学学科教室智能系统控制平台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692" w:type="dxa"/>
            <w:noWrap w:val="0"/>
            <w:vAlign w:val="center"/>
          </w:tcPr>
          <w:p>
            <w:pPr>
              <w:numPr>
                <w:ilvl w:val="0"/>
                <w:numId w:val="8"/>
              </w:numPr>
              <w:spacing w:line="400" w:lineRule="exact"/>
              <w:ind w:left="425" w:leftChars="0" w:hanging="425" w:firstLineChars="0"/>
              <w:jc w:val="center"/>
              <w:rPr>
                <w:rFonts w:hint="default" w:ascii="宋体" w:hAnsi="宋体" w:eastAsia="宋体" w:cs="宋体"/>
                <w:sz w:val="24"/>
                <w:lang w:val="en-US" w:eastAsia="zh-CN"/>
              </w:rPr>
            </w:pPr>
          </w:p>
        </w:tc>
        <w:tc>
          <w:tcPr>
            <w:tcW w:w="1903" w:type="dxa"/>
            <w:noWrap w:val="0"/>
            <w:vAlign w:val="center"/>
          </w:tcPr>
          <w:p>
            <w:pPr>
              <w:jc w:val="center"/>
              <w:rPr>
                <w:rFonts w:hint="eastAsia" w:ascii="宋体" w:hAnsi="宋体" w:cs="宋体"/>
                <w:sz w:val="24"/>
              </w:rPr>
            </w:pPr>
            <w:r>
              <w:rPr>
                <w:rFonts w:hint="eastAsia" w:ascii="宋体" w:hAnsi="宋体" w:cs="宋体"/>
                <w:sz w:val="24"/>
                <w:highlight w:val="none"/>
              </w:rPr>
              <w:t>其他要求</w:t>
            </w:r>
          </w:p>
        </w:tc>
        <w:tc>
          <w:tcPr>
            <w:tcW w:w="7604" w:type="dxa"/>
            <w:noWrap w:val="0"/>
            <w:vAlign w:val="center"/>
          </w:tcPr>
          <w:p>
            <w:pPr>
              <w:widowControl/>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1.最后磋商报价：二至多轮报价。响应文件中的报价为一次报价。</w:t>
            </w:r>
          </w:p>
          <w:p>
            <w:pPr>
              <w:widowControl/>
              <w:spacing w:line="360" w:lineRule="auto"/>
              <w:jc w:val="left"/>
              <w:rPr>
                <w:rFonts w:hint="eastAsia" w:ascii="宋体" w:hAnsi="宋体" w:eastAsia="宋体" w:cs="宋体"/>
                <w:kern w:val="0"/>
                <w:sz w:val="24"/>
                <w:u w:val="single"/>
                <w:lang w:val="en-US" w:eastAsia="zh-CN"/>
              </w:rPr>
            </w:pPr>
            <w:r>
              <w:rPr>
                <w:rFonts w:hint="eastAsia" w:ascii="宋体" w:hAnsi="宋体" w:eastAsia="宋体" w:cs="宋体"/>
                <w:kern w:val="0"/>
                <w:sz w:val="24"/>
                <w:lang w:val="en-US" w:eastAsia="zh-CN"/>
              </w:rPr>
              <w:t>2.本项目所属行业：</w:t>
            </w:r>
            <w:r>
              <w:rPr>
                <w:rFonts w:hint="eastAsia" w:ascii="宋体" w:hAnsi="宋体" w:eastAsia="宋体" w:cs="宋体"/>
                <w:kern w:val="0"/>
                <w:sz w:val="24"/>
                <w:u w:val="single"/>
                <w:lang w:val="en-US" w:eastAsia="zh-CN"/>
              </w:rPr>
              <w:t xml:space="preserve"> 工业 </w:t>
            </w:r>
          </w:p>
          <w:p>
            <w:pPr>
              <w:widowControl/>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3.响应文件在线解密时长为30分钟，因供应商自身原因未在规定时间内解密响应文件导致废标的，由供应商自行承担后果。</w:t>
            </w:r>
          </w:p>
          <w:p>
            <w:pPr>
              <w:widowControl/>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4.本项目专门面向中小企业采购。</w:t>
            </w:r>
          </w:p>
          <w:p>
            <w:pPr>
              <w:widowControl/>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5.如本《供应商须知资料表》相关内容与采购文件中的相关内容如有不一致处，则以本《供应商须知资料表》相关内容为准。</w:t>
            </w:r>
          </w:p>
          <w:p>
            <w:pPr>
              <w:widowControl/>
              <w:spacing w:line="360" w:lineRule="auto"/>
              <w:jc w:val="left"/>
              <w:rPr>
                <w:rFonts w:hint="default" w:ascii="宋体" w:hAnsi="宋体" w:eastAsia="宋体" w:cs="Times New Roman"/>
                <w:lang w:val="en-US" w:eastAsia="zh-CN"/>
              </w:rPr>
            </w:pPr>
            <w:r>
              <w:rPr>
                <w:rFonts w:hint="eastAsia" w:ascii="宋体" w:hAnsi="宋体" w:eastAsia="宋体" w:cs="宋体"/>
                <w:kern w:val="0"/>
                <w:sz w:val="24"/>
                <w:lang w:val="en-US" w:eastAsia="zh-CN"/>
              </w:rPr>
              <w:t>6.以骑缝章的形式代替采购文件内容中要求加盖公章的，作为无效投标处理。</w:t>
            </w:r>
          </w:p>
        </w:tc>
      </w:tr>
    </w:tbl>
    <w:p>
      <w:pPr>
        <w:jc w:val="center"/>
        <w:rPr>
          <w:rFonts w:hint="eastAsia" w:ascii="宋体" w:hAnsi="宋体" w:cs="宋体"/>
          <w:b/>
          <w:sz w:val="28"/>
          <w:szCs w:val="28"/>
        </w:rPr>
      </w:pPr>
    </w:p>
    <w:p>
      <w:pPr>
        <w:tabs>
          <w:tab w:val="left" w:pos="5580"/>
        </w:tabs>
        <w:adjustRightInd w:val="0"/>
        <w:spacing w:line="360" w:lineRule="auto"/>
        <w:jc w:val="distribute"/>
        <w:rPr>
          <w:rFonts w:hint="eastAsia" w:ascii="宋体" w:hAnsi="宋体" w:cs="宋体"/>
          <w:sz w:val="24"/>
        </w:rPr>
      </w:pPr>
    </w:p>
    <w:p>
      <w:pPr>
        <w:spacing w:before="240" w:beforeLines="100" w:after="240" w:afterLines="100"/>
        <w:jc w:val="center"/>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供应商须知</w:t>
      </w:r>
    </w:p>
    <w:p>
      <w:pPr>
        <w:pStyle w:val="6"/>
        <w:tabs>
          <w:tab w:val="center" w:pos="4592"/>
          <w:tab w:val="left" w:pos="7860"/>
        </w:tabs>
        <w:spacing w:before="0" w:line="360" w:lineRule="auto"/>
        <w:jc w:val="left"/>
        <w:rPr>
          <w:rFonts w:hint="eastAsia" w:ascii="宋体" w:hAnsi="宋体" w:eastAsia="宋体" w:cs="宋体"/>
          <w:sz w:val="28"/>
        </w:rPr>
      </w:pPr>
      <w:bookmarkStart w:id="86" w:name="_Toc520356143"/>
      <w:bookmarkStart w:id="87" w:name="_Toc127151518"/>
      <w:r>
        <w:rPr>
          <w:rFonts w:hint="eastAsia" w:ascii="宋体" w:hAnsi="宋体" w:eastAsia="宋体" w:cs="宋体"/>
          <w:sz w:val="28"/>
        </w:rPr>
        <w:tab/>
      </w:r>
      <w:bookmarkStart w:id="88" w:name="_Toc151190145"/>
      <w:bookmarkStart w:id="89" w:name="_Toc150509269"/>
      <w:bookmarkStart w:id="90" w:name="_Toc151193906"/>
      <w:bookmarkStart w:id="91" w:name="_Toc151193616"/>
      <w:bookmarkStart w:id="92" w:name="_Toc265228356"/>
      <w:bookmarkStart w:id="93" w:name="_Toc226337214"/>
      <w:bookmarkStart w:id="94" w:name="_Toc226309762"/>
      <w:bookmarkStart w:id="95" w:name="_Toc195842883"/>
      <w:bookmarkStart w:id="96" w:name="_Toc264969208"/>
      <w:bookmarkStart w:id="97" w:name="_Toc151193760"/>
      <w:bookmarkStart w:id="98" w:name="_Toc150774723"/>
      <w:bookmarkStart w:id="99" w:name="_Toc142311020"/>
      <w:bookmarkStart w:id="100" w:name="_Toc305158860"/>
      <w:bookmarkStart w:id="101" w:name="_Toc151193688"/>
      <w:bookmarkStart w:id="102" w:name="_Toc305158786"/>
      <w:bookmarkStart w:id="103" w:name="_Toc226965708"/>
      <w:bookmarkStart w:id="104" w:name="_Toc151193832"/>
      <w:bookmarkStart w:id="105" w:name="_Toc150774618"/>
      <w:bookmarkStart w:id="106" w:name="_Toc150480756"/>
      <w:bookmarkStart w:id="107" w:name="_Toc226965791"/>
      <w:r>
        <w:rPr>
          <w:rFonts w:hint="eastAsia" w:ascii="宋体" w:hAnsi="宋体" w:eastAsia="宋体" w:cs="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sz w:val="28"/>
        </w:rPr>
        <w:tab/>
      </w:r>
    </w:p>
    <w:p>
      <w:pPr>
        <w:tabs>
          <w:tab w:val="left" w:pos="360"/>
        </w:tabs>
        <w:snapToGrid w:val="0"/>
        <w:spacing w:line="360" w:lineRule="auto"/>
        <w:ind w:firstLine="240" w:firstLineChars="100"/>
        <w:outlineLvl w:val="1"/>
        <w:rPr>
          <w:rFonts w:hint="eastAsia" w:ascii="宋体" w:hAnsi="宋体" w:cs="宋体"/>
          <w:sz w:val="24"/>
        </w:rPr>
      </w:pPr>
      <w:bookmarkStart w:id="108" w:name="_Toc265228357"/>
      <w:bookmarkStart w:id="109" w:name="_Toc264969209"/>
      <w:bookmarkStart w:id="110" w:name="_Toc305158861"/>
      <w:bookmarkStart w:id="111" w:name="_Toc305158787"/>
      <w:r>
        <w:rPr>
          <w:rFonts w:hint="eastAsia" w:ascii="宋体" w:hAnsi="宋体" w:cs="宋体"/>
          <w:sz w:val="24"/>
        </w:rPr>
        <w:t>1、采购人、采购代理机构、供应商</w:t>
      </w:r>
      <w:bookmarkEnd w:id="108"/>
      <w:bookmarkEnd w:id="109"/>
      <w:bookmarkEnd w:id="110"/>
      <w:bookmarkEnd w:id="111"/>
      <w:r>
        <w:rPr>
          <w:rFonts w:hint="eastAsia" w:ascii="宋体" w:hAnsi="宋体" w:cs="宋体"/>
          <w:sz w:val="24"/>
        </w:rPr>
        <w:t>、联合体</w:t>
      </w:r>
    </w:p>
    <w:p>
      <w:pPr>
        <w:tabs>
          <w:tab w:val="left" w:pos="360"/>
        </w:tabs>
        <w:snapToGrid w:val="0"/>
        <w:spacing w:line="360" w:lineRule="auto"/>
        <w:ind w:firstLine="240" w:firstLineChars="100"/>
        <w:outlineLvl w:val="1"/>
        <w:rPr>
          <w:rFonts w:hint="eastAsia" w:ascii="宋体" w:hAnsi="宋体" w:cs="宋体"/>
          <w:sz w:val="24"/>
        </w:rPr>
      </w:pPr>
      <w:r>
        <w:rPr>
          <w:rFonts w:hint="eastAsia" w:ascii="宋体" w:hAnsi="宋体" w:cs="宋体"/>
          <w:sz w:val="24"/>
        </w:rPr>
        <w:t>1.1、采购人、采购代理机构：指依法进行政府采购的国家机关、事业单位、团体组织，及其委托的采购代理机构。本项目采购人、采购代理机构见第一章《采购邀请》。</w:t>
      </w:r>
    </w:p>
    <w:p>
      <w:pPr>
        <w:tabs>
          <w:tab w:val="left" w:pos="1080"/>
          <w:tab w:val="left" w:pos="2014"/>
          <w:tab w:val="left" w:pos="5521"/>
        </w:tabs>
        <w:snapToGrid w:val="0"/>
        <w:spacing w:line="360" w:lineRule="auto"/>
        <w:ind w:firstLine="218" w:firstLineChars="91"/>
        <w:rPr>
          <w:rFonts w:hint="eastAsia" w:ascii="宋体" w:hAnsi="宋体" w:cs="宋体"/>
          <w:sz w:val="24"/>
        </w:rPr>
      </w:pPr>
      <w:r>
        <w:rPr>
          <w:rFonts w:hint="eastAsia" w:ascii="宋体" w:hAnsi="宋体" w:cs="宋体"/>
          <w:sz w:val="24"/>
        </w:rPr>
        <w:t>1.2 、供应商（也称“申请人”）：指向采购人提供货物、工程或者服务的法人、其他组织或者自然人。</w:t>
      </w:r>
    </w:p>
    <w:p>
      <w:pPr>
        <w:tabs>
          <w:tab w:val="left" w:pos="1080"/>
          <w:tab w:val="left" w:pos="2014"/>
          <w:tab w:val="left" w:pos="5521"/>
        </w:tabs>
        <w:snapToGrid w:val="0"/>
        <w:spacing w:line="360" w:lineRule="auto"/>
        <w:ind w:firstLine="240" w:firstLineChars="100"/>
        <w:rPr>
          <w:rFonts w:hint="eastAsia" w:ascii="宋体" w:hAnsi="宋体" w:cs="宋体"/>
          <w:sz w:val="24"/>
        </w:rPr>
      </w:pPr>
      <w:r>
        <w:rPr>
          <w:rFonts w:hint="eastAsia" w:ascii="宋体" w:hAnsi="宋体" w:cs="宋体"/>
          <w:sz w:val="24"/>
        </w:rPr>
        <w:t>1.3、联合体：指两个以上的自然人、法人或者其他组织组成一个联合体，以一个供应商的身份共同参加政府采购。</w:t>
      </w:r>
    </w:p>
    <w:p>
      <w:pPr>
        <w:tabs>
          <w:tab w:val="left" w:pos="360"/>
        </w:tabs>
        <w:snapToGrid w:val="0"/>
        <w:spacing w:line="360" w:lineRule="auto"/>
        <w:ind w:firstLine="240" w:firstLineChars="100"/>
        <w:outlineLvl w:val="1"/>
        <w:rPr>
          <w:rFonts w:hint="eastAsia" w:ascii="宋体" w:hAnsi="宋体" w:cs="宋体"/>
          <w:sz w:val="24"/>
        </w:rPr>
      </w:pPr>
      <w:bookmarkStart w:id="112" w:name="_Toc142311022"/>
      <w:bookmarkStart w:id="113" w:name="_Toc150774725"/>
      <w:bookmarkStart w:id="114" w:name="_Toc265228358"/>
      <w:bookmarkStart w:id="115" w:name="_Toc127151520"/>
      <w:bookmarkStart w:id="116" w:name="_Toc127151721"/>
      <w:bookmarkStart w:id="117" w:name="_Toc164608634"/>
      <w:bookmarkStart w:id="118" w:name="_Toc305158788"/>
      <w:bookmarkStart w:id="119" w:name="_Toc127161434"/>
      <w:bookmarkStart w:id="120" w:name="_Toc150774620"/>
      <w:bookmarkStart w:id="121" w:name="_Toc226965710"/>
      <w:bookmarkStart w:id="122" w:name="_Toc151193690"/>
      <w:bookmarkStart w:id="123" w:name="_Toc226337216"/>
      <w:bookmarkStart w:id="124" w:name="_Toc150509271"/>
      <w:bookmarkStart w:id="125" w:name="_Toc164229215"/>
      <w:bookmarkStart w:id="126" w:name="_Toc151193908"/>
      <w:bookmarkStart w:id="127" w:name="_Toc149720813"/>
      <w:bookmarkStart w:id="128" w:name="_Toc150480758"/>
      <w:bookmarkStart w:id="129" w:name="_Toc151193762"/>
      <w:bookmarkStart w:id="130" w:name="_Toc151190147"/>
      <w:bookmarkStart w:id="131" w:name="_Toc195842885"/>
      <w:bookmarkStart w:id="132" w:name="_Toc164351614"/>
      <w:bookmarkStart w:id="133" w:name="_Toc305158862"/>
      <w:bookmarkStart w:id="134" w:name="_Toc226309764"/>
      <w:bookmarkStart w:id="135" w:name="_Toc164608789"/>
      <w:bookmarkStart w:id="136" w:name="_Toc264969210"/>
      <w:bookmarkStart w:id="137" w:name="_Toc151193834"/>
      <w:bookmarkStart w:id="138" w:name="_Toc226965793"/>
      <w:bookmarkStart w:id="139" w:name="_Toc164229361"/>
      <w:bookmarkStart w:id="140" w:name="_Toc151193618"/>
      <w:r>
        <w:rPr>
          <w:rFonts w:hint="eastAsia" w:ascii="宋体" w:hAnsi="宋体" w:cs="宋体"/>
          <w:sz w:val="24"/>
        </w:rPr>
        <w:t>2、资金来源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宋体" w:hAnsi="宋体" w:cs="宋体"/>
          <w:sz w:val="24"/>
        </w:rPr>
        <w:t>、项目属性、科研仪器设备采购</w:t>
      </w:r>
    </w:p>
    <w:p>
      <w:pPr>
        <w:tabs>
          <w:tab w:val="left" w:pos="1080"/>
          <w:tab w:val="left" w:pos="2014"/>
        </w:tabs>
        <w:snapToGrid w:val="0"/>
        <w:spacing w:line="360" w:lineRule="auto"/>
        <w:ind w:left="220"/>
        <w:rPr>
          <w:rFonts w:hint="eastAsia" w:ascii="宋体" w:hAnsi="宋体" w:cs="宋体"/>
          <w:sz w:val="24"/>
        </w:rPr>
      </w:pPr>
      <w:r>
        <w:rPr>
          <w:rFonts w:hint="eastAsia" w:ascii="宋体" w:hAnsi="宋体" w:cs="宋体"/>
          <w:sz w:val="24"/>
        </w:rPr>
        <w:t>2.1、资金来源为财政性资金。</w:t>
      </w:r>
    </w:p>
    <w:p>
      <w:pPr>
        <w:tabs>
          <w:tab w:val="left" w:pos="1080"/>
          <w:tab w:val="left" w:pos="2014"/>
        </w:tabs>
        <w:snapToGrid w:val="0"/>
        <w:spacing w:line="360" w:lineRule="auto"/>
        <w:ind w:left="220"/>
        <w:rPr>
          <w:rFonts w:hint="eastAsia" w:ascii="宋体" w:hAnsi="宋体" w:cs="宋体"/>
          <w:sz w:val="24"/>
        </w:rPr>
      </w:pPr>
      <w:r>
        <w:rPr>
          <w:rFonts w:hint="eastAsia" w:ascii="宋体" w:hAnsi="宋体" w:cs="宋体"/>
          <w:sz w:val="24"/>
        </w:rPr>
        <w:t>2.2、项目属性见《供应商须知资料表》。</w:t>
      </w:r>
    </w:p>
    <w:p>
      <w:pPr>
        <w:tabs>
          <w:tab w:val="left" w:pos="1080"/>
          <w:tab w:val="left" w:pos="2014"/>
        </w:tabs>
        <w:snapToGrid w:val="0"/>
        <w:spacing w:line="360" w:lineRule="auto"/>
        <w:ind w:firstLine="240" w:firstLineChars="100"/>
        <w:rPr>
          <w:rFonts w:hint="eastAsia" w:ascii="宋体" w:hAnsi="宋体" w:cs="宋体"/>
          <w:sz w:val="24"/>
        </w:rPr>
      </w:pPr>
      <w:r>
        <w:rPr>
          <w:rFonts w:hint="eastAsia" w:ascii="宋体" w:hAnsi="宋体" w:cs="宋体"/>
          <w:sz w:val="24"/>
        </w:rPr>
        <w:t>2.3、是否属于科研仪器设备采购见《供应商须知资料表》。</w:t>
      </w:r>
    </w:p>
    <w:p>
      <w:pPr>
        <w:tabs>
          <w:tab w:val="left" w:pos="360"/>
        </w:tabs>
        <w:snapToGrid w:val="0"/>
        <w:spacing w:line="360" w:lineRule="auto"/>
        <w:ind w:firstLine="240" w:firstLineChars="100"/>
        <w:outlineLvl w:val="1"/>
        <w:rPr>
          <w:rFonts w:hint="eastAsia" w:ascii="宋体" w:hAnsi="宋体" w:cs="宋体"/>
          <w:sz w:val="24"/>
        </w:rPr>
      </w:pPr>
      <w:r>
        <w:rPr>
          <w:rFonts w:hint="eastAsia" w:ascii="宋体" w:hAnsi="宋体" w:cs="宋体"/>
          <w:sz w:val="24"/>
        </w:rPr>
        <w:t>3、现场考察、磋商前答疑会</w:t>
      </w:r>
    </w:p>
    <w:p>
      <w:pPr>
        <w:tabs>
          <w:tab w:val="left" w:pos="1080"/>
          <w:tab w:val="left" w:pos="2014"/>
        </w:tabs>
        <w:snapToGrid w:val="0"/>
        <w:spacing w:line="360" w:lineRule="auto"/>
        <w:ind w:firstLine="240" w:firstLineChars="100"/>
        <w:rPr>
          <w:rFonts w:hint="eastAsia" w:ascii="宋体" w:hAnsi="宋体" w:cs="宋体"/>
          <w:sz w:val="28"/>
        </w:rPr>
      </w:pPr>
      <w:r>
        <w:rPr>
          <w:rFonts w:hint="eastAsia" w:ascii="宋体" w:hAnsi="宋体" w:cs="宋体"/>
          <w:sz w:val="24"/>
        </w:rPr>
        <w:t>3.1、若《供应商须知资料表》中规定了组织现场考察、召开磋商前答疑会，则供应商应按要求在规定的时间和地点参加。</w:t>
      </w:r>
      <w:bookmarkStart w:id="141" w:name="_Toc265228360"/>
      <w:bookmarkStart w:id="142" w:name="_Toc142311024"/>
      <w:bookmarkStart w:id="143" w:name="_Toc151193764"/>
      <w:bookmarkStart w:id="144" w:name="_Toc150774727"/>
      <w:bookmarkStart w:id="145" w:name="_Toc151190149"/>
      <w:bookmarkStart w:id="146" w:name="_Toc151193910"/>
      <w:bookmarkStart w:id="147" w:name="_Toc305158790"/>
      <w:bookmarkStart w:id="148" w:name="_Toc150774622"/>
      <w:bookmarkStart w:id="149" w:name="_Toc226337218"/>
      <w:bookmarkStart w:id="150" w:name="_Toc305158864"/>
      <w:bookmarkStart w:id="151" w:name="_Toc151193692"/>
      <w:bookmarkStart w:id="152" w:name="_Toc195842887"/>
      <w:bookmarkStart w:id="153" w:name="_Toc226309766"/>
      <w:bookmarkStart w:id="154" w:name="_Toc226965795"/>
      <w:bookmarkStart w:id="155" w:name="_Toc151193620"/>
      <w:bookmarkStart w:id="156" w:name="_Toc520356146"/>
      <w:bookmarkStart w:id="157" w:name="_Toc150480760"/>
      <w:bookmarkStart w:id="158" w:name="_Toc226965712"/>
      <w:bookmarkStart w:id="159" w:name="_Toc127151522"/>
      <w:bookmarkStart w:id="160" w:name="_Toc150509273"/>
      <w:bookmarkStart w:id="161" w:name="_Toc151193836"/>
      <w:bookmarkStart w:id="162" w:name="_Toc264969212"/>
    </w:p>
    <w:p>
      <w:pPr>
        <w:tabs>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3.2、由于未参加现场考察或磋商前答疑会而导致对项目实际情况不了解，影响响应文件编制、报价准确性、综合因素响应不全面等问题的，由供应商自行承担不利评审后果。</w:t>
      </w:r>
    </w:p>
    <w:p>
      <w:pPr>
        <w:tabs>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4、政府采购政策（包括但不限于下列具体政策要求）</w:t>
      </w:r>
    </w:p>
    <w:p>
      <w:pPr>
        <w:tabs>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4.1 、进口产品（本项目不接受进口产品）</w:t>
      </w:r>
    </w:p>
    <w:p>
      <w:pPr>
        <w:tabs>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tabs>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4.1.2、本项目是否接受进口产品见第四章《采购需求》。</w:t>
      </w:r>
    </w:p>
    <w:p>
      <w:pPr>
        <w:tabs>
          <w:tab w:val="left" w:pos="1080"/>
          <w:tab w:val="left" w:pos="2014"/>
        </w:tabs>
        <w:snapToGrid w:val="0"/>
        <w:spacing w:line="360" w:lineRule="auto"/>
        <w:ind w:left="350"/>
        <w:rPr>
          <w:rFonts w:hint="eastAsia" w:ascii="宋体" w:hAnsi="宋体" w:cs="宋体"/>
          <w:sz w:val="24"/>
        </w:rPr>
      </w:pPr>
      <w:r>
        <w:rPr>
          <w:rFonts w:hint="eastAsia" w:ascii="宋体" w:hAnsi="宋体" w:cs="宋体"/>
          <w:sz w:val="24"/>
        </w:rPr>
        <w:t>4.2 、中小企业、监狱企业及残疾人福利性单位</w:t>
      </w:r>
    </w:p>
    <w:p>
      <w:pPr>
        <w:snapToGrid w:val="0"/>
        <w:spacing w:line="360" w:lineRule="auto"/>
        <w:ind w:firstLine="480" w:firstLineChars="200"/>
        <w:rPr>
          <w:rFonts w:hint="eastAsia" w:ascii="宋体" w:hAnsi="宋体" w:cs="宋体"/>
          <w:vanish/>
          <w:sz w:val="24"/>
        </w:rPr>
      </w:pPr>
      <w:r>
        <w:rPr>
          <w:rFonts w:hint="eastAsia" w:ascii="宋体" w:hAnsi="宋体" w:cs="宋体"/>
          <w:sz w:val="24"/>
        </w:rPr>
        <w:t>4.2.1、中小企业定义：</w:t>
      </w:r>
    </w:p>
    <w:p>
      <w:pPr>
        <w:tabs>
          <w:tab w:val="left" w:pos="1980"/>
          <w:tab w:val="left" w:pos="2035"/>
          <w:tab w:val="left" w:pos="2885"/>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4.2.2、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tabs>
          <w:tab w:val="left" w:pos="1980"/>
          <w:tab w:val="left" w:pos="2035"/>
          <w:tab w:val="left" w:pos="2885"/>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4.2.3、供应商提供的货物、工程或者服务符合下列情形的，享受中小企业扶持政策：</w:t>
      </w:r>
    </w:p>
    <w:p>
      <w:pPr>
        <w:tabs>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pPr>
        <w:tabs>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（2）在工程采购项目中，工程由中小企业承建，即工程施工单位为中小企业；</w:t>
      </w:r>
    </w:p>
    <w:p>
      <w:pPr>
        <w:tabs>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pPr>
        <w:tabs>
          <w:tab w:val="left" w:pos="1980"/>
          <w:tab w:val="left" w:pos="2035"/>
          <w:tab w:val="left" w:pos="2885"/>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4.2.4、在货物采购项目中，供应商提供的货物既有中小企业制造货物，也有大型企业制造货物的，不享受中小企业扶持政策。</w:t>
      </w:r>
    </w:p>
    <w:p>
      <w:pPr>
        <w:tabs>
          <w:tab w:val="left" w:pos="1980"/>
          <w:tab w:val="left" w:pos="2035"/>
          <w:tab w:val="left" w:pos="2885"/>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4.2.5、以联合体形式参加政府采购活动，联合体各方均为中小企业的，联合体视同中小企业。其中，联合体各方均为小微企业的，联合体视同小微企业。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hint="eastAsia" w:ascii="宋体" w:hAnsi="宋体" w:cs="宋体"/>
          <w:sz w:val="24"/>
        </w:rPr>
      </w:pPr>
      <w:r>
        <w:rPr>
          <w:rFonts w:hint="eastAsia" w:ascii="宋体" w:hAnsi="宋体" w:cs="宋体"/>
          <w:sz w:val="24"/>
        </w:rPr>
        <w:t>4.2.6、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80" w:firstLineChars="200"/>
        <w:rPr>
          <w:rFonts w:hint="eastAsia" w:ascii="宋体" w:hAnsi="宋体" w:cs="宋体"/>
          <w:vanish/>
          <w:sz w:val="24"/>
        </w:rPr>
      </w:pPr>
      <w:r>
        <w:rPr>
          <w:rFonts w:hint="eastAsia" w:ascii="宋体" w:hAnsi="宋体" w:cs="宋体"/>
          <w:sz w:val="24"/>
        </w:rPr>
        <w:t>4.2.7、残疾人福利单位定义：享受政府采购支持政策的残疾人福利性单位应当同时满足以下条件：</w:t>
      </w:r>
    </w:p>
    <w:p>
      <w:pPr>
        <w:tabs>
          <w:tab w:val="left" w:pos="1980"/>
          <w:tab w:val="left" w:pos="2035"/>
          <w:tab w:val="left" w:pos="2885"/>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4.2.7.1、安置的残疾人占本单位在职职工人数的比例不低于25%（含25%），并且安置的残疾人人数不少于10 人（含10 人）；</w:t>
      </w:r>
    </w:p>
    <w:p>
      <w:pPr>
        <w:tabs>
          <w:tab w:val="left" w:pos="1980"/>
          <w:tab w:val="left" w:pos="2035"/>
          <w:tab w:val="left" w:pos="2885"/>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4.2.7.2、依法与安置的每位残疾人签订了一年以上（含一年）的劳动合同或服务协议；为安置的每位残疾人按月足额缴纳了基本养老保险、基本医疗保险、失业保险、工伤保险和生育保险等社会保险费；</w:t>
      </w:r>
    </w:p>
    <w:p>
      <w:pPr>
        <w:tabs>
          <w:tab w:val="left" w:pos="1980"/>
          <w:tab w:val="left" w:pos="2035"/>
          <w:tab w:val="left" w:pos="2885"/>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4.2.7.3、通过银行等金融机构向安置的每位残疾人，按月支付了不低于单位所在区县适用的经省级人民政府批准的月最低工资标准的工资；</w:t>
      </w:r>
    </w:p>
    <w:p>
      <w:pPr>
        <w:tabs>
          <w:tab w:val="left" w:pos="1980"/>
          <w:tab w:val="left" w:pos="2035"/>
          <w:tab w:val="left" w:pos="2885"/>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4.2.7.4、提供本单位制造的货物、承担的工程或者服务（以下简称产品），或者提供其他残疾人福利性单位制造的货物（不包括使用非残疾人福利性单位注册商标的货物）；</w:t>
      </w:r>
    </w:p>
    <w:p>
      <w:pPr>
        <w:tabs>
          <w:tab w:val="left" w:pos="1980"/>
          <w:tab w:val="left" w:pos="2035"/>
          <w:tab w:val="left" w:pos="2885"/>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4.2.7.5、前款所称残疾人是指法定劳动年龄内，持有《中华人民共和国残疾人证》或者《中华人民共和国残疾军人证（1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snapToGrid w:val="0"/>
        <w:spacing w:line="360" w:lineRule="auto"/>
        <w:ind w:firstLine="480" w:firstLineChars="200"/>
        <w:rPr>
          <w:rFonts w:hint="eastAsia" w:ascii="宋体" w:hAnsi="宋体" w:cs="宋体"/>
          <w:sz w:val="24"/>
        </w:rPr>
      </w:pPr>
      <w:r>
        <w:rPr>
          <w:rFonts w:hint="eastAsia" w:ascii="宋体" w:hAnsi="宋体" w:cs="宋体"/>
          <w:sz w:val="24"/>
        </w:rPr>
        <w:t>4.2.8、本项目是否专门面向中小企业预留采购份额见第一章《采购邀请》。</w:t>
      </w:r>
    </w:p>
    <w:p>
      <w:pPr>
        <w:snapToGrid w:val="0"/>
        <w:spacing w:line="360" w:lineRule="auto"/>
        <w:ind w:firstLine="480" w:firstLineChars="200"/>
        <w:rPr>
          <w:rFonts w:hint="eastAsia" w:ascii="宋体" w:hAnsi="宋体" w:cs="宋体"/>
          <w:sz w:val="24"/>
        </w:rPr>
      </w:pPr>
      <w:r>
        <w:rPr>
          <w:rFonts w:hint="eastAsia" w:ascii="宋体" w:hAnsi="宋体" w:cs="宋体"/>
          <w:sz w:val="24"/>
        </w:rPr>
        <w:t>4.2.9、小微企业价格评审优惠的政策调整：见第三章《评审方法和评审标准》。</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4.3、政府采购节能产品、环境标志产品</w:t>
      </w:r>
    </w:p>
    <w:p>
      <w:pPr>
        <w:snapToGrid w:val="0"/>
        <w:spacing w:line="360" w:lineRule="auto"/>
        <w:ind w:firstLine="480" w:firstLineChars="200"/>
        <w:rPr>
          <w:rFonts w:hint="eastAsia" w:ascii="宋体" w:hAnsi="宋体" w:cs="宋体"/>
          <w:sz w:val="24"/>
        </w:rPr>
      </w:pPr>
      <w:r>
        <w:rPr>
          <w:rFonts w:hint="eastAsia" w:ascii="宋体" w:hAnsi="宋体" w:cs="宋体"/>
          <w:sz w:val="24"/>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snapToGrid w:val="0"/>
        <w:spacing w:line="360" w:lineRule="auto"/>
        <w:ind w:firstLine="480" w:firstLineChars="200"/>
        <w:rPr>
          <w:rFonts w:hint="eastAsia" w:ascii="宋体" w:hAnsi="宋体" w:cs="宋体"/>
          <w:sz w:val="24"/>
        </w:rPr>
      </w:pPr>
      <w:r>
        <w:rPr>
          <w:rFonts w:hint="eastAsia" w:ascii="宋体" w:hAnsi="宋体" w:cs="宋体"/>
          <w:sz w:val="24"/>
        </w:rPr>
        <w:t>4.3.3、如本项目采购产品属于实施政府强制采购品目清单范围的节能产品，则供应商所报产品必须获得国家确定的认证机构出具的、处于有效期之内的节能产品认证证书，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4.3.4、非政府强制采购的节能产品或环境标志产品，依据品目清单和认证证书实施政府优先采购。优先采购的具体规定见第三章《评审方法和评审标准》（如涉及）。</w:t>
      </w:r>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5、响应费用</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5.1、 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hint="eastAsia" w:ascii="宋体" w:hAnsi="宋体" w:cs="宋体"/>
          <w:sz w:val="28"/>
        </w:rPr>
      </w:pPr>
      <w:bookmarkStart w:id="163" w:name="_1.8_计量单位"/>
      <w:bookmarkEnd w:id="163"/>
    </w:p>
    <w:p>
      <w:pPr>
        <w:pStyle w:val="6"/>
        <w:spacing w:before="0" w:line="360" w:lineRule="auto"/>
        <w:rPr>
          <w:rFonts w:hint="eastAsia" w:ascii="宋体" w:hAnsi="宋体" w:eastAsia="宋体" w:cs="宋体"/>
          <w:sz w:val="28"/>
        </w:rPr>
      </w:pPr>
      <w:r>
        <w:rPr>
          <w:rFonts w:hint="eastAsia" w:ascii="宋体" w:hAnsi="宋体" w:eastAsia="宋体" w:cs="宋体"/>
          <w:sz w:val="28"/>
        </w:rPr>
        <w:t>二   竞争性磋商文件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tabs>
          <w:tab w:val="left" w:pos="360"/>
        </w:tabs>
        <w:snapToGrid w:val="0"/>
        <w:spacing w:line="360" w:lineRule="auto"/>
        <w:outlineLvl w:val="1"/>
        <w:rPr>
          <w:rFonts w:hint="eastAsia" w:ascii="宋体" w:hAnsi="宋体" w:cs="宋体"/>
          <w:sz w:val="24"/>
        </w:rPr>
      </w:pPr>
      <w:bookmarkStart w:id="164" w:name="_Toc150774623"/>
      <w:bookmarkStart w:id="165" w:name="_Toc164608792"/>
      <w:bookmarkStart w:id="166" w:name="_Toc520356147"/>
      <w:bookmarkStart w:id="167" w:name="_Toc305158791"/>
      <w:bookmarkStart w:id="168" w:name="_Toc151193911"/>
      <w:bookmarkStart w:id="169" w:name="_Toc305158865"/>
      <w:bookmarkStart w:id="170" w:name="_Toc150774728"/>
      <w:bookmarkStart w:id="171" w:name="_Toc150480761"/>
      <w:bookmarkStart w:id="172" w:name="_Toc164608637"/>
      <w:bookmarkStart w:id="173" w:name="_Toc164351617"/>
      <w:bookmarkStart w:id="174" w:name="_Toc151193837"/>
      <w:bookmarkStart w:id="175" w:name="_Toc151193765"/>
      <w:bookmarkStart w:id="176" w:name="_Toc264969213"/>
      <w:bookmarkStart w:id="177" w:name="_Toc151193621"/>
      <w:bookmarkStart w:id="178" w:name="_Toc265228361"/>
      <w:bookmarkStart w:id="179" w:name="_Toc142311025"/>
      <w:bookmarkStart w:id="180" w:name="_Toc151190150"/>
      <w:bookmarkStart w:id="181" w:name="_Toc164229364"/>
      <w:bookmarkStart w:id="182" w:name="_Toc127151523"/>
      <w:bookmarkStart w:id="183" w:name="_Toc127161437"/>
      <w:bookmarkStart w:id="184" w:name="_Toc195842888"/>
      <w:bookmarkStart w:id="185" w:name="_Toc226309767"/>
      <w:bookmarkStart w:id="186" w:name="_Toc127151724"/>
      <w:bookmarkStart w:id="187" w:name="_Toc164229218"/>
      <w:bookmarkStart w:id="188" w:name="_Toc151193693"/>
      <w:bookmarkStart w:id="189" w:name="_Toc226965796"/>
      <w:bookmarkStart w:id="190" w:name="_Toc149720816"/>
      <w:bookmarkStart w:id="191" w:name="_Toc226337219"/>
      <w:bookmarkStart w:id="192" w:name="_Toc226965713"/>
      <w:bookmarkStart w:id="193" w:name="_Toc150509274"/>
      <w:r>
        <w:rPr>
          <w:rFonts w:hint="eastAsia" w:ascii="宋体" w:hAnsi="宋体" w:cs="宋体"/>
          <w:sz w:val="24"/>
        </w:rPr>
        <w:t>竞争性磋商文件构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cs="宋体"/>
          <w:sz w:val="24"/>
        </w:rPr>
        <w:t>成</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1、竞争性磋商文件包括以下部分：</w:t>
      </w:r>
    </w:p>
    <w:p>
      <w:pPr>
        <w:numPr>
          <w:ilvl w:val="0"/>
          <w:numId w:val="9"/>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采购邀请</w:t>
      </w:r>
    </w:p>
    <w:p>
      <w:pPr>
        <w:numPr>
          <w:ilvl w:val="0"/>
          <w:numId w:val="9"/>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供应商须知</w:t>
      </w:r>
    </w:p>
    <w:p>
      <w:pPr>
        <w:numPr>
          <w:ilvl w:val="0"/>
          <w:numId w:val="9"/>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评审方法和评审标准</w:t>
      </w:r>
    </w:p>
    <w:p>
      <w:pPr>
        <w:numPr>
          <w:ilvl w:val="0"/>
          <w:numId w:val="9"/>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pPr>
        <w:numPr>
          <w:ilvl w:val="0"/>
          <w:numId w:val="9"/>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合同草案条款</w:t>
      </w:r>
    </w:p>
    <w:p>
      <w:pPr>
        <w:numPr>
          <w:ilvl w:val="0"/>
          <w:numId w:val="9"/>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响应文件格式</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2、供应商应认真阅读竞争性磋商文件的全部内容。供应商应按照竞争性磋商文件要求提交响应文件并保证所提供的全部资料的真实性，并对竞争性磋商文件做出实质性响应，否则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pPr>
        <w:tabs>
          <w:tab w:val="left" w:pos="1080"/>
          <w:tab w:val="left" w:pos="2014"/>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3、对竞争性磋商文件的澄清或修改</w:t>
      </w:r>
    </w:p>
    <w:p>
      <w:pPr>
        <w:tabs>
          <w:tab w:val="left" w:pos="1080"/>
          <w:tab w:val="left" w:pos="1561"/>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3.1、对磋商文件的修改，将以变更公告形式发布至新疆政府采购网通知各潜在供应商，澄清和修改将作为磋商文件的组成部分，对所有潜在供应商有约束力。潜在供应商自行网上查阅上传的每一份补充文件。如潜在供应商因个人原因未在新疆政府采购网查阅已发布的补充文件，造成的后果由潜在供应商自行承担。</w:t>
      </w:r>
    </w:p>
    <w:p>
      <w:pPr>
        <w:tabs>
          <w:tab w:val="left" w:pos="1080"/>
          <w:tab w:val="left" w:pos="1561"/>
          <w:tab w:val="left" w:pos="2014"/>
        </w:tabs>
        <w:snapToGrid w:val="0"/>
        <w:spacing w:line="360" w:lineRule="auto"/>
        <w:ind w:firstLine="480" w:firstLineChars="200"/>
        <w:rPr>
          <w:rFonts w:hint="eastAsia" w:ascii="宋体" w:hAnsi="宋体" w:cs="宋体"/>
          <w:sz w:val="28"/>
        </w:rPr>
      </w:pPr>
      <w:r>
        <w:rPr>
          <w:rFonts w:hint="eastAsia" w:ascii="宋体" w:hAnsi="宋体" w:cs="宋体"/>
          <w:sz w:val="24"/>
        </w:rPr>
        <w:t>3.2、澄清或者修改的内容为竞争性磋商文件的组成部分，并对所有获取竞争性磋商文件的潜在供应商具有约束力。澄清或者修改的内容可能影响响应文件编制的，将在提交首次响应文件截止之日5个日历日前；不足上述时间的，将顺延提交响应文件的截止时间。</w:t>
      </w:r>
      <w:bookmarkStart w:id="194" w:name="_Toc516367020"/>
      <w:bookmarkStart w:id="195" w:name="_Toc127151526"/>
      <w:bookmarkStart w:id="196" w:name="_Toc151193624"/>
      <w:bookmarkStart w:id="197" w:name="_Toc150509277"/>
      <w:bookmarkStart w:id="198" w:name="_Toc151193840"/>
      <w:bookmarkStart w:id="199" w:name="_Toc142311028"/>
      <w:bookmarkStart w:id="200" w:name="_Toc265228364"/>
      <w:bookmarkStart w:id="201" w:name="_Toc150774731"/>
      <w:bookmarkStart w:id="202" w:name="_Toc305158868"/>
      <w:bookmarkStart w:id="203" w:name="_Toc226337222"/>
      <w:bookmarkStart w:id="204" w:name="_Toc520356150"/>
      <w:bookmarkStart w:id="205" w:name="_Toc151193768"/>
      <w:bookmarkStart w:id="206" w:name="_Toc150480764"/>
      <w:bookmarkStart w:id="207" w:name="_Toc226309770"/>
      <w:bookmarkStart w:id="208" w:name="_Toc264969216"/>
      <w:bookmarkStart w:id="209" w:name="_Toc305158794"/>
      <w:bookmarkStart w:id="210" w:name="_Toc151193696"/>
      <w:bookmarkStart w:id="211" w:name="_Toc195842891"/>
      <w:bookmarkStart w:id="212" w:name="_Toc226965716"/>
      <w:bookmarkStart w:id="213" w:name="_Toc151193914"/>
      <w:bookmarkStart w:id="214" w:name="_Toc151190153"/>
      <w:bookmarkStart w:id="215" w:name="_Toc150774626"/>
      <w:bookmarkStart w:id="216" w:name="_Toc226965799"/>
    </w:p>
    <w:p>
      <w:pPr>
        <w:pStyle w:val="6"/>
        <w:spacing w:before="0" w:line="360" w:lineRule="auto"/>
        <w:rPr>
          <w:rFonts w:hint="eastAsia" w:ascii="宋体" w:hAnsi="宋体" w:eastAsia="宋体" w:cs="宋体"/>
          <w:sz w:val="28"/>
        </w:rPr>
      </w:pPr>
      <w:r>
        <w:rPr>
          <w:rFonts w:hint="eastAsia" w:ascii="宋体" w:hAnsi="宋体" w:eastAsia="宋体" w:cs="宋体"/>
          <w:sz w:val="28"/>
        </w:rPr>
        <w:t>三   响应文件</w:t>
      </w:r>
      <w:bookmarkEnd w:id="194"/>
      <w:r>
        <w:rPr>
          <w:rFonts w:hint="eastAsia" w:ascii="宋体" w:hAnsi="宋体" w:eastAsia="宋体" w:cs="宋体"/>
          <w:sz w:val="28"/>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tabs>
          <w:tab w:val="left" w:pos="360"/>
        </w:tabs>
        <w:snapToGrid w:val="0"/>
        <w:spacing w:line="360" w:lineRule="auto"/>
        <w:ind w:firstLine="480" w:firstLineChars="200"/>
        <w:outlineLvl w:val="1"/>
        <w:rPr>
          <w:rFonts w:hint="eastAsia" w:ascii="宋体" w:hAnsi="宋体" w:cs="宋体"/>
          <w:sz w:val="24"/>
        </w:rPr>
      </w:pPr>
      <w:bookmarkStart w:id="217" w:name="_Toc127151728"/>
      <w:bookmarkStart w:id="218" w:name="_Toc151193625"/>
      <w:bookmarkStart w:id="219" w:name="_Toc149720820"/>
      <w:bookmarkStart w:id="220" w:name="_Toc164351621"/>
      <w:bookmarkStart w:id="221" w:name="_Toc150774732"/>
      <w:bookmarkStart w:id="222" w:name="_Toc305158795"/>
      <w:bookmarkStart w:id="223" w:name="_Toc164229368"/>
      <w:bookmarkStart w:id="224" w:name="_Toc150480765"/>
      <w:bookmarkStart w:id="225" w:name="_Toc516367021"/>
      <w:bookmarkStart w:id="226" w:name="_Toc151193697"/>
      <w:bookmarkStart w:id="227" w:name="_Toc151193769"/>
      <w:bookmarkStart w:id="228" w:name="_Toc195842892"/>
      <w:bookmarkStart w:id="229" w:name="_Toc151193841"/>
      <w:bookmarkStart w:id="230" w:name="_Toc164608641"/>
      <w:bookmarkStart w:id="231" w:name="_Toc150774627"/>
      <w:bookmarkStart w:id="232" w:name="_Toc127151527"/>
      <w:bookmarkStart w:id="233" w:name="_Toc150509278"/>
      <w:bookmarkStart w:id="234" w:name="_Toc151190154"/>
      <w:bookmarkStart w:id="235" w:name="_Toc265228365"/>
      <w:bookmarkStart w:id="236" w:name="_Toc305158869"/>
      <w:bookmarkStart w:id="237" w:name="_Toc264969217"/>
      <w:bookmarkStart w:id="238" w:name="_Toc226337223"/>
      <w:bookmarkStart w:id="239" w:name="_Toc151193915"/>
      <w:bookmarkStart w:id="240" w:name="_Toc164229222"/>
      <w:bookmarkStart w:id="241" w:name="_Toc226309771"/>
      <w:bookmarkStart w:id="242" w:name="_Toc127161441"/>
      <w:bookmarkStart w:id="243" w:name="_Toc520356151"/>
      <w:bookmarkStart w:id="244" w:name="_Toc226965717"/>
      <w:bookmarkStart w:id="245" w:name="_Toc226965800"/>
      <w:bookmarkStart w:id="246" w:name="_Toc142311029"/>
      <w:bookmarkStart w:id="247" w:name="_Toc164608796"/>
      <w:r>
        <w:rPr>
          <w:rFonts w:hint="eastAsia" w:ascii="宋体" w:hAnsi="宋体" w:cs="宋体"/>
          <w:sz w:val="24"/>
        </w:rPr>
        <w:t>1、响应范围、竞争性磋商文件中计量单位的使用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宋体" w:hAnsi="宋体" w:cs="宋体"/>
          <w:sz w:val="24"/>
        </w:rPr>
        <w:t>及磋商语言</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2、除竞争性磋商文件有特殊要求外，本项目磋商所使用的计量单位，应采用中华人民共和国法定计量单位。</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tabs>
          <w:tab w:val="left" w:pos="360"/>
        </w:tabs>
        <w:snapToGrid w:val="0"/>
        <w:spacing w:line="360" w:lineRule="auto"/>
        <w:ind w:firstLine="480" w:firstLineChars="200"/>
        <w:outlineLvl w:val="1"/>
        <w:rPr>
          <w:rFonts w:hint="eastAsia" w:ascii="宋体" w:hAnsi="宋体" w:cs="宋体"/>
          <w:sz w:val="24"/>
        </w:rPr>
      </w:pPr>
      <w:bookmarkStart w:id="248" w:name="_Toc516367022"/>
      <w:bookmarkStart w:id="249" w:name="_Ref467306676"/>
      <w:bookmarkStart w:id="250" w:name="_Ref467306195"/>
      <w:bookmarkStart w:id="251" w:name="_Toc151193698"/>
      <w:bookmarkStart w:id="252" w:name="_Toc151193770"/>
      <w:bookmarkStart w:id="253" w:name="_Toc151193916"/>
      <w:bookmarkStart w:id="254" w:name="_Toc151193626"/>
      <w:bookmarkStart w:id="255" w:name="_Toc520356152"/>
      <w:bookmarkStart w:id="256" w:name="_Toc142311030"/>
      <w:bookmarkStart w:id="257" w:name="_Toc127151528"/>
      <w:bookmarkStart w:id="258" w:name="_Toc150774628"/>
      <w:bookmarkStart w:id="259" w:name="_Toc127151729"/>
      <w:bookmarkStart w:id="260" w:name="_Toc127161442"/>
      <w:bookmarkStart w:id="261" w:name="_Toc305158870"/>
      <w:bookmarkStart w:id="262" w:name="_Toc150774733"/>
      <w:bookmarkStart w:id="263" w:name="_Toc305158796"/>
      <w:bookmarkStart w:id="264" w:name="_Toc264969218"/>
      <w:bookmarkStart w:id="265" w:name="_Toc150509279"/>
      <w:bookmarkStart w:id="266" w:name="_Toc226337224"/>
      <w:bookmarkStart w:id="267" w:name="_Toc164608797"/>
      <w:bookmarkStart w:id="268" w:name="_Toc195842893"/>
      <w:bookmarkStart w:id="269" w:name="_Toc164608642"/>
      <w:bookmarkStart w:id="270" w:name="_Toc226965718"/>
      <w:bookmarkStart w:id="271" w:name="_Toc150480766"/>
      <w:bookmarkStart w:id="272" w:name="_Toc226965801"/>
      <w:bookmarkStart w:id="273" w:name="_Toc164229369"/>
      <w:bookmarkStart w:id="274" w:name="_Toc164351622"/>
      <w:bookmarkStart w:id="275" w:name="_Toc151193842"/>
      <w:bookmarkStart w:id="276" w:name="_Toc226309772"/>
      <w:bookmarkStart w:id="277" w:name="_Toc265228366"/>
      <w:bookmarkStart w:id="278" w:name="_Toc149720821"/>
      <w:bookmarkStart w:id="279" w:name="_Toc151190155"/>
      <w:bookmarkStart w:id="280" w:name="_Toc164229223"/>
      <w:r>
        <w:rPr>
          <w:rFonts w:hint="eastAsia" w:ascii="宋体" w:hAnsi="宋体" w:cs="宋体"/>
          <w:sz w:val="24"/>
        </w:rPr>
        <w:t>4、响应文件</w:t>
      </w:r>
      <w:bookmarkEnd w:id="248"/>
      <w:bookmarkEnd w:id="249"/>
      <w:bookmarkEnd w:id="250"/>
      <w:r>
        <w:rPr>
          <w:rFonts w:hint="eastAsia" w:ascii="宋体" w:hAnsi="宋体" w:cs="宋体"/>
          <w:sz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adjustRightInd w:val="0"/>
        <w:spacing w:line="360" w:lineRule="auto"/>
        <w:ind w:firstLine="480" w:firstLineChars="200"/>
        <w:jc w:val="left"/>
        <w:textAlignment w:val="baseline"/>
        <w:rPr>
          <w:rFonts w:hint="eastAsia" w:ascii="宋体" w:hAnsi="宋体"/>
          <w:kern w:val="0"/>
          <w:sz w:val="24"/>
        </w:rPr>
      </w:pPr>
      <w:r>
        <w:rPr>
          <w:rFonts w:hint="eastAsia" w:ascii="宋体" w:hAnsi="宋体"/>
          <w:kern w:val="0"/>
          <w:sz w:val="24"/>
        </w:rPr>
        <w:t>商务标书：响应函、报价一览表、分项（明细）报价表、商务条款偏离表、法人代表授权书、资格证明文件、业绩证明材料等。</w:t>
      </w:r>
    </w:p>
    <w:p>
      <w:pPr>
        <w:spacing w:line="360" w:lineRule="auto"/>
        <w:ind w:firstLine="480" w:firstLineChars="200"/>
        <w:rPr>
          <w:rFonts w:hint="eastAsia"/>
          <w:highlight w:val="none"/>
        </w:rPr>
      </w:pPr>
      <w:r>
        <w:rPr>
          <w:rFonts w:hint="eastAsia" w:ascii="宋体" w:hAnsi="宋体"/>
          <w:kern w:val="0"/>
          <w:sz w:val="24"/>
        </w:rPr>
        <w:t>技术标书：</w:t>
      </w:r>
      <w:r>
        <w:rPr>
          <w:rFonts w:hint="eastAsia" w:ascii="宋体" w:hAnsi="宋体" w:eastAsia="宋体" w:cs="宋体"/>
          <w:sz w:val="24"/>
          <w:szCs w:val="24"/>
          <w:highlight w:val="none"/>
          <w:lang w:val="en-US" w:eastAsia="zh-CN"/>
        </w:rPr>
        <w:t>实施方案</w:t>
      </w:r>
      <w:r>
        <w:rPr>
          <w:rFonts w:hint="eastAsia" w:ascii="宋体" w:hAnsi="宋体"/>
          <w:kern w:val="0"/>
          <w:sz w:val="24"/>
          <w:highlight w:val="none"/>
        </w:rPr>
        <w:t>；</w:t>
      </w:r>
      <w:r>
        <w:rPr>
          <w:rFonts w:hint="eastAsia" w:ascii="宋体" w:hAnsi="宋体" w:eastAsia="宋体" w:cs="宋体"/>
          <w:sz w:val="24"/>
          <w:szCs w:val="24"/>
          <w:highlight w:val="none"/>
          <w:lang w:val="en-US" w:eastAsia="zh-CN"/>
        </w:rPr>
        <w:t>培训方案</w:t>
      </w:r>
      <w:r>
        <w:rPr>
          <w:rFonts w:hint="eastAsia" w:ascii="宋体" w:hAnsi="宋体"/>
          <w:kern w:val="0"/>
          <w:sz w:val="24"/>
          <w:highlight w:val="none"/>
        </w:rPr>
        <w:t>；</w:t>
      </w:r>
      <w:r>
        <w:rPr>
          <w:rFonts w:hint="eastAsia" w:ascii="宋体" w:hAnsi="宋体" w:eastAsia="宋体" w:cs="宋体"/>
          <w:sz w:val="24"/>
          <w:szCs w:val="24"/>
          <w:highlight w:val="none"/>
        </w:rPr>
        <w:t>售后服务承诺及违约承诺</w:t>
      </w:r>
      <w:r>
        <w:rPr>
          <w:rFonts w:hint="eastAsia" w:ascii="宋体" w:hAnsi="宋体"/>
          <w:kern w:val="0"/>
          <w:sz w:val="24"/>
          <w:highlight w:val="none"/>
        </w:rPr>
        <w:t>；供应商认为需要说明的其他部分。</w:t>
      </w:r>
    </w:p>
    <w:p>
      <w:pPr>
        <w:tabs>
          <w:tab w:val="left" w:pos="1080"/>
          <w:tab w:val="left" w:pos="2014"/>
        </w:tabs>
        <w:snapToGrid w:val="0"/>
        <w:spacing w:line="360" w:lineRule="auto"/>
        <w:ind w:firstLine="480" w:firstLineChars="200"/>
        <w:rPr>
          <w:rFonts w:hint="eastAsia" w:ascii="宋体" w:hAnsi="宋体" w:cs="宋体"/>
          <w:sz w:val="24"/>
        </w:rPr>
      </w:pPr>
      <w:bookmarkStart w:id="281" w:name="_Ref467052588"/>
      <w:r>
        <w:rPr>
          <w:rFonts w:hint="eastAsia" w:ascii="宋体" w:hAnsi="宋体" w:cs="宋体"/>
          <w:sz w:val="24"/>
        </w:rPr>
        <w:t>4.1、供应商应当按照竞争性磋商文件的要求编制响应文件，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kern w:val="0"/>
          <w:sz w:val="24"/>
        </w:rPr>
        <w:t>4.2、对于竞争性磋商文件中标记了“实质性格式”文件的，</w:t>
      </w:r>
      <w:r>
        <w:rPr>
          <w:rFonts w:hint="eastAsia" w:ascii="宋体" w:hAnsi="宋体" w:cs="宋体"/>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pPr>
        <w:pStyle w:val="21"/>
        <w:ind w:firstLine="480" w:firstLineChars="200"/>
        <w:rPr>
          <w:rFonts w:hint="eastAsia"/>
        </w:rPr>
      </w:pPr>
      <w:r>
        <w:rPr>
          <w:rFonts w:hint="eastAsia" w:cs="宋体"/>
        </w:rPr>
        <w:t>4.3、第三章《评审方法和评审标准》中涉及的证明文件。</w:t>
      </w:r>
      <w:r>
        <w:rPr>
          <w:rFonts w:hint="eastAsia"/>
        </w:rPr>
        <w:t>对照磋商文件技术规格、参数与要求，内容包含但不限于：</w:t>
      </w:r>
    </w:p>
    <w:p>
      <w:pPr>
        <w:pStyle w:val="21"/>
        <w:spacing w:line="360" w:lineRule="auto"/>
        <w:ind w:firstLine="480" w:firstLineChars="200"/>
        <w:rPr>
          <w:rFonts w:hint="eastAsia" w:cs="宋体"/>
        </w:rPr>
      </w:pPr>
      <w:r>
        <w:rPr>
          <w:rFonts w:hint="eastAsia" w:cs="宋体"/>
        </w:rPr>
        <w:t>（1）供应商所拥有相应的资质证书；</w:t>
      </w:r>
    </w:p>
    <w:p>
      <w:pPr>
        <w:pStyle w:val="21"/>
        <w:spacing w:line="360" w:lineRule="auto"/>
        <w:ind w:firstLine="480" w:firstLineChars="200"/>
        <w:rPr>
          <w:rFonts w:hint="eastAsia" w:cs="宋体"/>
        </w:rPr>
      </w:pPr>
      <w:r>
        <w:rPr>
          <w:rFonts w:hint="eastAsia" w:cs="宋体"/>
        </w:rPr>
        <w:t>（2）供应商所拥有具有相应专业技术能力的人员证书；</w:t>
      </w:r>
    </w:p>
    <w:p>
      <w:pPr>
        <w:pStyle w:val="21"/>
        <w:spacing w:line="360" w:lineRule="auto"/>
        <w:ind w:firstLine="480" w:firstLineChars="200"/>
        <w:rPr>
          <w:rFonts w:hint="eastAsia" w:cs="宋体"/>
        </w:rPr>
      </w:pPr>
      <w:r>
        <w:rPr>
          <w:rFonts w:hint="eastAsia" w:cs="宋体"/>
        </w:rPr>
        <w:t>（3）相关设备的购置发票；</w:t>
      </w:r>
    </w:p>
    <w:p>
      <w:pPr>
        <w:pStyle w:val="21"/>
        <w:spacing w:line="360" w:lineRule="auto"/>
        <w:ind w:firstLine="480" w:firstLineChars="200"/>
        <w:rPr>
          <w:rFonts w:hint="eastAsia" w:cs="宋体"/>
        </w:rPr>
      </w:pPr>
      <w:r>
        <w:rPr>
          <w:rFonts w:hint="eastAsia" w:cs="宋体"/>
        </w:rPr>
        <w:t>（4）对照磋商文件技术服务需求要求，逐条说明所提供服务已对磋商文件的技术服务需求、内容与要求做出了实质性的响应、技术服务需求与要求条文的偏差和例外（按第六章技术需求偏离表格式填写）</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4.4、对照第四章《采购需求》，说明所提供货物和服务已对第四章《采购需求》做出了响应，或申明与第四章《采购需求》的偏差和例外。如第四章《采购需求》中要求提供证明文件的，供应商应当按具体要求提供证明文件。</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4.5、供应商认为应附的其他材料。</w:t>
      </w:r>
      <w:bookmarkEnd w:id="281"/>
      <w:bookmarkStart w:id="282" w:name="_Toc150774735"/>
      <w:bookmarkStart w:id="283" w:name="_Toc164229371"/>
      <w:bookmarkStart w:id="284" w:name="_Toc150774630"/>
      <w:bookmarkStart w:id="285" w:name="_Toc127151530"/>
      <w:bookmarkStart w:id="286" w:name="_Toc142311032"/>
      <w:bookmarkStart w:id="287" w:name="_Toc151193700"/>
      <w:bookmarkStart w:id="288" w:name="_Toc164351624"/>
      <w:bookmarkStart w:id="289" w:name="_Toc164608644"/>
      <w:bookmarkStart w:id="290" w:name="_Toc151193918"/>
      <w:bookmarkStart w:id="291" w:name="_Toc520356155"/>
      <w:bookmarkStart w:id="292" w:name="_Toc164229225"/>
      <w:bookmarkStart w:id="293" w:name="_Toc127161444"/>
      <w:bookmarkStart w:id="294" w:name="_Toc151193628"/>
      <w:bookmarkStart w:id="295" w:name="_Toc151193844"/>
      <w:bookmarkStart w:id="296" w:name="_Toc164608799"/>
      <w:bookmarkStart w:id="297" w:name="_Toc151193772"/>
      <w:bookmarkStart w:id="298" w:name="_Toc195842895"/>
      <w:bookmarkStart w:id="299" w:name="_Toc150509281"/>
      <w:bookmarkStart w:id="300" w:name="_Toc151190157"/>
      <w:bookmarkStart w:id="301" w:name="_Toc150480768"/>
      <w:bookmarkStart w:id="302" w:name="_Toc149720823"/>
      <w:bookmarkStart w:id="303" w:name="_Toc127151731"/>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5、报价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5.1、所有响应均以人民币报价。</w:t>
      </w:r>
    </w:p>
    <w:p>
      <w:pPr>
        <w:tabs>
          <w:tab w:val="left" w:pos="1080"/>
        </w:tabs>
        <w:snapToGrid w:val="0"/>
        <w:spacing w:line="360" w:lineRule="auto"/>
        <w:ind w:firstLine="480" w:firstLineChars="200"/>
        <w:rPr>
          <w:rFonts w:hint="eastAsia" w:ascii="宋体" w:hAnsi="宋体" w:cs="宋体"/>
          <w:sz w:val="24"/>
        </w:rPr>
      </w:pPr>
      <w:r>
        <w:rPr>
          <w:rFonts w:hint="eastAsia" w:ascii="宋体" w:hAnsi="宋体" w:cs="宋体"/>
          <w:sz w:val="24"/>
        </w:rPr>
        <w:t>5.2、供应商的报价应包括为完成本项目所发生的一切费用和税费，采购人将不再支付报价以外的任何费用。供应商的报价应包括但不限于下列内容，《供应商须知资料表》中有特殊规定的，从其规定。</w:t>
      </w:r>
    </w:p>
    <w:p>
      <w:pPr>
        <w:snapToGrid w:val="0"/>
        <w:spacing w:line="360" w:lineRule="auto"/>
        <w:ind w:firstLine="480" w:firstLineChars="200"/>
        <w:rPr>
          <w:rFonts w:hint="eastAsia" w:ascii="宋体" w:hAnsi="宋体" w:cs="宋体"/>
          <w:sz w:val="24"/>
        </w:rPr>
      </w:pPr>
      <w:r>
        <w:rPr>
          <w:rFonts w:hint="eastAsia" w:ascii="宋体" w:hAnsi="宋体" w:cs="宋体"/>
          <w:sz w:val="24"/>
        </w:rPr>
        <w:t>5.2.1、按照竞争性磋商文件要求完成本项目的全部相关工程或服务费用。</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5.3、采购人不得向供应商索要或者接受其给予的赠品、回扣或者与采购无关的其他商品、服务。</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5.4、供应商不能提供任何有选择性或可调整的最后报价（</w:t>
      </w:r>
      <w:r>
        <w:rPr>
          <w:rFonts w:hint="eastAsia" w:ascii="宋体" w:hAnsi="宋体" w:cs="宋体"/>
          <w:kern w:val="0"/>
          <w:sz w:val="24"/>
        </w:rPr>
        <w:t>竞争性磋商文件</w:t>
      </w:r>
      <w:r>
        <w:rPr>
          <w:rFonts w:hint="eastAsia" w:ascii="宋体" w:hAnsi="宋体" w:cs="宋体"/>
          <w:sz w:val="24"/>
        </w:rPr>
        <w:t>另有规定的除外），否则其</w:t>
      </w:r>
      <w:r>
        <w:rPr>
          <w:rFonts w:hint="eastAsia" w:ascii="宋体" w:hAnsi="宋体" w:cs="宋体"/>
          <w:b/>
          <w:sz w:val="24"/>
        </w:rPr>
        <w:t>响应无效</w:t>
      </w:r>
      <w:r>
        <w:rPr>
          <w:rFonts w:hint="eastAsia" w:ascii="宋体" w:hAnsi="宋体" w:cs="宋体"/>
          <w:sz w:val="24"/>
        </w:rPr>
        <w:t>。</w:t>
      </w:r>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6、磋商保证金</w:t>
      </w:r>
    </w:p>
    <w:p>
      <w:pPr>
        <w:tabs>
          <w:tab w:val="left" w:pos="1080"/>
          <w:tab w:val="left" w:pos="2014"/>
        </w:tabs>
        <w:snapToGrid w:val="0"/>
        <w:spacing w:line="360" w:lineRule="auto"/>
        <w:ind w:firstLine="480" w:firstLineChars="200"/>
        <w:rPr>
          <w:rFonts w:hint="eastAsia" w:ascii="宋体" w:hAnsi="宋体" w:cs="宋体"/>
          <w:sz w:val="24"/>
        </w:rPr>
      </w:pPr>
      <w:bookmarkStart w:id="304" w:name="_Ref467306302"/>
      <w:r>
        <w:rPr>
          <w:rFonts w:hint="eastAsia" w:ascii="宋体" w:hAnsi="宋体" w:cs="宋体"/>
          <w:sz w:val="24"/>
        </w:rPr>
        <w:t>6.1、供应商应按《供应商须知资料表》中规定的金额及要求交纳磋商保证金</w:t>
      </w:r>
      <w:bookmarkEnd w:id="304"/>
      <w:r>
        <w:rPr>
          <w:rFonts w:hint="eastAsia" w:ascii="宋体" w:hAnsi="宋体" w:cs="宋体"/>
          <w:sz w:val="24"/>
        </w:rPr>
        <w:t>，并作为其响应文件的一部分。</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6.2、交纳磋商保证金可采用的形式：政府采购法律法规接受的支票、汇票、本票、网上银行支付或者金融机构、担保机构出具的保函等非现金形式。</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6.3、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宋体" w:hAnsi="宋体" w:cs="宋体"/>
          <w:b/>
          <w:sz w:val="24"/>
        </w:rPr>
        <w:t>响应无效</w:t>
      </w:r>
      <w:r>
        <w:rPr>
          <w:rFonts w:hint="eastAsia" w:ascii="宋体" w:hAnsi="宋体" w:cs="宋体"/>
          <w:sz w:val="24"/>
        </w:rPr>
        <w:t>。</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6.4、磋商保证金（保函）有效期同响应有效期。</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6.5、供应商为联合体的，可以由联合体中的一方或者多方共同交纳磋商保证金，其交纳的保证金对联合体各方均具有约束力。</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6.6、采购人、采购代理机构将及时退还供应商的保证金，采用银行保函、担保机构担保函等形式递交的保证金，经供应商同意后采购人、采购代理机构可以不再退还，但因供应商自身原因导致无法及时退还的除外：</w:t>
      </w:r>
    </w:p>
    <w:p>
      <w:pPr>
        <w:snapToGrid w:val="0"/>
        <w:spacing w:line="360" w:lineRule="auto"/>
        <w:ind w:firstLine="480" w:firstLineChars="200"/>
        <w:rPr>
          <w:rFonts w:hint="eastAsia" w:ascii="宋体" w:hAnsi="宋体" w:cs="宋体"/>
          <w:sz w:val="24"/>
        </w:rPr>
      </w:pPr>
      <w:r>
        <w:rPr>
          <w:rFonts w:hint="eastAsia" w:ascii="宋体" w:hAnsi="宋体" w:cs="宋体"/>
          <w:snapToGrid w:val="0"/>
          <w:kern w:val="0"/>
          <w:sz w:val="24"/>
        </w:rPr>
        <w:t>6.6.1、已提交响应文件的供应商，在提交最后报价之前，可以根据磋商情况退出磋商。采购人、采购代理机构将退还退出磋商的供应商的磋商保证金；</w:t>
      </w:r>
    </w:p>
    <w:p>
      <w:pPr>
        <w:snapToGrid w:val="0"/>
        <w:spacing w:line="360" w:lineRule="auto"/>
        <w:ind w:firstLine="480" w:firstLineChars="200"/>
        <w:rPr>
          <w:rFonts w:hint="eastAsia" w:ascii="宋体" w:hAnsi="宋体" w:cs="宋体"/>
          <w:sz w:val="24"/>
        </w:rPr>
      </w:pPr>
      <w:r>
        <w:rPr>
          <w:rFonts w:hint="eastAsia" w:ascii="宋体" w:hAnsi="宋体" w:cs="宋体"/>
          <w:sz w:val="24"/>
        </w:rPr>
        <w:t>6.6.2、成交供应商的磋商保证金，在采购合同签订后5个工作日内退还成交供应商；</w:t>
      </w:r>
    </w:p>
    <w:p>
      <w:pPr>
        <w:snapToGrid w:val="0"/>
        <w:spacing w:line="360" w:lineRule="auto"/>
        <w:ind w:firstLine="480" w:firstLineChars="200"/>
        <w:rPr>
          <w:rFonts w:hint="eastAsia" w:ascii="宋体" w:hAnsi="宋体" w:cs="宋体"/>
          <w:sz w:val="24"/>
        </w:rPr>
      </w:pPr>
      <w:r>
        <w:rPr>
          <w:rFonts w:hint="eastAsia" w:ascii="宋体" w:hAnsi="宋体" w:cs="宋体"/>
          <w:sz w:val="24"/>
        </w:rPr>
        <w:t>6.6.3、未成交供应商的磋商保证金，在成交通知书发出后5个工作日内退还。</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6.7、有下列情形之一的，采购人或采购代理机构不予退还磋商保证金：</w:t>
      </w:r>
    </w:p>
    <w:p>
      <w:pPr>
        <w:snapToGrid w:val="0"/>
        <w:spacing w:line="360" w:lineRule="auto"/>
        <w:ind w:firstLine="480" w:firstLineChars="200"/>
        <w:rPr>
          <w:rFonts w:hint="eastAsia" w:ascii="宋体" w:hAnsi="宋体" w:cs="宋体"/>
          <w:sz w:val="24"/>
        </w:rPr>
      </w:pPr>
      <w:r>
        <w:rPr>
          <w:rFonts w:hint="eastAsia" w:ascii="宋体" w:hAnsi="宋体" w:cs="宋体"/>
          <w:sz w:val="24"/>
        </w:rPr>
        <w:t>6.7.1、供应商在提交响应文件截止时间后撤回响应文件的；</w:t>
      </w:r>
    </w:p>
    <w:p>
      <w:pPr>
        <w:snapToGrid w:val="0"/>
        <w:spacing w:line="360" w:lineRule="auto"/>
        <w:ind w:firstLine="480" w:firstLineChars="200"/>
        <w:rPr>
          <w:rFonts w:hint="eastAsia" w:ascii="宋体" w:hAnsi="宋体" w:cs="宋体"/>
          <w:sz w:val="24"/>
        </w:rPr>
      </w:pPr>
      <w:r>
        <w:rPr>
          <w:rFonts w:hint="eastAsia" w:ascii="宋体" w:hAnsi="宋体" w:cs="宋体"/>
          <w:sz w:val="24"/>
        </w:rPr>
        <w:t>6.7.2、供应商在响应文件中提供虚假材料的；</w:t>
      </w:r>
    </w:p>
    <w:p>
      <w:pPr>
        <w:snapToGrid w:val="0"/>
        <w:spacing w:line="360" w:lineRule="auto"/>
        <w:ind w:firstLine="480" w:firstLineChars="200"/>
        <w:rPr>
          <w:rFonts w:hint="eastAsia" w:ascii="宋体" w:hAnsi="宋体" w:cs="宋体"/>
          <w:sz w:val="24"/>
        </w:rPr>
      </w:pPr>
      <w:r>
        <w:rPr>
          <w:rFonts w:hint="eastAsia" w:ascii="宋体" w:hAnsi="宋体" w:cs="宋体"/>
          <w:sz w:val="24"/>
        </w:rPr>
        <w:t>6.7.3、除因不可抗力或磋商文件认可的情形以外，成交供应商不与采购人签订合同的；</w:t>
      </w:r>
    </w:p>
    <w:p>
      <w:pPr>
        <w:snapToGrid w:val="0"/>
        <w:spacing w:line="360" w:lineRule="auto"/>
        <w:ind w:firstLine="480" w:firstLineChars="200"/>
        <w:rPr>
          <w:rFonts w:hint="eastAsia" w:ascii="宋体" w:hAnsi="宋体" w:cs="宋体"/>
          <w:sz w:val="24"/>
        </w:rPr>
      </w:pPr>
      <w:r>
        <w:rPr>
          <w:rFonts w:hint="eastAsia" w:ascii="宋体" w:hAnsi="宋体" w:cs="宋体"/>
          <w:sz w:val="24"/>
        </w:rPr>
        <w:t>6.7.4、供应商与采购人、其他供应商或者采购代理机构恶意串通的；</w:t>
      </w:r>
    </w:p>
    <w:p>
      <w:pPr>
        <w:snapToGrid w:val="0"/>
        <w:spacing w:line="360" w:lineRule="auto"/>
        <w:ind w:firstLine="480" w:firstLineChars="200"/>
        <w:rPr>
          <w:rFonts w:hint="eastAsia" w:ascii="宋体" w:hAnsi="宋体" w:cs="宋体"/>
          <w:sz w:val="24"/>
        </w:rPr>
      </w:pPr>
      <w:r>
        <w:rPr>
          <w:rFonts w:hint="eastAsia" w:ascii="宋体" w:hAnsi="宋体" w:cs="宋体"/>
          <w:sz w:val="24"/>
        </w:rPr>
        <w:t>6.7.5、《供应商须知资料表》规定的其他情形。</w:t>
      </w:r>
    </w:p>
    <w:p>
      <w:pPr>
        <w:snapToGrid w:val="0"/>
        <w:spacing w:line="360" w:lineRule="auto"/>
        <w:ind w:firstLine="480" w:firstLineChars="200"/>
        <w:rPr>
          <w:rFonts w:hint="eastAsia" w:ascii="宋体" w:hAnsi="宋体" w:cs="宋体"/>
          <w:sz w:val="24"/>
        </w:rPr>
      </w:pPr>
      <w:r>
        <w:rPr>
          <w:rFonts w:hint="eastAsia" w:ascii="宋体" w:hAnsi="宋体" w:cs="宋体"/>
          <w:sz w:val="24"/>
        </w:rPr>
        <w:t>7响应有效期</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7.1、响应文件应在本竞争性磋商文件《供应商须知资料表》中规定的响应有效期内保持有效，响应有效期少于竞争性磋商文件规定期限的，其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pPr>
        <w:tabs>
          <w:tab w:val="left" w:pos="360"/>
        </w:tabs>
        <w:snapToGrid w:val="0"/>
        <w:spacing w:line="360" w:lineRule="auto"/>
        <w:ind w:firstLine="480" w:firstLineChars="200"/>
        <w:outlineLvl w:val="1"/>
        <w:rPr>
          <w:rFonts w:hint="eastAsia" w:ascii="宋体" w:hAnsi="宋体" w:cs="宋体"/>
          <w:sz w:val="24"/>
        </w:rPr>
      </w:pPr>
      <w:bookmarkStart w:id="305" w:name="_Toc164229374"/>
      <w:bookmarkStart w:id="306" w:name="_Toc150774633"/>
      <w:bookmarkStart w:id="307" w:name="_Toc226965723"/>
      <w:bookmarkStart w:id="308" w:name="_Toc151193921"/>
      <w:bookmarkStart w:id="309" w:name="_Toc164608647"/>
      <w:bookmarkStart w:id="310" w:name="_Toc150480771"/>
      <w:bookmarkStart w:id="311" w:name="_Toc520356158"/>
      <w:bookmarkStart w:id="312" w:name="_Toc164608802"/>
      <w:bookmarkStart w:id="313" w:name="_Toc226337229"/>
      <w:bookmarkStart w:id="314" w:name="_Toc127151533"/>
      <w:bookmarkStart w:id="315" w:name="_Toc151193631"/>
      <w:bookmarkStart w:id="316" w:name="_Toc151193775"/>
      <w:bookmarkStart w:id="317" w:name="_Toc226965806"/>
      <w:bookmarkStart w:id="318" w:name="_Toc151193847"/>
      <w:bookmarkStart w:id="319" w:name="_Toc164229228"/>
      <w:bookmarkStart w:id="320" w:name="_Toc264969223"/>
      <w:bookmarkStart w:id="321" w:name="_Toc127151734"/>
      <w:bookmarkStart w:id="322" w:name="_Toc305158875"/>
      <w:bookmarkStart w:id="323" w:name="_Toc164351627"/>
      <w:bookmarkStart w:id="324" w:name="_Toc150509284"/>
      <w:bookmarkStart w:id="325" w:name="_Toc127161447"/>
      <w:bookmarkStart w:id="326" w:name="_Toc265228371"/>
      <w:bookmarkStart w:id="327" w:name="_Toc226309777"/>
      <w:bookmarkStart w:id="328" w:name="_Toc151190160"/>
      <w:bookmarkStart w:id="329" w:name="_Toc149720826"/>
      <w:bookmarkStart w:id="330" w:name="_Toc195842898"/>
      <w:bookmarkStart w:id="331" w:name="_Toc150774738"/>
      <w:bookmarkStart w:id="332" w:name="_Toc142311035"/>
      <w:bookmarkStart w:id="333" w:name="_Toc151193703"/>
      <w:bookmarkStart w:id="334" w:name="_Toc305158801"/>
      <w:r>
        <w:rPr>
          <w:rFonts w:hint="eastAsia" w:ascii="宋体" w:hAnsi="宋体" w:cs="宋体"/>
          <w:sz w:val="24"/>
        </w:rPr>
        <w:t>8、响应文件的签署</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ascii="宋体" w:hAnsi="宋体" w:cs="宋体"/>
          <w:sz w:val="24"/>
        </w:rPr>
        <w:t>、盖章（电子章）</w:t>
      </w:r>
    </w:p>
    <w:p>
      <w:pPr>
        <w:adjustRightInd w:val="0"/>
        <w:spacing w:line="360" w:lineRule="auto"/>
        <w:ind w:firstLine="480" w:firstLineChars="200"/>
        <w:jc w:val="left"/>
        <w:textAlignment w:val="baseline"/>
        <w:rPr>
          <w:rFonts w:hint="eastAsia" w:ascii="宋体" w:hAnsi="宋体" w:cs="宋体"/>
          <w:sz w:val="24"/>
        </w:rPr>
      </w:pPr>
      <w:bookmarkStart w:id="335" w:name="_Toc151193922"/>
      <w:bookmarkStart w:id="336" w:name="_Toc151193704"/>
      <w:bookmarkStart w:id="337" w:name="_Toc264969224"/>
      <w:bookmarkStart w:id="338" w:name="_Toc151193632"/>
      <w:bookmarkStart w:id="339" w:name="_Toc226309778"/>
      <w:bookmarkStart w:id="340" w:name="_Toc150774634"/>
      <w:bookmarkStart w:id="341" w:name="_Toc265228372"/>
      <w:bookmarkStart w:id="342" w:name="_Toc520356159"/>
      <w:bookmarkStart w:id="343" w:name="_Toc150774739"/>
      <w:bookmarkStart w:id="344" w:name="_Toc226965724"/>
      <w:bookmarkStart w:id="345" w:name="_Toc151190161"/>
      <w:bookmarkStart w:id="346" w:name="_Toc151193776"/>
      <w:bookmarkStart w:id="347" w:name="_Toc226965807"/>
      <w:bookmarkStart w:id="348" w:name="_Toc150509285"/>
      <w:bookmarkStart w:id="349" w:name="_Toc226337230"/>
      <w:bookmarkStart w:id="350" w:name="_Toc151193848"/>
      <w:bookmarkStart w:id="351" w:name="_Toc142311036"/>
      <w:bookmarkStart w:id="352" w:name="_Toc305158876"/>
      <w:bookmarkStart w:id="353" w:name="_Toc305158802"/>
      <w:bookmarkStart w:id="354" w:name="_Toc127151534"/>
      <w:bookmarkStart w:id="355" w:name="_Toc195842899"/>
      <w:bookmarkStart w:id="356" w:name="_Toc150480772"/>
      <w:r>
        <w:rPr>
          <w:rFonts w:hint="eastAsia" w:ascii="宋体" w:hAnsi="宋体" w:cs="宋体"/>
          <w:sz w:val="24"/>
        </w:rPr>
        <w:t>8.1、响应文件封面、响应函均应加盖供应商印章并经法定代表人或其委托代理人签字或盖章。由委托代理人签字或盖章的在响应文件中必须同时提交响应文件签署授权委托书，响应文件签署授权委托书格式、签字、盖章及内容均应符合要求，否则响应文件签署授权委托书无效。</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8.2、供应商应通过电子</w:t>
      </w:r>
      <w:r>
        <w:rPr>
          <w:rFonts w:hint="eastAsia" w:ascii="宋体" w:hAnsi="宋体" w:cs="宋体"/>
          <w:sz w:val="24"/>
          <w:lang w:eastAsia="zh-CN"/>
        </w:rPr>
        <w:t>响应文件</w:t>
      </w:r>
      <w:r>
        <w:rPr>
          <w:rFonts w:hint="eastAsia" w:ascii="宋体" w:hAnsi="宋体" w:cs="宋体"/>
          <w:sz w:val="24"/>
        </w:rPr>
        <w:t>制作工具严格按磋商文件要求制作响应文件，在响应截止时间前完成上传经过数字证书电子签章并加密的响应文件（加密和解密须用同一把数字证书）。</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8.3、响应截止时间以新疆政府采购网-政采云平台显示的时间为准，逾期系统将自动关闭，未完成上传的响应文件视为逾期送达，将被拒绝。</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8.4、供应商认为有必要提交的其他资料请于响应截止时间前一并提交。</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8.5、本项目是否采用不见面开启方式详见供应商须知前附表（本项目采用不见面开标方式），若本项目采用不见面开启，无需提供电子响应文件U盘、纸质响应文件（成交单位应按照供应商须知前附表中要求提供）。</w:t>
      </w:r>
    </w:p>
    <w:p>
      <w:pPr>
        <w:pStyle w:val="6"/>
        <w:spacing w:before="0" w:line="360" w:lineRule="auto"/>
        <w:rPr>
          <w:rFonts w:hint="eastAsia" w:ascii="宋体" w:hAnsi="宋体" w:eastAsia="宋体" w:cs="宋体"/>
          <w:sz w:val="28"/>
        </w:rPr>
      </w:pPr>
      <w:r>
        <w:rPr>
          <w:rFonts w:hint="eastAsia" w:ascii="宋体" w:hAnsi="宋体" w:eastAsia="宋体" w:cs="宋体"/>
          <w:sz w:val="28"/>
        </w:rPr>
        <w:t>四   响应文件的提交</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1.所有响应文件都必须按供应商须知前附表中规定的时间将生成的“电子加密响应文件”上传递交至“政府采购云平台（www.zcygov.cn）”。</w:t>
      </w:r>
    </w:p>
    <w:p>
      <w:pPr>
        <w:pStyle w:val="2"/>
        <w:ind w:left="0" w:leftChars="0" w:firstLine="480"/>
      </w:pPr>
      <w:r>
        <w:rPr>
          <w:rFonts w:hint="eastAsia" w:ascii="宋体" w:hAnsi="宋体" w:cs="宋体"/>
        </w:rPr>
        <w:t>1.1.</w:t>
      </w:r>
      <w:r>
        <w:rPr>
          <w:rFonts w:hint="eastAsia" w:ascii="宋体" w:hAnsi="宋体" w:cs="宋体"/>
          <w:szCs w:val="24"/>
        </w:rPr>
        <w:t>响应</w:t>
      </w:r>
      <w:r>
        <w:rPr>
          <w:rFonts w:hint="eastAsia" w:ascii="宋体" w:hAnsi="宋体" w:cs="宋体"/>
        </w:rPr>
        <w:t>截止时间以后</w:t>
      </w:r>
      <w:r>
        <w:rPr>
          <w:rFonts w:hint="eastAsia"/>
        </w:rPr>
        <w:t>上传递交的</w:t>
      </w:r>
      <w:r>
        <w:rPr>
          <w:rFonts w:hint="eastAsia" w:ascii="宋体" w:hAnsi="宋体" w:cs="宋体"/>
          <w:szCs w:val="24"/>
        </w:rPr>
        <w:t>响应</w:t>
      </w:r>
      <w:r>
        <w:rPr>
          <w:rFonts w:hint="eastAsia"/>
        </w:rPr>
        <w:t>文件将被“政府采购云平台”拒收，采购人（或采购代理机构）不对后果负责。</w:t>
      </w:r>
    </w:p>
    <w:p>
      <w:pPr>
        <w:tabs>
          <w:tab w:val="left" w:pos="1080"/>
          <w:tab w:val="left" w:pos="2014"/>
        </w:tabs>
        <w:snapToGrid w:val="0"/>
        <w:spacing w:line="360" w:lineRule="auto"/>
        <w:ind w:firstLine="480" w:firstLineChars="200"/>
        <w:rPr>
          <w:rFonts w:hint="eastAsia" w:ascii="宋体" w:hAnsi="宋体" w:cs="宋体"/>
        </w:rPr>
      </w:pPr>
      <w:r>
        <w:rPr>
          <w:rFonts w:hint="eastAsia" w:ascii="宋体" w:hAnsi="宋体" w:cs="宋体"/>
          <w:sz w:val="24"/>
        </w:rPr>
        <w:t>1.2、所有响应文件都必须按供应商须知前附表中规定的截止时间之前上传。</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1.3、响应文件的提交</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1.4、响应文件的递交地点：见供应商须知前附表。</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1.5、响应文件提交的截止时间</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1.5.1、响应文件递交的截止时间：见供应商须知前附表。</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1.6、采购人可按本须知相应项规定以修改补充通知的方式，酌情延长提交响应文件的截止时间。在此情况下，供应商的所有权利和义务以及供应商受制约的截止时间，均以延长后新的响应文件递交的截止时间为准。</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1.7、是否采用不见面开启详见供应商须知前附表（本项目采用不见面开启方式），若项目采用不见面开启。只需将加密电子响应文件在响应截止时间前通过新疆政府采购网-政采云平台上传完成。上传时必须得到电脑“上传成功”的确认回复后方为上传成功。逾期上传的或者未上传到平台的响应文件，采购人不予受理。</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1.8、迟交的响应文件</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1.8.1 采购人在本须知相应项规定的响应文件递交的截止时间以后收到的响应文件，将被拒绝并退回给供应商。</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1.8.2响应文件的补充、修改与撤回</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1.8.3 供应商在提交响应文件以后，在规定的响应文件递交的截止时间之前，可以书面形式补充修改或撤回已提交的响应文件，并以书面形式通知采购人。补充、修改的内容为响应文件的组成部分。</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1.8.4 供应商在响应截止时间前，可以对其所递交的响应文件进行修改并重新上传，但以响应截止时间前最后一次上传的响应文件为有效响应文件。</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1.8.5在响应文件递交的截止时间之后，供应商不得补充、修改响应文件。</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1.8.6 在响应文件递交的截止时间至响应有效期满之前，供应商不得撤回其响应文件，否则其响应保证金将不予退还。</w:t>
      </w:r>
    </w:p>
    <w:p>
      <w:pPr>
        <w:pStyle w:val="89"/>
        <w:rPr>
          <w:rFonts w:hint="eastAsia" w:ascii="宋体" w:hAnsi="宋体" w:cs="宋体"/>
        </w:rPr>
      </w:pPr>
    </w:p>
    <w:p>
      <w:pPr>
        <w:tabs>
          <w:tab w:val="left" w:pos="900"/>
          <w:tab w:val="left" w:pos="1080"/>
          <w:tab w:val="left" w:pos="1589"/>
        </w:tabs>
        <w:snapToGrid w:val="0"/>
        <w:spacing w:line="360" w:lineRule="auto"/>
        <w:ind w:left="357"/>
        <w:rPr>
          <w:rFonts w:hint="eastAsia" w:ascii="宋体" w:hAnsi="宋体" w:cs="宋体"/>
          <w:sz w:val="24"/>
        </w:rPr>
      </w:pPr>
    </w:p>
    <w:p>
      <w:pPr>
        <w:pStyle w:val="6"/>
        <w:spacing w:before="0" w:line="360" w:lineRule="auto"/>
        <w:rPr>
          <w:rFonts w:hint="eastAsia" w:ascii="宋体" w:hAnsi="宋体" w:eastAsia="宋体" w:cs="宋体"/>
          <w:sz w:val="28"/>
        </w:rPr>
      </w:pPr>
      <w:bookmarkStart w:id="357" w:name="_Toc127151538"/>
      <w:bookmarkStart w:id="358" w:name="_Toc265228376"/>
      <w:bookmarkStart w:id="359" w:name="_Toc195842903"/>
      <w:bookmarkStart w:id="360" w:name="_Toc226337234"/>
      <w:bookmarkStart w:id="361" w:name="_Toc150774743"/>
      <w:bookmarkStart w:id="362" w:name="_Toc151193636"/>
      <w:bookmarkStart w:id="363" w:name="_Toc151193708"/>
      <w:bookmarkStart w:id="364" w:name="_Toc226965728"/>
      <w:bookmarkStart w:id="365" w:name="_Toc151193926"/>
      <w:bookmarkStart w:id="366" w:name="_Toc150774638"/>
      <w:bookmarkStart w:id="367" w:name="_Toc305158880"/>
      <w:bookmarkStart w:id="368" w:name="_Toc151193852"/>
      <w:bookmarkStart w:id="369" w:name="_Toc150480776"/>
      <w:bookmarkStart w:id="370" w:name="_Toc151193780"/>
      <w:bookmarkStart w:id="371" w:name="_Toc142311040"/>
      <w:bookmarkStart w:id="372" w:name="_Toc151190165"/>
      <w:bookmarkStart w:id="373" w:name="_Toc226309782"/>
      <w:bookmarkStart w:id="374" w:name="_Toc150509289"/>
      <w:bookmarkStart w:id="375" w:name="_Toc264969228"/>
      <w:bookmarkStart w:id="376" w:name="_Toc305158806"/>
      <w:bookmarkStart w:id="377" w:name="_Toc226965811"/>
      <w:bookmarkStart w:id="378" w:name="_Toc520356163"/>
      <w:r>
        <w:rPr>
          <w:rFonts w:hint="eastAsia" w:ascii="宋体" w:hAnsi="宋体" w:eastAsia="宋体" w:cs="宋体"/>
          <w:sz w:val="28"/>
        </w:rPr>
        <w:t xml:space="preserve">五   </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hint="eastAsia" w:ascii="宋体" w:hAnsi="宋体" w:eastAsia="宋体" w:cs="宋体"/>
          <w:sz w:val="28"/>
        </w:rPr>
        <w:t>评审</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1、磋商开启</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kern w:val="0"/>
          <w:sz w:val="24"/>
        </w:rPr>
        <w:t>1.1、</w:t>
      </w:r>
      <w:r>
        <w:rPr>
          <w:rFonts w:hint="eastAsia" w:ascii="宋体" w:hAnsi="宋体"/>
          <w:kern w:val="0"/>
          <w:sz w:val="24"/>
        </w:rPr>
        <w:t>采购方</w:t>
      </w:r>
      <w:r>
        <w:rPr>
          <w:rFonts w:hint="eastAsia" w:ascii="宋体" w:hAnsi="宋体"/>
          <w:kern w:val="0"/>
          <w:sz w:val="24"/>
          <w:szCs w:val="21"/>
        </w:rPr>
        <w:t>应当按磋商文件和公告的规定，在响应文件递交截止时间的同一时间和预先确定的平台网址组织磋商活动，并邀请所有供应商代表参加。供应商代表应签名报到以证明其出席，并在开启环节全程保持在线。采购代理机构在线上开启响应文件解密，后由各供应商在规定时间内在线解密其响应文件。未在规定时间内解密响应文件的视为放弃磋商资格，响应文件在线解密时长为30分钟，因供应商自身原因未在规定时间内解密响应文件导致废标的，由供应商自行承担后果。除了按照本须知第四条 响应文件的提交中</w:t>
      </w:r>
      <w:r>
        <w:rPr>
          <w:rFonts w:hint="eastAsia" w:ascii="宋体" w:hAnsi="宋体" w:cs="宋体"/>
          <w:sz w:val="24"/>
        </w:rPr>
        <w:t>1.8.1</w:t>
      </w:r>
      <w:r>
        <w:rPr>
          <w:rFonts w:hint="eastAsia" w:ascii="宋体" w:hAnsi="宋体"/>
          <w:kern w:val="0"/>
          <w:sz w:val="24"/>
          <w:szCs w:val="21"/>
        </w:rPr>
        <w:t>的规定原封退回迟到的供应商之外，开启时将不得拒绝任何响应。</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1.3、供应商不足3家的，不予开启。</w:t>
      </w:r>
    </w:p>
    <w:p>
      <w:pPr>
        <w:tabs>
          <w:tab w:val="left" w:pos="1080"/>
          <w:tab w:val="left" w:pos="2014"/>
        </w:tabs>
        <w:snapToGrid w:val="0"/>
        <w:spacing w:line="360" w:lineRule="auto"/>
        <w:ind w:firstLine="480" w:firstLineChars="200"/>
        <w:rPr>
          <w:rFonts w:hint="eastAsia" w:ascii="宋体" w:hAnsi="宋体" w:cs="宋体"/>
        </w:rPr>
      </w:pPr>
      <w:r>
        <w:rPr>
          <w:rFonts w:hint="eastAsia" w:ascii="宋体" w:hAnsi="宋体" w:cs="宋体"/>
          <w:sz w:val="24"/>
        </w:rPr>
        <w:t>1.4</w:t>
      </w:r>
      <w:bookmarkStart w:id="379" w:name="_Toc520356165"/>
      <w:r>
        <w:rPr>
          <w:rFonts w:hint="eastAsia" w:ascii="宋体" w:hAnsi="宋体" w:cs="宋体"/>
          <w:sz w:val="24"/>
        </w:rPr>
        <w:t>、本项目不公开报价。</w:t>
      </w:r>
      <w:bookmarkEnd w:id="379"/>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2、磋商小组</w:t>
      </w:r>
    </w:p>
    <w:p>
      <w:pPr>
        <w:tabs>
          <w:tab w:val="left" w:pos="1080"/>
          <w:tab w:val="left" w:pos="2014"/>
        </w:tabs>
        <w:snapToGrid w:val="0"/>
        <w:spacing w:line="360" w:lineRule="auto"/>
        <w:ind w:firstLine="480" w:firstLineChars="200"/>
        <w:rPr>
          <w:rFonts w:hint="eastAsia" w:ascii="宋体" w:hAnsi="宋体" w:cs="宋体"/>
        </w:rPr>
      </w:pPr>
      <w:bookmarkStart w:id="380" w:name="_Toc520356166"/>
      <w:r>
        <w:rPr>
          <w:rFonts w:hint="eastAsia" w:ascii="宋体" w:hAnsi="宋体" w:cs="宋体"/>
          <w:sz w:val="24"/>
        </w:rPr>
        <w:t>2.1、采购人根据有关法律法规，结合本项目特点组建磋商小组。磋商小组由采购人代表和评审专家共三人以上单数组成，其中评审专家的人数不少于磋商小组成员总数的三分之二。</w:t>
      </w:r>
    </w:p>
    <w:bookmarkEnd w:id="380"/>
    <w:p>
      <w:pPr>
        <w:tabs>
          <w:tab w:val="left" w:pos="360"/>
        </w:tabs>
        <w:snapToGrid w:val="0"/>
        <w:spacing w:line="360" w:lineRule="auto"/>
        <w:ind w:firstLine="480" w:firstLineChars="200"/>
        <w:outlineLvl w:val="1"/>
        <w:rPr>
          <w:rFonts w:hint="eastAsia" w:ascii="宋体" w:hAnsi="宋体" w:cs="宋体"/>
          <w:sz w:val="24"/>
        </w:rPr>
      </w:pPr>
      <w:bookmarkStart w:id="381" w:name="_Toc520356169"/>
      <w:r>
        <w:rPr>
          <w:rFonts w:hint="eastAsia" w:ascii="宋体" w:hAnsi="宋体" w:cs="宋体"/>
          <w:sz w:val="24"/>
        </w:rPr>
        <w:t>3、评审方法和评审标准</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3.1、见第三章《评审方法和评审标准》。</w:t>
      </w:r>
    </w:p>
    <w:p>
      <w:pPr>
        <w:tabs>
          <w:tab w:val="left" w:pos="360"/>
          <w:tab w:val="left" w:pos="1080"/>
        </w:tabs>
        <w:snapToGrid w:val="0"/>
        <w:spacing w:line="360" w:lineRule="auto"/>
        <w:ind w:left="1080"/>
        <w:rPr>
          <w:rFonts w:hint="eastAsia" w:ascii="宋体" w:hAnsi="宋体" w:cs="宋体"/>
          <w:sz w:val="24"/>
        </w:rPr>
      </w:pPr>
    </w:p>
    <w:p>
      <w:pPr>
        <w:pStyle w:val="6"/>
        <w:spacing w:before="0" w:line="360" w:lineRule="auto"/>
        <w:rPr>
          <w:rFonts w:hint="eastAsia" w:ascii="宋体" w:hAnsi="宋体" w:eastAsia="宋体" w:cs="宋体"/>
          <w:sz w:val="28"/>
        </w:rPr>
      </w:pPr>
      <w:bookmarkStart w:id="382" w:name="_Toc151193933"/>
      <w:bookmarkStart w:id="383" w:name="_Toc151193715"/>
      <w:bookmarkStart w:id="384" w:name="_Toc226337241"/>
      <w:bookmarkStart w:id="385" w:name="_Toc151193787"/>
      <w:bookmarkStart w:id="386" w:name="_Toc151193859"/>
      <w:bookmarkStart w:id="387" w:name="_Toc305158887"/>
      <w:bookmarkStart w:id="388" w:name="_Toc226309789"/>
      <w:bookmarkStart w:id="389" w:name="_Toc150774750"/>
      <w:bookmarkStart w:id="390" w:name="_Toc226965735"/>
      <w:bookmarkStart w:id="391" w:name="_Toc127151545"/>
      <w:bookmarkStart w:id="392" w:name="_Toc305158813"/>
      <w:bookmarkStart w:id="393" w:name="_Toc226965818"/>
      <w:bookmarkStart w:id="394" w:name="_Toc150509296"/>
      <w:bookmarkStart w:id="395" w:name="_Toc150774645"/>
      <w:bookmarkStart w:id="396" w:name="_Toc150480783"/>
      <w:bookmarkStart w:id="397" w:name="_Toc151190172"/>
      <w:bookmarkStart w:id="398" w:name="_Toc151193643"/>
      <w:bookmarkStart w:id="399" w:name="_Toc142311047"/>
      <w:bookmarkStart w:id="400" w:name="_Toc265228383"/>
      <w:bookmarkStart w:id="401" w:name="_Toc195842910"/>
      <w:bookmarkStart w:id="402" w:name="_Toc264969235"/>
      <w:r>
        <w:rPr>
          <w:rFonts w:hint="eastAsia" w:ascii="宋体" w:hAnsi="宋体" w:eastAsia="宋体" w:cs="宋体"/>
          <w:sz w:val="28"/>
        </w:rPr>
        <w:t xml:space="preserve">六   </w:t>
      </w:r>
      <w:bookmarkEnd w:id="381"/>
      <w:r>
        <w:rPr>
          <w:rFonts w:hint="eastAsia" w:ascii="宋体" w:hAnsi="宋体" w:eastAsia="宋体" w:cs="宋体"/>
          <w:sz w:val="28"/>
        </w:rPr>
        <w:t>确定</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sz w:val="28"/>
        </w:rPr>
        <w:t>成交</w:t>
      </w:r>
    </w:p>
    <w:p>
      <w:pPr>
        <w:tabs>
          <w:tab w:val="left" w:pos="360"/>
        </w:tabs>
        <w:snapToGrid w:val="0"/>
        <w:spacing w:line="360" w:lineRule="auto"/>
        <w:ind w:firstLine="480" w:firstLineChars="200"/>
        <w:outlineLvl w:val="1"/>
        <w:rPr>
          <w:rFonts w:hint="eastAsia" w:ascii="宋体" w:hAnsi="宋体" w:cs="宋体"/>
          <w:sz w:val="24"/>
        </w:rPr>
      </w:pPr>
      <w:bookmarkStart w:id="403" w:name="_Toc164351641"/>
      <w:bookmarkStart w:id="404" w:name="_Toc226309791"/>
      <w:bookmarkStart w:id="405" w:name="_Toc142311049"/>
      <w:bookmarkStart w:id="406" w:name="_Toc151193717"/>
      <w:bookmarkStart w:id="407" w:name="_Toc151193789"/>
      <w:bookmarkStart w:id="408" w:name="_Toc127161461"/>
      <w:bookmarkStart w:id="409" w:name="_Toc195842912"/>
      <w:bookmarkStart w:id="410" w:name="_Toc164229242"/>
      <w:bookmarkStart w:id="411" w:name="_Toc164608661"/>
      <w:bookmarkStart w:id="412" w:name="_Toc164229388"/>
      <w:bookmarkStart w:id="413" w:name="_Toc151193861"/>
      <w:bookmarkStart w:id="414" w:name="_Toc150480785"/>
      <w:bookmarkStart w:id="415" w:name="_Toc305158815"/>
      <w:bookmarkStart w:id="416" w:name="_Toc151190174"/>
      <w:bookmarkStart w:id="417" w:name="_Toc150774647"/>
      <w:bookmarkStart w:id="418" w:name="_Toc265228385"/>
      <w:bookmarkStart w:id="419" w:name="_Toc150774752"/>
      <w:bookmarkStart w:id="420" w:name="_Toc226337243"/>
      <w:bookmarkStart w:id="421" w:name="_Toc150509298"/>
      <w:bookmarkStart w:id="422" w:name="_Toc164608816"/>
      <w:bookmarkStart w:id="423" w:name="_Toc305158889"/>
      <w:bookmarkStart w:id="424" w:name="_Toc151193645"/>
      <w:bookmarkStart w:id="425" w:name="_Toc127151547"/>
      <w:bookmarkStart w:id="426" w:name="_Toc264969237"/>
      <w:bookmarkStart w:id="427" w:name="_Toc149720840"/>
      <w:bookmarkStart w:id="428" w:name="_Toc127151748"/>
      <w:bookmarkStart w:id="429" w:name="_Toc226965820"/>
      <w:bookmarkStart w:id="430" w:name="_Toc151193935"/>
      <w:bookmarkStart w:id="431" w:name="_Toc226965737"/>
      <w:r>
        <w:rPr>
          <w:rFonts w:hint="eastAsia" w:ascii="宋体" w:hAnsi="宋体" w:cs="宋体"/>
          <w:sz w:val="24"/>
        </w:rPr>
        <w:t>1、确定成交供应商</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1.1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tabs>
          <w:tab w:val="left" w:pos="360"/>
        </w:tabs>
        <w:snapToGrid w:val="0"/>
        <w:spacing w:line="360" w:lineRule="auto"/>
        <w:ind w:firstLine="480" w:firstLineChars="200"/>
        <w:outlineLvl w:val="1"/>
        <w:rPr>
          <w:rFonts w:hint="eastAsia" w:ascii="宋体" w:hAnsi="宋体" w:cs="宋体"/>
          <w:sz w:val="24"/>
        </w:rPr>
      </w:pPr>
      <w:bookmarkStart w:id="432" w:name="_Toc305158891"/>
      <w:bookmarkStart w:id="433" w:name="_Toc305158817"/>
      <w:bookmarkStart w:id="434" w:name="_Toc151193719"/>
      <w:bookmarkStart w:id="435" w:name="_Toc151190176"/>
      <w:bookmarkStart w:id="436" w:name="_Toc151193937"/>
      <w:bookmarkStart w:id="437" w:name="_Toc164229390"/>
      <w:bookmarkStart w:id="438" w:name="_Toc164608818"/>
      <w:bookmarkStart w:id="439" w:name="_Toc226337245"/>
      <w:bookmarkStart w:id="440" w:name="_Toc150509300"/>
      <w:bookmarkStart w:id="441" w:name="_Toc149720842"/>
      <w:bookmarkStart w:id="442" w:name="_Toc164608663"/>
      <w:bookmarkStart w:id="443" w:name="_Toc127151549"/>
      <w:bookmarkStart w:id="444" w:name="_Toc142311051"/>
      <w:bookmarkStart w:id="445" w:name="_Toc151193863"/>
      <w:bookmarkStart w:id="446" w:name="_Toc226965822"/>
      <w:bookmarkStart w:id="447" w:name="_Toc264969239"/>
      <w:bookmarkStart w:id="448" w:name="_Toc195842914"/>
      <w:bookmarkStart w:id="449" w:name="_Toc226309793"/>
      <w:bookmarkStart w:id="450" w:name="_Toc127161463"/>
      <w:bookmarkStart w:id="451" w:name="_Toc151193647"/>
      <w:bookmarkStart w:id="452" w:name="_Toc164351643"/>
      <w:bookmarkStart w:id="453" w:name="_Toc127151750"/>
      <w:bookmarkStart w:id="454" w:name="_Toc151193791"/>
      <w:bookmarkStart w:id="455" w:name="_Toc150774754"/>
      <w:bookmarkStart w:id="456" w:name="_Toc150774649"/>
      <w:bookmarkStart w:id="457" w:name="_Toc164229244"/>
      <w:bookmarkStart w:id="458" w:name="_Toc150480787"/>
      <w:bookmarkStart w:id="459" w:name="_Toc265228387"/>
      <w:bookmarkStart w:id="460" w:name="_Toc226965739"/>
      <w:bookmarkStart w:id="461" w:name="_Ref467307090"/>
      <w:bookmarkStart w:id="462" w:name="_Toc520356176"/>
      <w:bookmarkStart w:id="463" w:name="_Ref467306425"/>
      <w:r>
        <w:rPr>
          <w:rFonts w:hint="eastAsia" w:ascii="宋体" w:hAnsi="宋体" w:cs="宋体"/>
          <w:sz w:val="24"/>
        </w:rPr>
        <w:t>2、成交公告与成交通知书</w:t>
      </w:r>
      <w:bookmarkEnd w:id="432"/>
      <w:bookmarkEnd w:id="433"/>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2.1、采购人或采购代理机构将</w:t>
      </w:r>
      <w:r>
        <w:rPr>
          <w:rFonts w:hint="eastAsia" w:ascii="宋体" w:hAnsi="宋体" w:cs="宋体"/>
          <w:kern w:val="0"/>
          <w:sz w:val="24"/>
        </w:rPr>
        <w:t>在成交供应商确定后2个工作日内，在</w:t>
      </w:r>
      <w:r>
        <w:rPr>
          <w:rFonts w:hint="eastAsia" w:ascii="宋体" w:hAnsi="宋体" w:cs="宋体"/>
          <w:sz w:val="24"/>
        </w:rPr>
        <w:t>新疆政府采购网</w:t>
      </w:r>
      <w:r>
        <w:rPr>
          <w:rFonts w:hint="eastAsia" w:ascii="宋体" w:hAnsi="宋体" w:cs="宋体"/>
          <w:kern w:val="0"/>
          <w:sz w:val="24"/>
        </w:rPr>
        <w:t>公告成交结果，同时向成交供应商发出成交通知书，</w:t>
      </w:r>
      <w:r>
        <w:rPr>
          <w:rFonts w:hint="eastAsia" w:ascii="宋体" w:hAnsi="宋体" w:cs="宋体"/>
          <w:sz w:val="24"/>
        </w:rPr>
        <w:t>成交公告期限为1个工作日。</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2.2、成交通知书是合同的组成部分，对采购人和成交供应商具有同等法律效力。成交通知书发出后，采购人改变成交结果的，或者成交供应商放弃成交项目的，将依法承担法律责任。</w:t>
      </w:r>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3、终止</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3.1、在采购中，出现下列情形之一的，采购人或采购代理机构将终止竞争性磋商采购活动，发布项目终止公告并说明原因，重新开展采购活动：</w:t>
      </w:r>
    </w:p>
    <w:p>
      <w:pPr>
        <w:snapToGrid w:val="0"/>
        <w:spacing w:line="360" w:lineRule="auto"/>
        <w:ind w:firstLine="480" w:firstLineChars="200"/>
        <w:rPr>
          <w:rFonts w:hint="eastAsia" w:ascii="宋体" w:hAnsi="宋体" w:cs="宋体"/>
          <w:sz w:val="24"/>
        </w:rPr>
      </w:pPr>
      <w:r>
        <w:rPr>
          <w:rFonts w:hint="eastAsia" w:ascii="宋体" w:hAnsi="宋体" w:cs="宋体"/>
          <w:sz w:val="24"/>
        </w:rPr>
        <w:t>3.1.1、因情况变化，不再符合规定的竞争性磋商采购方式适用情形的；</w:t>
      </w:r>
    </w:p>
    <w:p>
      <w:pPr>
        <w:snapToGrid w:val="0"/>
        <w:spacing w:line="360" w:lineRule="auto"/>
        <w:ind w:firstLine="480" w:firstLineChars="200"/>
        <w:rPr>
          <w:rFonts w:hint="eastAsia" w:ascii="宋体" w:hAnsi="宋体" w:cs="宋体"/>
          <w:sz w:val="24"/>
        </w:rPr>
      </w:pPr>
      <w:r>
        <w:rPr>
          <w:rFonts w:hint="eastAsia" w:ascii="宋体" w:hAnsi="宋体" w:cs="宋体"/>
          <w:sz w:val="24"/>
        </w:rPr>
        <w:t>3.1.2、出现影响采购公正的违法、违规行为的；</w:t>
      </w:r>
    </w:p>
    <w:p>
      <w:pPr>
        <w:snapToGrid w:val="0"/>
        <w:spacing w:line="360" w:lineRule="auto"/>
        <w:ind w:firstLine="480" w:firstLineChars="200"/>
        <w:rPr>
          <w:rFonts w:hint="eastAsia" w:ascii="宋体" w:hAnsi="宋体" w:cs="宋体"/>
          <w:sz w:val="24"/>
        </w:rPr>
      </w:pPr>
      <w:r>
        <w:rPr>
          <w:rFonts w:hint="eastAsia" w:ascii="宋体" w:hAnsi="宋体" w:cs="宋体"/>
          <w:snapToGrid w:val="0"/>
          <w:kern w:val="0"/>
          <w:sz w:val="24"/>
          <w:szCs w:val="20"/>
        </w:rPr>
        <w:t>3.1.3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Pr>
        <w:tabs>
          <w:tab w:val="left" w:pos="360"/>
        </w:tabs>
        <w:snapToGrid w:val="0"/>
        <w:spacing w:line="360" w:lineRule="auto"/>
        <w:ind w:firstLine="480" w:firstLineChars="200"/>
        <w:outlineLvl w:val="1"/>
        <w:rPr>
          <w:rFonts w:hint="eastAsia" w:ascii="宋体" w:hAnsi="宋体" w:cs="宋体"/>
          <w:sz w:val="24"/>
        </w:rPr>
      </w:pPr>
      <w:bookmarkStart w:id="464" w:name="_Toc305158892"/>
      <w:bookmarkStart w:id="465" w:name="_Toc164351644"/>
      <w:bookmarkStart w:id="466" w:name="_Toc164608819"/>
      <w:bookmarkStart w:id="467" w:name="_Toc150774755"/>
      <w:bookmarkStart w:id="468" w:name="_Ref467307062"/>
      <w:bookmarkStart w:id="469" w:name="_Toc151193792"/>
      <w:bookmarkStart w:id="470" w:name="_Toc150509301"/>
      <w:bookmarkStart w:id="471" w:name="_Toc151193648"/>
      <w:bookmarkStart w:id="472" w:name="_Toc164229391"/>
      <w:bookmarkStart w:id="473" w:name="_Toc150480788"/>
      <w:bookmarkStart w:id="474" w:name="_Toc151193938"/>
      <w:bookmarkStart w:id="475" w:name="_Toc151193720"/>
      <w:bookmarkStart w:id="476" w:name="_Toc151193864"/>
      <w:bookmarkStart w:id="477" w:name="_Toc226965823"/>
      <w:bookmarkStart w:id="478" w:name="_Toc264969240"/>
      <w:bookmarkStart w:id="479" w:name="_Toc265228388"/>
      <w:bookmarkStart w:id="480" w:name="_Toc195842915"/>
      <w:bookmarkStart w:id="481" w:name="_Ref467307204"/>
      <w:bookmarkStart w:id="482" w:name="_Toc151190177"/>
      <w:bookmarkStart w:id="483" w:name="_Toc127151550"/>
      <w:bookmarkStart w:id="484" w:name="_Toc520356175"/>
      <w:bookmarkStart w:id="485" w:name="_Toc305158818"/>
      <w:bookmarkStart w:id="486" w:name="_Toc226337246"/>
      <w:bookmarkStart w:id="487" w:name="_Toc226309794"/>
      <w:bookmarkStart w:id="488" w:name="_Toc127161464"/>
      <w:bookmarkStart w:id="489" w:name="_Ref467306978"/>
      <w:bookmarkStart w:id="490" w:name="_Toc149720843"/>
      <w:bookmarkStart w:id="491" w:name="_Toc226965740"/>
      <w:bookmarkStart w:id="492" w:name="_Toc164229245"/>
      <w:bookmarkStart w:id="493" w:name="_Toc164608664"/>
      <w:bookmarkStart w:id="494" w:name="_Toc150774650"/>
      <w:bookmarkStart w:id="495" w:name="_Ref467306377"/>
      <w:bookmarkStart w:id="496" w:name="_Toc142311052"/>
      <w:bookmarkStart w:id="497" w:name="_Toc127151751"/>
      <w:r>
        <w:rPr>
          <w:rFonts w:hint="eastAsia" w:ascii="宋体" w:hAnsi="宋体" w:cs="宋体"/>
          <w:sz w:val="24"/>
        </w:rPr>
        <w:t>4、签订合同</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4.1、采购人与成交供应商将在成交通知书发出之日起30日内，按照磋商文件确定的合同文本以及采购标的、规格型号、采购金额、采购数量、技术和服务要求等事项签订政府采购合同。</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4.3、联合体获得成交资格的，联合体各方应当共同与采购人签订合同，就成交项目向采购人承担连带责任。</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4.4、政府采购合同不能转包。</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4.5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p>
    <w:bookmarkEnd w:id="461"/>
    <w:bookmarkEnd w:id="462"/>
    <w:bookmarkEnd w:id="463"/>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5、询问与质疑</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5.1、询问</w:t>
      </w:r>
    </w:p>
    <w:p>
      <w:pPr>
        <w:snapToGrid w:val="0"/>
        <w:spacing w:line="360" w:lineRule="auto"/>
        <w:ind w:firstLine="480" w:firstLineChars="200"/>
        <w:rPr>
          <w:rFonts w:hint="eastAsia" w:ascii="宋体" w:hAnsi="宋体" w:cs="宋体"/>
          <w:sz w:val="24"/>
        </w:rPr>
      </w:pPr>
      <w:r>
        <w:rPr>
          <w:rFonts w:hint="eastAsia" w:ascii="宋体" w:hAnsi="宋体" w:cs="宋体"/>
          <w:sz w:val="24"/>
        </w:rPr>
        <w:t>5.1.1供应商对政府采购活动事项有疑问的，可依法提出询问，并按《供应商须知资料表》载明的形式送达采购人或采购代理机构。</w:t>
      </w:r>
    </w:p>
    <w:p>
      <w:pPr>
        <w:snapToGrid w:val="0"/>
        <w:spacing w:line="360" w:lineRule="auto"/>
        <w:ind w:firstLine="480" w:firstLineChars="200"/>
        <w:rPr>
          <w:rFonts w:hint="eastAsia" w:ascii="宋体" w:hAnsi="宋体" w:cs="宋体"/>
          <w:sz w:val="24"/>
        </w:rPr>
      </w:pPr>
      <w:r>
        <w:rPr>
          <w:rFonts w:hint="eastAsia" w:ascii="宋体" w:hAnsi="宋体" w:cs="宋体"/>
          <w:sz w:val="24"/>
        </w:rPr>
        <w:t>5.1.2、采购人或采购代理机构对供应商依法提出的询问，在3个工作日内作出答复，但答复的内容不得涉及商业秘密。</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5.2、质疑</w:t>
      </w:r>
    </w:p>
    <w:p>
      <w:pPr>
        <w:snapToGrid w:val="0"/>
        <w:spacing w:line="360" w:lineRule="auto"/>
        <w:ind w:firstLine="480" w:firstLineChars="200"/>
        <w:rPr>
          <w:rFonts w:hint="eastAsia" w:ascii="宋体" w:hAnsi="宋体" w:cs="宋体"/>
          <w:sz w:val="24"/>
        </w:rPr>
      </w:pPr>
      <w:r>
        <w:rPr>
          <w:rFonts w:hint="eastAsia" w:ascii="宋体" w:hAnsi="宋体" w:cs="宋体"/>
          <w:sz w:val="24"/>
        </w:rPr>
        <w:t>5.2.1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snapToGrid w:val="0"/>
        <w:spacing w:line="360" w:lineRule="auto"/>
        <w:ind w:firstLine="480" w:firstLineChars="200"/>
        <w:rPr>
          <w:rFonts w:hint="eastAsia" w:ascii="宋体" w:hAnsi="宋体" w:cs="宋体"/>
          <w:sz w:val="24"/>
        </w:rPr>
      </w:pPr>
      <w:r>
        <w:rPr>
          <w:rFonts w:hint="eastAsia" w:ascii="宋体" w:hAnsi="宋体" w:cs="宋体"/>
          <w:sz w:val="24"/>
        </w:rPr>
        <w:t>5.2.2、质疑函须使用财政部制定的范本文件。</w:t>
      </w:r>
    </w:p>
    <w:p>
      <w:pPr>
        <w:snapToGrid w:val="0"/>
        <w:spacing w:line="360" w:lineRule="auto"/>
        <w:ind w:firstLine="480" w:firstLineChars="200"/>
        <w:rPr>
          <w:rFonts w:hint="eastAsia" w:ascii="宋体" w:hAnsi="宋体" w:cs="宋体"/>
          <w:sz w:val="24"/>
        </w:rPr>
      </w:pPr>
      <w:r>
        <w:rPr>
          <w:rFonts w:hint="eastAsia" w:ascii="宋体" w:hAnsi="宋体" w:cs="宋体"/>
          <w:sz w:val="24"/>
        </w:rPr>
        <w:t>5.2.3、供应商为自然人的，应当由本人签字；供应商为法人或者其他组织的，应当由法定代表人、主要负责人，或者其授权代表签字或者盖章，并加盖公章。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rPr>
          <w:rFonts w:hint="eastAsia" w:ascii="宋体" w:hAnsi="宋体" w:cs="宋体"/>
          <w:sz w:val="24"/>
        </w:rPr>
      </w:pPr>
      <w:r>
        <w:rPr>
          <w:rFonts w:hint="eastAsia" w:ascii="宋体" w:hAnsi="宋体" w:cs="宋体"/>
          <w:sz w:val="24"/>
        </w:rPr>
        <w:t>5.2.4、供应商应在法定质疑期内一次性提出针对同一采购程序环节的质疑，法定质疑期内针对同一采购程序环节再次提出的质疑，采购人、采购代理机构有权不予答复。</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5.3、接收询问和质疑的联系部门、联系电话和通讯地址见《供应商须知资料表》。</w:t>
      </w:r>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6、代理费</w:t>
      </w:r>
    </w:p>
    <w:p>
      <w:pPr>
        <w:tabs>
          <w:tab w:val="left" w:pos="1080"/>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6.1、收费对象、收费标准及缴纳时间见《供应商须知资料表》。由成交供应商支付的，成交供应商须一次性向采购代理机构缴纳代理费。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rFonts w:hint="eastAsia" w:ascii="宋体" w:hAnsi="宋体" w:cs="宋体"/>
          <w:sz w:val="24"/>
        </w:rPr>
      </w:pPr>
    </w:p>
    <w:p>
      <w:pPr>
        <w:spacing w:line="360" w:lineRule="auto"/>
        <w:jc w:val="center"/>
        <w:outlineLvl w:val="0"/>
        <w:rPr>
          <w:rFonts w:hint="eastAsia" w:ascii="宋体" w:hAnsi="宋体" w:cs="宋体"/>
          <w:b/>
          <w:sz w:val="36"/>
          <w:szCs w:val="36"/>
        </w:rPr>
      </w:pPr>
      <w:bookmarkStart w:id="498" w:name="_Toc150774759"/>
      <w:bookmarkStart w:id="499" w:name="_Toc265228392"/>
      <w:bookmarkStart w:id="500" w:name="_Toc150480792"/>
      <w:bookmarkStart w:id="501" w:name="_Toc353873934"/>
      <w:bookmarkStart w:id="502" w:name="_Toc305158896"/>
      <w:bookmarkStart w:id="503" w:name="_Toc142311056"/>
      <w:bookmarkStart w:id="504" w:name="_Toc226337250"/>
      <w:bookmarkStart w:id="505" w:name="_Toc353825544"/>
      <w:bookmarkStart w:id="506" w:name="_Toc305158822"/>
      <w:bookmarkStart w:id="507" w:name="_Toc226965827"/>
      <w:bookmarkStart w:id="508" w:name="_Toc127151554"/>
      <w:bookmarkStart w:id="509" w:name="_Toc353873664"/>
      <w:bookmarkStart w:id="510" w:name="_Toc264969244"/>
      <w:r>
        <w:rPr>
          <w:rFonts w:hint="eastAsia" w:ascii="宋体" w:hAnsi="宋体" w:cs="宋体"/>
          <w:sz w:val="24"/>
        </w:rPr>
        <w:br w:type="page"/>
      </w:r>
      <w:bookmarkStart w:id="511" w:name="_Toc97371943"/>
      <w:r>
        <w:rPr>
          <w:rFonts w:hint="eastAsia" w:ascii="宋体" w:hAnsi="宋体" w:cs="宋体"/>
          <w:b/>
          <w:sz w:val="36"/>
          <w:szCs w:val="36"/>
        </w:rPr>
        <w:t xml:space="preserve">第三章   </w:t>
      </w:r>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ascii="宋体" w:hAnsi="宋体" w:cs="宋体"/>
          <w:b/>
          <w:sz w:val="36"/>
          <w:szCs w:val="36"/>
        </w:rPr>
        <w:t>评审方法和评审标准</w:t>
      </w:r>
      <w:bookmarkEnd w:id="511"/>
      <w:bookmarkStart w:id="512" w:name="_Toc487900382"/>
    </w:p>
    <w:p>
      <w:pPr>
        <w:pStyle w:val="6"/>
        <w:spacing w:before="0" w:line="360" w:lineRule="auto"/>
        <w:rPr>
          <w:rFonts w:hint="eastAsia" w:ascii="宋体" w:hAnsi="宋体" w:eastAsia="宋体" w:cs="宋体"/>
          <w:sz w:val="24"/>
          <w:szCs w:val="24"/>
        </w:rPr>
      </w:pPr>
      <w:r>
        <w:rPr>
          <w:rFonts w:hint="eastAsia" w:ascii="宋体" w:hAnsi="宋体" w:eastAsia="宋体" w:cs="宋体"/>
          <w:sz w:val="24"/>
          <w:szCs w:val="24"/>
        </w:rPr>
        <w:t>一、资格审查程序</w:t>
      </w:r>
    </w:p>
    <w:p>
      <w:pPr>
        <w:tabs>
          <w:tab w:val="left" w:pos="1080"/>
        </w:tabs>
        <w:snapToGrid w:val="0"/>
        <w:jc w:val="left"/>
        <w:rPr>
          <w:rFonts w:hint="eastAsia" w:ascii="宋体" w:hAnsi="宋体" w:cs="宋体"/>
          <w:b/>
          <w:sz w:val="24"/>
        </w:rPr>
      </w:pPr>
      <w:r>
        <w:rPr>
          <w:rFonts w:hint="eastAsia" w:ascii="宋体" w:hAnsi="宋体" w:cs="宋体"/>
          <w:b/>
          <w:sz w:val="24"/>
        </w:rPr>
        <w:tab/>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512"/>
    <w:p>
      <w:pPr>
        <w:numPr>
          <w:ilvl w:val="0"/>
          <w:numId w:val="10"/>
        </w:numPr>
        <w:tabs>
          <w:tab w:val="left" w:pos="360"/>
        </w:tabs>
        <w:snapToGrid w:val="0"/>
        <w:spacing w:line="360" w:lineRule="auto"/>
        <w:outlineLvl w:val="1"/>
        <w:rPr>
          <w:rFonts w:hint="eastAsia" w:ascii="宋体" w:hAnsi="宋体" w:cs="宋体"/>
          <w:sz w:val="24"/>
        </w:rPr>
      </w:pPr>
      <w:bookmarkStart w:id="513" w:name="_Toc195842906"/>
      <w:bookmarkStart w:id="514" w:name="_Toc127151541"/>
      <w:bookmarkStart w:id="515" w:name="_Toc149720834"/>
      <w:bookmarkStart w:id="516" w:name="_Toc164351635"/>
      <w:bookmarkStart w:id="517" w:name="_Toc265228379"/>
      <w:bookmarkStart w:id="518" w:name="_Toc151193639"/>
      <w:bookmarkStart w:id="519" w:name="_Toc226309785"/>
      <w:bookmarkStart w:id="520" w:name="_Toc150509292"/>
      <w:bookmarkStart w:id="521" w:name="_Toc164608655"/>
      <w:bookmarkStart w:id="522" w:name="_Toc142311043"/>
      <w:bookmarkStart w:id="523" w:name="_Toc226337237"/>
      <w:bookmarkStart w:id="524" w:name="_Toc151193711"/>
      <w:bookmarkStart w:id="525" w:name="_Toc127161455"/>
      <w:bookmarkStart w:id="526" w:name="_Toc164229382"/>
      <w:bookmarkStart w:id="527" w:name="_Toc164229236"/>
      <w:bookmarkStart w:id="528" w:name="_Toc226965731"/>
      <w:bookmarkStart w:id="529" w:name="_Toc305158809"/>
      <w:bookmarkStart w:id="530" w:name="_Toc150774641"/>
      <w:bookmarkStart w:id="531" w:name="_Toc151190168"/>
      <w:bookmarkStart w:id="532" w:name="_Toc151193783"/>
      <w:bookmarkStart w:id="533" w:name="_Toc151193929"/>
      <w:bookmarkStart w:id="534" w:name="_Toc150480779"/>
      <w:bookmarkStart w:id="535" w:name="_Toc264969231"/>
      <w:bookmarkStart w:id="536" w:name="_Toc150774746"/>
      <w:bookmarkStart w:id="537" w:name="_Toc226965814"/>
      <w:bookmarkStart w:id="538" w:name="_Toc151193855"/>
      <w:bookmarkStart w:id="539" w:name="_Toc305158883"/>
      <w:bookmarkStart w:id="540" w:name="_Toc127151742"/>
      <w:bookmarkStart w:id="541" w:name="_Toc164608810"/>
      <w:bookmarkStart w:id="542" w:name="_Toc353825551"/>
      <w:bookmarkStart w:id="543" w:name="_Toc353873941"/>
      <w:bookmarkStart w:id="544" w:name="_Toc265228393"/>
      <w:bookmarkStart w:id="545" w:name="_Toc195842920"/>
      <w:bookmarkStart w:id="546" w:name="_Toc226337251"/>
      <w:bookmarkStart w:id="547" w:name="_Toc127151555"/>
      <w:bookmarkStart w:id="548" w:name="_Toc150480793"/>
      <w:bookmarkStart w:id="549" w:name="_Toc150774760"/>
      <w:bookmarkStart w:id="550" w:name="_Toc264969245"/>
      <w:bookmarkStart w:id="551" w:name="_Toc305158823"/>
      <w:bookmarkStart w:id="552" w:name="_Toc353873935"/>
      <w:bookmarkStart w:id="553" w:name="_Toc305158897"/>
      <w:bookmarkStart w:id="554" w:name="_Toc353825545"/>
      <w:bookmarkStart w:id="555" w:name="_Toc142311057"/>
      <w:bookmarkStart w:id="556" w:name="_Toc353873665"/>
      <w:bookmarkStart w:id="557" w:name="_Toc226965828"/>
      <w:r>
        <w:rPr>
          <w:rFonts w:hint="eastAsia" w:ascii="宋体" w:hAnsi="宋体" w:cs="宋体"/>
          <w:sz w:val="24"/>
        </w:rPr>
        <w:t>响应文件的</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hint="eastAsia" w:ascii="宋体" w:hAnsi="宋体" w:cs="宋体"/>
          <w:sz w:val="24"/>
        </w:rPr>
        <w:t>资格性检查和符合性审查</w:t>
      </w:r>
    </w:p>
    <w:p>
      <w:pPr>
        <w:numPr>
          <w:ilvl w:val="1"/>
          <w:numId w:val="10"/>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pPr>
        <w:numPr>
          <w:ilvl w:val="1"/>
          <w:numId w:val="10"/>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《资格性检查要求》中对格式有要求的，除竞争性磋商文件另有规定外，均为“实质性格式”文件。</w:t>
      </w:r>
    </w:p>
    <w:p>
      <w:pPr>
        <w:numPr>
          <w:ilvl w:val="1"/>
          <w:numId w:val="10"/>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《资格性检查要求》见下表：</w:t>
      </w:r>
    </w:p>
    <w:p>
      <w:pPr>
        <w:tabs>
          <w:tab w:val="left" w:pos="900"/>
          <w:tab w:val="left" w:pos="1080"/>
        </w:tabs>
        <w:snapToGrid w:val="0"/>
        <w:spacing w:line="360" w:lineRule="auto"/>
        <w:jc w:val="center"/>
        <w:rPr>
          <w:rFonts w:hint="eastAsia" w:ascii="宋体" w:hAnsi="宋体" w:cs="宋体"/>
          <w:b/>
          <w:sz w:val="24"/>
        </w:rPr>
      </w:pPr>
      <w:r>
        <w:rPr>
          <w:rFonts w:hint="eastAsia" w:ascii="宋体" w:hAnsi="宋体" w:cs="宋体"/>
          <w:b/>
          <w:sz w:val="24"/>
        </w:rPr>
        <w:t>资格性检查要求</w:t>
      </w:r>
    </w:p>
    <w:tbl>
      <w:tblPr>
        <w:tblStyle w:val="46"/>
        <w:tblpPr w:leftFromText="180" w:rightFromText="180" w:vertAnchor="text" w:horzAnchor="page" w:tblpXSpec="center" w:tblpY="238"/>
        <w:tblOverlap w:val="never"/>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43"/>
        <w:gridCol w:w="4487"/>
        <w:gridCol w:w="546"/>
        <w:gridCol w:w="508"/>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38" w:type="pct"/>
            <w:noWrap w:val="0"/>
            <w:vAlign w:val="center"/>
          </w:tcPr>
          <w:p>
            <w:pPr>
              <w:tabs>
                <w:tab w:val="left" w:pos="1080"/>
              </w:tabs>
              <w:snapToGrid w:val="0"/>
              <w:jc w:val="center"/>
              <w:rPr>
                <w:rFonts w:hint="eastAsia" w:ascii="宋体" w:hAnsi="宋体" w:cs="宋体"/>
                <w:b/>
                <w:sz w:val="24"/>
              </w:rPr>
            </w:pPr>
            <w:bookmarkStart w:id="558" w:name="_Hlt487972895"/>
            <w:bookmarkEnd w:id="558"/>
            <w:r>
              <w:rPr>
                <w:rFonts w:hint="eastAsia" w:ascii="宋体" w:hAnsi="宋体" w:cs="宋体"/>
                <w:b/>
                <w:sz w:val="24"/>
              </w:rPr>
              <w:t>序号</w:t>
            </w:r>
          </w:p>
        </w:tc>
        <w:tc>
          <w:tcPr>
            <w:tcW w:w="1269" w:type="pct"/>
            <w:noWrap w:val="0"/>
            <w:vAlign w:val="center"/>
          </w:tcPr>
          <w:p>
            <w:pPr>
              <w:tabs>
                <w:tab w:val="left" w:pos="1080"/>
              </w:tabs>
              <w:snapToGrid w:val="0"/>
              <w:jc w:val="center"/>
              <w:rPr>
                <w:rFonts w:hint="eastAsia" w:ascii="宋体" w:hAnsi="宋体" w:cs="宋体"/>
                <w:b/>
                <w:sz w:val="24"/>
              </w:rPr>
            </w:pPr>
            <w:r>
              <w:rPr>
                <w:rFonts w:hint="eastAsia" w:ascii="宋体" w:hAnsi="宋体" w:cs="宋体"/>
                <w:b/>
                <w:sz w:val="24"/>
              </w:rPr>
              <w:t>检查因素</w:t>
            </w:r>
          </w:p>
        </w:tc>
        <w:tc>
          <w:tcPr>
            <w:tcW w:w="2430" w:type="pct"/>
            <w:noWrap w:val="0"/>
            <w:vAlign w:val="center"/>
          </w:tcPr>
          <w:p>
            <w:pPr>
              <w:tabs>
                <w:tab w:val="left" w:pos="1080"/>
              </w:tabs>
              <w:snapToGrid w:val="0"/>
              <w:jc w:val="center"/>
              <w:rPr>
                <w:rFonts w:hint="eastAsia" w:ascii="宋体" w:hAnsi="宋体" w:cs="宋体"/>
                <w:b/>
                <w:sz w:val="24"/>
              </w:rPr>
            </w:pPr>
            <w:r>
              <w:rPr>
                <w:rFonts w:hint="eastAsia" w:ascii="宋体" w:hAnsi="宋体" w:cs="宋体"/>
                <w:b/>
                <w:sz w:val="24"/>
              </w:rPr>
              <w:t>检查内容</w:t>
            </w:r>
          </w:p>
        </w:tc>
        <w:tc>
          <w:tcPr>
            <w:tcW w:w="860" w:type="pct"/>
            <w:gridSpan w:val="3"/>
            <w:noWrap w:val="0"/>
            <w:vAlign w:val="center"/>
          </w:tcPr>
          <w:p>
            <w:pPr>
              <w:tabs>
                <w:tab w:val="left" w:pos="1080"/>
              </w:tabs>
              <w:snapToGrid w:val="0"/>
              <w:jc w:val="center"/>
              <w:rPr>
                <w:rFonts w:hint="eastAsia" w:ascii="宋体" w:hAnsi="宋体" w:cs="宋体"/>
                <w:b/>
                <w:sz w:val="24"/>
              </w:rPr>
            </w:pPr>
            <w:r>
              <w:rPr>
                <w:rFonts w:hint="eastAsia" w:ascii="宋体" w:hAnsi="宋体" w:cs="宋体"/>
                <w:b/>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8" w:type="pct"/>
            <w:noWrap w:val="0"/>
            <w:vAlign w:val="center"/>
          </w:tcPr>
          <w:p>
            <w:pPr>
              <w:widowControl/>
              <w:ind w:right="-132" w:rightChars="-63"/>
              <w:jc w:val="center"/>
              <w:rPr>
                <w:rFonts w:hint="eastAsia" w:ascii="宋体" w:hAnsi="宋体" w:cs="宋体"/>
                <w:sz w:val="24"/>
              </w:rPr>
            </w:pPr>
            <w:r>
              <w:rPr>
                <w:rFonts w:hint="eastAsia" w:ascii="宋体" w:hAnsi="宋体" w:cs="宋体"/>
                <w:sz w:val="24"/>
              </w:rPr>
              <w:t>1</w:t>
            </w:r>
          </w:p>
        </w:tc>
        <w:tc>
          <w:tcPr>
            <w:tcW w:w="1269" w:type="pct"/>
            <w:noWrap w:val="0"/>
            <w:vAlign w:val="center"/>
          </w:tcPr>
          <w:p>
            <w:pPr>
              <w:widowControl/>
              <w:ind w:right="-132" w:rightChars="-63"/>
              <w:jc w:val="left"/>
              <w:rPr>
                <w:rFonts w:hint="eastAsia" w:ascii="宋体" w:hAnsi="宋体" w:cs="宋体"/>
                <w:sz w:val="24"/>
              </w:rPr>
            </w:pPr>
            <w:r>
              <w:rPr>
                <w:rFonts w:hint="eastAsia" w:ascii="宋体" w:hAnsi="宋体" w:cs="宋体"/>
                <w:spacing w:val="-2"/>
                <w:kern w:val="0"/>
                <w:sz w:val="24"/>
              </w:rPr>
              <w:t>具有独立承担民事责任的能力</w:t>
            </w:r>
          </w:p>
        </w:tc>
        <w:tc>
          <w:tcPr>
            <w:tcW w:w="2430" w:type="pct"/>
            <w:noWrap w:val="0"/>
            <w:vAlign w:val="center"/>
          </w:tcPr>
          <w:p>
            <w:pPr>
              <w:widowControl/>
              <w:ind w:right="-132" w:rightChars="-63"/>
              <w:jc w:val="left"/>
              <w:rPr>
                <w:rFonts w:hint="eastAsia" w:ascii="宋体" w:hAnsi="宋体" w:cs="宋体"/>
                <w:sz w:val="24"/>
              </w:rPr>
            </w:pPr>
            <w:r>
              <w:rPr>
                <w:rFonts w:hint="eastAsia" w:ascii="宋体" w:hAnsi="宋体" w:cs="宋体"/>
                <w:spacing w:val="-2"/>
                <w:kern w:val="0"/>
                <w:sz w:val="24"/>
              </w:rPr>
              <w:t>法人或者其他组织的营业执照等证明文件；自然人需提供身份证明；</w:t>
            </w:r>
          </w:p>
        </w:tc>
        <w:tc>
          <w:tcPr>
            <w:tcW w:w="295" w:type="pct"/>
            <w:noWrap w:val="0"/>
            <w:vAlign w:val="top"/>
          </w:tcPr>
          <w:p>
            <w:pPr>
              <w:widowControl/>
              <w:ind w:right="-132" w:rightChars="-63"/>
              <w:jc w:val="left"/>
              <w:rPr>
                <w:rFonts w:hint="eastAsia" w:ascii="宋体" w:hAnsi="宋体" w:cs="宋体"/>
                <w:sz w:val="24"/>
              </w:rPr>
            </w:pPr>
          </w:p>
        </w:tc>
        <w:tc>
          <w:tcPr>
            <w:tcW w:w="275" w:type="pct"/>
            <w:noWrap w:val="0"/>
            <w:vAlign w:val="top"/>
          </w:tcPr>
          <w:p>
            <w:pPr>
              <w:widowControl/>
              <w:ind w:right="-132" w:rightChars="-63"/>
              <w:jc w:val="left"/>
              <w:rPr>
                <w:rFonts w:hint="eastAsia" w:ascii="宋体" w:hAnsi="宋体" w:cs="宋体"/>
                <w:sz w:val="24"/>
              </w:rPr>
            </w:pPr>
          </w:p>
        </w:tc>
        <w:tc>
          <w:tcPr>
            <w:tcW w:w="289" w:type="pct"/>
            <w:noWrap w:val="0"/>
            <w:vAlign w:val="top"/>
          </w:tcPr>
          <w:p>
            <w:pPr>
              <w:widowControl/>
              <w:ind w:right="-132" w:rightChars="-63"/>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438" w:type="pct"/>
            <w:noWrap w:val="0"/>
            <w:vAlign w:val="center"/>
          </w:tcPr>
          <w:p>
            <w:pPr>
              <w:widowControl/>
              <w:ind w:right="-132" w:rightChars="-63"/>
              <w:jc w:val="center"/>
              <w:rPr>
                <w:rFonts w:hint="eastAsia" w:ascii="宋体" w:hAnsi="宋体" w:cs="宋体"/>
                <w:sz w:val="24"/>
              </w:rPr>
            </w:pPr>
            <w:r>
              <w:rPr>
                <w:rFonts w:hint="eastAsia" w:ascii="宋体" w:hAnsi="宋体" w:cs="宋体"/>
                <w:sz w:val="24"/>
              </w:rPr>
              <w:t>2</w:t>
            </w:r>
          </w:p>
        </w:tc>
        <w:tc>
          <w:tcPr>
            <w:tcW w:w="1269" w:type="pct"/>
            <w:noWrap w:val="0"/>
            <w:vAlign w:val="center"/>
          </w:tcPr>
          <w:p>
            <w:pPr>
              <w:widowControl/>
              <w:ind w:right="-132" w:rightChars="-63"/>
              <w:jc w:val="left"/>
              <w:rPr>
                <w:rFonts w:hint="eastAsia" w:ascii="宋体" w:hAnsi="宋体" w:cs="宋体"/>
                <w:sz w:val="24"/>
              </w:rPr>
            </w:pPr>
            <w:r>
              <w:rPr>
                <w:rFonts w:hint="eastAsia" w:ascii="宋体" w:hAnsi="宋体" w:cs="宋体"/>
                <w:sz w:val="24"/>
              </w:rPr>
              <w:t>具有良好的商业信誉和健全的财务会计制度</w:t>
            </w:r>
          </w:p>
        </w:tc>
        <w:tc>
          <w:tcPr>
            <w:tcW w:w="2430" w:type="pct"/>
            <w:noWrap w:val="0"/>
            <w:vAlign w:val="center"/>
          </w:tcPr>
          <w:p>
            <w:pPr>
              <w:widowControl/>
              <w:ind w:right="-132" w:rightChars="-63"/>
              <w:jc w:val="left"/>
              <w:rPr>
                <w:rFonts w:hint="eastAsia" w:ascii="宋体" w:hAnsi="宋体" w:cs="宋体"/>
                <w:sz w:val="24"/>
              </w:rPr>
            </w:pPr>
            <w:r>
              <w:rPr>
                <w:rFonts w:hint="eastAsia" w:ascii="宋体" w:hAnsi="宋体" w:cs="宋体"/>
                <w:sz w:val="24"/>
                <w:shd w:val="clear" w:color="auto" w:fill="FFFFFF"/>
                <w:lang w:val="en-US" w:eastAsia="zh-CN"/>
              </w:rPr>
              <w:t>供应商</w:t>
            </w:r>
            <w:r>
              <w:rPr>
                <w:rFonts w:hint="eastAsia" w:ascii="宋体" w:hAnsi="宋体" w:cs="宋体"/>
                <w:sz w:val="24"/>
                <w:shd w:val="clear" w:color="auto" w:fill="FFFFFF"/>
              </w:rPr>
              <w:t>提供本单位</w:t>
            </w:r>
            <w:r>
              <w:rPr>
                <w:rFonts w:hint="eastAsia" w:ascii="宋体" w:hAnsi="宋体" w:cs="宋体"/>
                <w:sz w:val="24"/>
                <w:highlight w:val="none"/>
                <w:shd w:val="clear" w:color="auto" w:fill="FFFFFF"/>
                <w:lang w:val="en-US" w:eastAsia="zh-CN"/>
              </w:rPr>
              <w:t>2023</w:t>
            </w:r>
            <w:r>
              <w:rPr>
                <w:rFonts w:hint="eastAsia" w:ascii="宋体" w:hAnsi="宋体" w:cs="宋体"/>
                <w:sz w:val="24"/>
                <w:shd w:val="clear" w:color="auto" w:fill="FFFFFF"/>
                <w:lang w:val="en-US" w:eastAsia="zh-CN"/>
              </w:rPr>
              <w:t>年度</w:t>
            </w:r>
            <w:r>
              <w:rPr>
                <w:rFonts w:hint="eastAsia" w:ascii="宋体" w:hAnsi="宋体" w:cs="宋体"/>
                <w:sz w:val="24"/>
                <w:shd w:val="clear" w:color="auto" w:fill="FFFFFF"/>
              </w:rPr>
              <w:t>经会计师事务所出具的审计报告复印件并加盖</w:t>
            </w:r>
            <w:r>
              <w:rPr>
                <w:rFonts w:hint="eastAsia" w:ascii="宋体" w:hAnsi="宋体" w:cs="宋体"/>
                <w:b w:val="0"/>
                <w:bCs w:val="0"/>
                <w:sz w:val="24"/>
                <w:highlight w:val="none"/>
                <w:lang w:val="en-US" w:eastAsia="zh-CN"/>
              </w:rPr>
              <w:t>投标人</w:t>
            </w:r>
            <w:r>
              <w:rPr>
                <w:rFonts w:hint="eastAsia" w:ascii="宋体" w:hAnsi="宋体" w:cs="宋体"/>
                <w:sz w:val="24"/>
                <w:shd w:val="clear" w:color="auto" w:fill="FFFFFF"/>
              </w:rPr>
              <w:t>公章。如</w:t>
            </w:r>
            <w:r>
              <w:rPr>
                <w:rFonts w:hint="eastAsia" w:ascii="宋体" w:hAnsi="宋体" w:cs="宋体"/>
                <w:sz w:val="24"/>
                <w:shd w:val="clear" w:color="auto" w:fill="FFFFFF"/>
                <w:lang w:val="en-US" w:eastAsia="zh-CN"/>
              </w:rPr>
              <w:t>供应商</w:t>
            </w:r>
            <w:r>
              <w:rPr>
                <w:rFonts w:hint="eastAsia" w:ascii="宋体" w:hAnsi="宋体" w:cs="宋体"/>
                <w:sz w:val="24"/>
                <w:shd w:val="clear" w:color="auto" w:fill="FFFFFF"/>
              </w:rPr>
              <w:t>无法提供</w:t>
            </w:r>
            <w:r>
              <w:rPr>
                <w:rFonts w:hint="eastAsia" w:ascii="宋体" w:hAnsi="宋体" w:cs="宋体"/>
                <w:sz w:val="24"/>
                <w:shd w:val="clear" w:color="auto" w:fill="FFFFFF"/>
                <w:lang w:val="en-US" w:eastAsia="zh-CN"/>
              </w:rPr>
              <w:t>上述</w:t>
            </w:r>
            <w:r>
              <w:rPr>
                <w:rFonts w:hint="eastAsia" w:ascii="宋体" w:hAnsi="宋体" w:cs="宋体"/>
                <w:sz w:val="24"/>
                <w:shd w:val="clear" w:color="auto" w:fill="FFFFFF"/>
              </w:rPr>
              <w:t>年度审计报告，则需提供银行出具的资信证明或提供具有良好的商业信誉和健全的财务会计制度的承诺函（承诺函格式自拟并加盖</w:t>
            </w:r>
            <w:r>
              <w:rPr>
                <w:rFonts w:hint="eastAsia" w:ascii="宋体" w:hAnsi="宋体" w:cs="宋体"/>
                <w:b w:val="0"/>
                <w:bCs w:val="0"/>
                <w:sz w:val="24"/>
                <w:highlight w:val="none"/>
                <w:lang w:val="en-US" w:eastAsia="zh-CN"/>
              </w:rPr>
              <w:t>供应商</w:t>
            </w:r>
            <w:r>
              <w:rPr>
                <w:rFonts w:hint="eastAsia" w:ascii="宋体" w:hAnsi="宋体" w:cs="宋体"/>
                <w:sz w:val="24"/>
                <w:shd w:val="clear" w:color="auto" w:fill="FFFFFF"/>
              </w:rPr>
              <w:t>公章）</w:t>
            </w:r>
            <w:r>
              <w:rPr>
                <w:rFonts w:hint="eastAsia" w:ascii="宋体" w:hAnsi="宋体" w:cs="宋体"/>
                <w:sz w:val="24"/>
                <w:shd w:val="clear" w:color="auto" w:fill="FFFFFF"/>
                <w:lang w:eastAsia="zh-CN"/>
              </w:rPr>
              <w:t>；</w:t>
            </w:r>
          </w:p>
        </w:tc>
        <w:tc>
          <w:tcPr>
            <w:tcW w:w="295" w:type="pct"/>
            <w:noWrap w:val="0"/>
            <w:vAlign w:val="top"/>
          </w:tcPr>
          <w:p>
            <w:pPr>
              <w:widowControl/>
              <w:ind w:right="-132" w:rightChars="-63"/>
              <w:jc w:val="left"/>
              <w:rPr>
                <w:rFonts w:hint="eastAsia" w:ascii="宋体" w:hAnsi="宋体" w:cs="宋体"/>
                <w:sz w:val="24"/>
              </w:rPr>
            </w:pPr>
          </w:p>
        </w:tc>
        <w:tc>
          <w:tcPr>
            <w:tcW w:w="275" w:type="pct"/>
            <w:noWrap w:val="0"/>
            <w:vAlign w:val="top"/>
          </w:tcPr>
          <w:p>
            <w:pPr>
              <w:widowControl/>
              <w:ind w:right="-132" w:rightChars="-63"/>
              <w:jc w:val="left"/>
              <w:rPr>
                <w:rFonts w:hint="eastAsia" w:ascii="宋体" w:hAnsi="宋体" w:cs="宋体"/>
                <w:sz w:val="24"/>
              </w:rPr>
            </w:pPr>
          </w:p>
        </w:tc>
        <w:tc>
          <w:tcPr>
            <w:tcW w:w="289" w:type="pct"/>
            <w:noWrap w:val="0"/>
            <w:vAlign w:val="top"/>
          </w:tcPr>
          <w:p>
            <w:pPr>
              <w:widowControl/>
              <w:ind w:right="-132" w:rightChars="-63"/>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8" w:type="pct"/>
            <w:noWrap w:val="0"/>
            <w:vAlign w:val="center"/>
          </w:tcPr>
          <w:p>
            <w:pPr>
              <w:widowControl/>
              <w:ind w:right="-132" w:rightChars="-63"/>
              <w:jc w:val="center"/>
              <w:rPr>
                <w:rFonts w:hint="eastAsia" w:ascii="宋体" w:hAnsi="宋体" w:cs="宋体"/>
                <w:sz w:val="24"/>
              </w:rPr>
            </w:pPr>
            <w:r>
              <w:rPr>
                <w:rFonts w:hint="eastAsia" w:ascii="宋体" w:hAnsi="宋体" w:cs="宋体"/>
                <w:sz w:val="24"/>
              </w:rPr>
              <w:t>3</w:t>
            </w:r>
          </w:p>
        </w:tc>
        <w:tc>
          <w:tcPr>
            <w:tcW w:w="1269" w:type="pct"/>
            <w:noWrap w:val="0"/>
            <w:vAlign w:val="center"/>
          </w:tcPr>
          <w:p>
            <w:pPr>
              <w:widowControl/>
              <w:ind w:right="-132" w:rightChars="-63"/>
              <w:jc w:val="left"/>
              <w:rPr>
                <w:rFonts w:hint="eastAsia" w:ascii="宋体" w:hAnsi="宋体" w:cs="宋体"/>
                <w:sz w:val="24"/>
              </w:rPr>
            </w:pPr>
            <w:r>
              <w:rPr>
                <w:rFonts w:hint="eastAsia" w:ascii="宋体" w:hAnsi="宋体" w:cs="宋体"/>
                <w:sz w:val="24"/>
              </w:rPr>
              <w:t>具有履行合同所必需的设备和专业技术能力</w:t>
            </w:r>
          </w:p>
        </w:tc>
        <w:tc>
          <w:tcPr>
            <w:tcW w:w="2430" w:type="pct"/>
            <w:noWrap w:val="0"/>
            <w:vAlign w:val="center"/>
          </w:tcPr>
          <w:p>
            <w:pPr>
              <w:widowControl/>
              <w:ind w:right="-132" w:rightChars="-63"/>
              <w:jc w:val="left"/>
              <w:rPr>
                <w:rFonts w:hint="eastAsia" w:ascii="宋体" w:hAnsi="宋体" w:cs="宋体"/>
                <w:sz w:val="24"/>
              </w:rPr>
            </w:pPr>
            <w:r>
              <w:rPr>
                <w:rFonts w:hint="eastAsia" w:ascii="宋体" w:hAnsi="宋体" w:cs="宋体"/>
                <w:spacing w:val="-2"/>
                <w:sz w:val="24"/>
              </w:rPr>
              <w:t>提供具有履行合同所必需的设备和专业技术能力相关证明材料或承诺函；</w:t>
            </w:r>
          </w:p>
        </w:tc>
        <w:tc>
          <w:tcPr>
            <w:tcW w:w="295" w:type="pct"/>
            <w:noWrap w:val="0"/>
            <w:vAlign w:val="top"/>
          </w:tcPr>
          <w:p>
            <w:pPr>
              <w:widowControl/>
              <w:ind w:right="-132" w:rightChars="-63"/>
              <w:jc w:val="left"/>
              <w:rPr>
                <w:rFonts w:hint="eastAsia" w:ascii="宋体" w:hAnsi="宋体" w:cs="宋体"/>
                <w:sz w:val="24"/>
              </w:rPr>
            </w:pPr>
          </w:p>
        </w:tc>
        <w:tc>
          <w:tcPr>
            <w:tcW w:w="275" w:type="pct"/>
            <w:noWrap w:val="0"/>
            <w:vAlign w:val="top"/>
          </w:tcPr>
          <w:p>
            <w:pPr>
              <w:widowControl/>
              <w:ind w:right="-132" w:rightChars="-63"/>
              <w:jc w:val="left"/>
              <w:rPr>
                <w:rFonts w:hint="eastAsia" w:ascii="宋体" w:hAnsi="宋体" w:cs="宋体"/>
                <w:sz w:val="24"/>
              </w:rPr>
            </w:pPr>
          </w:p>
        </w:tc>
        <w:tc>
          <w:tcPr>
            <w:tcW w:w="289" w:type="pct"/>
            <w:noWrap w:val="0"/>
            <w:vAlign w:val="top"/>
          </w:tcPr>
          <w:p>
            <w:pPr>
              <w:widowControl/>
              <w:ind w:right="-132" w:rightChars="-63"/>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noWrap w:val="0"/>
            <w:vAlign w:val="center"/>
          </w:tcPr>
          <w:p>
            <w:pPr>
              <w:widowControl/>
              <w:ind w:right="-132" w:rightChars="-63"/>
              <w:jc w:val="center"/>
              <w:rPr>
                <w:rFonts w:hint="eastAsia" w:ascii="宋体" w:hAnsi="宋体" w:cs="宋体"/>
                <w:sz w:val="24"/>
              </w:rPr>
            </w:pPr>
            <w:r>
              <w:rPr>
                <w:rFonts w:hint="eastAsia" w:ascii="宋体" w:hAnsi="宋体" w:cs="宋体"/>
                <w:sz w:val="24"/>
              </w:rPr>
              <w:t>4</w:t>
            </w:r>
          </w:p>
        </w:tc>
        <w:tc>
          <w:tcPr>
            <w:tcW w:w="1269" w:type="pct"/>
            <w:noWrap w:val="0"/>
            <w:vAlign w:val="center"/>
          </w:tcPr>
          <w:p>
            <w:pPr>
              <w:widowControl/>
              <w:ind w:right="-132" w:rightChars="-63"/>
              <w:jc w:val="left"/>
              <w:rPr>
                <w:rFonts w:hint="eastAsia" w:ascii="宋体" w:hAnsi="宋体" w:cs="宋体"/>
                <w:sz w:val="24"/>
              </w:rPr>
            </w:pPr>
            <w:r>
              <w:rPr>
                <w:rFonts w:hint="eastAsia" w:ascii="宋体" w:hAnsi="宋体" w:cs="宋体"/>
                <w:sz w:val="24"/>
              </w:rPr>
              <w:t>有依法缴纳税收和社会保障资金的良好记录</w:t>
            </w:r>
          </w:p>
        </w:tc>
        <w:tc>
          <w:tcPr>
            <w:tcW w:w="2430" w:type="pct"/>
            <w:noWrap w:val="0"/>
            <w:vAlign w:val="center"/>
          </w:tcPr>
          <w:p>
            <w:pPr>
              <w:widowControl/>
              <w:ind w:right="-132" w:rightChars="-63"/>
              <w:jc w:val="left"/>
              <w:rPr>
                <w:rFonts w:hint="eastAsia" w:ascii="宋体" w:hAnsi="宋体" w:cs="宋体"/>
                <w:sz w:val="24"/>
              </w:rPr>
            </w:pPr>
            <w:r>
              <w:rPr>
                <w:rFonts w:hint="eastAsia" w:ascii="宋体" w:hAnsi="宋体" w:cs="宋体"/>
                <w:sz w:val="24"/>
                <w:highlight w:val="none"/>
              </w:rPr>
              <w:t>有依法缴纳税收和社会保障资金的良好记录，具体要求详见：</w:t>
            </w:r>
            <w:r>
              <w:rPr>
                <w:rFonts w:hint="eastAsia" w:ascii="宋体" w:hAnsi="宋体" w:cs="宋体"/>
                <w:sz w:val="24"/>
                <w:highlight w:val="none"/>
                <w:u w:val="single"/>
              </w:rPr>
              <w:t>第六章《响应文件格式》：有依法缴纳税收和社会保障资金的良好记录</w:t>
            </w:r>
          </w:p>
        </w:tc>
        <w:tc>
          <w:tcPr>
            <w:tcW w:w="295" w:type="pct"/>
            <w:noWrap w:val="0"/>
            <w:vAlign w:val="top"/>
          </w:tcPr>
          <w:p>
            <w:pPr>
              <w:widowControl/>
              <w:ind w:right="-132" w:rightChars="-63"/>
              <w:jc w:val="left"/>
              <w:rPr>
                <w:rFonts w:hint="eastAsia" w:ascii="宋体" w:hAnsi="宋体" w:cs="宋体"/>
                <w:sz w:val="24"/>
              </w:rPr>
            </w:pPr>
          </w:p>
        </w:tc>
        <w:tc>
          <w:tcPr>
            <w:tcW w:w="275" w:type="pct"/>
            <w:noWrap w:val="0"/>
            <w:vAlign w:val="top"/>
          </w:tcPr>
          <w:p>
            <w:pPr>
              <w:widowControl/>
              <w:ind w:right="-132" w:rightChars="-63"/>
              <w:jc w:val="left"/>
              <w:rPr>
                <w:rFonts w:hint="eastAsia" w:ascii="宋体" w:hAnsi="宋体" w:cs="宋体"/>
                <w:sz w:val="24"/>
              </w:rPr>
            </w:pPr>
          </w:p>
        </w:tc>
        <w:tc>
          <w:tcPr>
            <w:tcW w:w="289" w:type="pct"/>
            <w:noWrap w:val="0"/>
            <w:vAlign w:val="top"/>
          </w:tcPr>
          <w:p>
            <w:pPr>
              <w:widowControl/>
              <w:ind w:right="-132" w:rightChars="-63"/>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8" w:type="pct"/>
            <w:noWrap w:val="0"/>
            <w:vAlign w:val="center"/>
          </w:tcPr>
          <w:p>
            <w:pPr>
              <w:widowControl/>
              <w:ind w:right="-132" w:rightChars="-63"/>
              <w:jc w:val="center"/>
              <w:rPr>
                <w:rFonts w:hint="eastAsia" w:ascii="宋体" w:hAnsi="宋体" w:cs="宋体"/>
                <w:sz w:val="24"/>
              </w:rPr>
            </w:pPr>
            <w:r>
              <w:rPr>
                <w:rFonts w:hint="eastAsia" w:ascii="宋体" w:hAnsi="宋体" w:cs="宋体"/>
                <w:sz w:val="24"/>
              </w:rPr>
              <w:t>5</w:t>
            </w:r>
          </w:p>
        </w:tc>
        <w:tc>
          <w:tcPr>
            <w:tcW w:w="1269" w:type="pct"/>
            <w:noWrap w:val="0"/>
            <w:vAlign w:val="center"/>
          </w:tcPr>
          <w:p>
            <w:pPr>
              <w:widowControl/>
              <w:ind w:right="-132" w:rightChars="-63"/>
              <w:jc w:val="left"/>
              <w:rPr>
                <w:rFonts w:hint="eastAsia" w:ascii="宋体" w:hAnsi="宋体" w:cs="宋体"/>
                <w:spacing w:val="-2"/>
                <w:sz w:val="24"/>
              </w:rPr>
            </w:pPr>
            <w:r>
              <w:rPr>
                <w:rFonts w:hint="eastAsia" w:ascii="宋体" w:hAnsi="宋体" w:cs="宋体"/>
                <w:spacing w:val="-2"/>
                <w:sz w:val="24"/>
              </w:rPr>
              <w:t>其他特定资格证明</w:t>
            </w:r>
          </w:p>
        </w:tc>
        <w:tc>
          <w:tcPr>
            <w:tcW w:w="2430" w:type="pct"/>
            <w:noWrap w:val="0"/>
            <w:vAlign w:val="center"/>
          </w:tcPr>
          <w:p>
            <w:pPr>
              <w:widowControl/>
              <w:ind w:right="-132" w:rightChars="-63"/>
              <w:jc w:val="left"/>
              <w:rPr>
                <w:rFonts w:hint="eastAsia" w:ascii="宋体" w:hAnsi="宋体" w:cs="宋体"/>
                <w:sz w:val="24"/>
              </w:rPr>
            </w:pPr>
            <w:r>
              <w:rPr>
                <w:rFonts w:hint="eastAsia" w:ascii="宋体" w:hAnsi="宋体" w:cs="宋体"/>
                <w:sz w:val="24"/>
                <w:lang w:eastAsia="zh-CN"/>
              </w:rPr>
              <w:t>无</w:t>
            </w:r>
            <w:r>
              <w:rPr>
                <w:rFonts w:hint="eastAsia" w:ascii="宋体" w:hAnsi="宋体" w:cs="宋体"/>
                <w:sz w:val="24"/>
              </w:rPr>
              <w:t>。</w:t>
            </w:r>
          </w:p>
        </w:tc>
        <w:tc>
          <w:tcPr>
            <w:tcW w:w="295" w:type="pct"/>
            <w:noWrap w:val="0"/>
            <w:vAlign w:val="top"/>
          </w:tcPr>
          <w:p>
            <w:pPr>
              <w:widowControl/>
              <w:ind w:right="-132" w:rightChars="-63"/>
              <w:jc w:val="left"/>
              <w:rPr>
                <w:rFonts w:hint="eastAsia" w:ascii="宋体" w:hAnsi="宋体" w:cs="宋体"/>
                <w:sz w:val="24"/>
              </w:rPr>
            </w:pPr>
          </w:p>
        </w:tc>
        <w:tc>
          <w:tcPr>
            <w:tcW w:w="275" w:type="pct"/>
            <w:noWrap w:val="0"/>
            <w:vAlign w:val="top"/>
          </w:tcPr>
          <w:p>
            <w:pPr>
              <w:widowControl/>
              <w:ind w:right="-132" w:rightChars="-63"/>
              <w:jc w:val="left"/>
              <w:rPr>
                <w:rFonts w:hint="eastAsia" w:ascii="宋体" w:hAnsi="宋体" w:cs="宋体"/>
                <w:sz w:val="24"/>
              </w:rPr>
            </w:pPr>
          </w:p>
        </w:tc>
        <w:tc>
          <w:tcPr>
            <w:tcW w:w="289" w:type="pct"/>
            <w:noWrap w:val="0"/>
            <w:vAlign w:val="top"/>
          </w:tcPr>
          <w:p>
            <w:pPr>
              <w:widowControl/>
              <w:ind w:right="-132" w:rightChars="-63"/>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8" w:type="pct"/>
            <w:noWrap w:val="0"/>
            <w:vAlign w:val="center"/>
          </w:tcPr>
          <w:p>
            <w:pPr>
              <w:widowControl/>
              <w:ind w:right="-132" w:rightChars="-63"/>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269" w:type="pct"/>
            <w:noWrap w:val="0"/>
            <w:vAlign w:val="center"/>
          </w:tcPr>
          <w:p>
            <w:pPr>
              <w:widowControl/>
              <w:ind w:right="-132" w:rightChars="-63"/>
              <w:jc w:val="left"/>
              <w:rPr>
                <w:rFonts w:hint="eastAsia" w:ascii="宋体" w:hAnsi="宋体" w:cs="宋体"/>
                <w:sz w:val="24"/>
              </w:rPr>
            </w:pPr>
            <w:r>
              <w:rPr>
                <w:rFonts w:hint="eastAsia" w:ascii="宋体" w:hAnsi="宋体" w:cs="宋体"/>
                <w:sz w:val="24"/>
              </w:rPr>
              <w:t>信用报告</w:t>
            </w:r>
          </w:p>
        </w:tc>
        <w:tc>
          <w:tcPr>
            <w:tcW w:w="2430" w:type="pct"/>
            <w:noWrap w:val="0"/>
            <w:vAlign w:val="center"/>
          </w:tcPr>
          <w:p>
            <w:pPr>
              <w:widowControl/>
              <w:ind w:right="-132" w:rightChars="-63"/>
              <w:jc w:val="left"/>
              <w:rPr>
                <w:rFonts w:hint="eastAsia" w:ascii="宋体" w:hAnsi="宋体" w:cs="宋体"/>
                <w:sz w:val="24"/>
              </w:rPr>
            </w:pPr>
            <w:r>
              <w:rPr>
                <w:rFonts w:hint="eastAsia" w:ascii="宋体" w:hAnsi="宋体" w:cs="宋体"/>
                <w:bCs/>
                <w:kern w:val="0"/>
                <w:sz w:val="24"/>
              </w:rPr>
              <w:t>通过“信用中国”网站（www.creditchina.gov.cn）和中国政府采购网（www.ccgp.gov.cn）查询信用记录（截止时间点为投标截止时间），未被列入失信被执行人、重大税收违法案件当事人名单或政府采购严重违法失信行为记录名单的供应商；</w:t>
            </w:r>
          </w:p>
        </w:tc>
        <w:tc>
          <w:tcPr>
            <w:tcW w:w="295" w:type="pct"/>
            <w:noWrap w:val="0"/>
            <w:vAlign w:val="top"/>
          </w:tcPr>
          <w:p>
            <w:pPr>
              <w:widowControl/>
              <w:ind w:right="-132" w:rightChars="-63"/>
              <w:jc w:val="left"/>
              <w:rPr>
                <w:rFonts w:hint="eastAsia" w:ascii="宋体" w:hAnsi="宋体" w:cs="宋体"/>
                <w:sz w:val="24"/>
              </w:rPr>
            </w:pPr>
          </w:p>
        </w:tc>
        <w:tc>
          <w:tcPr>
            <w:tcW w:w="275" w:type="pct"/>
            <w:noWrap w:val="0"/>
            <w:vAlign w:val="top"/>
          </w:tcPr>
          <w:p>
            <w:pPr>
              <w:widowControl/>
              <w:ind w:right="-132" w:rightChars="-63"/>
              <w:jc w:val="left"/>
              <w:rPr>
                <w:rFonts w:hint="eastAsia" w:ascii="宋体" w:hAnsi="宋体" w:cs="宋体"/>
                <w:sz w:val="24"/>
              </w:rPr>
            </w:pPr>
          </w:p>
        </w:tc>
        <w:tc>
          <w:tcPr>
            <w:tcW w:w="289" w:type="pct"/>
            <w:noWrap w:val="0"/>
            <w:vAlign w:val="top"/>
          </w:tcPr>
          <w:p>
            <w:pPr>
              <w:widowControl/>
              <w:ind w:right="-132" w:rightChars="-63"/>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8" w:type="pct"/>
            <w:noWrap w:val="0"/>
            <w:vAlign w:val="center"/>
          </w:tcPr>
          <w:p>
            <w:pPr>
              <w:widowControl/>
              <w:ind w:right="-132" w:rightChars="-63"/>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269" w:type="pct"/>
            <w:noWrap w:val="0"/>
            <w:vAlign w:val="center"/>
          </w:tcPr>
          <w:p>
            <w:pPr>
              <w:widowControl/>
              <w:ind w:right="-132" w:rightChars="-63"/>
              <w:jc w:val="left"/>
              <w:rPr>
                <w:rFonts w:hint="eastAsia" w:ascii="宋体" w:hAnsi="宋体" w:cs="宋体"/>
                <w:sz w:val="24"/>
              </w:rPr>
            </w:pPr>
            <w:r>
              <w:rPr>
                <w:rFonts w:hint="eastAsia" w:ascii="宋体" w:hAnsi="宋体" w:cs="宋体"/>
                <w:sz w:val="24"/>
              </w:rPr>
              <w:t>响应承诺函</w:t>
            </w:r>
          </w:p>
        </w:tc>
        <w:tc>
          <w:tcPr>
            <w:tcW w:w="2430" w:type="pct"/>
            <w:noWrap w:val="0"/>
            <w:vAlign w:val="center"/>
          </w:tcPr>
          <w:p>
            <w:pPr>
              <w:widowControl/>
              <w:ind w:right="-132" w:rightChars="-63"/>
              <w:jc w:val="left"/>
              <w:rPr>
                <w:rFonts w:hint="eastAsia" w:ascii="宋体" w:hAnsi="宋体" w:cs="宋体"/>
                <w:sz w:val="24"/>
              </w:rPr>
            </w:pPr>
            <w:r>
              <w:rPr>
                <w:rFonts w:hint="eastAsia" w:ascii="宋体" w:hAnsi="宋体" w:cs="宋体"/>
                <w:sz w:val="24"/>
              </w:rPr>
              <w:t>对响应文件中提供的所有资料的真实性、合法性，没有不实的描述、承诺。</w:t>
            </w:r>
          </w:p>
        </w:tc>
        <w:tc>
          <w:tcPr>
            <w:tcW w:w="295" w:type="pct"/>
            <w:noWrap w:val="0"/>
            <w:vAlign w:val="top"/>
          </w:tcPr>
          <w:p>
            <w:pPr>
              <w:widowControl/>
              <w:ind w:right="-132" w:rightChars="-63"/>
              <w:jc w:val="left"/>
              <w:rPr>
                <w:rFonts w:hint="eastAsia" w:ascii="宋体" w:hAnsi="宋体" w:cs="宋体"/>
                <w:sz w:val="24"/>
              </w:rPr>
            </w:pPr>
          </w:p>
        </w:tc>
        <w:tc>
          <w:tcPr>
            <w:tcW w:w="275" w:type="pct"/>
            <w:noWrap w:val="0"/>
            <w:vAlign w:val="top"/>
          </w:tcPr>
          <w:p>
            <w:pPr>
              <w:widowControl/>
              <w:ind w:right="-132" w:rightChars="-63"/>
              <w:jc w:val="left"/>
              <w:rPr>
                <w:rFonts w:hint="eastAsia" w:ascii="宋体" w:hAnsi="宋体" w:cs="宋体"/>
                <w:sz w:val="24"/>
              </w:rPr>
            </w:pPr>
          </w:p>
        </w:tc>
        <w:tc>
          <w:tcPr>
            <w:tcW w:w="289" w:type="pct"/>
            <w:noWrap w:val="0"/>
            <w:vAlign w:val="top"/>
          </w:tcPr>
          <w:p>
            <w:pPr>
              <w:widowControl/>
              <w:ind w:right="-132" w:rightChars="-63"/>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8" w:type="pct"/>
            <w:noWrap w:val="0"/>
            <w:vAlign w:val="center"/>
          </w:tcPr>
          <w:p>
            <w:pPr>
              <w:widowControl/>
              <w:ind w:right="-132" w:rightChars="-63"/>
              <w:jc w:val="center"/>
              <w:rPr>
                <w:rFonts w:hint="eastAsia" w:ascii="宋体" w:hAnsi="宋体" w:eastAsia="宋体" w:cs="宋体"/>
                <w:sz w:val="24"/>
                <w:lang w:eastAsia="zh-CN"/>
              </w:rPr>
            </w:pPr>
            <w:r>
              <w:rPr>
                <w:rFonts w:hint="eastAsia" w:ascii="宋体" w:hAnsi="宋体" w:cs="宋体"/>
                <w:sz w:val="24"/>
                <w:highlight w:val="none"/>
                <w:lang w:val="en-US" w:eastAsia="zh-CN"/>
              </w:rPr>
              <w:t>8</w:t>
            </w:r>
          </w:p>
        </w:tc>
        <w:tc>
          <w:tcPr>
            <w:tcW w:w="1269" w:type="pct"/>
            <w:noWrap w:val="0"/>
            <w:vAlign w:val="center"/>
          </w:tcPr>
          <w:p>
            <w:pPr>
              <w:widowControl/>
              <w:ind w:right="-132" w:rightChars="-63"/>
              <w:jc w:val="left"/>
              <w:rPr>
                <w:rFonts w:hint="eastAsia" w:ascii="宋体" w:hAnsi="宋体" w:cs="宋体"/>
                <w:sz w:val="24"/>
              </w:rPr>
            </w:pPr>
            <w:r>
              <w:rPr>
                <w:rFonts w:hint="eastAsia" w:ascii="宋体" w:hAnsi="宋体" w:cs="宋体"/>
                <w:sz w:val="24"/>
                <w:highlight w:val="none"/>
                <w:lang w:val="en-US" w:eastAsia="zh-CN"/>
              </w:rPr>
              <w:t>无</w:t>
            </w:r>
            <w:r>
              <w:rPr>
                <w:rFonts w:hint="eastAsia" w:ascii="宋体" w:hAnsi="宋体" w:cs="宋体"/>
                <w:sz w:val="24"/>
                <w:highlight w:val="none"/>
              </w:rPr>
              <w:t>重大违法记录承诺函</w:t>
            </w:r>
          </w:p>
        </w:tc>
        <w:tc>
          <w:tcPr>
            <w:tcW w:w="2430" w:type="pct"/>
            <w:noWrap w:val="0"/>
            <w:vAlign w:val="center"/>
          </w:tcPr>
          <w:p>
            <w:pPr>
              <w:widowControl/>
              <w:ind w:right="-132" w:rightChars="-63"/>
              <w:jc w:val="left"/>
              <w:rPr>
                <w:rFonts w:hint="eastAsia" w:ascii="宋体" w:hAnsi="宋体" w:cs="宋体"/>
                <w:sz w:val="24"/>
              </w:rPr>
            </w:pPr>
            <w:r>
              <w:rPr>
                <w:rFonts w:hint="eastAsia" w:ascii="宋体" w:hAnsi="宋体" w:cs="宋体"/>
                <w:sz w:val="24"/>
                <w:highlight w:val="none"/>
              </w:rPr>
              <w:t>参加政府采购活动前三年内，在经营活动中没有重大违法记录；</w:t>
            </w:r>
          </w:p>
        </w:tc>
        <w:tc>
          <w:tcPr>
            <w:tcW w:w="295" w:type="pct"/>
            <w:noWrap w:val="0"/>
            <w:vAlign w:val="top"/>
          </w:tcPr>
          <w:p>
            <w:pPr>
              <w:widowControl/>
              <w:ind w:right="-132" w:rightChars="-63"/>
              <w:jc w:val="left"/>
              <w:rPr>
                <w:rFonts w:hint="eastAsia" w:ascii="宋体" w:hAnsi="宋体" w:cs="宋体"/>
                <w:sz w:val="24"/>
              </w:rPr>
            </w:pPr>
          </w:p>
        </w:tc>
        <w:tc>
          <w:tcPr>
            <w:tcW w:w="275" w:type="pct"/>
            <w:noWrap w:val="0"/>
            <w:vAlign w:val="top"/>
          </w:tcPr>
          <w:p>
            <w:pPr>
              <w:widowControl/>
              <w:ind w:right="-132" w:rightChars="-63"/>
              <w:jc w:val="left"/>
              <w:rPr>
                <w:rFonts w:hint="eastAsia" w:ascii="宋体" w:hAnsi="宋体" w:cs="宋体"/>
                <w:sz w:val="24"/>
              </w:rPr>
            </w:pPr>
          </w:p>
        </w:tc>
        <w:tc>
          <w:tcPr>
            <w:tcW w:w="289" w:type="pct"/>
            <w:noWrap w:val="0"/>
            <w:vAlign w:val="top"/>
          </w:tcPr>
          <w:p>
            <w:pPr>
              <w:widowControl/>
              <w:ind w:right="-132" w:rightChars="-63"/>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8" w:type="pct"/>
            <w:noWrap w:val="0"/>
            <w:vAlign w:val="center"/>
          </w:tcPr>
          <w:p>
            <w:pPr>
              <w:widowControl/>
              <w:ind w:right="-132" w:rightChars="-63"/>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9</w:t>
            </w:r>
          </w:p>
        </w:tc>
        <w:tc>
          <w:tcPr>
            <w:tcW w:w="1269" w:type="pct"/>
            <w:noWrap w:val="0"/>
            <w:vAlign w:val="center"/>
          </w:tcPr>
          <w:p>
            <w:pPr>
              <w:widowControl/>
              <w:ind w:right="-132" w:rightChars="-63"/>
              <w:jc w:val="left"/>
              <w:rPr>
                <w:rFonts w:hint="default" w:ascii="宋体" w:hAnsi="宋体" w:cs="宋体"/>
                <w:sz w:val="24"/>
                <w:highlight w:val="none"/>
                <w:lang w:val="en-US" w:eastAsia="zh-CN"/>
              </w:rPr>
            </w:pPr>
            <w:r>
              <w:rPr>
                <w:rFonts w:hint="eastAsia" w:ascii="宋体" w:hAnsi="宋体" w:cs="宋体"/>
                <w:sz w:val="24"/>
                <w:highlight w:val="none"/>
                <w:lang w:val="en-US" w:eastAsia="zh-CN"/>
              </w:rPr>
              <w:t>中小企业声明函</w:t>
            </w:r>
          </w:p>
        </w:tc>
        <w:tc>
          <w:tcPr>
            <w:tcW w:w="2430" w:type="pct"/>
            <w:noWrap w:val="0"/>
            <w:vAlign w:val="center"/>
          </w:tcPr>
          <w:p>
            <w:pPr>
              <w:widowControl/>
              <w:ind w:right="-132" w:rightChars="-63"/>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本项目专门面向中小企业采购，供应商应根据《中小企业声明函》格式如实提供，且产品制造商符合本项目要求。</w:t>
            </w:r>
          </w:p>
        </w:tc>
        <w:tc>
          <w:tcPr>
            <w:tcW w:w="295" w:type="pct"/>
            <w:noWrap w:val="0"/>
            <w:vAlign w:val="top"/>
          </w:tcPr>
          <w:p>
            <w:pPr>
              <w:widowControl/>
              <w:ind w:right="-132" w:rightChars="-63"/>
              <w:jc w:val="left"/>
              <w:rPr>
                <w:rFonts w:hint="eastAsia" w:ascii="宋体" w:hAnsi="宋体" w:cs="宋体"/>
                <w:sz w:val="24"/>
              </w:rPr>
            </w:pPr>
          </w:p>
        </w:tc>
        <w:tc>
          <w:tcPr>
            <w:tcW w:w="275" w:type="pct"/>
            <w:noWrap w:val="0"/>
            <w:vAlign w:val="top"/>
          </w:tcPr>
          <w:p>
            <w:pPr>
              <w:widowControl/>
              <w:ind w:right="-132" w:rightChars="-63"/>
              <w:jc w:val="left"/>
              <w:rPr>
                <w:rFonts w:hint="eastAsia" w:ascii="宋体" w:hAnsi="宋体" w:cs="宋体"/>
                <w:sz w:val="24"/>
              </w:rPr>
            </w:pPr>
          </w:p>
        </w:tc>
        <w:tc>
          <w:tcPr>
            <w:tcW w:w="289" w:type="pct"/>
            <w:noWrap w:val="0"/>
            <w:vAlign w:val="top"/>
          </w:tcPr>
          <w:p>
            <w:pPr>
              <w:widowControl/>
              <w:ind w:right="-132" w:rightChars="-63"/>
              <w:jc w:val="left"/>
              <w:rPr>
                <w:rFonts w:hint="eastAsia" w:ascii="宋体" w:hAnsi="宋体" w:cs="宋体"/>
                <w:sz w:val="24"/>
              </w:rPr>
            </w:pPr>
          </w:p>
        </w:tc>
      </w:tr>
    </w:tbl>
    <w:p>
      <w:pPr>
        <w:widowControl/>
        <w:ind w:right="-132" w:rightChars="-63"/>
        <w:jc w:val="left"/>
        <w:rPr>
          <w:rFonts w:hint="eastAsia" w:ascii="宋体" w:hAnsi="宋体" w:cs="宋体"/>
          <w:sz w:val="24"/>
        </w:rPr>
      </w:pPr>
    </w:p>
    <w:p>
      <w:pPr>
        <w:widowControl/>
        <w:ind w:right="-132" w:rightChars="-63"/>
        <w:jc w:val="left"/>
        <w:rPr>
          <w:rFonts w:hint="eastAsia" w:ascii="宋体" w:hAnsi="宋体" w:cs="宋体"/>
          <w:sz w:val="24"/>
        </w:rPr>
      </w:pPr>
      <w:r>
        <w:rPr>
          <w:rFonts w:hint="eastAsia" w:ascii="宋体" w:hAnsi="宋体" w:cs="宋体"/>
          <w:sz w:val="24"/>
        </w:rPr>
        <w:t xml:space="preserve">  1.4、《符合性审查要求》见下表：供应商符合国家或者磋商文件规定的审查条件</w:t>
      </w:r>
    </w:p>
    <w:p>
      <w:pPr>
        <w:widowControl/>
        <w:spacing w:line="360" w:lineRule="auto"/>
        <w:jc w:val="center"/>
        <w:rPr>
          <w:rFonts w:hint="eastAsia" w:ascii="宋体" w:hAnsi="宋体" w:cs="宋体"/>
          <w:b/>
          <w:kern w:val="0"/>
          <w:sz w:val="24"/>
        </w:rPr>
      </w:pPr>
    </w:p>
    <w:p>
      <w:pPr>
        <w:widowControl/>
        <w:spacing w:line="360" w:lineRule="auto"/>
        <w:jc w:val="center"/>
        <w:rPr>
          <w:rFonts w:hint="eastAsia" w:ascii="宋体" w:hAnsi="宋体" w:cs="宋体"/>
          <w:b/>
          <w:kern w:val="0"/>
          <w:sz w:val="24"/>
        </w:rPr>
      </w:pPr>
      <w:r>
        <w:rPr>
          <w:rFonts w:hint="eastAsia" w:ascii="宋体" w:hAnsi="宋体" w:cs="宋体"/>
          <w:b/>
          <w:kern w:val="0"/>
          <w:sz w:val="24"/>
        </w:rPr>
        <w:t>符合性审查要求</w:t>
      </w:r>
    </w:p>
    <w:tbl>
      <w:tblPr>
        <w:tblStyle w:val="46"/>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41" w:type="pct"/>
            <w:noWrap w:val="0"/>
            <w:vAlign w:val="center"/>
          </w:tcPr>
          <w:p>
            <w:pPr>
              <w:widowControl/>
              <w:jc w:val="center"/>
              <w:rPr>
                <w:rFonts w:hint="eastAsia" w:ascii="宋体" w:hAnsi="宋体" w:cs="宋体"/>
                <w:b/>
                <w:kern w:val="0"/>
                <w:sz w:val="24"/>
              </w:rPr>
            </w:pPr>
            <w:r>
              <w:rPr>
                <w:rFonts w:hint="eastAsia" w:ascii="宋体" w:hAnsi="宋体" w:cs="宋体"/>
                <w:b/>
                <w:kern w:val="0"/>
                <w:sz w:val="24"/>
              </w:rPr>
              <w:t>序号</w:t>
            </w:r>
          </w:p>
        </w:tc>
        <w:tc>
          <w:tcPr>
            <w:tcW w:w="4558" w:type="pct"/>
            <w:noWrap w:val="0"/>
            <w:vAlign w:val="center"/>
          </w:tcPr>
          <w:p>
            <w:pPr>
              <w:widowControl/>
              <w:jc w:val="center"/>
              <w:rPr>
                <w:rFonts w:hint="eastAsia" w:ascii="宋体" w:hAnsi="宋体" w:cs="宋体"/>
                <w:b/>
                <w:kern w:val="0"/>
                <w:sz w:val="24"/>
              </w:rPr>
            </w:pPr>
            <w:r>
              <w:rPr>
                <w:rFonts w:hint="eastAsia" w:ascii="宋体" w:hAnsi="宋体" w:cs="宋体"/>
                <w:b/>
                <w:sz w:val="24"/>
              </w:rPr>
              <w:t>检查</w:t>
            </w:r>
            <w:r>
              <w:rPr>
                <w:rFonts w:hint="eastAsia" w:ascii="宋体" w:hAnsi="宋体" w:cs="宋体"/>
                <w:b/>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1" w:type="pct"/>
            <w:noWrap w:val="0"/>
            <w:vAlign w:val="center"/>
          </w:tcPr>
          <w:p>
            <w:pPr>
              <w:widowControl/>
              <w:numPr>
                <w:ilvl w:val="0"/>
                <w:numId w:val="11"/>
              </w:numPr>
              <w:ind w:left="425" w:leftChars="0" w:hanging="425" w:firstLineChars="0"/>
              <w:jc w:val="center"/>
              <w:rPr>
                <w:rFonts w:hint="eastAsia" w:ascii="宋体" w:hAnsi="宋体" w:cs="宋体"/>
                <w:kern w:val="0"/>
                <w:sz w:val="24"/>
              </w:rPr>
            </w:pPr>
          </w:p>
        </w:tc>
        <w:tc>
          <w:tcPr>
            <w:tcW w:w="4558" w:type="pct"/>
            <w:noWrap w:val="0"/>
            <w:vAlign w:val="center"/>
          </w:tcPr>
          <w:p>
            <w:pPr>
              <w:widowControl/>
              <w:jc w:val="left"/>
              <w:rPr>
                <w:rFonts w:hint="eastAsia" w:ascii="宋体" w:hAnsi="宋体" w:cs="宋体"/>
                <w:kern w:val="0"/>
                <w:sz w:val="24"/>
              </w:rPr>
            </w:pPr>
            <w:r>
              <w:rPr>
                <w:rFonts w:hint="eastAsia" w:ascii="宋体" w:hAnsi="宋体" w:cs="宋体"/>
                <w:sz w:val="24"/>
              </w:rPr>
              <w:t>响应文件按照磋商文件要求签署、盖章、提交，签字人有法定代表人有效委托书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1" w:type="pct"/>
            <w:noWrap w:val="0"/>
            <w:vAlign w:val="center"/>
          </w:tcPr>
          <w:p>
            <w:pPr>
              <w:widowControl/>
              <w:numPr>
                <w:ilvl w:val="0"/>
                <w:numId w:val="11"/>
              </w:numPr>
              <w:ind w:left="425" w:leftChars="0" w:hanging="425" w:firstLineChars="0"/>
              <w:jc w:val="center"/>
              <w:rPr>
                <w:rFonts w:hint="eastAsia" w:ascii="宋体" w:hAnsi="宋体" w:cs="宋体"/>
                <w:kern w:val="0"/>
                <w:sz w:val="24"/>
              </w:rPr>
            </w:pPr>
          </w:p>
        </w:tc>
        <w:tc>
          <w:tcPr>
            <w:tcW w:w="4558" w:type="pct"/>
            <w:noWrap w:val="0"/>
            <w:vAlign w:val="center"/>
          </w:tcPr>
          <w:p>
            <w:pPr>
              <w:widowControl/>
              <w:jc w:val="left"/>
              <w:rPr>
                <w:rFonts w:hint="eastAsia" w:ascii="宋体" w:hAnsi="宋体" w:cs="宋体"/>
                <w:kern w:val="0"/>
                <w:sz w:val="24"/>
              </w:rPr>
            </w:pPr>
            <w:r>
              <w:rPr>
                <w:rFonts w:hint="eastAsia" w:ascii="宋体" w:hAnsi="宋体" w:cs="宋体"/>
                <w:sz w:val="24"/>
              </w:rPr>
              <w:t>报价未超过磋商文件中规定的预算金额或者最高限价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41" w:type="pct"/>
            <w:noWrap w:val="0"/>
            <w:vAlign w:val="center"/>
          </w:tcPr>
          <w:p>
            <w:pPr>
              <w:widowControl/>
              <w:numPr>
                <w:ilvl w:val="0"/>
                <w:numId w:val="11"/>
              </w:numPr>
              <w:ind w:left="425" w:leftChars="0" w:hanging="425" w:firstLineChars="0"/>
              <w:jc w:val="center"/>
              <w:rPr>
                <w:rFonts w:hint="eastAsia" w:ascii="宋体" w:hAnsi="宋体" w:cs="宋体"/>
                <w:kern w:val="0"/>
                <w:sz w:val="24"/>
              </w:rPr>
            </w:pPr>
          </w:p>
        </w:tc>
        <w:tc>
          <w:tcPr>
            <w:tcW w:w="4558" w:type="pct"/>
            <w:noWrap w:val="0"/>
            <w:vAlign w:val="center"/>
          </w:tcPr>
          <w:p>
            <w:pPr>
              <w:widowControl/>
              <w:jc w:val="left"/>
              <w:rPr>
                <w:rFonts w:hint="eastAsia" w:ascii="宋体" w:hAnsi="宋体" w:cs="宋体"/>
                <w:kern w:val="0"/>
                <w:sz w:val="24"/>
              </w:rPr>
            </w:pPr>
            <w:r>
              <w:rPr>
                <w:rFonts w:hint="eastAsia" w:ascii="宋体" w:hAnsi="宋体" w:cs="宋体"/>
                <w:sz w:val="24"/>
              </w:rPr>
              <w:t>合同履行期限满足磋商文件要求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1" w:type="pct"/>
            <w:noWrap w:val="0"/>
            <w:vAlign w:val="center"/>
          </w:tcPr>
          <w:p>
            <w:pPr>
              <w:widowControl/>
              <w:numPr>
                <w:ilvl w:val="0"/>
                <w:numId w:val="11"/>
              </w:numPr>
              <w:ind w:left="425" w:leftChars="0" w:hanging="425" w:firstLineChars="0"/>
              <w:jc w:val="center"/>
              <w:rPr>
                <w:rFonts w:hint="eastAsia" w:ascii="宋体" w:hAnsi="宋体" w:cs="宋体"/>
                <w:kern w:val="0"/>
                <w:sz w:val="24"/>
              </w:rPr>
            </w:pPr>
          </w:p>
        </w:tc>
        <w:tc>
          <w:tcPr>
            <w:tcW w:w="4558" w:type="pct"/>
            <w:noWrap w:val="0"/>
            <w:vAlign w:val="center"/>
          </w:tcPr>
          <w:p>
            <w:pPr>
              <w:widowControl/>
              <w:jc w:val="left"/>
              <w:rPr>
                <w:rFonts w:hint="eastAsia" w:ascii="宋体" w:hAnsi="宋体" w:cs="宋体"/>
                <w:kern w:val="0"/>
                <w:sz w:val="24"/>
              </w:rPr>
            </w:pPr>
            <w:r>
              <w:rPr>
                <w:rFonts w:hint="eastAsia" w:ascii="宋体" w:hAnsi="宋体" w:cs="宋体"/>
                <w:sz w:val="24"/>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41" w:type="pct"/>
            <w:noWrap w:val="0"/>
            <w:vAlign w:val="center"/>
          </w:tcPr>
          <w:p>
            <w:pPr>
              <w:widowControl/>
              <w:numPr>
                <w:ilvl w:val="0"/>
                <w:numId w:val="11"/>
              </w:numPr>
              <w:ind w:left="425" w:leftChars="0" w:hanging="425" w:firstLineChars="0"/>
              <w:jc w:val="center"/>
              <w:rPr>
                <w:rFonts w:hint="eastAsia" w:ascii="宋体" w:hAnsi="宋体" w:cs="宋体"/>
                <w:kern w:val="0"/>
                <w:sz w:val="24"/>
              </w:rPr>
            </w:pPr>
          </w:p>
        </w:tc>
        <w:tc>
          <w:tcPr>
            <w:tcW w:w="4558" w:type="pct"/>
            <w:noWrap w:val="0"/>
            <w:vAlign w:val="center"/>
          </w:tcPr>
          <w:p>
            <w:pPr>
              <w:widowControl/>
              <w:jc w:val="left"/>
              <w:rPr>
                <w:rFonts w:hint="eastAsia" w:ascii="宋体" w:hAnsi="宋体" w:cs="宋体"/>
                <w:kern w:val="0"/>
                <w:sz w:val="24"/>
              </w:rPr>
            </w:pPr>
            <w:r>
              <w:rPr>
                <w:rFonts w:hint="eastAsia" w:ascii="宋体" w:hAnsi="宋体" w:cs="宋体"/>
                <w:sz w:val="24"/>
              </w:rPr>
              <w:t>磋商有效期满足磋商文件要求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41" w:type="pct"/>
            <w:noWrap w:val="0"/>
            <w:vAlign w:val="center"/>
          </w:tcPr>
          <w:p>
            <w:pPr>
              <w:widowControl/>
              <w:numPr>
                <w:ilvl w:val="0"/>
                <w:numId w:val="11"/>
              </w:numPr>
              <w:ind w:left="425" w:leftChars="0" w:hanging="425" w:firstLineChars="0"/>
              <w:jc w:val="center"/>
              <w:rPr>
                <w:rFonts w:hint="eastAsia" w:ascii="宋体" w:hAnsi="宋体" w:cs="宋体"/>
                <w:kern w:val="0"/>
                <w:sz w:val="24"/>
              </w:rPr>
            </w:pPr>
          </w:p>
        </w:tc>
        <w:tc>
          <w:tcPr>
            <w:tcW w:w="4558" w:type="pct"/>
            <w:noWrap w:val="0"/>
            <w:vAlign w:val="center"/>
          </w:tcPr>
          <w:p>
            <w:pPr>
              <w:widowControl/>
              <w:jc w:val="left"/>
              <w:rPr>
                <w:rFonts w:hint="eastAsia" w:ascii="宋体" w:hAnsi="宋体" w:cs="宋体"/>
                <w:sz w:val="24"/>
              </w:rPr>
            </w:pPr>
            <w:r>
              <w:rPr>
                <w:rFonts w:hint="eastAsia" w:ascii="宋体" w:hAnsi="宋体" w:cs="宋体"/>
                <w:sz w:val="24"/>
              </w:rPr>
              <w:t>供应商未在同一份响应文件中，对同一货物或服务报有两个或多个报价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1" w:type="pct"/>
            <w:noWrap w:val="0"/>
            <w:vAlign w:val="center"/>
          </w:tcPr>
          <w:p>
            <w:pPr>
              <w:widowControl/>
              <w:numPr>
                <w:ilvl w:val="0"/>
                <w:numId w:val="11"/>
              </w:numPr>
              <w:ind w:left="425" w:leftChars="0" w:hanging="425" w:firstLineChars="0"/>
              <w:jc w:val="center"/>
              <w:rPr>
                <w:rFonts w:hint="eastAsia" w:ascii="宋体" w:hAnsi="宋体" w:cs="宋体"/>
                <w:kern w:val="0"/>
                <w:sz w:val="24"/>
              </w:rPr>
            </w:pPr>
          </w:p>
        </w:tc>
        <w:tc>
          <w:tcPr>
            <w:tcW w:w="4558" w:type="pct"/>
            <w:noWrap w:val="0"/>
            <w:vAlign w:val="center"/>
          </w:tcPr>
          <w:p>
            <w:pPr>
              <w:widowControl/>
              <w:jc w:val="left"/>
              <w:rPr>
                <w:rFonts w:hint="eastAsia" w:ascii="宋体" w:hAnsi="宋体" w:cs="宋体"/>
                <w:sz w:val="24"/>
              </w:rPr>
            </w:pPr>
            <w:r>
              <w:rPr>
                <w:rFonts w:hint="eastAsia" w:ascii="宋体" w:hAnsi="宋体" w:cs="宋体"/>
                <w:sz w:val="24"/>
              </w:rPr>
              <w:t>供应商没有串通投标、弄虚作假、行贿等违法行为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41" w:type="pct"/>
            <w:noWrap w:val="0"/>
            <w:vAlign w:val="center"/>
          </w:tcPr>
          <w:p>
            <w:pPr>
              <w:widowControl/>
              <w:numPr>
                <w:ilvl w:val="0"/>
                <w:numId w:val="11"/>
              </w:numPr>
              <w:ind w:left="425" w:leftChars="0" w:hanging="425" w:firstLineChars="0"/>
              <w:jc w:val="center"/>
              <w:rPr>
                <w:rFonts w:hint="eastAsia" w:ascii="宋体" w:hAnsi="宋体" w:cs="宋体"/>
                <w:kern w:val="0"/>
                <w:sz w:val="24"/>
              </w:rPr>
            </w:pPr>
          </w:p>
        </w:tc>
        <w:tc>
          <w:tcPr>
            <w:tcW w:w="4558" w:type="pct"/>
            <w:noWrap w:val="0"/>
            <w:vAlign w:val="center"/>
          </w:tcPr>
          <w:p>
            <w:pPr>
              <w:widowControl/>
              <w:jc w:val="left"/>
              <w:rPr>
                <w:rFonts w:hint="eastAsia" w:ascii="宋体" w:hAnsi="宋体" w:cs="宋体"/>
                <w:sz w:val="24"/>
              </w:rPr>
            </w:pPr>
            <w:r>
              <w:rPr>
                <w:rFonts w:hint="eastAsia" w:ascii="宋体" w:hAnsi="宋体" w:cs="宋体"/>
                <w:sz w:val="24"/>
              </w:rPr>
              <w:t>响应文件对磋商文件的实质性要求和条件作出响应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1" w:type="pct"/>
            <w:noWrap w:val="0"/>
            <w:vAlign w:val="center"/>
          </w:tcPr>
          <w:p>
            <w:pPr>
              <w:widowControl/>
              <w:numPr>
                <w:ilvl w:val="0"/>
                <w:numId w:val="11"/>
              </w:numPr>
              <w:ind w:left="425" w:leftChars="0" w:hanging="425" w:firstLineChars="0"/>
              <w:jc w:val="center"/>
              <w:rPr>
                <w:rFonts w:hint="eastAsia" w:ascii="宋体" w:hAnsi="宋体" w:cs="宋体"/>
                <w:kern w:val="0"/>
                <w:sz w:val="24"/>
              </w:rPr>
            </w:pPr>
          </w:p>
        </w:tc>
        <w:tc>
          <w:tcPr>
            <w:tcW w:w="4558" w:type="pct"/>
            <w:noWrap w:val="0"/>
            <w:vAlign w:val="center"/>
          </w:tcPr>
          <w:p>
            <w:pPr>
              <w:widowControl/>
              <w:jc w:val="left"/>
              <w:rPr>
                <w:rFonts w:hint="eastAsia" w:ascii="宋体" w:hAnsi="宋体" w:cs="宋体"/>
                <w:sz w:val="24"/>
              </w:rPr>
            </w:pPr>
            <w:r>
              <w:rPr>
                <w:rFonts w:hint="eastAsia" w:ascii="宋体" w:hAnsi="宋体" w:cs="宋体"/>
                <w:sz w:val="24"/>
              </w:rPr>
              <w:t>不存在法律、法规和磋商文件中规定的其他无效情形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1" w:type="pct"/>
            <w:noWrap w:val="0"/>
            <w:vAlign w:val="center"/>
          </w:tcPr>
          <w:p>
            <w:pPr>
              <w:widowControl/>
              <w:numPr>
                <w:ilvl w:val="0"/>
                <w:numId w:val="11"/>
              </w:numPr>
              <w:ind w:left="425" w:leftChars="0" w:hanging="425" w:firstLineChars="0"/>
              <w:jc w:val="center"/>
              <w:rPr>
                <w:rFonts w:hint="default" w:ascii="宋体" w:hAnsi="宋体" w:eastAsia="宋体" w:cs="宋体"/>
                <w:kern w:val="0"/>
                <w:sz w:val="24"/>
                <w:lang w:val="en-US" w:eastAsia="zh-CN"/>
              </w:rPr>
            </w:pPr>
          </w:p>
        </w:tc>
        <w:tc>
          <w:tcPr>
            <w:tcW w:w="4558" w:type="pct"/>
            <w:noWrap w:val="0"/>
            <w:vAlign w:val="center"/>
          </w:tcPr>
          <w:p>
            <w:pPr>
              <w:widowControl/>
              <w:jc w:val="left"/>
              <w:rPr>
                <w:rFonts w:hint="eastAsia" w:ascii="宋体" w:hAnsi="宋体" w:cs="宋体"/>
                <w:sz w:val="24"/>
              </w:rPr>
            </w:pPr>
            <w:r>
              <w:rPr>
                <w:rFonts w:hint="eastAsia" w:ascii="宋体" w:hAnsi="宋体" w:cs="宋体"/>
                <w:sz w:val="24"/>
              </w:rPr>
              <w:t>按照</w:t>
            </w:r>
            <w:r>
              <w:rPr>
                <w:rFonts w:hint="eastAsia" w:ascii="宋体" w:hAnsi="宋体" w:cs="宋体"/>
                <w:sz w:val="24"/>
                <w:lang w:val="en-US" w:eastAsia="zh-CN"/>
              </w:rPr>
              <w:t>供应商须知</w:t>
            </w:r>
            <w:r>
              <w:rPr>
                <w:rFonts w:hint="eastAsia" w:ascii="宋体" w:hAnsi="宋体" w:cs="宋体"/>
                <w:sz w:val="24"/>
              </w:rPr>
              <w:t>要求金额递交了投标保证金，并提供了投标保证金缴纳证明材料</w:t>
            </w:r>
          </w:p>
        </w:tc>
      </w:tr>
    </w:tbl>
    <w:p>
      <w:pPr>
        <w:tabs>
          <w:tab w:val="left" w:pos="360"/>
        </w:tabs>
        <w:snapToGrid w:val="0"/>
        <w:spacing w:line="360" w:lineRule="auto"/>
        <w:ind w:firstLine="480" w:firstLineChars="200"/>
        <w:outlineLvl w:val="1"/>
        <w:rPr>
          <w:rFonts w:hint="eastAsia" w:ascii="宋体" w:hAnsi="宋体" w:cs="宋体"/>
          <w:sz w:val="24"/>
        </w:rPr>
      </w:pPr>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2、磋商、响应文件有关事项的澄清、说明或者更正和最后报价</w:t>
      </w:r>
    </w:p>
    <w:p>
      <w:pPr>
        <w:tabs>
          <w:tab w:val="left" w:pos="1080"/>
        </w:tabs>
        <w:snapToGrid w:val="0"/>
        <w:spacing w:line="360" w:lineRule="auto"/>
        <w:ind w:firstLine="480" w:firstLineChars="200"/>
        <w:rPr>
          <w:rFonts w:hint="eastAsia" w:ascii="宋体" w:hAnsi="宋体" w:cs="宋体"/>
          <w:sz w:val="24"/>
        </w:rPr>
      </w:pPr>
      <w:r>
        <w:rPr>
          <w:rFonts w:hint="eastAsia" w:ascii="宋体" w:hAnsi="宋体" w:cs="宋体"/>
          <w:sz w:val="24"/>
        </w:rPr>
        <w:t>2.1、磋商小组所有成员应当集中与单一供应商分别进行磋商，并给予所有参加磋商的供应商平等的磋商机会。</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kern w:val="0"/>
          <w:sz w:val="24"/>
        </w:rPr>
        <w:t>2.2、在磋商过程中，磋商小组可以根据磋商文件和磋商情况实质性变动采购需求中的技术、服务要求以及合同草案条款，但不得变动磋商文件中的其他内容。实质性变动的内容，须经采购人代表确认。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1080"/>
          <w:tab w:val="left" w:pos="1872"/>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2.3、对磋商文件作出的实质性变动是磋商文件的有效组成部分，磋商小组应当及时以书面形式同时通知所有参加磋商的供应商。</w:t>
      </w:r>
    </w:p>
    <w:p>
      <w:pPr>
        <w:tabs>
          <w:tab w:val="left" w:pos="1080"/>
          <w:tab w:val="left" w:pos="1872"/>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2.5、响应文件的澄清、说明或者更正：</w:t>
      </w:r>
    </w:p>
    <w:p>
      <w:pPr>
        <w:snapToGrid w:val="0"/>
        <w:spacing w:line="360" w:lineRule="auto"/>
        <w:ind w:firstLine="480" w:firstLineChars="200"/>
        <w:rPr>
          <w:rFonts w:hint="eastAsia" w:ascii="宋体" w:hAnsi="宋体" w:cs="宋体"/>
          <w:sz w:val="24"/>
        </w:rPr>
      </w:pPr>
      <w:r>
        <w:rPr>
          <w:rFonts w:hint="eastAsia" w:ascii="宋体" w:hAnsi="宋体" w:cs="宋体"/>
          <w:sz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pPr>
        <w:snapToGrid w:val="0"/>
        <w:spacing w:line="360" w:lineRule="auto"/>
        <w:ind w:firstLine="480" w:firstLineChars="200"/>
        <w:rPr>
          <w:rFonts w:hint="eastAsia" w:ascii="宋体" w:hAnsi="宋体" w:cs="宋体"/>
          <w:sz w:val="24"/>
        </w:rPr>
      </w:pPr>
      <w:r>
        <w:rPr>
          <w:rFonts w:hint="eastAsia" w:ascii="宋体" w:hAnsi="宋体" w:cs="宋体"/>
          <w:sz w:val="24"/>
        </w:rPr>
        <w:t>2.5.2、磋商小组对响应文件进行审查，如发现供应商提交的响应文件存在不满足《符合性审查要求》的内容，如属于表中“不允许”澄清、说明或者更正的内容，则供应商响应文件按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rPr>
        <w:t>无效处理</w:t>
      </w:r>
      <w:r>
        <w:rPr>
          <w:rFonts w:hint="eastAsia" w:ascii="宋体" w:hAnsi="宋体" w:cs="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rPr>
        <w:t>无效处理</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2.5.3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2.6、磋商结束后，磋商小组将要求所有实质性响应的供应商在规定时间内提交最后报价。最后报价时间为磋商小组指定的时间，具体时间根据磋商进度另行通知。</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napToGrid w:val="0"/>
          <w:sz w:val="24"/>
        </w:rPr>
        <w:t>2.7、磋商文件能够详细列明采购标的的技术、服务要求的，磋商结束后，磋商小组应当要求所有实质性响应的供应商在规定时间内提交最后报价，提交最后报价的供应商不得少于3家。</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2.8、最后报价是供应商响应文件的有效组成部分。</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2.9、已提交响应文件的供应商，在提交最后报价之前，可以根据磋商情况退出磋商。</w:t>
      </w:r>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3、最后报价的算术修正及政策调整</w:t>
      </w:r>
    </w:p>
    <w:p>
      <w:pPr>
        <w:tabs>
          <w:tab w:val="left" w:pos="1080"/>
        </w:tabs>
        <w:snapToGrid w:val="0"/>
        <w:spacing w:line="360" w:lineRule="auto"/>
        <w:ind w:firstLine="480" w:firstLineChars="200"/>
        <w:rPr>
          <w:rFonts w:hint="eastAsia" w:ascii="宋体" w:hAnsi="宋体" w:cs="宋体"/>
          <w:sz w:val="24"/>
        </w:rPr>
      </w:pPr>
      <w:r>
        <w:rPr>
          <w:rFonts w:hint="eastAsia" w:ascii="宋体" w:hAnsi="宋体" w:cs="宋体"/>
          <w:sz w:val="24"/>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3.2、最后报价出现前后不一致的，按照下列规定修正：</w:t>
      </w:r>
    </w:p>
    <w:p>
      <w:pPr>
        <w:tabs>
          <w:tab w:val="left" w:pos="1080"/>
          <w:tab w:val="left" w:pos="1589"/>
          <w:tab w:val="left" w:pos="2035"/>
          <w:tab w:val="left" w:pos="2114"/>
        </w:tabs>
        <w:snapToGrid w:val="0"/>
        <w:spacing w:line="360" w:lineRule="auto"/>
        <w:ind w:firstLine="480" w:firstLineChars="200"/>
        <w:rPr>
          <w:rFonts w:hint="eastAsia" w:ascii="宋体" w:hAnsi="宋体" w:cs="宋体"/>
          <w:sz w:val="24"/>
        </w:rPr>
      </w:pPr>
      <w:r>
        <w:rPr>
          <w:rFonts w:hint="eastAsia" w:ascii="宋体" w:hAnsi="宋体" w:cs="宋体"/>
          <w:sz w:val="24"/>
        </w:rPr>
        <w:t>3.2.1、竞争性磋商文件对于报价修正是否另有规定：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□有，具体规定为：___________</w:t>
      </w:r>
    </w:p>
    <w:p>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无，按下述3.2.1-3.2.5项规定修正。</w:t>
      </w:r>
    </w:p>
    <w:p>
      <w:pPr>
        <w:tabs>
          <w:tab w:val="left" w:pos="1080"/>
          <w:tab w:val="left" w:pos="1589"/>
          <w:tab w:val="left" w:pos="2035"/>
          <w:tab w:val="left" w:pos="2114"/>
        </w:tabs>
        <w:snapToGrid w:val="0"/>
        <w:spacing w:line="360" w:lineRule="auto"/>
        <w:ind w:firstLine="480" w:firstLineChars="200"/>
        <w:rPr>
          <w:rFonts w:hint="eastAsia" w:ascii="宋体" w:hAnsi="宋体" w:cs="宋体"/>
          <w:sz w:val="24"/>
        </w:rPr>
      </w:pPr>
      <w:r>
        <w:rPr>
          <w:rFonts w:hint="eastAsia" w:ascii="宋体" w:hAnsi="宋体" w:cs="宋体"/>
          <w:sz w:val="24"/>
        </w:rPr>
        <w:t>3.2.2、大写金额和小写金额不一致的，以大写金额为准；</w:t>
      </w:r>
    </w:p>
    <w:p>
      <w:pPr>
        <w:tabs>
          <w:tab w:val="left" w:pos="2035"/>
          <w:tab w:val="left" w:pos="2114"/>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3.2.3、单价金额小数点或者百分比有明显错位的，以最后报价一览表的总价为准，并修改单价；</w:t>
      </w:r>
    </w:p>
    <w:p>
      <w:pPr>
        <w:tabs>
          <w:tab w:val="left" w:pos="2035"/>
          <w:tab w:val="left" w:pos="2114"/>
          <w:tab w:val="left" w:pos="2977"/>
        </w:tabs>
        <w:snapToGrid w:val="0"/>
        <w:spacing w:line="360" w:lineRule="auto"/>
        <w:ind w:firstLine="480" w:firstLineChars="200"/>
        <w:rPr>
          <w:rFonts w:hint="eastAsia" w:ascii="宋体" w:hAnsi="宋体" w:cs="宋体"/>
          <w:sz w:val="24"/>
        </w:rPr>
      </w:pPr>
      <w:r>
        <w:rPr>
          <w:rFonts w:hint="eastAsia" w:ascii="宋体" w:hAnsi="宋体" w:cs="宋体"/>
          <w:sz w:val="24"/>
        </w:rPr>
        <w:t>3.2.4、总价金额与按单价汇总金额不一致的，以单价金额计算结果为准。</w:t>
      </w:r>
    </w:p>
    <w:p>
      <w:pPr>
        <w:tabs>
          <w:tab w:val="left" w:pos="1080"/>
          <w:tab w:val="left" w:pos="1589"/>
          <w:tab w:val="left" w:pos="2035"/>
          <w:tab w:val="left" w:pos="2114"/>
        </w:tabs>
        <w:snapToGrid w:val="0"/>
        <w:spacing w:line="360" w:lineRule="auto"/>
        <w:ind w:firstLine="480" w:firstLineChars="200"/>
        <w:rPr>
          <w:rFonts w:hint="eastAsia" w:ascii="宋体" w:hAnsi="宋体" w:cs="宋体"/>
          <w:sz w:val="24"/>
        </w:rPr>
      </w:pPr>
      <w:r>
        <w:rPr>
          <w:rFonts w:hint="eastAsia" w:ascii="宋体" w:hAnsi="宋体" w:cs="宋体"/>
          <w:sz w:val="24"/>
        </w:rPr>
        <w:t>3.2.5、同时出现两种以上不一致的，按照前款规定的顺序修正。修正后的报价经供应商书面确认后产生约束力，供应商不确认的，</w:t>
      </w:r>
      <w:r>
        <w:rPr>
          <w:rFonts w:hint="eastAsia" w:ascii="宋体" w:hAnsi="宋体" w:cs="宋体"/>
          <w:b/>
          <w:sz w:val="24"/>
        </w:rPr>
        <w:t>其响应无效</w:t>
      </w:r>
      <w:r>
        <w:rPr>
          <w:rFonts w:hint="eastAsia" w:ascii="宋体" w:hAnsi="宋体" w:cs="宋体"/>
          <w:sz w:val="24"/>
        </w:rPr>
        <w:t>。</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3.3、落实政府采购政策的价格调整：只有符合第二章《供应商须知》4.2条规定情形的，可以享受中小企业扶持政策，用扣除后的价格参加评审；否则，评审时价格不予扣除。</w:t>
      </w:r>
    </w:p>
    <w:p>
      <w:pPr>
        <w:tabs>
          <w:tab w:val="left" w:pos="1080"/>
          <w:tab w:val="left" w:pos="1589"/>
          <w:tab w:val="left" w:pos="2035"/>
        </w:tabs>
        <w:snapToGrid w:val="0"/>
        <w:spacing w:line="360" w:lineRule="auto"/>
        <w:ind w:firstLine="480" w:firstLineChars="200"/>
        <w:rPr>
          <w:rFonts w:ascii="宋体" w:hAnsi="宋体" w:cs="宋体"/>
          <w:sz w:val="24"/>
        </w:rPr>
      </w:pPr>
      <w:r>
        <w:rPr>
          <w:rFonts w:hint="eastAsia" w:ascii="宋体" w:hAnsi="宋体" w:cs="宋体"/>
          <w:sz w:val="24"/>
        </w:rPr>
        <w:t>3.4、对于未预留份额专门面向中小企业采购的采购项目，以及预留份额项目中的非预留部分采购包，对小微企业报价给予</w:t>
      </w:r>
      <w:r>
        <w:rPr>
          <w:rFonts w:hint="eastAsia" w:ascii="宋体" w:hAnsi="宋体" w:cs="宋体"/>
          <w:sz w:val="24"/>
          <w:u w:val="single"/>
        </w:rPr>
        <w:t xml:space="preserve"> 10 </w:t>
      </w:r>
      <w:r>
        <w:rPr>
          <w:rFonts w:hint="eastAsia" w:ascii="宋体" w:hAnsi="宋体" w:cs="宋体"/>
          <w:sz w:val="24"/>
        </w:rPr>
        <w:t>%的扣除，用扣除后的价格参加评审。</w:t>
      </w:r>
      <w:r>
        <w:rPr>
          <w:rFonts w:hint="eastAsia" w:ascii="宋体" w:hAnsi="宋体" w:cs="宋体"/>
          <w:b/>
          <w:bCs/>
          <w:sz w:val="24"/>
          <w:highlight w:val="none"/>
          <w:lang w:val="en-US" w:eastAsia="zh-CN"/>
        </w:rPr>
        <w:t>本项目专门面向中小企业采购，不再对小微企业的报价进行价格扣除优惠。</w:t>
      </w:r>
    </w:p>
    <w:p>
      <w:pPr>
        <w:tabs>
          <w:tab w:val="left" w:pos="1080"/>
          <w:tab w:val="left" w:pos="1589"/>
          <w:tab w:val="left" w:pos="2035"/>
        </w:tabs>
        <w:snapToGrid w:val="0"/>
        <w:spacing w:line="360" w:lineRule="auto"/>
        <w:ind w:firstLine="480" w:firstLineChars="200"/>
        <w:rPr>
          <w:rFonts w:hint="eastAsia" w:ascii="宋体" w:hAnsi="宋体" w:cs="宋体"/>
          <w:sz w:val="24"/>
        </w:rPr>
      </w:pPr>
      <w:r>
        <w:rPr>
          <w:rFonts w:hint="eastAsia" w:ascii="宋体" w:hAnsi="宋体" w:cs="宋体"/>
          <w:sz w:val="24"/>
        </w:rPr>
        <w:t>3.5、组成联合体或者接受分包的小微企业与联合体内其他企业、分包企业之间存在直接控股、管理关系的，不享受价格扣除优惠政策。</w:t>
      </w:r>
    </w:p>
    <w:p>
      <w:pPr>
        <w:tabs>
          <w:tab w:val="left" w:pos="1080"/>
          <w:tab w:val="left" w:pos="1589"/>
          <w:tab w:val="left" w:pos="2035"/>
        </w:tabs>
        <w:snapToGrid w:val="0"/>
        <w:spacing w:line="360" w:lineRule="auto"/>
        <w:ind w:firstLine="480" w:firstLineChars="200"/>
        <w:rPr>
          <w:rFonts w:hint="eastAsia" w:ascii="宋体" w:hAnsi="宋体" w:cs="宋体"/>
          <w:sz w:val="24"/>
        </w:rPr>
      </w:pPr>
      <w:r>
        <w:rPr>
          <w:rFonts w:hint="eastAsia" w:ascii="宋体" w:hAnsi="宋体" w:cs="宋体"/>
          <w:sz w:val="24"/>
        </w:rPr>
        <w:t>3.6、价格扣除比例对小型企业和微型企业同等对待，不作区分。</w:t>
      </w:r>
    </w:p>
    <w:p>
      <w:pPr>
        <w:tabs>
          <w:tab w:val="left" w:pos="1080"/>
          <w:tab w:val="left" w:pos="1589"/>
          <w:tab w:val="left" w:pos="2035"/>
        </w:tabs>
        <w:snapToGrid w:val="0"/>
        <w:spacing w:line="360" w:lineRule="auto"/>
        <w:ind w:firstLine="480" w:firstLineChars="200"/>
        <w:rPr>
          <w:rFonts w:hint="eastAsia" w:ascii="宋体" w:hAnsi="宋体" w:cs="宋体"/>
          <w:sz w:val="24"/>
        </w:rPr>
      </w:pPr>
      <w:r>
        <w:rPr>
          <w:rFonts w:hint="eastAsia" w:ascii="宋体" w:hAnsi="宋体" w:cs="宋体"/>
          <w:sz w:val="24"/>
        </w:rPr>
        <w:t>3.7、中小企业参加政府采购活动，应当按照竞争性磋商文件给定的格式出具《中小企业声明函》，否则不得享受相关中小企业扶持政策。</w:t>
      </w:r>
    </w:p>
    <w:p>
      <w:pPr>
        <w:tabs>
          <w:tab w:val="left" w:pos="1080"/>
          <w:tab w:val="left" w:pos="1589"/>
          <w:tab w:val="left" w:pos="2035"/>
        </w:tabs>
        <w:snapToGrid w:val="0"/>
        <w:spacing w:line="360" w:lineRule="auto"/>
        <w:ind w:firstLine="480" w:firstLineChars="200"/>
        <w:rPr>
          <w:rFonts w:hint="eastAsia" w:ascii="宋体" w:hAnsi="宋体" w:cs="宋体"/>
          <w:sz w:val="24"/>
        </w:rPr>
      </w:pPr>
      <w:r>
        <w:rPr>
          <w:rFonts w:hint="eastAsia" w:ascii="宋体" w:hAnsi="宋体" w:cs="宋体"/>
          <w:sz w:val="24"/>
        </w:rPr>
        <w:t>3.8、监狱企业提供了由省级以上监狱管理局、戒毒管理局（含新疆生产建设兵团）出具的属于监狱企业的证明文件的，视同小微企业。</w:t>
      </w:r>
    </w:p>
    <w:p>
      <w:pPr>
        <w:tabs>
          <w:tab w:val="left" w:pos="1080"/>
          <w:tab w:val="left" w:pos="1589"/>
          <w:tab w:val="left" w:pos="2035"/>
        </w:tabs>
        <w:snapToGrid w:val="0"/>
        <w:spacing w:line="360" w:lineRule="auto"/>
        <w:ind w:firstLine="480" w:firstLineChars="200"/>
        <w:rPr>
          <w:rFonts w:hint="eastAsia" w:ascii="宋体" w:hAnsi="宋体" w:cs="宋体"/>
          <w:sz w:val="24"/>
        </w:rPr>
      </w:pPr>
      <w:r>
        <w:rPr>
          <w:rFonts w:hint="eastAsia" w:ascii="宋体" w:hAnsi="宋体" w:cs="宋体"/>
          <w:sz w:val="24"/>
        </w:rPr>
        <w:t>3.9、残疾人福利性单位按竞争性磋商文件要求提供了《残疾人福利性单位声明函》（见附件）的，视同小微企业。</w:t>
      </w:r>
    </w:p>
    <w:p>
      <w:pPr>
        <w:tabs>
          <w:tab w:val="left" w:pos="1080"/>
          <w:tab w:val="left" w:pos="1589"/>
          <w:tab w:val="left" w:pos="2014"/>
        </w:tabs>
        <w:snapToGrid w:val="0"/>
        <w:spacing w:line="360" w:lineRule="auto"/>
        <w:ind w:firstLine="480" w:firstLineChars="200"/>
        <w:rPr>
          <w:rFonts w:hint="eastAsia" w:ascii="宋体" w:hAnsi="宋体" w:cs="宋体"/>
          <w:sz w:val="24"/>
        </w:rPr>
      </w:pPr>
      <w:r>
        <w:rPr>
          <w:rFonts w:hint="eastAsia" w:ascii="宋体" w:hAnsi="宋体" w:cs="宋体"/>
          <w:sz w:val="24"/>
        </w:rPr>
        <w:t>3.10、若供应商同时属于小型或微型企业、监狱企业、残疾人福利性单位中的两种及以上，将不重复享受小微企业价格扣减的优惠政策。</w:t>
      </w:r>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4、磋商环节及提交最后报价后如出现以下情况的，供应商的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pPr>
        <w:tabs>
          <w:tab w:val="left" w:pos="1080"/>
        </w:tabs>
        <w:snapToGrid w:val="0"/>
        <w:spacing w:line="360" w:lineRule="auto"/>
        <w:ind w:firstLine="480" w:firstLineChars="200"/>
        <w:rPr>
          <w:rFonts w:hint="eastAsia" w:ascii="宋体" w:hAnsi="宋体" w:cs="宋体"/>
          <w:sz w:val="24"/>
        </w:rPr>
      </w:pPr>
      <w:r>
        <w:rPr>
          <w:rFonts w:hint="eastAsia" w:ascii="宋体" w:hAnsi="宋体" w:cs="宋体"/>
          <w:sz w:val="24"/>
        </w:rPr>
        <w:t>4.1、供应商对实质性变动不予确认的；</w:t>
      </w:r>
    </w:p>
    <w:p>
      <w:pPr>
        <w:tabs>
          <w:tab w:val="left" w:pos="1080"/>
        </w:tabs>
        <w:snapToGrid w:val="0"/>
        <w:spacing w:line="360" w:lineRule="auto"/>
        <w:ind w:firstLine="480" w:firstLineChars="200"/>
        <w:rPr>
          <w:rFonts w:hint="eastAsia" w:ascii="宋体" w:hAnsi="宋体" w:cs="宋体"/>
          <w:sz w:val="24"/>
        </w:rPr>
      </w:pPr>
      <w:r>
        <w:rPr>
          <w:rFonts w:hint="eastAsia" w:ascii="宋体" w:hAnsi="宋体" w:cs="宋体"/>
          <w:sz w:val="24"/>
        </w:rPr>
        <w:t>4.2、不满足磋商文件</w:t>
      </w:r>
      <w:r>
        <w:rPr>
          <w:rFonts w:hint="eastAsia" w:ascii="宋体" w:hAnsi="宋体" w:cs="宋体"/>
          <w:sz w:val="24"/>
          <w:lang w:val="en-US" w:eastAsia="zh-CN"/>
        </w:rPr>
        <w:t>实质性</w:t>
      </w:r>
      <w:r>
        <w:rPr>
          <w:rFonts w:hint="eastAsia" w:ascii="宋体" w:hAnsi="宋体" w:cs="宋体"/>
          <w:sz w:val="24"/>
        </w:rPr>
        <w:t>条款或磋商文件技术指标超出磋商文件《采购需求》中主要技术参数允许偏差的最大范围的；</w:t>
      </w:r>
    </w:p>
    <w:p>
      <w:pPr>
        <w:tabs>
          <w:tab w:val="left" w:pos="1080"/>
        </w:tabs>
        <w:snapToGrid w:val="0"/>
        <w:spacing w:line="360" w:lineRule="auto"/>
        <w:ind w:firstLine="480" w:firstLineChars="200"/>
        <w:rPr>
          <w:rFonts w:hint="eastAsia" w:ascii="宋体" w:hAnsi="宋体" w:cs="宋体"/>
          <w:sz w:val="24"/>
        </w:rPr>
      </w:pPr>
      <w:r>
        <w:rPr>
          <w:rFonts w:hint="eastAsia" w:ascii="宋体" w:hAnsi="宋体" w:cs="宋体"/>
          <w:sz w:val="24"/>
        </w:rPr>
        <w:t>4.3、未按照磋商小组规定的时间、逾期提交最后报价的；</w:t>
      </w:r>
    </w:p>
    <w:p>
      <w:pPr>
        <w:tabs>
          <w:tab w:val="left" w:pos="1080"/>
        </w:tabs>
        <w:snapToGrid w:val="0"/>
        <w:spacing w:line="360" w:lineRule="auto"/>
        <w:ind w:firstLine="480" w:firstLineChars="200"/>
        <w:rPr>
          <w:rFonts w:hint="eastAsia" w:ascii="宋体" w:hAnsi="宋体" w:cs="宋体"/>
          <w:sz w:val="24"/>
        </w:rPr>
      </w:pPr>
      <w:r>
        <w:rPr>
          <w:rFonts w:hint="eastAsia" w:ascii="宋体" w:hAnsi="宋体" w:cs="宋体"/>
          <w:sz w:val="24"/>
        </w:rPr>
        <w:t>4.4、如供应商的最后报价超过竞争性磋商文件中规定的项目/采购包预算金额或者项目/采购包最高限价的；</w:t>
      </w:r>
    </w:p>
    <w:p>
      <w:pPr>
        <w:tabs>
          <w:tab w:val="left" w:pos="1080"/>
        </w:tabs>
        <w:snapToGrid w:val="0"/>
        <w:spacing w:line="360" w:lineRule="auto"/>
        <w:ind w:firstLine="480" w:firstLineChars="200"/>
        <w:rPr>
          <w:rFonts w:hint="eastAsia" w:ascii="宋体" w:hAnsi="宋体" w:cs="宋体"/>
          <w:sz w:val="24"/>
        </w:rPr>
      </w:pPr>
      <w:r>
        <w:rPr>
          <w:rFonts w:hint="eastAsia" w:ascii="宋体" w:hAnsi="宋体" w:cs="宋体"/>
          <w:sz w:val="24"/>
        </w:rPr>
        <w:t>4.5、响应文件中出现可选择性或可调整的报价的（竞争性磋商文件另有规定的除外）；</w:t>
      </w:r>
    </w:p>
    <w:p>
      <w:pPr>
        <w:tabs>
          <w:tab w:val="left" w:pos="1080"/>
        </w:tabs>
        <w:snapToGrid w:val="0"/>
        <w:spacing w:line="360" w:lineRule="auto"/>
        <w:ind w:firstLine="480" w:firstLineChars="200"/>
        <w:rPr>
          <w:rFonts w:hint="eastAsia" w:ascii="宋体" w:hAnsi="宋体" w:cs="宋体"/>
          <w:sz w:val="24"/>
        </w:rPr>
      </w:pPr>
      <w:r>
        <w:rPr>
          <w:rFonts w:hint="eastAsia" w:ascii="宋体" w:hAnsi="宋体" w:cs="宋体"/>
          <w:sz w:val="24"/>
        </w:rPr>
        <w:t>4.6、最后报价出现前后不一致，供应商对修正后的报价不予确认的。</w:t>
      </w:r>
    </w:p>
    <w:bookmarkEnd w:id="542"/>
    <w:bookmarkEnd w:id="543"/>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5、评审方法和评审标准</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 xml:space="preserve">5.1、本项目采用的评审方法为：本项目的评审采用综合评分法。综合评分法，是指响应文件满足磋商文件全部实质性要求且按评审因素的量化指标评审得分最高的供应商为成交候选供应商的评审方法。  </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5.2、竞争性磋商文件中没有规定的评审标准不得作为评审依据。</w:t>
      </w:r>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6、确定</w:t>
      </w:r>
      <w:bookmarkStart w:id="559" w:name="_Toc142311048"/>
      <w:bookmarkStart w:id="560" w:name="_Ref467307010"/>
      <w:bookmarkStart w:id="561" w:name="_Toc305158814"/>
      <w:bookmarkStart w:id="562" w:name="_Toc164351640"/>
      <w:bookmarkStart w:id="563" w:name="_Toc164608815"/>
      <w:bookmarkStart w:id="564" w:name="_Toc264969236"/>
      <w:bookmarkStart w:id="565" w:name="_Toc226965736"/>
      <w:bookmarkStart w:id="566" w:name="_Toc151193788"/>
      <w:bookmarkStart w:id="567" w:name="_Toc164229241"/>
      <w:bookmarkStart w:id="568" w:name="_Toc127151546"/>
      <w:bookmarkStart w:id="569" w:name="_Toc520356170"/>
      <w:bookmarkStart w:id="570" w:name="_Toc150509297"/>
      <w:bookmarkStart w:id="571" w:name="_Toc149720839"/>
      <w:bookmarkStart w:id="572" w:name="_Toc164608660"/>
      <w:bookmarkStart w:id="573" w:name="_Toc151193860"/>
      <w:bookmarkStart w:id="574" w:name="_Toc265228384"/>
      <w:bookmarkStart w:id="575" w:name="_Toc151190173"/>
      <w:bookmarkStart w:id="576" w:name="_Toc151193934"/>
      <w:bookmarkStart w:id="577" w:name="_Toc226337242"/>
      <w:bookmarkStart w:id="578" w:name="_Toc127151747"/>
      <w:bookmarkStart w:id="579" w:name="_Toc151193644"/>
      <w:bookmarkStart w:id="580" w:name="_Toc305158888"/>
      <w:bookmarkStart w:id="581" w:name="_Toc150774751"/>
      <w:bookmarkStart w:id="582" w:name="_Toc226965819"/>
      <w:bookmarkStart w:id="583" w:name="_Toc151193716"/>
      <w:bookmarkStart w:id="584" w:name="_Toc150480784"/>
      <w:bookmarkStart w:id="585" w:name="_Toc127161460"/>
      <w:bookmarkStart w:id="586" w:name="_Toc226309790"/>
      <w:bookmarkStart w:id="587" w:name="_Toc195842911"/>
      <w:bookmarkStart w:id="588" w:name="_Toc150774646"/>
      <w:bookmarkStart w:id="589" w:name="_Toc164229387"/>
      <w:r>
        <w:rPr>
          <w:rFonts w:hint="eastAsia" w:ascii="宋体" w:hAnsi="宋体" w:cs="宋体"/>
          <w:sz w:val="24"/>
        </w:rPr>
        <w:t>成交候选人名单</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 xml:space="preserve">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kern w:val="0"/>
          <w:sz w:val="24"/>
          <w:szCs w:val="20"/>
        </w:rPr>
        <w:t>6.2、磋商小组根据上述供应商排序，依次推荐排序前</w:t>
      </w:r>
      <w:r>
        <w:rPr>
          <w:rFonts w:hint="eastAsia" w:ascii="宋体" w:hAnsi="宋体" w:cs="宋体"/>
          <w:kern w:val="0"/>
          <w:sz w:val="24"/>
          <w:szCs w:val="20"/>
          <w:u w:val="single"/>
        </w:rPr>
        <w:t xml:space="preserve"> </w:t>
      </w:r>
      <w:r>
        <w:rPr>
          <w:rFonts w:hint="eastAsia" w:ascii="宋体" w:hAnsi="宋体" w:cs="宋体"/>
          <w:sz w:val="24"/>
          <w:u w:val="single"/>
        </w:rPr>
        <w:t xml:space="preserve">3 </w:t>
      </w:r>
      <w:r>
        <w:rPr>
          <w:rFonts w:hint="eastAsia" w:ascii="宋体" w:hAnsi="宋体" w:cs="宋体"/>
          <w:sz w:val="24"/>
        </w:rPr>
        <w:t>名</w:t>
      </w:r>
      <w:r>
        <w:rPr>
          <w:rFonts w:hint="eastAsia" w:ascii="宋体" w:hAnsi="宋体" w:cs="宋体"/>
          <w:kern w:val="0"/>
          <w:sz w:val="24"/>
          <w:szCs w:val="20"/>
        </w:rPr>
        <w:t>的供应商为</w:t>
      </w:r>
      <w:r>
        <w:rPr>
          <w:rFonts w:hint="eastAsia" w:ascii="宋体" w:hAnsi="宋体" w:cs="宋体"/>
          <w:snapToGrid w:val="0"/>
          <w:kern w:val="0"/>
          <w:sz w:val="24"/>
          <w:szCs w:val="21"/>
        </w:rPr>
        <w:t>成交候选供应商</w:t>
      </w:r>
      <w:r>
        <w:rPr>
          <w:rFonts w:hint="eastAsia" w:ascii="宋体" w:hAnsi="宋体" w:cs="宋体"/>
          <w:kern w:val="0"/>
          <w:sz w:val="24"/>
          <w:szCs w:val="20"/>
        </w:rPr>
        <w:t>，并编写评审报告。</w:t>
      </w:r>
    </w:p>
    <w:p>
      <w:pPr>
        <w:tabs>
          <w:tab w:val="left" w:pos="1080"/>
          <w:tab w:val="left" w:pos="1872"/>
        </w:tabs>
        <w:snapToGrid w:val="0"/>
        <w:spacing w:line="360" w:lineRule="auto"/>
        <w:ind w:firstLine="480" w:firstLineChars="200"/>
        <w:rPr>
          <w:rFonts w:hint="eastAsia" w:ascii="宋体" w:hAnsi="宋体" w:cs="宋体"/>
          <w:sz w:val="24"/>
        </w:rPr>
      </w:pPr>
      <w:r>
        <w:rPr>
          <w:rFonts w:hint="eastAsia" w:ascii="宋体" w:hAnsi="宋体" w:cs="宋体"/>
          <w:sz w:val="24"/>
        </w:rPr>
        <w:t>6.3、磋商小组要对评分汇总情况进行复核，特别是对排名第一的、报价最低的、响应文件被认定为无效的情形进行重点复核。</w:t>
      </w:r>
    </w:p>
    <w:p>
      <w:pPr>
        <w:tabs>
          <w:tab w:val="left" w:pos="360"/>
        </w:tabs>
        <w:snapToGrid w:val="0"/>
        <w:spacing w:line="360" w:lineRule="auto"/>
        <w:ind w:firstLine="480" w:firstLineChars="200"/>
        <w:outlineLvl w:val="1"/>
        <w:rPr>
          <w:rFonts w:hint="eastAsia" w:ascii="宋体" w:hAnsi="宋体" w:cs="宋体"/>
          <w:sz w:val="24"/>
        </w:rPr>
      </w:pPr>
      <w:r>
        <w:rPr>
          <w:rFonts w:hint="eastAsia" w:ascii="宋体" w:hAnsi="宋体" w:cs="宋体"/>
          <w:sz w:val="24"/>
        </w:rPr>
        <w:t>7、报告违法行为</w:t>
      </w:r>
    </w:p>
    <w:p>
      <w:pPr>
        <w:widowControl/>
        <w:tabs>
          <w:tab w:val="left" w:pos="1080"/>
          <w:tab w:val="left" w:pos="1872"/>
        </w:tabs>
        <w:snapToGrid w:val="0"/>
        <w:spacing w:line="360" w:lineRule="auto"/>
        <w:ind w:firstLine="480" w:firstLineChars="200"/>
        <w:jc w:val="left"/>
        <w:rPr>
          <w:rFonts w:hint="eastAsia" w:ascii="宋体" w:hAnsi="宋体" w:cs="宋体"/>
          <w:b/>
          <w:bCs/>
          <w:sz w:val="28"/>
          <w:szCs w:val="28"/>
        </w:rPr>
      </w:pPr>
      <w:r>
        <w:rPr>
          <w:rFonts w:hint="eastAsia" w:ascii="宋体" w:hAnsi="宋体" w:cs="宋体"/>
          <w:sz w:val="24"/>
        </w:rPr>
        <w:t>7.1、磋商小组在评审过程中发现供应商有行贿、提供虚假材料或者串通等违法行为时，有向采购人、采购代理机构或者有关部门报告的职责。</w:t>
      </w:r>
      <w:r>
        <w:rPr>
          <w:rFonts w:hint="eastAsia" w:ascii="宋体" w:hAnsi="宋体" w:cs="宋体"/>
          <w:b/>
          <w:sz w:val="24"/>
        </w:rPr>
        <w:br w:type="page"/>
      </w:r>
      <w:r>
        <w:rPr>
          <w:rFonts w:hint="eastAsia" w:ascii="宋体" w:hAnsi="宋体" w:cs="宋体"/>
          <w:b/>
          <w:bCs/>
          <w:sz w:val="28"/>
          <w:szCs w:val="28"/>
        </w:rPr>
        <w:t>二、评审标准</w:t>
      </w:r>
    </w:p>
    <w:tbl>
      <w:tblPr>
        <w:tblStyle w:val="47"/>
        <w:tblpPr w:leftFromText="180" w:rightFromText="180" w:vertAnchor="text" w:horzAnchor="page" w:tblpX="1250" w:tblpY="468"/>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86"/>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tabs>
                <w:tab w:val="left" w:pos="360"/>
                <w:tab w:val="left" w:pos="900"/>
                <w:tab w:val="left" w:pos="1080"/>
                <w:tab w:val="left" w:pos="2014"/>
              </w:tabs>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1386" w:type="dxa"/>
            <w:noWrap w:val="0"/>
            <w:vAlign w:val="center"/>
          </w:tcPr>
          <w:p>
            <w:pPr>
              <w:tabs>
                <w:tab w:val="left" w:pos="360"/>
                <w:tab w:val="left" w:pos="900"/>
                <w:tab w:val="left" w:pos="1080"/>
                <w:tab w:val="left" w:pos="2014"/>
              </w:tabs>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报价合理性</w:t>
            </w:r>
          </w:p>
        </w:tc>
        <w:tc>
          <w:tcPr>
            <w:tcW w:w="7770" w:type="dxa"/>
            <w:noWrap w:val="0"/>
            <w:vAlign w:val="center"/>
          </w:tcPr>
          <w:p>
            <w:pPr>
              <w:tabs>
                <w:tab w:val="left" w:pos="360"/>
                <w:tab w:val="left" w:pos="900"/>
                <w:tab w:val="left" w:pos="1080"/>
                <w:tab w:val="left" w:pos="2014"/>
              </w:tabs>
              <w:snapToGrid w:val="0"/>
              <w:spacing w:line="360" w:lineRule="auto"/>
              <w:jc w:val="left"/>
              <w:rPr>
                <w:rFonts w:hint="eastAsia" w:ascii="宋体" w:hAnsi="宋体" w:eastAsia="宋体" w:cs="宋体"/>
                <w:b w:val="0"/>
                <w:bCs/>
                <w:sz w:val="24"/>
                <w:vertAlign w:val="baseline"/>
                <w:lang w:eastAsia="zh-CN"/>
              </w:rPr>
            </w:pPr>
            <w:r>
              <w:rPr>
                <w:rFonts w:hint="eastAsia" w:ascii="宋体" w:hAnsi="宋体" w:eastAsia="宋体" w:cs="宋体"/>
                <w:b w:val="0"/>
                <w:bCs/>
                <w:sz w:val="24"/>
                <w:vertAlign w:val="baseline"/>
              </w:rPr>
              <w:t>报价合理</w:t>
            </w:r>
            <w:r>
              <w:rPr>
                <w:rFonts w:hint="eastAsia" w:ascii="宋体" w:hAnsi="宋体" w:cs="宋体"/>
                <w:b w:val="0"/>
                <w:bCs/>
                <w:sz w:val="24"/>
                <w:vertAlign w:val="baseline"/>
                <w:lang w:eastAsia="zh-CN"/>
              </w:rPr>
              <w:t>。</w:t>
            </w:r>
            <w:r>
              <w:rPr>
                <w:rFonts w:hint="eastAsia" w:ascii="宋体" w:hAnsi="宋体" w:eastAsia="宋体" w:cs="宋体"/>
                <w:b w:val="0"/>
                <w:bCs/>
                <w:sz w:val="24"/>
                <w:vertAlign w:val="baseline"/>
              </w:rPr>
              <w:t>或</w:t>
            </w:r>
            <w:r>
              <w:rPr>
                <w:rFonts w:hint="eastAsia" w:ascii="宋体" w:hAnsi="宋体" w:cs="宋体"/>
                <w:b w:val="0"/>
                <w:bCs/>
                <w:sz w:val="24"/>
                <w:vertAlign w:val="baseline"/>
                <w:lang w:val="en-US" w:eastAsia="zh-CN"/>
              </w:rPr>
              <w:t>供应商</w:t>
            </w:r>
            <w:r>
              <w:rPr>
                <w:rFonts w:hint="eastAsia" w:ascii="宋体" w:hAnsi="宋体" w:eastAsia="宋体" w:cs="宋体"/>
                <w:b w:val="0"/>
                <w:bCs/>
                <w:sz w:val="24"/>
                <w:vertAlign w:val="baseline"/>
              </w:rPr>
              <w:t>的报价明显低于其他通过符合性审查</w:t>
            </w:r>
            <w:r>
              <w:rPr>
                <w:rFonts w:hint="eastAsia" w:ascii="宋体" w:hAnsi="宋体" w:cs="宋体"/>
                <w:b w:val="0"/>
                <w:bCs/>
                <w:sz w:val="24"/>
                <w:vertAlign w:val="baseline"/>
                <w:lang w:val="en-US" w:eastAsia="zh-CN"/>
              </w:rPr>
              <w:t>供应商</w:t>
            </w:r>
            <w:r>
              <w:rPr>
                <w:rFonts w:hint="eastAsia" w:ascii="宋体" w:hAnsi="宋体" w:eastAsia="宋体" w:cs="宋体"/>
                <w:b w:val="0"/>
                <w:bCs/>
                <w:sz w:val="24"/>
                <w:vertAlign w:val="baseline"/>
              </w:rPr>
              <w:t>的报价，有可能影响产品质量或者不能诚信履约的，能够应</w:t>
            </w:r>
            <w:r>
              <w:rPr>
                <w:rFonts w:hint="eastAsia" w:ascii="宋体" w:hAnsi="宋体" w:eastAsia="宋体" w:cs="宋体"/>
                <w:b w:val="0"/>
                <w:bCs/>
                <w:sz w:val="24"/>
                <w:vertAlign w:val="baseline"/>
                <w:lang w:val="en-US" w:eastAsia="zh-CN"/>
              </w:rPr>
              <w:t>评审小组</w:t>
            </w:r>
            <w:r>
              <w:rPr>
                <w:rFonts w:hint="eastAsia" w:ascii="宋体" w:hAnsi="宋体" w:eastAsia="宋体" w:cs="宋体"/>
                <w:b w:val="0"/>
                <w:bCs/>
                <w:sz w:val="24"/>
                <w:vertAlign w:val="baseline"/>
              </w:rPr>
              <w:t>要求在规定时间内证明其报价合理性的</w:t>
            </w:r>
            <w:r>
              <w:rPr>
                <w:rFonts w:hint="eastAsia" w:ascii="宋体" w:hAnsi="宋体" w:cs="宋体"/>
                <w:b w:val="0"/>
                <w:bCs/>
                <w:sz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tabs>
                <w:tab w:val="left" w:pos="360"/>
                <w:tab w:val="left" w:pos="900"/>
                <w:tab w:val="left" w:pos="1080"/>
                <w:tab w:val="left" w:pos="2014"/>
              </w:tabs>
              <w:snapToGrid w:val="0"/>
              <w:spacing w:line="360" w:lineRule="auto"/>
              <w:jc w:val="left"/>
              <w:rPr>
                <w:rFonts w:hint="eastAsia" w:ascii="宋体" w:hAnsi="宋体" w:cs="宋体"/>
                <w:b w:val="0"/>
                <w:bCs/>
                <w:sz w:val="24"/>
                <w:vertAlign w:val="baseline"/>
                <w:lang w:val="en-US" w:eastAsia="zh-CN"/>
              </w:rPr>
            </w:pPr>
          </w:p>
        </w:tc>
        <w:tc>
          <w:tcPr>
            <w:tcW w:w="9156" w:type="dxa"/>
            <w:gridSpan w:val="2"/>
            <w:noWrap w:val="0"/>
            <w:vAlign w:val="center"/>
          </w:tcPr>
          <w:p>
            <w:pPr>
              <w:tabs>
                <w:tab w:val="left" w:pos="360"/>
                <w:tab w:val="left" w:pos="900"/>
                <w:tab w:val="left" w:pos="1080"/>
                <w:tab w:val="left" w:pos="2014"/>
              </w:tabs>
              <w:snapToGrid w:val="0"/>
              <w:spacing w:line="360" w:lineRule="auto"/>
              <w:jc w:val="left"/>
              <w:rPr>
                <w:rFonts w:hint="default"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注：未通过报价合理性评审的供应商报价不进入价格分计算</w:t>
            </w:r>
          </w:p>
        </w:tc>
      </w:tr>
    </w:tbl>
    <w:p>
      <w:pPr>
        <w:tabs>
          <w:tab w:val="left" w:pos="360"/>
          <w:tab w:val="left" w:pos="900"/>
          <w:tab w:val="left" w:pos="1080"/>
          <w:tab w:val="left" w:pos="2014"/>
        </w:tabs>
        <w:snapToGrid w:val="0"/>
        <w:spacing w:line="360" w:lineRule="auto"/>
        <w:rPr>
          <w:rFonts w:hint="default" w:ascii="宋体" w:hAnsi="宋体" w:eastAsia="宋体" w:cs="宋体"/>
          <w:b/>
          <w:sz w:val="24"/>
          <w:lang w:val="en-US" w:eastAsia="zh-CN"/>
        </w:rPr>
      </w:pPr>
      <w:r>
        <w:rPr>
          <w:rFonts w:hint="eastAsia" w:ascii="宋体" w:hAnsi="宋体" w:cs="宋体"/>
          <w:b/>
          <w:sz w:val="24"/>
          <w:lang w:val="en-US" w:eastAsia="zh-CN"/>
        </w:rPr>
        <w:t>（1）报价和理性评审</w:t>
      </w:r>
    </w:p>
    <w:p>
      <w:pPr>
        <w:tabs>
          <w:tab w:val="left" w:pos="360"/>
          <w:tab w:val="left" w:pos="900"/>
          <w:tab w:val="left" w:pos="1080"/>
          <w:tab w:val="left" w:pos="2014"/>
        </w:tabs>
        <w:snapToGrid w:val="0"/>
        <w:spacing w:line="360" w:lineRule="auto"/>
        <w:rPr>
          <w:rFonts w:hint="eastAsia" w:ascii="宋体" w:hAnsi="宋体" w:cs="宋体"/>
          <w:sz w:val="24"/>
          <w:szCs w:val="24"/>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szCs w:val="24"/>
        </w:rPr>
        <w:t>价格评分标准：</w:t>
      </w:r>
    </w:p>
    <w:tbl>
      <w:tblPr>
        <w:tblStyle w:val="46"/>
        <w:tblW w:w="999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75"/>
        <w:gridCol w:w="825"/>
        <w:gridCol w:w="4338"/>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55" w:type="dxa"/>
            <w:noWrap w:val="0"/>
            <w:vAlign w:val="center"/>
          </w:tcPr>
          <w:p>
            <w:pPr>
              <w:ind w:firstLine="28"/>
              <w:jc w:val="center"/>
              <w:rPr>
                <w:rFonts w:hint="eastAsia" w:ascii="宋体" w:hAnsi="宋体" w:cs="宋体"/>
                <w:b/>
                <w:sz w:val="24"/>
                <w:szCs w:val="24"/>
              </w:rPr>
            </w:pPr>
            <w:r>
              <w:rPr>
                <w:rFonts w:hint="eastAsia" w:ascii="宋体" w:hAnsi="宋体" w:cs="宋体"/>
                <w:b/>
                <w:sz w:val="24"/>
                <w:szCs w:val="24"/>
              </w:rPr>
              <w:t>序号</w:t>
            </w:r>
          </w:p>
        </w:tc>
        <w:tc>
          <w:tcPr>
            <w:tcW w:w="1375" w:type="dxa"/>
            <w:noWrap w:val="0"/>
            <w:vAlign w:val="center"/>
          </w:tcPr>
          <w:p>
            <w:pPr>
              <w:ind w:firstLine="28"/>
              <w:jc w:val="center"/>
              <w:rPr>
                <w:rFonts w:hint="eastAsia" w:ascii="宋体" w:hAnsi="宋体" w:cs="宋体"/>
                <w:b/>
                <w:sz w:val="24"/>
                <w:szCs w:val="24"/>
              </w:rPr>
            </w:pPr>
            <w:r>
              <w:rPr>
                <w:rFonts w:hint="eastAsia" w:ascii="宋体" w:hAnsi="宋体" w:cs="宋体"/>
                <w:b/>
                <w:sz w:val="24"/>
                <w:szCs w:val="24"/>
              </w:rPr>
              <w:t>评分因素</w:t>
            </w:r>
          </w:p>
        </w:tc>
        <w:tc>
          <w:tcPr>
            <w:tcW w:w="825" w:type="dxa"/>
            <w:noWrap w:val="0"/>
            <w:vAlign w:val="center"/>
          </w:tcPr>
          <w:p>
            <w:pPr>
              <w:ind w:firstLine="28"/>
              <w:jc w:val="center"/>
              <w:rPr>
                <w:rFonts w:hint="eastAsia" w:ascii="宋体" w:hAnsi="宋体" w:cs="宋体"/>
                <w:b/>
                <w:sz w:val="24"/>
                <w:szCs w:val="24"/>
              </w:rPr>
            </w:pPr>
            <w:r>
              <w:rPr>
                <w:rFonts w:hint="eastAsia" w:ascii="宋体" w:hAnsi="宋体" w:cs="宋体"/>
                <w:b/>
                <w:sz w:val="24"/>
                <w:szCs w:val="24"/>
              </w:rPr>
              <w:t>分值</w:t>
            </w:r>
          </w:p>
        </w:tc>
        <w:tc>
          <w:tcPr>
            <w:tcW w:w="4338" w:type="dxa"/>
            <w:noWrap w:val="0"/>
            <w:vAlign w:val="center"/>
          </w:tcPr>
          <w:p>
            <w:pPr>
              <w:ind w:firstLine="28"/>
              <w:jc w:val="center"/>
              <w:rPr>
                <w:rFonts w:hint="eastAsia" w:ascii="宋体" w:hAnsi="宋体" w:cs="宋体"/>
                <w:b/>
                <w:sz w:val="24"/>
                <w:szCs w:val="24"/>
              </w:rPr>
            </w:pPr>
            <w:r>
              <w:rPr>
                <w:rFonts w:hint="eastAsia" w:ascii="宋体" w:hAnsi="宋体" w:cs="宋体"/>
                <w:b/>
                <w:sz w:val="24"/>
                <w:szCs w:val="24"/>
              </w:rPr>
              <w:t>评分标准</w:t>
            </w:r>
          </w:p>
        </w:tc>
        <w:tc>
          <w:tcPr>
            <w:tcW w:w="2597" w:type="dxa"/>
            <w:noWrap w:val="0"/>
            <w:vAlign w:val="center"/>
          </w:tcPr>
          <w:p>
            <w:pPr>
              <w:pStyle w:val="255"/>
              <w:spacing w:before="0" w:after="0" w:line="240" w:lineRule="auto"/>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855" w:type="dxa"/>
            <w:noWrap w:val="0"/>
            <w:vAlign w:val="center"/>
          </w:tcPr>
          <w:p>
            <w:pPr>
              <w:ind w:firstLine="28"/>
              <w:jc w:val="center"/>
              <w:rPr>
                <w:rFonts w:hint="eastAsia" w:ascii="宋体" w:hAnsi="宋体" w:cs="宋体"/>
                <w:sz w:val="24"/>
                <w:szCs w:val="24"/>
              </w:rPr>
            </w:pPr>
            <w:r>
              <w:rPr>
                <w:rFonts w:hint="eastAsia" w:ascii="宋体" w:hAnsi="宋体" w:cs="宋体"/>
                <w:sz w:val="24"/>
                <w:szCs w:val="24"/>
              </w:rPr>
              <w:t>1</w:t>
            </w:r>
          </w:p>
        </w:tc>
        <w:tc>
          <w:tcPr>
            <w:tcW w:w="1375" w:type="dxa"/>
            <w:noWrap w:val="0"/>
            <w:vAlign w:val="center"/>
          </w:tcPr>
          <w:p>
            <w:pPr>
              <w:ind w:firstLine="28"/>
              <w:jc w:val="center"/>
              <w:rPr>
                <w:rFonts w:hint="eastAsia" w:ascii="宋体" w:hAnsi="宋体" w:cs="宋体"/>
                <w:sz w:val="24"/>
                <w:szCs w:val="24"/>
              </w:rPr>
            </w:pPr>
            <w:r>
              <w:rPr>
                <w:rFonts w:hint="eastAsia" w:ascii="宋体" w:hAnsi="宋体" w:cs="宋体"/>
                <w:sz w:val="24"/>
                <w:szCs w:val="24"/>
              </w:rPr>
              <w:t>报价</w:t>
            </w:r>
          </w:p>
        </w:tc>
        <w:tc>
          <w:tcPr>
            <w:tcW w:w="825" w:type="dxa"/>
            <w:noWrap w:val="0"/>
            <w:vAlign w:val="center"/>
          </w:tcPr>
          <w:p>
            <w:pPr>
              <w:ind w:firstLine="28"/>
              <w:jc w:val="center"/>
              <w:rPr>
                <w:rFonts w:ascii="宋体" w:hAnsi="宋体" w:cs="宋体"/>
                <w:sz w:val="24"/>
                <w:szCs w:val="24"/>
              </w:rPr>
            </w:pPr>
            <w:r>
              <w:rPr>
                <w:rFonts w:hint="eastAsia" w:ascii="宋体" w:hAnsi="宋体" w:cs="宋体"/>
                <w:sz w:val="24"/>
                <w:szCs w:val="24"/>
              </w:rPr>
              <w:t>30</w:t>
            </w:r>
          </w:p>
        </w:tc>
        <w:tc>
          <w:tcPr>
            <w:tcW w:w="4338" w:type="dxa"/>
            <w:noWrap w:val="0"/>
            <w:vAlign w:val="center"/>
          </w:tcPr>
          <w:p>
            <w:pPr>
              <w:ind w:firstLine="28"/>
              <w:jc w:val="left"/>
              <w:rPr>
                <w:rFonts w:hint="eastAsia" w:ascii="宋体" w:hAnsi="宋体" w:cs="宋体"/>
                <w:sz w:val="24"/>
                <w:szCs w:val="24"/>
              </w:rPr>
            </w:pPr>
            <w:r>
              <w:rPr>
                <w:rFonts w:hint="eastAsia" w:ascii="宋体" w:hAnsi="宋体" w:cs="宋体"/>
                <w:sz w:val="24"/>
                <w:szCs w:val="24"/>
              </w:rPr>
              <w:t>满足磋商文件要求的最后报价最低的供应商的价格为磋商基准价，其价格分为满分。其他供应商的价格分统一按照下列公式计算：</w:t>
            </w:r>
          </w:p>
          <w:p>
            <w:pPr>
              <w:ind w:firstLine="28"/>
              <w:jc w:val="left"/>
              <w:rPr>
                <w:rFonts w:hint="default" w:eastAsia="宋体"/>
                <w:lang w:val="en-US" w:eastAsia="zh-CN"/>
              </w:rPr>
            </w:pPr>
            <w:r>
              <w:rPr>
                <w:rFonts w:hint="eastAsia" w:ascii="宋体" w:hAnsi="宋体" w:eastAsia="宋体" w:cs="宋体"/>
                <w:sz w:val="24"/>
                <w:szCs w:val="24"/>
              </w:rPr>
              <w:t>磋商报价得分=</w:t>
            </w:r>
            <w:r>
              <w:rPr>
                <w:rFonts w:hint="eastAsia" w:ascii="宋体" w:hAnsi="宋体" w:eastAsia="宋体" w:cs="宋体"/>
                <w:sz w:val="24"/>
                <w:szCs w:val="24"/>
                <w:lang w:val="en-US" w:eastAsia="zh-CN"/>
              </w:rPr>
              <w:t>[</w:t>
            </w:r>
            <w:r>
              <w:rPr>
                <w:rFonts w:hint="eastAsia" w:ascii="宋体" w:hAnsi="宋体" w:eastAsia="宋体" w:cs="宋体"/>
                <w:sz w:val="24"/>
                <w:szCs w:val="24"/>
              </w:rPr>
              <w:t>磋商基准价/最后报价</w:t>
            </w:r>
            <w:r>
              <w:rPr>
                <w:rFonts w:hint="eastAsia" w:ascii="宋体" w:hAnsi="宋体" w:eastAsia="宋体" w:cs="宋体"/>
                <w:sz w:val="24"/>
                <w:szCs w:val="24"/>
                <w:lang w:val="en-US" w:eastAsia="zh-CN"/>
              </w:rPr>
              <w:t>]</w:t>
            </w:r>
            <w:r>
              <w:rPr>
                <w:rFonts w:hint="eastAsia" w:ascii="宋体" w:hAnsi="宋体" w:eastAsia="宋体" w:cs="宋体"/>
                <w:sz w:val="24"/>
                <w:szCs w:val="24"/>
              </w:rPr>
              <w:t>×30</w:t>
            </w:r>
          </w:p>
        </w:tc>
        <w:tc>
          <w:tcPr>
            <w:tcW w:w="2597" w:type="dxa"/>
            <w:noWrap w:val="0"/>
            <w:vAlign w:val="center"/>
          </w:tcPr>
          <w:p>
            <w:pPr>
              <w:ind w:left="-38"/>
              <w:rPr>
                <w:rFonts w:hint="eastAsia" w:ascii="宋体" w:hAnsi="宋体" w:cs="宋体"/>
                <w:sz w:val="24"/>
                <w:szCs w:val="24"/>
              </w:rPr>
            </w:pPr>
            <w:r>
              <w:rPr>
                <w:rFonts w:hint="eastAsia" w:ascii="宋体" w:hAnsi="宋体" w:cs="宋体"/>
                <w:sz w:val="24"/>
                <w:szCs w:val="24"/>
              </w:rPr>
              <w:t>此处最后报价指经过报价修正，及因落实政府采购政策进行价格调整后的报价，详见第三章《评审方法和评审标准》3</w:t>
            </w:r>
          </w:p>
        </w:tc>
      </w:tr>
    </w:tbl>
    <w:p>
      <w:pPr>
        <w:tabs>
          <w:tab w:val="left" w:pos="360"/>
          <w:tab w:val="left" w:pos="900"/>
          <w:tab w:val="left" w:pos="1080"/>
          <w:tab w:val="left" w:pos="2014"/>
        </w:tabs>
        <w:snapToGrid w:val="0"/>
        <w:spacing w:line="360" w:lineRule="auto"/>
        <w:rPr>
          <w:rFonts w:hint="eastAsia" w:ascii="宋体" w:hAnsi="宋体" w:eastAsia="宋体" w:cs="宋体"/>
          <w:b/>
          <w:sz w:val="24"/>
          <w:szCs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3</w:t>
      </w:r>
      <w:r>
        <w:rPr>
          <w:rFonts w:hint="eastAsia" w:ascii="宋体" w:hAnsi="宋体" w:eastAsia="宋体" w:cs="宋体"/>
          <w:b/>
          <w:bCs/>
          <w:sz w:val="24"/>
          <w:lang w:eastAsia="zh-CN"/>
        </w:rPr>
        <w:t>）</w:t>
      </w:r>
      <w:r>
        <w:rPr>
          <w:rFonts w:hint="eastAsia" w:ascii="宋体" w:hAnsi="宋体" w:eastAsia="宋体" w:cs="宋体"/>
          <w:b/>
          <w:sz w:val="24"/>
          <w:szCs w:val="24"/>
        </w:rPr>
        <w:t>商务、技术评分标准：</w:t>
      </w:r>
    </w:p>
    <w:tbl>
      <w:tblPr>
        <w:tblStyle w:val="46"/>
        <w:tblW w:w="9995" w:type="dxa"/>
        <w:tblInd w:w="-174" w:type="dxa"/>
        <w:tblLayout w:type="fixed"/>
        <w:tblCellMar>
          <w:top w:w="0" w:type="dxa"/>
          <w:left w:w="108" w:type="dxa"/>
          <w:bottom w:w="0" w:type="dxa"/>
          <w:right w:w="108" w:type="dxa"/>
        </w:tblCellMar>
      </w:tblPr>
      <w:tblGrid>
        <w:gridCol w:w="855"/>
        <w:gridCol w:w="1385"/>
        <w:gridCol w:w="6685"/>
        <w:gridCol w:w="1070"/>
      </w:tblGrid>
      <w:tr>
        <w:tblPrEx>
          <w:tblCellMar>
            <w:top w:w="0" w:type="dxa"/>
            <w:left w:w="108" w:type="dxa"/>
            <w:bottom w:w="0" w:type="dxa"/>
            <w:right w:w="108" w:type="dxa"/>
          </w:tblCellMar>
        </w:tblPrEx>
        <w:trPr>
          <w:trHeight w:val="574" w:hRule="atLeast"/>
        </w:trPr>
        <w:tc>
          <w:tcPr>
            <w:tcW w:w="855" w:type="dxa"/>
            <w:tcBorders>
              <w:top w:val="single" w:color="000000" w:sz="8" w:space="0"/>
              <w:left w:val="single" w:color="000000" w:sz="8" w:space="0"/>
              <w:bottom w:val="single" w:color="auto" w:sz="4" w:space="0"/>
              <w:right w:val="single" w:color="000000" w:sz="8" w:space="0"/>
            </w:tcBorders>
            <w:noWrap w:val="0"/>
            <w:vAlign w:val="center"/>
          </w:tcPr>
          <w:p>
            <w:pPr>
              <w:widowControl/>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385" w:type="dxa"/>
            <w:tcBorders>
              <w:top w:val="single" w:color="000000" w:sz="8" w:space="0"/>
              <w:left w:val="nil"/>
              <w:bottom w:val="single" w:color="000000" w:sz="8" w:space="0"/>
              <w:right w:val="single" w:color="000000" w:sz="8"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b/>
                <w:highlight w:val="none"/>
              </w:rPr>
              <w:t>评审项目</w:t>
            </w:r>
          </w:p>
        </w:tc>
        <w:tc>
          <w:tcPr>
            <w:tcW w:w="6685" w:type="dxa"/>
            <w:tcBorders>
              <w:top w:val="single" w:color="000000" w:sz="8" w:space="0"/>
              <w:left w:val="nil"/>
              <w:bottom w:val="single" w:color="000000" w:sz="8" w:space="0"/>
              <w:right w:val="single" w:color="000000" w:sz="8"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b/>
                <w:spacing w:val="-2"/>
                <w:sz w:val="24"/>
                <w:highlight w:val="none"/>
              </w:rPr>
              <w:t>评分标准</w:t>
            </w:r>
          </w:p>
        </w:tc>
        <w:tc>
          <w:tcPr>
            <w:tcW w:w="1070" w:type="dxa"/>
            <w:tcBorders>
              <w:top w:val="single" w:color="000000" w:sz="8" w:space="0"/>
              <w:left w:val="nil"/>
              <w:bottom w:val="single" w:color="000000" w:sz="8" w:space="0"/>
              <w:right w:val="single" w:color="000000" w:sz="8"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b/>
              </w:rPr>
              <w:t>分值</w:t>
            </w:r>
          </w:p>
        </w:tc>
      </w:tr>
      <w:tr>
        <w:tblPrEx>
          <w:tblCellMar>
            <w:top w:w="0" w:type="dxa"/>
            <w:left w:w="108" w:type="dxa"/>
            <w:bottom w:w="0" w:type="dxa"/>
            <w:right w:w="108" w:type="dxa"/>
          </w:tblCellMar>
        </w:tblPrEx>
        <w:trPr>
          <w:trHeight w:val="139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2"/>
              </w:numPr>
              <w:spacing w:line="360" w:lineRule="exact"/>
              <w:ind w:left="425" w:leftChars="0" w:hanging="425" w:firstLineChars="0"/>
              <w:jc w:val="center"/>
              <w:rPr>
                <w:rFonts w:hint="eastAsia" w:ascii="宋体" w:hAnsi="宋体" w:cs="宋体"/>
                <w:kern w:val="0"/>
                <w:sz w:val="24"/>
                <w:szCs w:val="24"/>
                <w:highlight w:val="none"/>
              </w:rPr>
            </w:pPr>
          </w:p>
        </w:tc>
        <w:tc>
          <w:tcPr>
            <w:tcW w:w="1385" w:type="dxa"/>
            <w:tcBorders>
              <w:top w:val="single" w:color="auto" w:sz="4" w:space="0"/>
              <w:left w:val="single" w:color="auto" w:sz="4" w:space="0"/>
              <w:bottom w:val="single" w:color="000000" w:sz="8" w:space="0"/>
              <w:right w:val="single" w:color="000000" w:sz="8" w:space="0"/>
            </w:tcBorders>
            <w:noWrap w:val="0"/>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企业业绩</w:t>
            </w:r>
          </w:p>
        </w:tc>
        <w:tc>
          <w:tcPr>
            <w:tcW w:w="6685" w:type="dxa"/>
            <w:tcBorders>
              <w:top w:val="single" w:color="auto" w:sz="4" w:space="0"/>
              <w:left w:val="nil"/>
              <w:bottom w:val="single" w:color="auto" w:sz="4" w:space="0"/>
              <w:right w:val="single" w:color="000000" w:sz="8" w:space="0"/>
            </w:tcBorders>
            <w:noWrap w:val="0"/>
            <w:vAlign w:val="center"/>
          </w:tcPr>
          <w:p>
            <w:pPr>
              <w:spacing w:line="360" w:lineRule="exac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供应商自2021年至今，每有一个同类业绩的得2分，最多得4 分（业绩时间以合同签订时间为准）。不提供不得分。</w:t>
            </w:r>
          </w:p>
          <w:p>
            <w:pPr>
              <w:spacing w:line="360" w:lineRule="exac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注：须提供中标/成交通知书复印件或合同复印件</w:t>
            </w:r>
          </w:p>
        </w:tc>
        <w:tc>
          <w:tcPr>
            <w:tcW w:w="1070" w:type="dxa"/>
            <w:tcBorders>
              <w:top w:val="single" w:color="auto" w:sz="4" w:space="0"/>
              <w:left w:val="single" w:color="000000" w:sz="8" w:space="0"/>
              <w:bottom w:val="single" w:color="auto" w:sz="4" w:space="0"/>
              <w:right w:val="single" w:color="000000" w:sz="8" w:space="0"/>
            </w:tcBorders>
            <w:noWrap w:val="0"/>
            <w:vAlign w:val="center"/>
          </w:tcPr>
          <w:p>
            <w:pPr>
              <w:spacing w:line="36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0-</w:t>
            </w:r>
            <w:r>
              <w:rPr>
                <w:rFonts w:hint="eastAsia" w:ascii="宋体" w:hAnsi="宋体" w:cs="宋体"/>
                <w:kern w:val="0"/>
                <w:sz w:val="24"/>
                <w:szCs w:val="24"/>
                <w:highlight w:val="none"/>
                <w:lang w:val="en-US" w:eastAsia="zh-CN"/>
              </w:rPr>
              <w:t>4</w:t>
            </w:r>
          </w:p>
        </w:tc>
      </w:tr>
      <w:tr>
        <w:tblPrEx>
          <w:tblCellMar>
            <w:top w:w="0" w:type="dxa"/>
            <w:left w:w="108" w:type="dxa"/>
            <w:bottom w:w="0" w:type="dxa"/>
            <w:right w:w="108" w:type="dxa"/>
          </w:tblCellMar>
        </w:tblPrEx>
        <w:trPr>
          <w:trHeight w:val="139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2"/>
              </w:numPr>
              <w:spacing w:line="360" w:lineRule="exact"/>
              <w:ind w:left="425" w:leftChars="0" w:hanging="425" w:firstLineChars="0"/>
              <w:jc w:val="center"/>
              <w:rPr>
                <w:rFonts w:hint="eastAsia" w:ascii="宋体" w:hAnsi="宋体" w:cs="宋体"/>
                <w:kern w:val="0"/>
                <w:sz w:val="24"/>
                <w:szCs w:val="24"/>
                <w:highlight w:val="none"/>
              </w:rPr>
            </w:pPr>
          </w:p>
        </w:tc>
        <w:tc>
          <w:tcPr>
            <w:tcW w:w="1385" w:type="dxa"/>
            <w:tcBorders>
              <w:top w:val="single" w:color="auto" w:sz="4" w:space="0"/>
              <w:left w:val="single" w:color="auto" w:sz="4" w:space="0"/>
              <w:bottom w:val="single" w:color="auto" w:sz="4" w:space="0"/>
              <w:right w:val="single" w:color="000000" w:sz="8" w:space="0"/>
            </w:tcBorders>
            <w:noWrap w:val="0"/>
            <w:vAlign w:val="center"/>
          </w:tcPr>
          <w:p>
            <w:pPr>
              <w:pStyle w:val="256"/>
              <w:spacing w:line="249" w:lineRule="auto"/>
              <w:ind w:right="171" w:rightChars="0"/>
              <w:jc w:val="center"/>
              <w:rPr>
                <w:rFonts w:hint="default"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人员配置</w:t>
            </w:r>
          </w:p>
        </w:tc>
        <w:tc>
          <w:tcPr>
            <w:tcW w:w="6685" w:type="dxa"/>
            <w:tcBorders>
              <w:top w:val="single" w:color="auto" w:sz="4" w:space="0"/>
              <w:left w:val="nil"/>
              <w:bottom w:val="single" w:color="auto" w:sz="4" w:space="0"/>
              <w:right w:val="single" w:color="000000" w:sz="8" w:space="0"/>
            </w:tcBorders>
            <w:noWrap w:val="0"/>
            <w:vAlign w:val="center"/>
          </w:tcPr>
          <w:p>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拟投入本项目的配送、安装、施工人员配备情况进行打分，内容包括但不限于：</w:t>
            </w:r>
          </w:p>
          <w:p>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①人员构成合理；</w:t>
            </w:r>
          </w:p>
          <w:p>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②人员缺岗时的管理方案切实可行；</w:t>
            </w:r>
          </w:p>
          <w:p>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③拟投入工作人员工作经验丰富；</w:t>
            </w:r>
          </w:p>
          <w:p>
            <w:pPr>
              <w:spacing w:line="36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④拟投入工作人员现场保障能力强；</w:t>
            </w:r>
          </w:p>
          <w:p>
            <w:pPr>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lang w:val="en-US" w:eastAsia="zh-CN"/>
              </w:rPr>
              <w:t>完全满足上述要求且符合本项目实际要求的得8分。每缺少一项内容扣2分；每有一项内容错误或不合理或不符合本项目实际情况的</w:t>
            </w:r>
            <w:r>
              <w:rPr>
                <w:rFonts w:hint="eastAsia" w:ascii="宋体" w:hAnsi="宋体" w:cs="宋体"/>
                <w:sz w:val="24"/>
                <w:szCs w:val="24"/>
                <w:lang w:val="en-US" w:eastAsia="zh-CN"/>
              </w:rPr>
              <w:t>每处</w:t>
            </w:r>
            <w:r>
              <w:rPr>
                <w:rFonts w:hint="eastAsia" w:ascii="宋体" w:hAnsi="宋体" w:eastAsia="宋体" w:cs="宋体"/>
                <w:sz w:val="24"/>
                <w:szCs w:val="24"/>
                <w:lang w:val="en-US" w:eastAsia="zh-CN"/>
              </w:rPr>
              <w:t>扣1分；扣完为止。</w:t>
            </w:r>
            <w:r>
              <w:rPr>
                <w:rFonts w:hint="eastAsia" w:ascii="宋体" w:hAnsi="宋体" w:eastAsia="宋体" w:cs="宋体"/>
                <w:sz w:val="24"/>
                <w:szCs w:val="24"/>
                <w:highlight w:val="none"/>
                <w:lang w:eastAsia="zh-CN"/>
              </w:rPr>
              <w:t>（</w:t>
            </w:r>
            <w:r>
              <w:rPr>
                <w:rFonts w:hint="eastAsia" w:ascii="宋体" w:hAnsi="宋体" w:eastAsia="宋体" w:cs="宋体"/>
                <w:sz w:val="24"/>
                <w:highlight w:val="none"/>
                <w:lang w:val="en-US" w:eastAsia="zh-CN"/>
              </w:rPr>
              <w:t>不合理包含但不限于：项目名称、实施地点、涉及的规范、标准与本项目要求不一致、不符合本项目实际需求</w:t>
            </w:r>
            <w:r>
              <w:rPr>
                <w:rFonts w:hint="eastAsia" w:ascii="宋体" w:hAnsi="宋体" w:eastAsia="宋体" w:cs="宋体"/>
                <w:sz w:val="24"/>
                <w:szCs w:val="24"/>
                <w:highlight w:val="none"/>
                <w:lang w:eastAsia="zh-CN"/>
              </w:rPr>
              <w:t>）</w:t>
            </w:r>
          </w:p>
        </w:tc>
        <w:tc>
          <w:tcPr>
            <w:tcW w:w="1070" w:type="dxa"/>
            <w:tcBorders>
              <w:top w:val="single" w:color="auto" w:sz="4" w:space="0"/>
              <w:left w:val="single" w:color="000000" w:sz="8" w:space="0"/>
              <w:bottom w:val="single" w:color="auto" w:sz="4" w:space="0"/>
              <w:right w:val="single" w:color="000000" w:sz="8" w:space="0"/>
            </w:tcBorders>
            <w:noWrap w:val="0"/>
            <w:vAlign w:val="center"/>
          </w:tcPr>
          <w:p>
            <w:pPr>
              <w:pStyle w:val="256"/>
              <w:spacing w:line="249" w:lineRule="auto"/>
              <w:ind w:right="171" w:right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0-8</w:t>
            </w:r>
          </w:p>
        </w:tc>
      </w:tr>
      <w:tr>
        <w:tblPrEx>
          <w:tblCellMar>
            <w:top w:w="0" w:type="dxa"/>
            <w:left w:w="108" w:type="dxa"/>
            <w:bottom w:w="0" w:type="dxa"/>
            <w:right w:w="108" w:type="dxa"/>
          </w:tblCellMar>
        </w:tblPrEx>
        <w:trPr>
          <w:trHeight w:val="1980" w:hRule="atLeast"/>
        </w:trPr>
        <w:tc>
          <w:tcPr>
            <w:tcW w:w="855" w:type="dxa"/>
            <w:vMerge w:val="restart"/>
            <w:tcBorders>
              <w:top w:val="single" w:color="auto" w:sz="4" w:space="0"/>
              <w:left w:val="single" w:color="auto" w:sz="4" w:space="0"/>
              <w:right w:val="single" w:color="auto" w:sz="4" w:space="0"/>
            </w:tcBorders>
            <w:noWrap w:val="0"/>
            <w:vAlign w:val="center"/>
          </w:tcPr>
          <w:p>
            <w:pPr>
              <w:widowControl/>
              <w:numPr>
                <w:ilvl w:val="0"/>
                <w:numId w:val="12"/>
              </w:numPr>
              <w:spacing w:line="360" w:lineRule="exact"/>
              <w:ind w:left="425" w:leftChars="0" w:hanging="425" w:firstLineChars="0"/>
              <w:jc w:val="center"/>
              <w:rPr>
                <w:rFonts w:ascii="宋体" w:hAnsi="宋体" w:cs="宋体"/>
                <w:kern w:val="0"/>
                <w:sz w:val="24"/>
                <w:szCs w:val="24"/>
                <w:highlight w:val="none"/>
              </w:rPr>
            </w:pPr>
          </w:p>
        </w:tc>
        <w:tc>
          <w:tcPr>
            <w:tcW w:w="1385" w:type="dxa"/>
            <w:vMerge w:val="restart"/>
            <w:tcBorders>
              <w:top w:val="single" w:color="auto" w:sz="4" w:space="0"/>
              <w:left w:val="single" w:color="auto" w:sz="4" w:space="0"/>
              <w:right w:val="single" w:color="auto" w:sz="4" w:space="0"/>
            </w:tcBorders>
            <w:noWrap w:val="0"/>
            <w:vAlign w:val="center"/>
          </w:tcPr>
          <w:p>
            <w:pPr>
              <w:spacing w:line="36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技术参数响应</w:t>
            </w:r>
          </w:p>
        </w:tc>
        <w:tc>
          <w:tcPr>
            <w:tcW w:w="6685" w:type="dxa"/>
            <w:tcBorders>
              <w:top w:val="single" w:color="auto" w:sz="4" w:space="0"/>
              <w:left w:val="single" w:color="auto" w:sz="4" w:space="0"/>
              <w:right w:val="single" w:color="auto" w:sz="4" w:space="0"/>
            </w:tcBorders>
            <w:noWrap w:val="0"/>
            <w:vAlign w:val="center"/>
          </w:tcPr>
          <w:p>
            <w:pPr>
              <w:spacing w:line="36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采购清单中序号1-67及75-146（教室改造不作为技术参数响应评审）</w:t>
            </w:r>
          </w:p>
          <w:p>
            <w:pPr>
              <w:spacing w:line="360" w:lineRule="exac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每</w:t>
            </w:r>
            <w:r>
              <w:rPr>
                <w:rFonts w:hint="eastAsia" w:ascii="宋体" w:hAnsi="宋体" w:eastAsia="宋体" w:cs="宋体"/>
                <w:sz w:val="24"/>
                <w:szCs w:val="24"/>
                <w:highlight w:val="none"/>
                <w:lang w:val="en-US" w:eastAsia="zh-CN"/>
              </w:rPr>
              <w:t>项产品</w:t>
            </w:r>
            <w:r>
              <w:rPr>
                <w:rFonts w:hint="default" w:ascii="宋体" w:hAnsi="宋体" w:eastAsia="宋体" w:cs="宋体"/>
                <w:sz w:val="24"/>
                <w:szCs w:val="24"/>
                <w:highlight w:val="none"/>
                <w:lang w:val="en-US" w:eastAsia="zh-CN"/>
              </w:rPr>
              <w:t>有一项</w:t>
            </w:r>
            <w:r>
              <w:rPr>
                <w:rFonts w:hint="eastAsia" w:ascii="宋体" w:hAnsi="宋体" w:eastAsia="宋体" w:cs="宋体"/>
                <w:sz w:val="24"/>
                <w:szCs w:val="24"/>
                <w:highlight w:val="none"/>
                <w:lang w:val="en-US" w:eastAsia="zh-CN"/>
              </w:rPr>
              <w:t>技术参数不满足采购文件要求（</w:t>
            </w:r>
            <w:r>
              <w:rPr>
                <w:rFonts w:hint="default" w:ascii="宋体" w:hAnsi="宋体" w:eastAsia="宋体" w:cs="宋体"/>
                <w:sz w:val="24"/>
                <w:szCs w:val="24"/>
                <w:highlight w:val="none"/>
                <w:lang w:val="en-US" w:eastAsia="zh-CN"/>
              </w:rPr>
              <w:t>负偏离</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的</w:t>
            </w:r>
            <w:r>
              <w:rPr>
                <w:rFonts w:hint="eastAsia" w:ascii="宋体" w:hAnsi="宋体" w:eastAsia="宋体" w:cs="宋体"/>
                <w:sz w:val="24"/>
                <w:szCs w:val="24"/>
                <w:highlight w:val="none"/>
                <w:lang w:val="en-US" w:eastAsia="zh-CN"/>
              </w:rPr>
              <w:t>则该项产品视为不响应</w:t>
            </w:r>
            <w:r>
              <w:rPr>
                <w:rFonts w:hint="eastAsia" w:ascii="宋体" w:hAnsi="宋体" w:cs="宋体"/>
                <w:sz w:val="24"/>
                <w:szCs w:val="24"/>
                <w:highlight w:val="none"/>
                <w:lang w:val="en-US" w:eastAsia="zh-CN"/>
              </w:rPr>
              <w:t>参数要求</w:t>
            </w:r>
            <w:r>
              <w:rPr>
                <w:rFonts w:hint="eastAsia" w:ascii="宋体" w:hAnsi="宋体" w:eastAsia="宋体" w:cs="宋体"/>
                <w:sz w:val="24"/>
                <w:szCs w:val="24"/>
                <w:highlight w:val="none"/>
                <w:lang w:val="en-US" w:eastAsia="zh-CN"/>
              </w:rPr>
              <w:t>，该项</w:t>
            </w:r>
            <w:r>
              <w:rPr>
                <w:rFonts w:hint="eastAsia" w:ascii="宋体" w:hAnsi="宋体" w:cs="宋体"/>
                <w:sz w:val="24"/>
                <w:szCs w:val="24"/>
                <w:highlight w:val="none"/>
                <w:lang w:val="en-US" w:eastAsia="zh-CN"/>
              </w:rPr>
              <w:t>产品</w:t>
            </w:r>
            <w:r>
              <w:rPr>
                <w:rFonts w:hint="eastAsia" w:ascii="宋体" w:hAnsi="宋体" w:eastAsia="宋体" w:cs="宋体"/>
                <w:sz w:val="24"/>
                <w:szCs w:val="24"/>
                <w:highlight w:val="none"/>
                <w:lang w:val="en-US" w:eastAsia="zh-CN"/>
              </w:rPr>
              <w:t>不得分。每</w:t>
            </w:r>
            <w:r>
              <w:rPr>
                <w:rFonts w:hint="eastAsia" w:ascii="宋体" w:hAnsi="宋体" w:cs="宋体"/>
                <w:sz w:val="24"/>
                <w:szCs w:val="24"/>
                <w:highlight w:val="none"/>
                <w:lang w:val="en-US" w:eastAsia="zh-CN"/>
              </w:rPr>
              <w:t>有一</w:t>
            </w:r>
            <w:r>
              <w:rPr>
                <w:rFonts w:hint="eastAsia" w:ascii="宋体" w:hAnsi="宋体" w:eastAsia="宋体" w:cs="宋体"/>
                <w:sz w:val="24"/>
                <w:szCs w:val="24"/>
                <w:highlight w:val="none"/>
                <w:lang w:val="en-US" w:eastAsia="zh-CN"/>
              </w:rPr>
              <w:t>项</w:t>
            </w:r>
            <w:r>
              <w:rPr>
                <w:rFonts w:hint="default" w:ascii="宋体" w:hAnsi="宋体" w:eastAsia="宋体" w:cs="宋体"/>
                <w:sz w:val="24"/>
                <w:szCs w:val="24"/>
                <w:highlight w:val="none"/>
                <w:lang w:val="en-US" w:eastAsia="zh-CN"/>
              </w:rPr>
              <w:t>产品</w:t>
            </w:r>
            <w:r>
              <w:rPr>
                <w:rFonts w:hint="eastAsia" w:ascii="宋体" w:hAnsi="宋体" w:eastAsia="宋体" w:cs="宋体"/>
                <w:sz w:val="24"/>
                <w:szCs w:val="24"/>
                <w:highlight w:val="none"/>
                <w:lang w:val="en-US" w:eastAsia="zh-CN"/>
              </w:rPr>
              <w:t>全部</w:t>
            </w:r>
            <w:r>
              <w:rPr>
                <w:rFonts w:hint="default" w:ascii="宋体" w:hAnsi="宋体" w:eastAsia="宋体" w:cs="宋体"/>
                <w:sz w:val="24"/>
                <w:szCs w:val="24"/>
                <w:highlight w:val="none"/>
                <w:lang w:val="en-US" w:eastAsia="zh-CN"/>
              </w:rPr>
              <w:t>技术参数及要求满足</w:t>
            </w:r>
            <w:r>
              <w:rPr>
                <w:rFonts w:hint="eastAsia" w:ascii="宋体" w:hAnsi="宋体" w:eastAsia="宋体" w:cs="宋体"/>
                <w:sz w:val="24"/>
                <w:szCs w:val="24"/>
                <w:highlight w:val="none"/>
                <w:lang w:val="en-US" w:eastAsia="zh-CN"/>
              </w:rPr>
              <w:t>采购</w:t>
            </w:r>
            <w:r>
              <w:rPr>
                <w:rFonts w:hint="default" w:ascii="宋体" w:hAnsi="宋体" w:eastAsia="宋体" w:cs="宋体"/>
                <w:sz w:val="24"/>
                <w:szCs w:val="24"/>
                <w:highlight w:val="none"/>
                <w:lang w:val="en-US" w:eastAsia="zh-CN"/>
              </w:rPr>
              <w:t>文件的</w:t>
            </w:r>
            <w:r>
              <w:rPr>
                <w:rFonts w:hint="eastAsia" w:ascii="宋体" w:hAnsi="宋体" w:eastAsia="宋体" w:cs="宋体"/>
                <w:sz w:val="24"/>
                <w:szCs w:val="24"/>
                <w:highlight w:val="none"/>
                <w:lang w:val="en-US" w:eastAsia="zh-CN"/>
              </w:rPr>
              <w:t>（无偏离或正偏离）</w:t>
            </w:r>
            <w:r>
              <w:rPr>
                <w:rFonts w:hint="default" w:ascii="宋体" w:hAnsi="宋体" w:eastAsia="宋体" w:cs="宋体"/>
                <w:sz w:val="24"/>
                <w:szCs w:val="24"/>
                <w:highlight w:val="none"/>
                <w:lang w:val="en-US" w:eastAsia="zh-CN"/>
              </w:rPr>
              <w:t xml:space="preserve">得 </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en-US" w:eastAsia="zh-CN"/>
              </w:rPr>
              <w:t xml:space="preserve"> 分</w:t>
            </w:r>
            <w:r>
              <w:rPr>
                <w:rFonts w:hint="eastAsia" w:ascii="宋体" w:hAnsi="宋体" w:eastAsia="宋体" w:cs="宋体"/>
                <w:sz w:val="24"/>
                <w:szCs w:val="24"/>
                <w:highlight w:val="none"/>
                <w:lang w:val="en-US" w:eastAsia="zh-CN"/>
              </w:rPr>
              <w:t>，共计</w:t>
            </w:r>
            <w:r>
              <w:rPr>
                <w:rFonts w:hint="eastAsia" w:ascii="宋体" w:hAnsi="宋体" w:cs="宋体"/>
                <w:sz w:val="24"/>
                <w:szCs w:val="24"/>
                <w:highlight w:val="none"/>
                <w:lang w:val="en-US" w:eastAsia="zh-CN"/>
              </w:rPr>
              <w:t>139</w:t>
            </w:r>
            <w:r>
              <w:rPr>
                <w:rFonts w:hint="eastAsia" w:ascii="宋体" w:hAnsi="宋体" w:eastAsia="宋体" w:cs="宋体"/>
                <w:sz w:val="24"/>
                <w:szCs w:val="24"/>
                <w:highlight w:val="none"/>
                <w:lang w:val="en-US" w:eastAsia="zh-CN"/>
              </w:rPr>
              <w:t>项，满分</w:t>
            </w:r>
            <w:r>
              <w:rPr>
                <w:rFonts w:hint="eastAsia" w:ascii="宋体" w:hAnsi="宋体" w:cs="宋体"/>
                <w:sz w:val="24"/>
                <w:szCs w:val="24"/>
                <w:highlight w:val="none"/>
                <w:lang w:val="en-US" w:eastAsia="zh-CN"/>
              </w:rPr>
              <w:t>13.9</w:t>
            </w:r>
            <w:r>
              <w:rPr>
                <w:rFonts w:hint="eastAsia" w:ascii="宋体" w:hAnsi="宋体" w:eastAsia="宋体" w:cs="宋体"/>
                <w:sz w:val="24"/>
                <w:szCs w:val="24"/>
                <w:highlight w:val="none"/>
                <w:lang w:val="en-US" w:eastAsia="zh-CN"/>
              </w:rPr>
              <w:t>分；</w:t>
            </w:r>
          </w:p>
        </w:tc>
        <w:tc>
          <w:tcPr>
            <w:tcW w:w="1070"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0-23.9</w:t>
            </w:r>
          </w:p>
        </w:tc>
      </w:tr>
      <w:tr>
        <w:tblPrEx>
          <w:tblCellMar>
            <w:top w:w="0" w:type="dxa"/>
            <w:left w:w="108" w:type="dxa"/>
            <w:bottom w:w="0" w:type="dxa"/>
            <w:right w:w="108" w:type="dxa"/>
          </w:tblCellMar>
        </w:tblPrEx>
        <w:trPr>
          <w:trHeight w:val="1195" w:hRule="atLeast"/>
        </w:trPr>
        <w:tc>
          <w:tcPr>
            <w:tcW w:w="855" w:type="dxa"/>
            <w:vMerge w:val="continue"/>
            <w:tcBorders>
              <w:left w:val="single" w:color="auto" w:sz="4" w:space="0"/>
              <w:right w:val="single" w:color="auto" w:sz="4" w:space="0"/>
            </w:tcBorders>
            <w:noWrap w:val="0"/>
            <w:vAlign w:val="center"/>
          </w:tcPr>
          <w:p>
            <w:pPr>
              <w:spacing w:line="360" w:lineRule="exact"/>
            </w:pPr>
          </w:p>
        </w:tc>
        <w:tc>
          <w:tcPr>
            <w:tcW w:w="1385" w:type="dxa"/>
            <w:vMerge w:val="continue"/>
            <w:tcBorders>
              <w:left w:val="single" w:color="auto" w:sz="4" w:space="0"/>
              <w:right w:val="single" w:color="auto" w:sz="4" w:space="0"/>
            </w:tcBorders>
            <w:noWrap w:val="0"/>
            <w:vAlign w:val="center"/>
          </w:tcPr>
          <w:p>
            <w:pPr>
              <w:spacing w:line="360" w:lineRule="exact"/>
            </w:pPr>
          </w:p>
        </w:tc>
        <w:tc>
          <w:tcPr>
            <w:tcW w:w="6685" w:type="dxa"/>
            <w:tcBorders>
              <w:top w:val="single" w:color="auto" w:sz="4" w:space="0"/>
              <w:left w:val="single" w:color="auto" w:sz="4" w:space="0"/>
              <w:right w:val="single" w:color="auto" w:sz="4" w:space="0"/>
            </w:tcBorders>
            <w:noWrap w:val="0"/>
            <w:vAlign w:val="center"/>
          </w:tcPr>
          <w:p>
            <w:pPr>
              <w:spacing w:line="360" w:lineRule="exact"/>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所提供</w:t>
            </w:r>
            <w:r>
              <w:rPr>
                <w:rFonts w:hint="default" w:ascii="宋体" w:hAnsi="宋体" w:eastAsia="宋体" w:cs="宋体"/>
                <w:sz w:val="24"/>
                <w:szCs w:val="24"/>
                <w:highlight w:val="none"/>
                <w:lang w:val="en-US" w:eastAsia="zh-CN"/>
              </w:rPr>
              <w:t>产品技术参数每有一项</w:t>
            </w:r>
            <w:r>
              <w:rPr>
                <w:rFonts w:hint="eastAsia" w:ascii="宋体" w:hAnsi="宋体" w:eastAsia="宋体" w:cs="宋体"/>
                <w:sz w:val="24"/>
                <w:szCs w:val="24"/>
                <w:highlight w:val="none"/>
                <w:lang w:val="en-US" w:eastAsia="zh-CN"/>
              </w:rPr>
              <w:t>★号参数满足采购文件要求（无偏离或正偏离）</w:t>
            </w:r>
            <w:r>
              <w:rPr>
                <w:rFonts w:hint="default" w:ascii="宋体" w:hAnsi="宋体" w:eastAsia="宋体" w:cs="宋体"/>
                <w:sz w:val="24"/>
                <w:szCs w:val="24"/>
                <w:highlight w:val="none"/>
                <w:lang w:val="en-US" w:eastAsia="zh-CN"/>
              </w:rPr>
              <w:t>的</w:t>
            </w:r>
            <w:r>
              <w:rPr>
                <w:rFonts w:hint="eastAsia" w:ascii="宋体" w:hAnsi="宋体" w:eastAsia="宋体" w:cs="宋体"/>
                <w:sz w:val="24"/>
                <w:szCs w:val="24"/>
                <w:highlight w:val="none"/>
                <w:lang w:val="en-US" w:eastAsia="zh-CN"/>
              </w:rPr>
              <w:t>得</w:t>
            </w:r>
            <w:r>
              <w:rPr>
                <w:rFonts w:hint="default"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4</w:t>
            </w:r>
            <w:r>
              <w:rPr>
                <w:rFonts w:hint="default" w:ascii="宋体" w:hAnsi="宋体" w:eastAsia="宋体" w:cs="宋体"/>
                <w:sz w:val="24"/>
                <w:szCs w:val="24"/>
                <w:highlight w:val="none"/>
                <w:lang w:val="en-US" w:eastAsia="zh-CN"/>
              </w:rPr>
              <w:t xml:space="preserve"> 分，</w:t>
            </w:r>
            <w:r>
              <w:rPr>
                <w:rFonts w:hint="eastAsia" w:ascii="宋体" w:hAnsi="宋体" w:eastAsia="宋体" w:cs="宋体"/>
                <w:sz w:val="24"/>
                <w:szCs w:val="24"/>
                <w:highlight w:val="none"/>
                <w:lang w:val="en-US" w:eastAsia="zh-CN"/>
              </w:rPr>
              <w:t>共计</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项，满分</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c>
          <w:tcPr>
            <w:tcW w:w="1070" w:type="dxa"/>
            <w:vMerge w:val="continue"/>
            <w:tcBorders>
              <w:left w:val="single" w:color="auto" w:sz="4" w:space="0"/>
              <w:right w:val="single" w:color="auto" w:sz="4" w:space="0"/>
            </w:tcBorders>
            <w:noWrap w:val="0"/>
            <w:vAlign w:val="center"/>
          </w:tcPr>
          <w:p>
            <w:pPr>
              <w:spacing w:line="360" w:lineRule="exact"/>
              <w:rPr>
                <w:rFonts w:hint="eastAsia" w:ascii="宋体" w:hAnsi="宋体" w:eastAsia="宋体" w:cs="宋体"/>
                <w:b/>
                <w:bCs/>
                <w:sz w:val="24"/>
                <w:szCs w:val="24"/>
                <w:highlight w:val="none"/>
                <w:lang w:val="en-US" w:eastAsia="zh-CN"/>
              </w:rPr>
            </w:pPr>
          </w:p>
        </w:tc>
      </w:tr>
      <w:tr>
        <w:tblPrEx>
          <w:tblCellMar>
            <w:top w:w="0" w:type="dxa"/>
            <w:left w:w="108" w:type="dxa"/>
            <w:bottom w:w="0" w:type="dxa"/>
            <w:right w:w="108" w:type="dxa"/>
          </w:tblCellMar>
        </w:tblPrEx>
        <w:trPr>
          <w:trHeight w:val="906"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2"/>
              </w:numPr>
              <w:tabs>
                <w:tab w:val="left" w:pos="237"/>
              </w:tabs>
              <w:spacing w:line="360" w:lineRule="exact"/>
              <w:ind w:left="425" w:leftChars="0" w:hanging="425" w:firstLineChars="0"/>
              <w:jc w:val="center"/>
              <w:rPr>
                <w:rFonts w:hint="eastAsia" w:ascii="宋体" w:hAnsi="宋体" w:eastAsia="宋体" w:cs="宋体"/>
                <w:kern w:val="0"/>
                <w:sz w:val="24"/>
                <w:szCs w:val="24"/>
                <w:highlight w:val="none"/>
                <w:lang w:val="en-US" w:eastAsia="zh-CN"/>
              </w:rPr>
            </w:pPr>
          </w:p>
        </w:tc>
        <w:tc>
          <w:tcPr>
            <w:tcW w:w="1385" w:type="dxa"/>
            <w:tcBorders>
              <w:top w:val="single" w:color="auto" w:sz="4" w:space="0"/>
              <w:left w:val="single" w:color="auto" w:sz="4" w:space="0"/>
              <w:bottom w:val="single" w:color="auto" w:sz="4" w:space="0"/>
              <w:right w:val="single" w:color="000000" w:sz="8" w:space="0"/>
            </w:tcBorders>
            <w:noWrap w:val="0"/>
            <w:vAlign w:val="center"/>
          </w:tcPr>
          <w:p>
            <w:pPr>
              <w:spacing w:line="36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实施方案</w:t>
            </w:r>
          </w:p>
        </w:tc>
        <w:tc>
          <w:tcPr>
            <w:tcW w:w="6685" w:type="dxa"/>
            <w:tcBorders>
              <w:top w:val="single" w:color="auto" w:sz="4" w:space="0"/>
              <w:left w:val="nil"/>
              <w:bottom w:val="single" w:color="auto" w:sz="4" w:space="0"/>
              <w:right w:val="single" w:color="000000" w:sz="8" w:space="0"/>
            </w:tcBorders>
            <w:noWrap w:val="0"/>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对投标人提供的针对本项目的项目实施方案进行综合评审，方案包括但不限于以下内容：</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①项目货源组织方案；</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②运输安排计划方案</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③配送人员安排方案</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④配送方案</w:t>
            </w:r>
          </w:p>
          <w:p>
            <w:pPr>
              <w:spacing w:line="360" w:lineRule="exact"/>
              <w:rPr>
                <w:rFonts w:hint="default" w:eastAsia="宋体"/>
                <w:lang w:val="en-US" w:eastAsia="zh-CN"/>
              </w:rPr>
            </w:pPr>
            <w:r>
              <w:rPr>
                <w:rFonts w:hint="eastAsia" w:ascii="宋体" w:hAnsi="宋体" w:eastAsia="宋体" w:cs="宋体"/>
                <w:sz w:val="24"/>
                <w:szCs w:val="24"/>
                <w:highlight w:val="none"/>
              </w:rPr>
              <w:t>⑤</w:t>
            </w:r>
            <w:r>
              <w:rPr>
                <w:rFonts w:hint="eastAsia" w:ascii="宋体" w:hAnsi="宋体" w:eastAsia="宋体" w:cs="宋体"/>
                <w:sz w:val="24"/>
                <w:szCs w:val="24"/>
                <w:highlight w:val="none"/>
                <w:lang w:val="en-US" w:eastAsia="zh-CN"/>
              </w:rPr>
              <w:t>拆除、安装、</w:t>
            </w:r>
            <w:r>
              <w:rPr>
                <w:rFonts w:hint="eastAsia" w:ascii="宋体" w:hAnsi="宋体" w:cs="宋体"/>
                <w:sz w:val="24"/>
                <w:szCs w:val="24"/>
                <w:highlight w:val="none"/>
                <w:lang w:val="en-US" w:eastAsia="zh-CN"/>
              </w:rPr>
              <w:t>改造</w:t>
            </w:r>
            <w:r>
              <w:rPr>
                <w:rFonts w:hint="eastAsia" w:ascii="宋体" w:hAnsi="宋体" w:eastAsia="宋体" w:cs="宋体"/>
                <w:sz w:val="24"/>
                <w:szCs w:val="24"/>
                <w:highlight w:val="none"/>
                <w:lang w:val="en-US" w:eastAsia="zh-CN"/>
              </w:rPr>
              <w:t>、恢复方案</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⑥质量保障措施</w:t>
            </w:r>
          </w:p>
          <w:p>
            <w:pPr>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⑦施工安装安全</w:t>
            </w:r>
            <w:r>
              <w:rPr>
                <w:rFonts w:hint="eastAsia" w:ascii="宋体" w:hAnsi="宋体" w:eastAsia="宋体" w:cs="宋体"/>
                <w:sz w:val="24"/>
                <w:szCs w:val="24"/>
                <w:highlight w:val="none"/>
              </w:rPr>
              <w:t>保障措施</w:t>
            </w:r>
          </w:p>
          <w:p>
            <w:pPr>
              <w:spacing w:line="36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以上</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项内容齐全、完全满足项目需求，无缺陷、漏项的得</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分。每缺少一项内容扣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分；每项内容中每有一处缺陷或不满足</w:t>
            </w:r>
            <w:r>
              <w:rPr>
                <w:rFonts w:hint="eastAsia" w:ascii="宋体" w:hAnsi="宋体" w:eastAsia="宋体" w:cs="宋体"/>
                <w:sz w:val="24"/>
                <w:szCs w:val="24"/>
                <w:highlight w:val="none"/>
                <w:lang w:eastAsia="zh-CN"/>
              </w:rPr>
              <w:t>（</w:t>
            </w:r>
            <w:r>
              <w:rPr>
                <w:rFonts w:hint="eastAsia" w:ascii="宋体" w:hAnsi="宋体" w:eastAsia="宋体" w:cs="宋体"/>
                <w:sz w:val="24"/>
                <w:highlight w:val="none"/>
                <w:lang w:val="en-US" w:eastAsia="zh-CN"/>
              </w:rPr>
              <w:t>缺陷包含但不限于：项目名称、实施地点、涉及的规范、标准与本项目要求不一致、不符合本项目实际需求</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每处</w:t>
            </w:r>
            <w:r>
              <w:rPr>
                <w:rFonts w:hint="eastAsia" w:ascii="宋体" w:hAnsi="宋体" w:eastAsia="宋体" w:cs="宋体"/>
                <w:sz w:val="24"/>
                <w:szCs w:val="24"/>
                <w:highlight w:val="none"/>
              </w:rPr>
              <w:t>扣1分，</w:t>
            </w:r>
            <w:r>
              <w:rPr>
                <w:rFonts w:hint="eastAsia" w:ascii="宋体" w:hAnsi="宋体" w:cs="宋体"/>
                <w:sz w:val="24"/>
                <w:szCs w:val="24"/>
                <w:highlight w:val="none"/>
                <w:lang w:val="en-US" w:eastAsia="zh-CN"/>
              </w:rPr>
              <w:t>扣完为止</w:t>
            </w:r>
            <w:r>
              <w:rPr>
                <w:rFonts w:hint="eastAsia" w:ascii="宋体" w:hAnsi="宋体" w:eastAsia="宋体" w:cs="宋体"/>
                <w:sz w:val="24"/>
                <w:szCs w:val="24"/>
                <w:highlight w:val="none"/>
              </w:rPr>
              <w:t>。</w:t>
            </w:r>
          </w:p>
        </w:tc>
        <w:tc>
          <w:tcPr>
            <w:tcW w:w="1070" w:type="dxa"/>
            <w:tcBorders>
              <w:top w:val="single" w:color="auto" w:sz="4" w:space="0"/>
              <w:left w:val="single" w:color="000000" w:sz="8" w:space="0"/>
              <w:bottom w:val="single" w:color="auto" w:sz="4" w:space="0"/>
              <w:right w:val="single" w:color="000000" w:sz="8" w:space="0"/>
            </w:tcBorders>
            <w:noWrap w:val="0"/>
            <w:vAlign w:val="center"/>
          </w:tcPr>
          <w:p>
            <w:pPr>
              <w:spacing w:line="36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r>
              <w:rPr>
                <w:rFonts w:hint="eastAsia" w:ascii="宋体" w:hAnsi="宋体" w:cs="宋体"/>
                <w:kern w:val="0"/>
                <w:sz w:val="24"/>
                <w:szCs w:val="24"/>
                <w:highlight w:val="none"/>
                <w:lang w:val="en-US" w:eastAsia="zh-CN"/>
              </w:rPr>
              <w:t>21</w:t>
            </w:r>
          </w:p>
        </w:tc>
      </w:tr>
      <w:tr>
        <w:tblPrEx>
          <w:tblCellMar>
            <w:top w:w="0" w:type="dxa"/>
            <w:left w:w="108" w:type="dxa"/>
            <w:bottom w:w="0" w:type="dxa"/>
            <w:right w:w="108" w:type="dxa"/>
          </w:tblCellMar>
        </w:tblPrEx>
        <w:trPr>
          <w:trHeight w:val="656"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2"/>
              </w:numPr>
              <w:tabs>
                <w:tab w:val="left" w:pos="237"/>
              </w:tabs>
              <w:spacing w:line="360" w:lineRule="exact"/>
              <w:ind w:left="425" w:leftChars="0" w:hanging="425" w:firstLineChars="0"/>
              <w:jc w:val="center"/>
              <w:rPr>
                <w:rFonts w:ascii="宋体" w:hAnsi="宋体" w:cs="宋体"/>
                <w:kern w:val="0"/>
                <w:sz w:val="24"/>
                <w:szCs w:val="24"/>
                <w:highlight w:val="none"/>
              </w:rPr>
            </w:pPr>
          </w:p>
        </w:tc>
        <w:tc>
          <w:tcPr>
            <w:tcW w:w="1385" w:type="dxa"/>
            <w:tcBorders>
              <w:top w:val="single" w:color="auto" w:sz="4" w:space="0"/>
              <w:left w:val="single" w:color="auto" w:sz="4" w:space="0"/>
              <w:bottom w:val="single" w:color="auto" w:sz="4" w:space="0"/>
              <w:right w:val="single" w:color="000000" w:sz="8" w:space="0"/>
            </w:tcBorders>
            <w:noWrap w:val="0"/>
            <w:vAlign w:val="center"/>
          </w:tcPr>
          <w:p>
            <w:pPr>
              <w:spacing w:line="36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培训方案</w:t>
            </w:r>
          </w:p>
        </w:tc>
        <w:tc>
          <w:tcPr>
            <w:tcW w:w="6685" w:type="dxa"/>
            <w:tcBorders>
              <w:top w:val="single" w:color="auto" w:sz="4" w:space="0"/>
              <w:left w:val="nil"/>
              <w:bottom w:val="single" w:color="auto" w:sz="4" w:space="0"/>
              <w:right w:val="single" w:color="000000" w:sz="8" w:space="0"/>
            </w:tcBorders>
            <w:noWrap w:val="0"/>
            <w:vAlign w:val="center"/>
          </w:tcPr>
          <w:p>
            <w:pPr>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供应商提供针对</w:t>
            </w:r>
            <w:r>
              <w:rPr>
                <w:rFonts w:hint="eastAsia" w:ascii="宋体" w:hAnsi="宋体" w:cs="宋体"/>
                <w:sz w:val="24"/>
                <w:szCs w:val="24"/>
                <w:highlight w:val="none"/>
                <w:lang w:val="en-US" w:eastAsia="zh-CN"/>
              </w:rPr>
              <w:t>本项目</w:t>
            </w:r>
            <w:r>
              <w:rPr>
                <w:rFonts w:hint="eastAsia" w:ascii="宋体" w:hAnsi="宋体" w:eastAsia="宋体" w:cs="宋体"/>
                <w:sz w:val="24"/>
                <w:szCs w:val="24"/>
                <w:highlight w:val="none"/>
                <w:lang w:val="en-US" w:eastAsia="zh-CN"/>
              </w:rPr>
              <w:t>相关配套设备操作使用的培训方案（包括但不限于：培训计划、培训内容、培训目标等），本项内容进行了阐述且满足采购实际需求内容合理的得</w:t>
            </w:r>
            <w:r>
              <w:rPr>
                <w:rFonts w:hint="eastAsia" w:ascii="宋体" w:hAnsi="宋体" w:cs="宋体"/>
                <w:sz w:val="24"/>
                <w:szCs w:val="24"/>
                <w:highlight w:val="none"/>
                <w:lang w:val="en-US" w:eastAsia="zh-CN"/>
              </w:rPr>
              <w:t>0.6-1</w:t>
            </w:r>
            <w:r>
              <w:rPr>
                <w:rFonts w:hint="eastAsia" w:ascii="宋体" w:hAnsi="宋体" w:eastAsia="宋体" w:cs="宋体"/>
                <w:sz w:val="24"/>
                <w:szCs w:val="24"/>
                <w:highlight w:val="none"/>
                <w:lang w:val="en-US" w:eastAsia="zh-CN"/>
              </w:rPr>
              <w:t>分；本项内容虽阐述但未贴合实际情况进行论述，或内容未包括具体实施细节及措施得</w:t>
            </w:r>
            <w:r>
              <w:rPr>
                <w:rFonts w:hint="eastAsia" w:ascii="宋体" w:hAnsi="宋体" w:cs="宋体"/>
                <w:sz w:val="24"/>
                <w:szCs w:val="24"/>
                <w:highlight w:val="none"/>
                <w:lang w:val="en-US" w:eastAsia="zh-CN"/>
              </w:rPr>
              <w:t>0.1-0.5</w:t>
            </w:r>
            <w:r>
              <w:rPr>
                <w:rFonts w:hint="eastAsia" w:ascii="宋体" w:hAnsi="宋体" w:eastAsia="宋体" w:cs="宋体"/>
                <w:sz w:val="24"/>
                <w:szCs w:val="24"/>
                <w:highlight w:val="none"/>
                <w:lang w:val="en-US" w:eastAsia="zh-CN"/>
              </w:rPr>
              <w:t>分；内容阐述不清或者不贴合本项目采购需求或未提供</w:t>
            </w:r>
            <w:r>
              <w:rPr>
                <w:rFonts w:hint="eastAsia" w:ascii="宋体" w:hAnsi="宋体" w:cs="宋体"/>
                <w:sz w:val="24"/>
                <w:szCs w:val="24"/>
                <w:highlight w:val="none"/>
                <w:lang w:val="en-US" w:eastAsia="zh-CN"/>
              </w:rPr>
              <w:t>不得分</w:t>
            </w:r>
            <w:r>
              <w:rPr>
                <w:rFonts w:hint="eastAsia" w:ascii="宋体" w:hAnsi="宋体" w:eastAsia="宋体" w:cs="宋体"/>
                <w:sz w:val="24"/>
                <w:szCs w:val="24"/>
                <w:highlight w:val="none"/>
                <w:lang w:val="en-US" w:eastAsia="zh-CN"/>
              </w:rPr>
              <w:t>。</w:t>
            </w:r>
          </w:p>
        </w:tc>
        <w:tc>
          <w:tcPr>
            <w:tcW w:w="1070" w:type="dxa"/>
            <w:tcBorders>
              <w:top w:val="single" w:color="auto" w:sz="4" w:space="0"/>
              <w:left w:val="single" w:color="000000" w:sz="8" w:space="0"/>
              <w:bottom w:val="single" w:color="auto" w:sz="4" w:space="0"/>
              <w:right w:val="single" w:color="000000" w:sz="8" w:space="0"/>
            </w:tcBorders>
            <w:noWrap w:val="0"/>
            <w:vAlign w:val="center"/>
          </w:tcPr>
          <w:p>
            <w:pPr>
              <w:spacing w:line="36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r>
              <w:rPr>
                <w:rFonts w:hint="eastAsia" w:ascii="宋体" w:hAnsi="宋体" w:cs="宋体"/>
                <w:kern w:val="0"/>
                <w:sz w:val="24"/>
                <w:szCs w:val="24"/>
                <w:highlight w:val="none"/>
                <w:lang w:val="en-US" w:eastAsia="zh-CN"/>
              </w:rPr>
              <w:t>1</w:t>
            </w:r>
          </w:p>
        </w:tc>
      </w:tr>
      <w:tr>
        <w:tblPrEx>
          <w:tblCellMar>
            <w:top w:w="0" w:type="dxa"/>
            <w:left w:w="108" w:type="dxa"/>
            <w:bottom w:w="0" w:type="dxa"/>
            <w:right w:w="108" w:type="dxa"/>
          </w:tblCellMar>
        </w:tblPrEx>
        <w:trPr>
          <w:trHeight w:val="88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exact"/>
              <w:ind w:left="425" w:leftChars="0" w:hanging="425" w:firstLineChars="0"/>
              <w:jc w:val="center"/>
              <w:rPr>
                <w:rFonts w:ascii="宋体" w:hAnsi="宋体" w:cs="宋体"/>
                <w:kern w:val="0"/>
                <w:sz w:val="24"/>
                <w:szCs w:val="24"/>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售后服务承诺及违约承诺</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针对本项目服务内容和要求提出各项售后服务承诺指标，并制订达标保障措施和不达标改善措施，</w:t>
            </w:r>
            <w:r>
              <w:rPr>
                <w:rFonts w:hint="eastAsia" w:ascii="宋体" w:hAnsi="宋体" w:eastAsia="宋体" w:cs="宋体"/>
                <w:color w:val="000000"/>
                <w:kern w:val="0"/>
                <w:sz w:val="24"/>
                <w:szCs w:val="24"/>
                <w:highlight w:val="none"/>
              </w:rPr>
              <w:t>内容包含但不限于：</w:t>
            </w:r>
          </w:p>
          <w:p>
            <w:pPr>
              <w:spacing w:line="360" w:lineRule="exac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①</w:t>
            </w:r>
            <w:r>
              <w:rPr>
                <w:rFonts w:hint="eastAsia" w:ascii="宋体" w:hAnsi="宋体" w:eastAsia="宋体" w:cs="宋体"/>
                <w:sz w:val="24"/>
                <w:szCs w:val="24"/>
                <w:highlight w:val="none"/>
              </w:rPr>
              <w:t>服务质量要求满足采购人要求及国家或同行业基本标准；</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②售后响应时间短，</w:t>
            </w:r>
            <w:r>
              <w:rPr>
                <w:rFonts w:hint="eastAsia" w:ascii="宋体" w:hAnsi="宋体" w:eastAsia="宋体" w:cs="宋体"/>
                <w:sz w:val="24"/>
                <w:szCs w:val="24"/>
                <w:highlight w:val="none"/>
                <w:lang w:val="en-US" w:eastAsia="zh-CN"/>
              </w:rPr>
              <w:t>退换货</w:t>
            </w:r>
            <w:r>
              <w:rPr>
                <w:rFonts w:hint="eastAsia" w:ascii="宋体" w:hAnsi="宋体" w:eastAsia="宋体" w:cs="宋体"/>
                <w:sz w:val="24"/>
                <w:szCs w:val="24"/>
                <w:highlight w:val="none"/>
              </w:rPr>
              <w:t>服务时限短；</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③售后服务人员配备合理；</w:t>
            </w:r>
          </w:p>
          <w:p>
            <w:pPr>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④</w:t>
            </w:r>
            <w:r>
              <w:rPr>
                <w:rFonts w:hint="eastAsia" w:ascii="宋体" w:hAnsi="宋体" w:eastAsia="宋体" w:cs="宋体"/>
                <w:sz w:val="24"/>
                <w:szCs w:val="24"/>
                <w:highlight w:val="none"/>
                <w:lang w:val="en-US" w:eastAsia="zh-CN"/>
              </w:rPr>
              <w:t>违约承诺详细合理；</w:t>
            </w:r>
          </w:p>
          <w:p>
            <w:pPr>
              <w:spacing w:line="36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⑤所提供设备与现有设备及系统对接良好的承诺。</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以上方案内容完整清晰明确且科学合理、可行性高具有针对性并满足采购需求的，每项计</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分。每缺少一项内容扣</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分；每有一项内容不完整或未能满足采购需求的或每有一处不具有针对性或逻辑</w:t>
            </w:r>
            <w:r>
              <w:rPr>
                <w:rFonts w:hint="eastAsia" w:ascii="宋体" w:hAnsi="宋体" w:eastAsia="宋体" w:cs="宋体"/>
                <w:color w:val="000000"/>
                <w:kern w:val="0"/>
                <w:sz w:val="24"/>
                <w:szCs w:val="24"/>
                <w:highlight w:val="none"/>
              </w:rPr>
              <w:t>性错误且不完整的</w:t>
            </w:r>
            <w:r>
              <w:rPr>
                <w:rFonts w:hint="eastAsia" w:ascii="宋体" w:hAnsi="宋体" w:cs="宋体"/>
                <w:color w:val="000000"/>
                <w:kern w:val="0"/>
                <w:sz w:val="24"/>
                <w:szCs w:val="24"/>
                <w:highlight w:val="none"/>
                <w:lang w:val="en-US" w:eastAsia="zh-CN"/>
              </w:rPr>
              <w:t>每处</w:t>
            </w:r>
            <w:r>
              <w:rPr>
                <w:rFonts w:hint="eastAsia" w:ascii="宋体" w:hAnsi="宋体" w:eastAsia="宋体" w:cs="宋体"/>
                <w:color w:val="000000"/>
                <w:kern w:val="0"/>
                <w:sz w:val="24"/>
                <w:szCs w:val="24"/>
                <w:highlight w:val="none"/>
              </w:rPr>
              <w:t>扣</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w:t>
            </w:r>
            <w:r>
              <w:rPr>
                <w:rFonts w:hint="eastAsia" w:ascii="宋体" w:hAnsi="宋体" w:cs="宋体"/>
                <w:sz w:val="24"/>
                <w:szCs w:val="24"/>
                <w:highlight w:val="none"/>
                <w:lang w:val="en-US" w:eastAsia="zh-CN"/>
              </w:rPr>
              <w:t>扣完为止</w:t>
            </w:r>
            <w:r>
              <w:rPr>
                <w:rFonts w:hint="eastAsia" w:ascii="宋体" w:hAnsi="宋体" w:eastAsia="宋体" w:cs="宋体"/>
                <w:color w:val="000000"/>
                <w:kern w:val="0"/>
                <w:sz w:val="24"/>
                <w:szCs w:val="24"/>
                <w:highlight w:val="none"/>
              </w:rPr>
              <w:t>。</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0-</w:t>
            </w:r>
            <w:r>
              <w:rPr>
                <w:rFonts w:hint="eastAsia" w:ascii="宋体" w:hAnsi="宋体" w:cs="宋体"/>
                <w:kern w:val="0"/>
                <w:sz w:val="24"/>
                <w:szCs w:val="24"/>
                <w:highlight w:val="none"/>
                <w:lang w:val="en-US" w:eastAsia="zh-CN"/>
              </w:rPr>
              <w:t>10</w:t>
            </w:r>
          </w:p>
        </w:tc>
      </w:tr>
      <w:tr>
        <w:tblPrEx>
          <w:tblCellMar>
            <w:top w:w="0" w:type="dxa"/>
            <w:left w:w="108" w:type="dxa"/>
            <w:bottom w:w="0" w:type="dxa"/>
            <w:right w:w="108" w:type="dxa"/>
          </w:tblCellMar>
        </w:tblPrEx>
        <w:trPr>
          <w:trHeight w:val="88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exact"/>
              <w:ind w:left="425" w:leftChars="0" w:hanging="425" w:firstLineChars="0"/>
              <w:jc w:val="center"/>
              <w:rPr>
                <w:rFonts w:ascii="宋体" w:hAnsi="宋体" w:cs="宋体"/>
                <w:kern w:val="0"/>
                <w:sz w:val="24"/>
                <w:szCs w:val="24"/>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4"/>
                <w:szCs w:val="22"/>
                <w:highlight w:val="none"/>
                <w:lang w:val="en-US" w:eastAsia="zh-CN"/>
              </w:rPr>
              <w:t>节能环境产品认证</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 w:val="24"/>
                <w:szCs w:val="24"/>
                <w:highlight w:val="none"/>
              </w:rPr>
            </w:pPr>
            <w:r>
              <w:rPr>
                <w:rFonts w:hint="eastAsia" w:ascii="宋体" w:hAnsi="宋体" w:cs="宋体"/>
                <w:sz w:val="24"/>
                <w:szCs w:val="22"/>
                <w:highlight w:val="none"/>
              </w:rPr>
              <w:t>每提供一项产品节能认证证书、提供产品环境标志认证证书的得</w:t>
            </w:r>
            <w:r>
              <w:rPr>
                <w:rFonts w:hint="eastAsia" w:ascii="宋体" w:hAnsi="宋体" w:cs="宋体"/>
                <w:sz w:val="24"/>
                <w:szCs w:val="22"/>
                <w:highlight w:val="none"/>
                <w:lang w:val="en-US" w:eastAsia="zh-CN"/>
              </w:rPr>
              <w:t>0.5</w:t>
            </w:r>
            <w:r>
              <w:rPr>
                <w:rFonts w:hint="eastAsia" w:ascii="宋体" w:hAnsi="宋体" w:cs="宋体"/>
                <w:sz w:val="24"/>
                <w:szCs w:val="22"/>
                <w:highlight w:val="none"/>
              </w:rPr>
              <w:t>分，最高得</w:t>
            </w:r>
            <w:r>
              <w:rPr>
                <w:rFonts w:hint="eastAsia" w:ascii="宋体" w:hAnsi="宋体" w:cs="宋体"/>
                <w:sz w:val="24"/>
                <w:szCs w:val="22"/>
                <w:highlight w:val="none"/>
                <w:lang w:val="en-US" w:eastAsia="zh-CN"/>
              </w:rPr>
              <w:t>1</w:t>
            </w:r>
            <w:r>
              <w:rPr>
                <w:rFonts w:hint="eastAsia" w:ascii="宋体" w:hAnsi="宋体" w:cs="宋体"/>
                <w:sz w:val="24"/>
                <w:szCs w:val="22"/>
                <w:highlight w:val="none"/>
              </w:rPr>
              <w:t>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0"/>
                <w:sz w:val="24"/>
                <w:szCs w:val="24"/>
                <w:highlight w:val="none"/>
                <w:lang w:val="en-US"/>
              </w:rPr>
            </w:pPr>
            <w:r>
              <w:rPr>
                <w:rFonts w:hint="eastAsia" w:ascii="宋体" w:hAnsi="宋体" w:cs="宋体"/>
                <w:sz w:val="24"/>
                <w:szCs w:val="22"/>
                <w:highlight w:val="none"/>
                <w:lang w:val="en-US" w:eastAsia="zh-CN"/>
              </w:rPr>
              <w:t>0-1</w:t>
            </w:r>
          </w:p>
        </w:tc>
      </w:tr>
      <w:tr>
        <w:tblPrEx>
          <w:tblCellMar>
            <w:top w:w="0" w:type="dxa"/>
            <w:left w:w="108" w:type="dxa"/>
            <w:bottom w:w="0" w:type="dxa"/>
            <w:right w:w="108" w:type="dxa"/>
          </w:tblCellMar>
        </w:tblPrEx>
        <w:trPr>
          <w:trHeight w:val="88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exact"/>
              <w:ind w:left="425" w:leftChars="0" w:hanging="425" w:firstLineChars="0"/>
              <w:jc w:val="center"/>
              <w:rPr>
                <w:rFonts w:ascii="宋体" w:hAnsi="宋体" w:cs="宋体"/>
                <w:kern w:val="0"/>
                <w:sz w:val="24"/>
                <w:szCs w:val="24"/>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sz w:val="24"/>
                <w:szCs w:val="22"/>
                <w:highlight w:val="none"/>
                <w:lang w:val="en-US" w:eastAsia="zh-CN"/>
              </w:rPr>
            </w:pPr>
            <w:r>
              <w:rPr>
                <w:rFonts w:hint="eastAsia" w:ascii="宋体" w:hAnsi="宋体" w:cs="宋体"/>
                <w:sz w:val="24"/>
                <w:szCs w:val="22"/>
                <w:highlight w:val="none"/>
                <w:lang w:val="en-US" w:eastAsia="zh-CN"/>
              </w:rPr>
              <w:t>改造承诺</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eastAsia="宋体" w:cs="宋体"/>
                <w:sz w:val="24"/>
                <w:szCs w:val="24"/>
                <w:highlight w:val="none"/>
                <w:lang w:val="en-US" w:eastAsia="zh-CN"/>
              </w:rPr>
            </w:pPr>
            <w:r>
              <w:rPr>
                <w:rFonts w:hint="eastAsia" w:ascii="宋体" w:hAnsi="宋体" w:cs="宋体"/>
                <w:sz w:val="24"/>
                <w:szCs w:val="22"/>
                <w:highlight w:val="none"/>
                <w:lang w:val="en-US" w:eastAsia="zh-CN"/>
              </w:rPr>
              <w:t>供</w:t>
            </w:r>
            <w:r>
              <w:rPr>
                <w:rFonts w:hint="eastAsia" w:ascii="宋体" w:hAnsi="宋体" w:eastAsia="宋体" w:cs="宋体"/>
                <w:sz w:val="24"/>
                <w:szCs w:val="24"/>
                <w:highlight w:val="none"/>
                <w:lang w:val="en-US" w:eastAsia="zh-CN"/>
              </w:rPr>
              <w:t>应商承诺在成交后按采购人要求对化学学科教室及物理学科教室改造直至采购人满意的得1.1分，未提供不得分。</w:t>
            </w:r>
          </w:p>
          <w:p>
            <w:pPr>
              <w:spacing w:line="360" w:lineRule="exact"/>
              <w:rPr>
                <w:rFonts w:hint="default"/>
                <w:lang w:val="en-US" w:eastAsia="zh-CN"/>
              </w:rPr>
            </w:pPr>
            <w:r>
              <w:rPr>
                <w:rFonts w:hint="eastAsia" w:ascii="宋体" w:hAnsi="宋体" w:eastAsia="宋体" w:cs="宋体"/>
                <w:sz w:val="24"/>
                <w:szCs w:val="24"/>
                <w:highlight w:val="none"/>
                <w:lang w:val="en-US" w:eastAsia="zh-CN"/>
              </w:rPr>
              <w:t>注：承诺函格式自拟并加盖供应商公章。</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sz w:val="24"/>
                <w:szCs w:val="22"/>
                <w:highlight w:val="none"/>
                <w:lang w:val="en-US" w:eastAsia="zh-CN"/>
              </w:rPr>
            </w:pPr>
            <w:r>
              <w:rPr>
                <w:rFonts w:hint="eastAsia" w:ascii="宋体" w:hAnsi="宋体" w:cs="宋体"/>
                <w:sz w:val="24"/>
                <w:szCs w:val="22"/>
                <w:highlight w:val="none"/>
                <w:lang w:val="en-US" w:eastAsia="zh-CN"/>
              </w:rPr>
              <w:t>0-1.1</w:t>
            </w:r>
          </w:p>
        </w:tc>
      </w:tr>
    </w:tbl>
    <w:p>
      <w:pPr>
        <w:spacing w:line="360" w:lineRule="auto"/>
        <w:jc w:val="center"/>
        <w:outlineLvl w:val="0"/>
        <w:rPr>
          <w:rFonts w:hint="eastAsia" w:ascii="宋体" w:hAnsi="宋体" w:cs="宋体"/>
          <w:b/>
          <w:sz w:val="36"/>
          <w:szCs w:val="36"/>
        </w:rPr>
      </w:pPr>
      <w:r>
        <w:rPr>
          <w:rFonts w:hint="eastAsia" w:ascii="宋体" w:hAnsi="宋体" w:cs="宋体"/>
          <w:b/>
          <w:sz w:val="36"/>
          <w:szCs w:val="36"/>
        </w:rPr>
        <w:br w:type="page"/>
      </w:r>
      <w:bookmarkStart w:id="590" w:name="_Toc97371945"/>
      <w:r>
        <w:rPr>
          <w:rFonts w:hint="eastAsia" w:ascii="宋体" w:hAnsi="宋体" w:cs="宋体"/>
          <w:b/>
          <w:sz w:val="36"/>
          <w:szCs w:val="36"/>
        </w:rPr>
        <w:t>第四章   采购需求</w:t>
      </w:r>
      <w:bookmarkEnd w:id="590"/>
    </w:p>
    <w:p>
      <w:pPr>
        <w:adjustRightInd w:val="0"/>
        <w:snapToGrid w:val="0"/>
        <w:spacing w:line="360" w:lineRule="auto"/>
        <w:ind w:right="105" w:rightChars="50" w:firstLine="547" w:firstLineChars="227"/>
        <w:jc w:val="left"/>
        <w:rPr>
          <w:rFonts w:hint="eastAsia" w:ascii="宋体"/>
          <w:bCs/>
          <w:sz w:val="24"/>
          <w:highlight w:val="none"/>
        </w:rPr>
      </w:pPr>
      <w:r>
        <w:rPr>
          <w:rFonts w:hint="eastAsia" w:ascii="宋体"/>
          <w:b/>
          <w:sz w:val="24"/>
        </w:rPr>
        <w:t>磋商文件技术指标参数要求均为项目的参考指标，并不局限于某一品牌。供应商在响应中可以选用替代指标，但这些替代技术指标要实质上相当于或优于磋商文件中的要求。</w:t>
      </w:r>
      <w:r>
        <w:rPr>
          <w:rFonts w:hint="eastAsia" w:ascii="宋体"/>
          <w:bCs/>
          <w:sz w:val="24"/>
          <w:highlight w:val="none"/>
        </w:rPr>
        <w:t>“★”号（如有）参数为</w:t>
      </w:r>
      <w:r>
        <w:rPr>
          <w:rFonts w:hint="eastAsia" w:ascii="宋体"/>
          <w:bCs/>
          <w:sz w:val="24"/>
          <w:highlight w:val="none"/>
          <w:lang w:val="en-US" w:eastAsia="zh-CN"/>
        </w:rPr>
        <w:t>重要</w:t>
      </w:r>
      <w:r>
        <w:rPr>
          <w:rFonts w:hint="eastAsia" w:ascii="宋体"/>
          <w:bCs/>
          <w:sz w:val="24"/>
          <w:highlight w:val="none"/>
        </w:rPr>
        <w:t>参数，即该参数</w:t>
      </w:r>
      <w:r>
        <w:rPr>
          <w:rFonts w:hint="eastAsia" w:ascii="宋体"/>
          <w:bCs/>
          <w:sz w:val="24"/>
          <w:highlight w:val="none"/>
          <w:lang w:val="en-US" w:eastAsia="zh-CN"/>
        </w:rPr>
        <w:t>所占的技术评分比重较大或较为特殊</w:t>
      </w:r>
      <w:r>
        <w:rPr>
          <w:rFonts w:hint="eastAsia" w:ascii="宋体"/>
          <w:bCs/>
          <w:sz w:val="24"/>
          <w:highlight w:val="none"/>
        </w:rPr>
        <w:t>。</w:t>
      </w:r>
    </w:p>
    <w:p>
      <w:pPr>
        <w:autoSpaceDE w:val="0"/>
        <w:autoSpaceDN w:val="0"/>
        <w:spacing w:line="360" w:lineRule="auto"/>
        <w:ind w:firstLine="480" w:firstLineChars="200"/>
        <w:rPr>
          <w:rFonts w:hint="eastAsia" w:ascii="宋体" w:eastAsia="宋体"/>
          <w:bCs/>
          <w:sz w:val="24"/>
          <w:lang w:val="en-US" w:eastAsia="zh-CN"/>
        </w:rPr>
      </w:pPr>
      <w:r>
        <w:rPr>
          <w:rFonts w:hint="eastAsia" w:ascii="宋体"/>
          <w:bCs/>
          <w:sz w:val="24"/>
        </w:rPr>
        <w:t>供应商应保证所供货物是全新的、未使用过的原装正品，任何对磋商文件的忽略或误解不能作为磋商文件存在缺陷或瑕疵的理由，其风险由供应商承担。成交人应提供售后服务承诺书并按采购人要求完成配套验收。</w:t>
      </w:r>
      <w:bookmarkStart w:id="591" w:name="_Toc7525"/>
    </w:p>
    <w:bookmarkEnd w:id="591"/>
    <w:p>
      <w:pPr>
        <w:keepNext w:val="0"/>
        <w:keepLines w:val="0"/>
        <w:widowControl w:val="0"/>
        <w:suppressLineNumbers w:val="0"/>
        <w:autoSpaceDE w:val="0"/>
        <w:autoSpaceDN w:val="0"/>
        <w:spacing w:before="0" w:beforeAutospacing="0" w:after="0" w:afterAutospacing="0" w:line="360" w:lineRule="auto"/>
        <w:ind w:left="0" w:right="0" w:firstLine="482" w:firstLineChars="200"/>
        <w:jc w:val="both"/>
        <w:rPr>
          <w:rFonts w:hint="eastAsia" w:ascii="宋体" w:hAnsi="Times New Roman" w:eastAsia="宋体" w:cs="宋体"/>
          <w:b/>
          <w:bCs w:val="0"/>
          <w:sz w:val="24"/>
          <w:szCs w:val="24"/>
          <w:lang w:val="en-US"/>
        </w:rPr>
      </w:pPr>
      <w:r>
        <w:rPr>
          <w:rFonts w:hint="eastAsia" w:ascii="宋体" w:hAnsi="Times New Roman" w:eastAsia="宋体" w:cs="宋体"/>
          <w:b/>
          <w:bCs w:val="0"/>
          <w:kern w:val="2"/>
          <w:sz w:val="24"/>
          <w:szCs w:val="24"/>
          <w:lang w:val="en-US" w:eastAsia="zh-CN" w:bidi="ar"/>
        </w:rPr>
        <w:t>采购清单：</w:t>
      </w:r>
    </w:p>
    <w:tbl>
      <w:tblPr>
        <w:tblStyle w:val="4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4"/>
        <w:gridCol w:w="1337"/>
        <w:gridCol w:w="6552"/>
        <w:gridCol w:w="66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8"/>
                <w:szCs w:val="28"/>
                <w:lang w:val="en-US" w:eastAsia="zh-CN" w:bidi="ar"/>
              </w:rPr>
              <w:t>化学学科教室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配置明细表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设备名称</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设备技术参数说明</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单位</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智慧黑板</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一、整体设计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1.整机屏幕采用不小于86英寸超高清LED 液晶屏，显示比例16:9，屏幕分辨率不低于3840*2160。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2.整机尺寸宽度不小于4200mm，高度不小于1200mm。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3.中间主屏及两侧副屏支持不用粉笔书写，方便老师教学。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4.屏幕显示灰度分辨等级达到256灰阶以上。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5.整机采用红外触控，双系统下支持40点及以上触控。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★6.整机支持人工智能画质调节模式，在安卓通道下可根据屏幕内容自动调节画质参数，达到更好的显示效果。（提供佐证材料）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★7.整机内置扬声器，采用高低音搭配设计，总功率不低于60W。（提供佐证材料）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★8.为保证传输效果，设备嵌入式系统版本不低于Android13。（提供佐证材料）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二、接口及按键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1.整机具备不少于2路前置双系统USB3.0接口。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2.整机具备不少于1路前置Typec接口，方便学校扩展使用。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3.电源键为三合一按键，可实现开机、关机、待机三种功能，方便老师操作设备。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★4.整机支持发出超声波信号，智能手机与整机可实现高效配对。（提供佐证材料）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5.整机具备减滤蓝光功能，可通过前置物理功能按键一键启用减滤蓝光模式，有效减少蓝光对学生危害。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6.设备支持通过前置物理按键一键启动录屏功能，可将屏幕中显示的所有内容与老师人声同时录制。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三、整机功能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★1.整机内置非独立的高清摄像头，可拍摄≥1600万像素的照片，支持输出8192×2048分辨率的照片和视频，支持画面畸变矫正功能。（提供佐证材料）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★2.整机支持上边框内置非独立摄像头模组，同时输出至少 2路视频流，同时支持课堂远程巡课、本地画面预览等。（提供佐证材料）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★3.整机内置非独立外扩展的8阵列麦克风，拾音角度达到150°，可对教室环境音频进行更好的采集。（提供佐证材料）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4.支持无线传屏功能，可以将外部电脑的屏幕画面通过无线方式传输到整机上显示。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5.支持纸质护眼模式，在任意通道任意画面任意软件所在显示内容下可实时调整画面纹理，如素描纸、宣纸、水彩纸等；同时支持透明度调节。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★6.为保证传输效果，整机支持蓝牙Bluetooth 5.4标准。（提供佐证材料）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★7.整机支持对色彩空间进行选择，包含标准模式和sRGB模式，在sRGB模式下可做到高色准△E≤1。（提供佐证材料）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8.整机可选择高级音效设置，支持在左右声道平衡显示范围中进行更改；中低频段显示调节范围125Hz～1KHz，高频段显示调节范围 2KHz～16KHz，分贝显示-12dB～12dB 调节范围。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四、电脑配置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1.搭载Intel 酷睿 i5或以上配置CPU。内存：8 GB DDR4笔记本内存或以上配置。硬盘：256 GB SSD固态硬盘或以上配置。</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2.具备不少于4路USB接口，方便扩展使用。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一、学生实验操作及学习区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学生实验桌</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Times New Roman" w:eastAsia="宋体" w:cs="宋体"/>
                <w:color w:val="000000"/>
                <w:sz w:val="21"/>
                <w:szCs w:val="21"/>
                <w:lang w:val="en-US"/>
              </w:rPr>
              <w:t>1、整体尺寸：1200*600*780mm； 2、桌体框架：采用合金金属材料，材料表面高压静电喷涂环氧树脂防护层，耐酸碱，耐腐蚀处理。 3、台面：采用20mm厚一体实芯黑色胚体实验室工业陶瓷台面，台面表面为耐腐蚀专业釉面。釉面和黑色胚体（非后期染色处理）经高温烧结而成，釉面与胚体结合后不脱落、不脱层。 4、结构：新型塑铝结构，学生位镂空式设计，整体美观大方。 5、书包斗采用整体ABS工程塑料一次性注塑成型，规格425*270*165，中间设挂凳卡。 6、桌脚采用三段式高强度铝合金结构，规格545*770，中立柱采用≥122*55mm*1.5mm厚承重型铝合金型材微倾斜式设计，上下脚采用铝合金一次压铸成型，采用8个高强度螺丝连接。 7、桌脚间通过4条专用铝合金型材连接，其中三条为28*28mm方形铝合金型材；另一条为79*14mm的铝合金型材。</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张</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Times New Roman" w:eastAsia="宋体" w:cs="宋体"/>
                <w:color w:val="000000"/>
                <w:sz w:val="21"/>
                <w:szCs w:val="21"/>
                <w:lang w:val="en-US"/>
              </w:rPr>
            </w:pPr>
            <w:r>
              <w:rPr>
                <w:rFonts w:hint="eastAsia" w:ascii="宋体" w:hAnsi="宋体" w:cs="宋体"/>
                <w:color w:val="000000"/>
                <w:kern w:val="0"/>
                <w:sz w:val="21"/>
                <w:szCs w:val="21"/>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梯形学习桌</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1、规格：870*390mm*710mm，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台面：采用≥12mm厚的抗倍特板制作，具有抗弯、易清洁、耐磨、耐辐射、耐高温、耐冲击、耐酸碱、耐腐蚀、防静电、防水、防火、并有稳定的抗菌性能，台面整体梯形，圆弧角设计，机械打磨，造型美观，更安全。</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3、桌架：采用20*40*1.5mm优质硬钢方管框架无缝焊接支撑台面</w:t>
            </w:r>
            <w:r>
              <w:rPr>
                <w:rFonts w:hint="eastAsia" w:ascii="宋体" w:hAnsi="Times New Roman"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四个脚柱采用φ38*710圆管制成，四脚柱采用卯榫结构与方钢框架连接，非螺栓紧固和焊接设计，配4个φ38mm脚垫、高度可调节，钢管表面采用环氧树脂粉末静电喷涂处理，防腐耐用。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张</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学生凳</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1、规格：Φ300*（450-500mm）； 2、凳脚材质：4个凳脚采用16×36×1.2mm 的无缝钢管模具一次成型。全圆满焊接完成，结构牢固，经高温粉体烤漆处理，长时间使用也不会产生表面烤漆剥落现象。 螺旋升降式，升降距离为0-50mm，最高离地距离为500mm。 3、凳面材质：采用聚丙烯共聚级注塑，厚度6mm。表面细纹咬花，防滑不发光。凳面底部镶嵌4枚螺纹，采用不锈钢螺丝与托盘固定。 4、脚垫材质：采用PP加耐磨纤维质塑料，实心倒勾式一体射出成型 。凳面与凳脚留有一定的空间便于凳子挂在挂凳扣上，方便教室的打扫。</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空调</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kern w:val="0"/>
                <w:sz w:val="21"/>
                <w:szCs w:val="21"/>
                <w:lang w:val="en-US" w:bidi="ar"/>
              </w:rPr>
            </w:pPr>
            <w:r>
              <w:rPr>
                <w:rFonts w:hint="eastAsia" w:ascii="宋体" w:hAnsi="宋体" w:eastAsia="宋体" w:cs="宋体"/>
                <w:kern w:val="0"/>
                <w:sz w:val="21"/>
                <w:szCs w:val="21"/>
                <w:lang w:val="en-US" w:eastAsia="zh-CN" w:bidi="ar"/>
              </w:rPr>
              <w:t>3匹空调</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kern w:val="0"/>
                <w:sz w:val="21"/>
                <w:szCs w:val="21"/>
                <w:lang w:val="en-US" w:bidi="ar"/>
              </w:rPr>
            </w:pPr>
            <w:r>
              <w:rPr>
                <w:rFonts w:hint="eastAsia" w:ascii="宋体" w:hAnsi="宋体" w:eastAsia="宋体" w:cs="宋体"/>
                <w:kern w:val="0"/>
                <w:sz w:val="21"/>
                <w:szCs w:val="21"/>
                <w:lang w:val="en-US" w:eastAsia="zh-CN" w:bidi="ar"/>
              </w:rPr>
              <w:t>制冷量：≥7200W</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kern w:val="0"/>
                <w:sz w:val="21"/>
                <w:szCs w:val="21"/>
                <w:lang w:val="en-US" w:bidi="ar"/>
              </w:rPr>
            </w:pPr>
            <w:r>
              <w:rPr>
                <w:rFonts w:hint="eastAsia" w:ascii="宋体" w:hAnsi="宋体" w:eastAsia="宋体" w:cs="宋体"/>
                <w:kern w:val="0"/>
                <w:sz w:val="21"/>
                <w:szCs w:val="21"/>
                <w:lang w:val="en-US" w:eastAsia="zh-CN" w:bidi="ar"/>
              </w:rPr>
              <w:t>制热量：≥8000W</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kern w:val="0"/>
                <w:sz w:val="21"/>
                <w:szCs w:val="21"/>
                <w:lang w:val="en-US" w:bidi="ar"/>
              </w:rPr>
            </w:pPr>
            <w:r>
              <w:rPr>
                <w:rFonts w:hint="eastAsia" w:ascii="宋体" w:hAnsi="宋体" w:eastAsia="宋体" w:cs="宋体"/>
                <w:kern w:val="0"/>
                <w:sz w:val="21"/>
                <w:szCs w:val="21"/>
                <w:lang w:val="en-US" w:eastAsia="zh-CN" w:bidi="ar"/>
              </w:rPr>
              <w:t>内机噪音：≤45dB(A)</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kern w:val="0"/>
                <w:sz w:val="21"/>
                <w:szCs w:val="21"/>
                <w:lang w:val="en-US" w:bidi="ar"/>
              </w:rPr>
            </w:pPr>
            <w:r>
              <w:rPr>
                <w:rFonts w:hint="eastAsia" w:ascii="宋体" w:hAnsi="宋体" w:eastAsia="宋体" w:cs="宋体"/>
                <w:kern w:val="0"/>
                <w:sz w:val="21"/>
                <w:szCs w:val="21"/>
                <w:lang w:val="en-US" w:eastAsia="zh-CN" w:bidi="ar"/>
              </w:rPr>
              <w:t>最大制冷功率：≥2400W</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kern w:val="0"/>
                <w:sz w:val="21"/>
                <w:szCs w:val="21"/>
                <w:lang w:val="en-US" w:eastAsia="zh-CN" w:bidi="ar"/>
              </w:rPr>
              <w:t>最大制热功率：≥2750W</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二、教师演示控制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教师演示台</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1、尺寸：2400*600*850㎜。 2、台面：采用厚度12.7mm厚的实芯理化板制成，四周加厚处理，总厚度约为25.4mm,四角圆角</w:t>
            </w:r>
            <w:r>
              <w:rPr>
                <w:rFonts w:hint="eastAsia" w:ascii="宋体" w:hAnsi="Times New Roman"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四边磨边处理。 3、箱体：采用16mm厚的中密度三聚氰胺双饰面板制成，断面以优质2mm厚的PVC封边条配合进口胶王热熔封边防水处理，专用连接件连接组合紧固。 4、四角包边：采用PP改性材料，塑料注塑模一次性成型，曲面弧形造型，可以有效避免碰撞对人体产生的伤害。 5、层板：采用16mm厚的E1级中密度三聚氰胺饰面板，周边及断面采用不小于2mm厚的PVC热熔封边并作防水处理。 6、每个箱体配四个优质的实验室仪器专用地脚，具有防腐防锈减震等特点。 7、柜门、抽屉：采用厚度16mm厚的中密度三聚氰胺饰面板，柜门和抽屉面板四周注塑模注塑包边成型，拉手与注塑包边一次性成型注塑。 8、讲台配有键盘和中控抽屉，侧边配视频展示台抽屉。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张</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通风橱</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规格：宽1225mm，深875mm，高2300mm，工作高度900mm,展示空间高度1100mm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1,功能模块：采用三段式结构，顶部为排风、电气及局部照明模块，中部是操作空间（由弧形玻璃板、视窗组成），下部为全钢柜体（内置给排水装置和电气管线系统）；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2，台面：采用12.7mm厚实芯理化板，四周边缘背边加工，总厚度为25.4mm，机械磨边处理，能抗强冲击，耐强酸碱，耐高温，更具有良好的承重性能；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3，柜体：采用1.0mm镀锌冷轧钢板压制成型，表面经纯环氧树脂塑粉高温固化处理。内设活动检修板，分隔成标准储存空间和水电系统容纳空间；柜体顶端面板上安装有2个带弹簧盖的220V 16A插座和通风、照明控制开关；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4，照明：采用约40W日光灯，并设有5mm厚磨沙玻璃；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5，展示空间弧形玻璃板：是由厚度12mm的整块玻璃板热弯成U型，无视觉死角，视线无任何遮挡，学生可以全方位观看柜内的操作过程。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6，视窗：采用为5mm厚安全防暴钢化玻璃，利用滑轮及配重上下开启，可任意高度悬停。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7，化验水斗：PP材质，模具一体成型小水杯，耐酸碱；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8，化验水嘴：采用实验室专用单联水嘴，90度瓷质阀芯，出水嘴为铜质尖嘴，可拆卸，内有螺纹，可方便连接循环等特殊用水，水管管体部分为黄铜合金制品，铜质表面经过烤漆喷涂处理，增强耐酸碱防腐蚀以及防锈性能。</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 xml:space="preserve">  9，顶部导流板：采用6mm厚抗倍特板，安装位置与角度需使排气分布均匀，无死角；</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教师办公台</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规格：1400*700*760mm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基材：桌面采用优质三聚氰胺双饰面板，桌架采用优质高频焊管。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封边：截面使用PVC条机械封边。</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五金件：采用优质品牌五金件。                                         涂饰：部件进入大型喷塑生产线时，表面经脱脂陶化液处理，烘干预热后进行环氧树脂电粉沫喷涂，涂层厚度实测值70-80um,经高温流平、固化等工序，使喷塑涂层耐侵蚀、耐冲击性能高于国家标准，涂层附着力达到2级。表面具有防有机溶剂侵蚀、防潮、防锈、防尘、防静电等功能。静电粉末采用优质静电粉末。</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张</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移动推柜</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规格：400*500*600mm</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钢制三屉推柜</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教师椅</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1、面料：采用透气网布制成，座面用高回弹海绵制成，椅座上部分采用新料塑料架制成，结实耐用。 2、座面海绵：高回弹海绵，久座不变形，长久保持座感的舒适。 3、五星脚：标准电镀，承压500KG以上。</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三、吊顶安装可升降集成系统—控制系统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教师总电源</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1、尺寸：405*405*90mm，装置在主控台组合柜内，采用耐磨、耐腐蚀的PVC薄膜面板，优质元器件，微电脑控制，轻触按钮开关。 2、输入电压：220v±10%。 3、教师电源：交流输出2-24V，2V/档，额定电流6A，过载保护：超过105%额定电流自动保护。轻触开关直选输出电压，高精度数字电压电流表显示，显示误差：交流电压1%，交流电流1%。 4、直流输出1-24V（极限0-24V），精度0.1V，键盘直选电压控制方式，额定电流6A，过载保护：超过105%，额定电流自动保护。高精度数字电压电流表显示，显示误差：直流电压0.5%，直流电流0.5%。 5、2路5孔插座220V输出。额定输出电流10A，每路5A。 6、带老师、学生220V过载漏电保护。</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智能系统控制平台</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一、智能系统控制平台硬件：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1、壁挂式设计，整体尺寸不大于420*910*178mm；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2、控制平台整体采用1.2㎜厚SPCC冷轧钢板钣金折弯成型，表面经酸洗磷化处理，静电喷涂环保粉末高温处理工艺，无有害物质，防腐性高。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3、平台上端为电气设备安装层，柜身内含各种控制系统硬件模块：如PLC控制器及功能扩展模块1套、PLC专用电源1个、PLC保护模块1个、急停控制系统1套等。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4、平台下部为控制层，内嵌未来实验室系统。未来实验室系统与系统启动按钮隐蔽于下翻钣金柜门里侧，下翻柜门设置锁具，开启下翻柜门后才可以操作控制系统。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★5、控制平台整机通过耐电压、过载及保护接地电阻检测，其性能参数应满足以下需求：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1）保护接地电路：保护接地电路的电阻值小于0.3Ω。（提供佐证材料）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2）耐电压性能：在动力电路和保护联结电路之间经受工频电压1500V，承受时间为1分钟，无击穿及放电现象。（注：不适合经受改试验的元件应在试验前断开）（提供佐证材料）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3）过载保护：系统能承受2倍的控制系统额定输出电流为3min的冲击，经过冲击后控制器所有的功能参数正常。（提供佐证材料）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二、未来实验室系统软件：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本系统为标准的工业化PLC控制系统，可集中对实验室进行控制，并可执行各分项控制；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1、规格：10.2英寸，分辨率 800*480。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★2、采用电阻式触控屏，可湿手操作，杜绝误操作。（提供佐证材料） </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3、通风、给排水、照明、电源控制：可以实现单组控制，可集中控制；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移动控制平台</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本平台为智能控制平台的移动控制端，能实现电源、照明、给排水、摇臂、排风系统的控制。 1、移动控制平台支持局域网模式下网页固定IP在线登录操作控制方式，能实现电源、照明、给排水、摇臂、排风系统的控制。 2、连接控制柜检测环境中实时的温度、湿度并以数值的形式显示。 3、控制任意单组或集中控制220V电源的开与关。</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四、吊顶安装可升降集成系统—通风系统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万向吸风罩</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本设备为通风系统的学生端，为万向节结构，可将抽风口扭动并悬停到学生试验台的任意位置，科学的结构设计，保障操作如丝滑般的体验。 1、风管：材质：铝合金，管径60mm，表面环氧树脂粉未静电喷涂处理。 2、密封圈：耐磨损尼龙材质特制环形垫圈。 3、关节连接杆：高强度钢。 4、松紧选钮：高强度合金材质，表面喷塑处理，内嵌不锈钢轴承，与关节连接杆锁合。 5、固定底座：高密度PP材质，非粘接而成，模具注塑一体成型。 6、拱形集气罩：形状如喇叭口，集气罩开口外径218mm，合金材质，阻燃、耐腐蚀。 7、集气罩连接帽：连接帽连接紧固，螺纹无滑牙、烂牙等现象；经≥0.5J冲击试验后不开裂。 8、扭簧：扭簧材质弹簧钢表面抗氧化处理、扭簧线径4mm、外径30mm、角度90度、扭簧引脚右旋，脚长85mm。 9、关节：高密度pp材质，表面磨砂处理，可360°旋转调节方向。</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室内吊装式通风管道</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通风管道采用PP管道连接而成，φ200、φ160圆型风道，接口采用专用卡箍连接。</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室外行程通风管道</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采用φ315或φ400mmPP圆管及弯头，管卡采用碳钢制作，具有耐腐蚀、防火、防潮等功能。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通风风机</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1、6#离心风机 ，功率：≥5.5KW，转速 1450r/min，风量：9410-16200m3/h，全压 1150-748Pa。 2、室内换气次数：≥20次/h。终端流速：≥11.3米/秒，整个通风系统均为中压系统（500 Pa＜P≤1500 Pa，低压系统（P≤500 Pa），主管内风速约8-14米/秒（m/s），支管内风速约6-8米/秒（m/s）。</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通风风机配件</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含防雨帽、风机软连接、阻尼减震垫、弯头、三通、变径、吊箍、卡箍等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风机控制线</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规格：4mm2*4电气布线，适配波纹软线管。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室外通风系统安装</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根据通风需要设计规格安装施工。</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废气处理装置</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1、活性炭废气处理器，处理风量：10000m3/h。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2、吸附单元在设备箱体内分层格栅式安装，要求能够非常方便的检修及更换。吸附单元选用硬PP板材制作。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3、检查门开启方便，密封严密。</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4、基架用槽钢制作。坚固的基架可以保证设备安装和运输的要求。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五、吊顶安装可升降集成系统—照明系统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实验室护眼灯罩</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1、设计安装防眩光灯罩，不仅能使光线扩散均匀更能起到安全防护作用； 2、灯罩和灯座采用直接扣合设计，无螺丝紧固，用吸盘可直接将灯罩取下。 3、照明模块贯通单个顶吊单元，多个顶吊单元组合后，相邻照明模块一字贯通，中间无隔挡物断开。</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供电线路</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模块化设计，每组模块间采用活接式连接，方便安装、检修。采用2.5mm2电线进行系统布线。</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六、吊顶安装可升降集成系统—水电系统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5"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自动给排水系统</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1、整体规格：长600*宽470*高820mm，分柜体和水槽底座三部分组成。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2、柜体底座采用ABS注塑成型，水槽采用PP塑料一次模具成型，确保柜体结构稳固；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3、三联水嘴：水嘴主体采用铜制造，直管、臂管和鹅颈弯管均采用304不锈钢制成，陶瓷阀芯，可90°旋转。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4、水槽柜内设置废水收集装置，容量不小于20L；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5、废水收集装置设置非液体接触式外置水位传感器进行液位检测，检测到废水桶内水位达到液位传感器时开始自动排水，排空后自动停止排水。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6、废水收集装置进水口内置废水过滤装置，过滤装置材质通体为304不锈钢，防酸碱、防锈。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7、水泵采用全铜高品质电机，工作电压直流24V，最大流量7升/分钟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8、具备手动排水功能，可手动单组或集中控制排水。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9、设置给水控制总阀门，接受控制面板和移动控制端控制。 </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★10、给水系统检测到某分组排水系统控制线未与终端控制盒连接，给水控制总阀门不能开启。（提供佐证材料）</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给排水布管</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1、包含电磁阀、活接球阀、弯头、吊卡、吊座、三通、变径等。 2、给水主管选用Φ32mmPP-R给水管，支管采用Φ25mmPP-R给水管，模块化设计，每组模块间采用活接式连接，方便安装、检修。 3、排水管选用加厚Φ75mmPVC-U国标管（具有防酸、防碱、耐腐蚀功能），模块化设计，每组模块间采用活接式连接，方便安装、检修。 4、给水管路加压测试：耐压测试时，在 1Mpa 水压状态下，连续工作4h 后，水管表面无明显滴、跑、漏现象。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舱体首尾模型</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1、采用ABS材质，尺寸不小于577*188*173mm。 2、通体洁白，模具一体成型，外型美观大方。</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网络接口及网络布线</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1、每个学生终端增设2路网络模块； 2、超六类网线，高纯度无氧铜；</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七、吊顶安装可升降集成系统主体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舱体顶装系统</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1、整体结构采用铝合金与钣金组焊件相结合的结构，轻便耐用；铝合金表面经过酸洗磷化后进行高温喷涂处理，美观大方。 2、承重主体框架采用碳钢组焊件，壁厚不小于2.8mm，坚固耐用； 3、侧部采用非拼接一体挤压成型合金型材，结构牢固，内置LED模组，散热效果良好； 4、主体构架上端及底面采用厚度不小于 1.0mm 的钣金制成，坚固耐用。5、舱体悬臂末端设置学生控制终端盒，终端盒采用耐火ABS材质制成，圆润长方体设计，整体尺寸长度≤295mm，高度≤195mm，厚度≤95mm；终端盒内部采用水电分离式设计，控制盒内部给、排水快速插接接头处设置有隔离舱；6、操作面板上设置电源、急停控制按钮等，电源插座采用超双位设计，满足教学过程中额外的拓展需求，每组电源系统包括3组AC220V五孔电源插座。7、220v电源接受控制系统控制，可分组或集中控制220V电源的通、断。 8、220V电源带有过载保护，当电源负载达到限定值2000W 时，能自动断电。 9、低电源输出：交流电源电压为0V-24V/2A，分辩率为1V。直流电源调节范围为1.5V～24V，分辨率0.1V,额定电流2.5A。可以设置交、直流切换，电压调节。10、照明光源分布于可升降集成系统两侧，内置LED护眼灯条，设置防眩光灯罩，材质：PC；长度1200mm，两条一组 ；照明光源接收智能化控制系统控制，当教师解除锁定情况下，学生可以通过学生端灯光控制按钮控制本组设备照明的开与关。</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实验室系统安装辅件</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采用固定吊装方式，防止左右晃动，可进行调节。主要辅件有：定制U型架、U型槽钢、直角座、龙骨架连接件、吊装挂件、安装连接板等。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实验室安装调试</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1、吊顶安装可升降集成系统不用破坏原有地面，模块化结构设计，采用吊装安装方式。 2、系统结构安装调试。 3、系统控制安装调试。 4、室内通风系统安装调试。 5、给排水安装调试。 6、供电系统安装调试。 7、照明系统安装调试。</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护眼照明灯</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LED教室灯应为一体式灯具，不接受组合式灯具；边框材料应采用银色铝型材；LED教室灯应采用格栅防眩光处理；格栅网面内侧应有防尘板；LED教室灯应实现背部透光，提高教室照明舒适度，上下出光比例向上12%向下88%；LED教室灯尺寸为：600*600*80mm。 2、LED教室灯驱动电源采用外置方案，便于维护。</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九、氛围装饰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学科窗帘</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1、窗帘采用双喷布喷绘印制，含窗帘卷管、下杆和拉珠。卷管采用铝合金加厚管，下杆采用PVC加厚扁杆。 2、尺寸可订制，在窗帘上印制相关学科内容介绍或印制学校Logo。</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平方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学科展板</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1、规格：400×600mm, 2、透明亚克力材质，内置内容为UV打印制作。 3、含化学相关学科内容介绍等，集教学、观赏为一体。</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教室顶部环境</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Times New Roman" w:eastAsia="宋体" w:cs="宋体"/>
                <w:color w:val="000000"/>
                <w:sz w:val="21"/>
                <w:szCs w:val="21"/>
                <w:lang w:val="en-US"/>
              </w:rPr>
              <w:t>主体布局为铝方通材质。 （满足140平教室）</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室</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地面防静电施工</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环氧防静电自流平工艺及铺设优质地胶。如地面有塌陷处，需把地暖拆除，把土层夯实再重新铺设地暖，达到正常使用。（满足140平教室）</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十、化学传感器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数据采集器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外观结构要求：外观平整、清洁，造型美观、色彩协调；无划痕裂、无溶迹、缩迹等，无气泡、烧粉和夹生现象，边缘无毛刺、无变形、破边、凹凸不平等缺陷；无明显浇口和飞边；全透明塑料外壳；面板上标有名称、产品型号等标记，要求字迹清晰，标记醒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有线/无线通讯方式转换功能：当数据采集器接插上有线接口时，可与传感器进行有线通讯，当数据采集器接插上无线接收口后，传感器可与无线发射模块插接，打开无线发射的电源开关，实现与数据采集器的无线通讯，无线通讯距离在空旷区域内应≥10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3、最高采集频率要求：数据采集器在有线或无线数据通讯方式下，每个数据通道的采集频率最高可达20kHz；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4、并行采集同步要求：数据采集器在有线数据通讯方式下，四路通道可以同时对信号进行数据采集；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5、数据通道测量精度要求：所有传感器可与数据采集器的任意通道进行通讯，传感器以有线/无线方式接入不同的通道时，其测量结果偏差应为±2个字；</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6、电源要求：由计算机的USB接口供电，供电电压在5V±0.5V时，应能正常工作，在四只传感器同时测量时，消耗功率不大于5W。</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传感器数据显示模块（PC无线传输版）</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数据显示模块连接传感器可以提供以下显示功能：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1、数据显示模块由内置锂电池供电，自带≥1.7寸彩色显示屏，可以连接传感器并显示传感器采集到的数据。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2、数据显示模块可以通过无线的方式将数据传送至平板或者手机进行实时数据显示或通过表格、图线的方式进行数据分析及存储，并且可以通过有线的方式将内部存储的数据上传至PC端；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3、数据显示模块可以通过自带显示屏显示，蓝牙ID和ID对应的二维码；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屏幕内置二维码，按动按钮屏幕可显示二维码，通过扫描二维码可与手机/平板建立连接，传感器测量数据在移动终端中实时显示，数据呈现方式有数字、曲线、计算表格等，传感器数据显示可通过数据线与计算机连接，将存储的实验数据导入至计算机，并且可以将数据保存为Excel格式。</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★（提供1-3项参数佐证材料）</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传感器转接模块</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两端分别是BT接头与BT接口转换器，用于特种传感器与无线发射模块或数据显示模块的转接。</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温度传感器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1、测量范围：-50℃～200℃，分度：0.1℃；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2、不锈钢探针，可测各种物体或溶液的温度；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高温传感器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w:t>
            </w:r>
            <w:r>
              <w:rPr>
                <w:rFonts w:hint="eastAsia" w:ascii="宋体" w:hAnsi="Times New Roman" w:eastAsia="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℃～1200℃，分度：1℃；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2、不不锈钢探针，可测高温物体或火焰的温度。；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相对压强传感器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1、测量范围：-20kPa～20kPa，分度：0.01 kPa；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2、可用于测量气体的相对压；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6、自带硬件调零按钮，方便传感器调零；</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相对湿度传感器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w:t>
            </w:r>
            <w:r>
              <w:rPr>
                <w:rFonts w:hint="eastAsia" w:ascii="宋体" w:hAnsi="Times New Roman" w:eastAsia="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～100%，分度0.1％；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2、测量灵敏件置于探管前端，便于测量容器内的湿度；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多量程电流传感器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1、测量范围1：-3A~+3A，分度：0.01A；测量范围2：-300mA~+300mA，分度：0.1mA；测量范围3：-30mA ~+30mA，分度：0.01 mA；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2、自带硬件按钮，通过硬件按钮进行量程切换及传感器调零，短按切换量程，长按传感器调零。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6、传感器外壳带螺丝孔，可用于固定传感器。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pH传感器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1、测量范围：0~14，分度：0.1；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2、传感器电路分体式结构，用于测量溶液pH；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3、数据传输采用具有方向性和自锁功能的BT接口方式，可保证数据传输稳定，支持热插拔；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4、传感器外壳预留开孔，可用于固定传感器；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5、支持有线、无线连接至电脑或者平板电脑设备进行数据显示，支持独立显示数据；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6、可应用于Windows、Android、i0S 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7、可通过辅助软件进行校准。</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★（提供2-7项参数佐证材料）</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多量程电导率传感器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1、测量范围：0~20000μS/cm，分度≤10μS/cm；测量范围：0~2000μS/cm，分度≤1μS/cm；测量范围：0~200μS/cm，分度3：0.1μS/cm；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2、测量溶液导电能力；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氧气传感器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1、测量范围：1～100%，分度≤0.1%；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2、氧气传感器用于测量待测气体中所含氧气浓度，可通过传感器自带的硬件校准按钮实现数据校准功能；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3、数据传输采用具有方向性和自锁功能的BT接口方式，可保证数据传输稳定，支持热插拔；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4、传感器外壳预留开孔</w:t>
            </w:r>
            <w:r>
              <w:rPr>
                <w:rFonts w:hint="eastAsia" w:ascii="宋体" w:hAnsi="Times New Roman"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可用于固定传感器。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5、支持有线、无线连接至电脑或者平板电脑设备进行数据显示，支持独立显示数据；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6、可应用于Windows、Android、i0S平台。</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★（提供2-6项参数佐证材料）</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二氧化碳传感器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1、测量范围：0 ppm～50000ppm，分度1ppm；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2、用于检测气体中二氧化碳含量；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 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6、为保证测量数据准确性和时效性，要求该传感器采用泵动循环工作方式，进气管长度≥10cm,出气管长度≥10cm。</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色度传感器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1、测量范围：透光率</w:t>
            </w:r>
            <w:r>
              <w:rPr>
                <w:rFonts w:hint="eastAsia" w:ascii="宋体" w:hAnsi="Times New Roman" w:eastAsia="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～100％，分度：0.1％；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2、三波长光源(R、G、B)测量；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 平台；</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6、传感器外壳带螺丝孔，可用于固定传感器。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浊度传感器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1、测量范围：0 NTU～400NTU，分度：0.1 NTU；</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2、测量溶液浑浊度；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 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6、为方便区分、使用，设备外壳印名称、型号、测量范围；</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一氧化碳传感器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w:t>
            </w:r>
            <w:r>
              <w:rPr>
                <w:rFonts w:hint="eastAsia" w:ascii="宋体" w:hAnsi="Times New Roman" w:eastAsia="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～2000ppm，分度：1ppm；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2、用于检测气体中一氧化碳含量；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 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6、为方便区分、使用，设备外壳印名称、型号、测量范围；</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二氧化硫传感器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1、测量范围：0 ppm～20ppm，分度：0.01 ppm；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2、用于测量二氧化硫气体含量；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 平台；</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6、传感器外壳带螺丝孔，可用于固定传感器。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氢气传感器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1、测量范围：0~4%；分度：0.01%；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2、用于检测气体中氢气含量；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 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6、为方便区分、使用，设备外壳印名称、型号、测量范围；</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氯气传感器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w:t>
            </w:r>
            <w:r>
              <w:rPr>
                <w:rFonts w:hint="eastAsia" w:ascii="宋体" w:hAnsi="Times New Roman" w:eastAsia="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～20ppm，分度≤1ppm；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2、用于检测气体中氯气含量；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 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6、为方便区分、使用，设备外壳印名称、型号、测量范围；</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甲烷传感器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w:t>
            </w:r>
            <w:r>
              <w:rPr>
                <w:rFonts w:hint="eastAsia" w:ascii="宋体" w:hAnsi="Times New Roman" w:eastAsia="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～5%,分度：0.01%；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2、用于检测气体中甲烷含量；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 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6、为方便区分、使用，设备外壳印名称、型号、测量范围；</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氯离子传感器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1、测量范围：10-5~1mol/L,分度：10-5mol/L；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2、用于检测氯离子含量；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5、可应用于Windows、Android、iOS 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6、为方便区分、使用，设备外壳印名称、型号、测量范围；</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7、传感器外壳带螺丝孔，可用于固定传感器。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氧化还原传感器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1、测量范围：-500mV～1200mV，分度≤1mV；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6、传感器外壳带螺丝孔，可用于固定传感器。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只</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稀释池</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倒置三角烧杯结构，上端开口，底端封闭，配匀速滴管。用于稀释倍数较大，且对初始溶解有一定量要求的化学实验</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密封实验套件</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密封实验套件由5只5号橡胶塞（配5种孔径：单孔φ3、φ4、φ12、φ18；双孔φ4）、4只硅胶塞（配4种孔径：单孔φ4、φ12、φ18；双孔φ4）、1只150mL反应瓶、2只硅胶环、2只等径气管快速接头、2只变径气管快速接头、3条外径φ4mm软管组成。与生化传感器及常用实验室器皿配套使用，完成中学相关实验及探究活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酶的特性实验器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★酶的特性实验器由2只特制大号Y型管（一个开口）、1组支架、2只φ4mm单孔5号橡胶塞、2只等径气管快速接头、2条外径φ4mm软管、2只泄压阀组成。（提供佐证材料）</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气液相密封实验器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与生物化学传感器密闭连接，方便测量反应产生的气体。</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滴定实验装置</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由滴定计数器、专用滴定管、支架、转接器和螺栓组成，用于统计液滴数量、测量液滴体积。</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磁力搅拌器</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磁力搅拌器由搅拌驱动器、搅拌子、电源适配器构成。最大搅拌量：2L，转速范围：200转/分钟~2000转/分钟；适用于生化实验过程中搅拌低粘稠度的液体或固液混合物。</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多用途生化传感器支架B</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由机械臂、传感器电极夹及固定夹组成，机械臂固定在实验台边，能在三维空间内灵活移动并准确定位，稳定性好；电极夹口径适合常用生化传感器的电极，方便生化实验操作，具有保护传感器不受损坏、提高空间利用率和实验效率功能。机械臂长度：600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多向转接头</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零件，双向交叉，孔内径适应于标准铁架台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DISlabV8.0全国版软件包</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1、为数字化实验分析软件软件，用于数据收集和结果分析j；</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2、包含教材通用软件、物理教材专用软件、化学专用软件s、生物专用软件、传感器校准软件与数据导入软件六个部分p；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2.1、通用软件：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可实现传感器数据的自动识别及控制：传感器接入后自动识别测量种类、测量范围、分度、单位、通道序号等；可改变传感器的显示方式：数字表、模拟表、示波。可根据实验调整传感器的采样频率、开始与暂停、字体颜色、字号大小、调零、示波图线的移动及大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还支持打印机直接引用（无需退出实验软件），进行结果打印。实验结果可通过Excel形式进行保存。也可将保存的数据多次调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（4）实验录制：可同时将实验操作过程和软件的实验界面进行同屏录制，实现了实验现象和数据的对应。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2.2、物理专用软件：界面简洁、风格独特、一键OK的特点。涵盖了人教、粤教、鲁科等教材的重点实验。明确了实验题目，使用时直接接入传感器即可。大大的方便了课堂教学。实验界面与多版本教材高度一致，完全符合现行教材。用户可直接根据教材进行实验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2.3、化学专用软件：涵盖了初初中重点实验，起到温故知新的作用。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2.4、生物专用软件：涵盖了初初中重点实验，起到温故知新的作用。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2.5、传感器校准软件：根据国际计量公用应用规范，针对生物、化学传感器进行校准，以减少误差，提高精度。应用于PH、溶解氧、色度、浊度、氧化还原等传感器。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2.6、数据导入软件：和数据显示模块配合使用，将数据显示模块的数据导入电脑进行长期保存和数据处理。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3、应用平台：支持windows、Android、iOS系统</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4、为保证实验软件和所供传感器的高度匹配和后期的升级服务。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附件</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1、含USB通讯线1条、转接器4只、传感器线4条；两端为BT插头，插口具有方向性和自锁功能插接方便、配合严密、方便教学；</w:t>
            </w:r>
          </w:p>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2、彩色印刷版实验指南书，有详细实验案例介绍（实验器材、实验装置图、实验操作步骤等）</w:t>
            </w:r>
            <w:r>
              <w:rPr>
                <w:rFonts w:hint="eastAsia" w:ascii="宋体" w:hAnsi="Times New Roman"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配有二维码，通过扫描二维码可观看实验操作视频</w:t>
            </w:r>
            <w:r>
              <w:rPr>
                <w:rFonts w:hint="eastAsia" w:ascii="宋体" w:hAnsi="宋体" w:cs="宋体"/>
                <w:color w:val="000000"/>
                <w:kern w:val="0"/>
                <w:sz w:val="21"/>
                <w:szCs w:val="21"/>
                <w:lang w:val="en-US" w:eastAsia="zh-CN" w:bidi="ar"/>
              </w:rPr>
              <w:t>。</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传感器收纳箱</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尺寸：511*346*180（mm），由铝合金主架、铝塑板面构成，内设隔断海棉内衬</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b/>
                <w:bCs/>
                <w:color w:val="000000"/>
                <w:sz w:val="21"/>
                <w:szCs w:val="21"/>
                <w:lang w:val="en-US"/>
              </w:rPr>
            </w:pPr>
            <w:r>
              <w:rPr>
                <w:rFonts w:hint="eastAsia" w:ascii="宋体" w:hAnsi="宋体" w:eastAsia="宋体" w:cs="宋体"/>
                <w:b/>
                <w:bCs/>
                <w:color w:val="000000"/>
                <w:kern w:val="0"/>
                <w:sz w:val="21"/>
                <w:szCs w:val="21"/>
                <w:lang w:val="en-US" w:eastAsia="zh-CN" w:bidi="ar"/>
              </w:rPr>
              <w:t>十一、教室改造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墙体拆除</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两面墙体拆除并修复墙面连接处，墙面尺寸分别为9050*3656mm、3860*3656mm。拆除后的建筑垃圾自行清理出学校。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配电箱迁移</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经改造后原墙上的配电箱要迁移到别处且保证可以正常使用，无安全隐患。</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电路改造</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满足在原有的基础上改造成方案教室正常使用的条件。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水管改造</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满足在原有的基础上改造成方案教室正常使用的条件。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风道改造</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满足在原有的基础上改造成方案教室正常使用的条件。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外风机支撑平台</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因楼顶为“人”型斜面，需后期打造平台安装风机。</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Times New Roman" w:eastAsia="宋体" w:cs="宋体"/>
                <w:color w:val="000000"/>
                <w:sz w:val="21"/>
                <w:szCs w:val="21"/>
                <w:lang w:val="en-US"/>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实验台搬运及组装</w:t>
            </w:r>
          </w:p>
        </w:tc>
        <w:tc>
          <w:tcPr>
            <w:tcW w:w="6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原教室实验台拆除，按甲方要求搬运至指定房间并重新组装，需改线路自行解决，保证实验台及水、电、风功能满足正常使用。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Times New Roman" w:eastAsia="宋体" w:cs="宋体"/>
                <w:color w:val="000000"/>
                <w:sz w:val="21"/>
                <w:szCs w:val="21"/>
                <w:lang w:val="en-US"/>
              </w:rPr>
            </w:pPr>
            <w:r>
              <w:rPr>
                <w:rFonts w:hint="eastAsia" w:ascii="宋体" w:hAnsi="宋体" w:eastAsia="宋体" w:cs="宋体"/>
                <w:color w:val="000000"/>
                <w:kern w:val="0"/>
                <w:sz w:val="21"/>
                <w:szCs w:val="21"/>
                <w:lang w:val="en-US" w:eastAsia="zh-CN" w:bidi="ar"/>
              </w:rPr>
              <w:t>1</w:t>
            </w:r>
          </w:p>
        </w:tc>
      </w:tr>
    </w:tbl>
    <w:p>
      <w:pPr>
        <w:keepNext w:val="0"/>
        <w:keepLines w:val="0"/>
        <w:widowControl/>
        <w:suppressLineNumbers w:val="0"/>
        <w:spacing w:before="0" w:beforeAutospacing="0" w:after="0" w:afterAutospacing="0"/>
        <w:ind w:left="0" w:right="0"/>
        <w:jc w:val="left"/>
        <w:textAlignment w:val="center"/>
        <w:rPr>
          <w:rFonts w:hint="eastAsia" w:ascii="宋体" w:hAnsi="Times New Roman" w:eastAsia="宋体" w:cs="宋体"/>
          <w:color w:val="000000"/>
          <w:kern w:val="0"/>
          <w:sz w:val="24"/>
          <w:szCs w:val="24"/>
          <w:lang w:val="en-US" w:bidi="ar"/>
        </w:rPr>
      </w:pPr>
    </w:p>
    <w:tbl>
      <w:tblPr>
        <w:tblStyle w:val="46"/>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5"/>
        <w:gridCol w:w="1288"/>
        <w:gridCol w:w="6543"/>
        <w:gridCol w:w="72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8"/>
                <w:szCs w:val="28"/>
                <w:lang w:val="en-US" w:eastAsia="zh-CN" w:bidi="ar"/>
              </w:rPr>
              <w:t>物理学科教室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配置明细表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序号</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产品名称</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设备技术参数说明</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单位</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智慧黑板</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一、整体设计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1.整机屏幕采用不小于86英寸超高清LED 液晶屏，显示比例16:9，屏幕分辨率不低于3840*2160。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2.整机尺寸宽度不小于4200mm，高度不小于1200mm。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3.中间主屏及两侧副屏支持不用粉笔书写，方便老师教学。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4.屏幕显示灰度分辨等级达到256灰阶以上。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5.整机采用红外触控，双系统下支持40点及以上触控。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6.整机支持人工智能画质调节模式，在安卓通道下可根据屏幕内容自动调节画质参数，达到更好的显示效果。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7.整机内置扬声器，采用高低音搭配设计，总功率不低于60W。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8.为保证传输效果，设备嵌入式系统版本不低于Android13。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二、接口及按键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1.整机具备不少于2路前置双系统USB3.0接口。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2.整机具备不少于1路前置Typec接口，方便学校扩展使用。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3.电源键为三合一按键，可实现开机、关机、待机三种功能，方便老师操作设备。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4.整机支持发出超声波信号，智能手机与整机可实现高效配对。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5.整机具备减滤蓝光功能，可通过前置物理功能按键一键启用减滤蓝光模式，有效减少蓝光对学生危害。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6.设备支持通过前置物理按键一键启动录屏功能，可将屏幕中显示的所有内容与老师人声同时录制。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三、整机功能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1.整机内置非独立的高清摄像头，可拍摄≥1600万像素的照片，支持输出8192×2048分辨率的照片和视频，支持画面畸变矫正功能。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2.整机支持上边框内置非独立摄像头模组，同时输出至少 2路视频流，同时支持课堂远程巡课、本地画面预览等。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3.整机内置非独立外扩展的8阵列麦克风，拾音角度达到150°，可对教室环境音频进行更好的采集。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4.支持无线传屏功能，可以将外部电脑的屏幕画面通过无线方式传输到整机上显示。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5.支持纸质护眼模式，在任意通道任意画面任意软件所在显示内容下可实时调整画面纹理，如素描纸、宣纸、水彩纸等；同时支持透明度调节。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6.为保证传输效果，整机支持蓝牙Bluetooth 5.4标准。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7.整机支持对色彩空间进行选择，包含标准模式和sRGB模式，在sRGB模式下可做到高色准△E≤1。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8.整机可选择高级音效设置，支持在左右声道平衡显示范围中进行更改；中低频段显示调节范围125Hz～1KHz，高频段显示调节范围 2KHz～16KHz，分贝显示-12dB～12dB 调节范围。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四、电脑配置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1.搭载Intel 酷睿 i5或以上配置CPU。内存：8 GB DDR4笔记本内存或以上配置。硬盘：256 GB SSD固态硬盘或以上配置。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2.具备不少于4路USB接口，方便扩展使用。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台</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一、学生实验操作及学习区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学生实验桌</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sz w:val="21"/>
                <w:szCs w:val="21"/>
                <w:lang w:val="en-US"/>
              </w:rPr>
              <w:t>1、整体尺寸：1200*600*780mm； 2、桌体框架：采用合金金属材料，材料表面高压静电喷涂环氧树脂防护层，耐酸碱，耐腐蚀处理。 3、台面：采用20mm厚一体实芯黑色胚体实验室工业陶瓷台面，台面表面为耐腐蚀专业釉面。釉面和黑色胚体（非后期染色处理）经高温烧结而成，釉面与胚体结合后不脱落、不脱层。 4、结构：新型塑铝结构，学生位镂空式设计，整体美观大方。 5、书包斗采用整体ABS工程塑料一次性注塑成型，规格425*270*165，中间设挂凳卡。 6、桌脚采用三段式高强度铝合金结构，规格545*770，中立柱采用≥122*55mm*1.5mm厚承重型铝合金型材微倾斜式设计，上下脚采用铝合金一次压铸成型，采用8个高强度螺丝连接。 7、桌脚间通过4条专用铝合金型材连接，其中三条为28*28mm方形铝合金型材；另一条为79*14mm的铝合金型材。</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张</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梯形学习桌</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1、规格：870*390mm*710mm，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台面：采用≥12mm厚的抗倍特板制作，具有抗弯、易清洁、耐磨、耐辐射、耐高温、耐冲击、耐酸碱、耐腐蚀、防静电、防水、防火、并有稳定的抗菌性能，台面整体梯形，圆弧角设计，机械打磨，造型美观，更安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3、桌架：采用20*40*1.5mm优质硬钢方管框架无缝焊接支撑台面,四个脚柱采用φ38*710圆管制成，四脚柱采用卯榫结构与方钢框架连接，非螺栓紧固和焊接设计，配4个φ38mm脚垫、高度可调节，钢管表面采用环氧树脂粉末静电喷涂处理，防腐耐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张</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学生凳</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1、规格：Φ300*（450-500mm）； 2、凳脚材质：4个凳脚采用16×36×1.2mm 的无缝钢管模具一次成型。全圆满焊接完成，结构牢固，经高温粉体烤漆处理，长时间使用也不会产生表面烤漆剥落现象。 螺旋升降式，升降距离为0-50mm，最高离地距离为500mm。 3、凳面材质：采用聚丙烯共聚级注塑，厚度6mm。表面细纹咬花，防滑不发光。凳面底部镶嵌4枚螺纹，采用不锈钢螺丝与托盘固定。 4、脚垫材质：采用PP加耐磨纤维质塑料，实心倒勾式一体射出成型 。凳面与凳脚留有一定的空间便于凳子挂在挂凳扣上，方便教室的打扫。</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把</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空调</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3匹空调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制冷量：≥7200W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制热量：≥8000W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内机噪音：≤45dB(A)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最大制冷功率：≥2400W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最大制热功率：≥2750W</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台</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二、教师演示控制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教师演示台</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1、尺寸：2400*600*850㎜。 2、台面：采用厚度12.7mm厚的实芯理化板制成，四周加厚处理，总厚度约为25.4mm,四角圆角,四边磨边处理。 3、箱体：采用16mm厚的中密度三聚氰胺双饰面板制成，断面以优质2mm厚的PVC封边条配合进口胶王热熔封边防水处理，专用连接件连接组合紧固。 4、四角包边：采用PP改性材料，塑料注塑模一次性成型，曲面弧形造型，可以有效避免碰撞对人体产生的伤害。 5、层板：采用16mm厚的E1级中密度三聚氰胺饰面板，周边及断面采用不小于2mm厚的PVC热熔封边并作防水处理。 6、每个箱体配四个优质的实验室仪器专用地脚，具有防腐防锈减震等特点。 7、柜门、抽屉：采用厚度16mm厚的中密度三聚氰胺饰面板，柜门和抽屉面板四周注塑模注塑包边成型，拉手与注塑包边一次性成型注塑。 8、讲台配有键盘和中控抽屉，侧边配视频展示台抽屉。</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张</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教师办公台</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规格：1400*700*760mm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基材：桌面采用优质三聚氰胺双饰面板，桌架采用优质高频焊管。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封边：截面使用PVC条机械封边。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五金件：采用优质品牌五金件。                                         涂饰：部件进入大型喷塑生产线时，表面经脱脂陶化液处理，烘干预热后进行环氧树脂电粉沫喷涂，涂层厚度实测值70-80um,经高温流平、固化等工序，使喷塑涂层耐侵蚀、耐冲击性能高于国家标准，涂层附着力达到2级。表面具有防有机溶剂侵蚀、防潮、防锈、防尘、防静电等功能。静电粉末采用优质静电粉末。</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张</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移动推柜</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规格：400*500*600mm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钢制三屉推柜</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教师椅</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1、面料：采用透气网布制成，座面用高回弹海绵制成，椅座上部分采用新料塑料架制成，结实耐用。 2、座面海绵：高回弹海绵，久座不变形，长久保持座感的舒适。 3、五星脚：标准电镀，承压500KG以上。</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把</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三、吊顶安装可升降集成系统—控制系统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智能系统控制平台</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本设备采用极简外观，美观大方，内部采用工业控制设计，功能强大，操作布局合理，方便操作。整机经过耐压、过载、温升及温湿度环境试验，保证使用安全。 1、整体尺寸≤420*910*178mm。 2、智能控制平台柜体采用不小于1.2mm厚度的钣金制成，表面经酸洗磷化，高温喷涂处理； 3、智能控制平台柜体为三段式设计，柜体表面仅一个急停按钮，位于表层中间段。 4、平台柜体上端为电气设备安装层，内敷设电气设备，外部设置侧开钣金柜门。柜体下部为控制层，内设实验室控制系统，外部为下翻90度的钣金柜门，内置凹槽可放置课本、粉笔、书写笔等教学工具，柜门厚度不小于20mm。 5、柜体电气设备安装层含PLC控制器及功能扩展模块，PLC专用电源、PLC保护模块、急停控制系统、工作指示灯、网络模块，故障检测系统、分组控制系统（悬臂升降控制、电源控制系统）。 6、内置精密温湿度传感装置，实时监控房间内的温度和湿度。</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智慧实验室控制系统</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1、规格：10.2英寸，分辨率 1024*600，屏幕显示尺寸不小于220*132mm。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2、采用电阻式触控屏，可湿手操作，杜绝误操作。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3、Linux QT操作平台，CPU：Cortex A8 600M Hz。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4、可集中对实验室进行控制，并可执行各分项控制； （1）电源控制：分组控制学生AC220V电源； （2）悬臂控制：可以实现单组控制，可集中控制，具有防撞检测功能。 （3）学生电源控制：控制任意单组或集中控制学生电源的开与关。控制学生电源的交、直流电压切换及电压值调节。给予学生端电压值，学生端仅能在此给予的电压值内调整电压。控制学生电源的锁定，锁定后学生端学生电源无法私自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★5、节能设置：平台10min内无操作自动息屏，息屏后电源指示灯正常点亮，轻触屏幕显示控制界面。</w:t>
            </w:r>
            <w:r>
              <w:rPr>
                <w:rFonts w:hint="eastAsia" w:ascii="宋体" w:hAnsi="宋体" w:eastAsia="宋体" w:cs="宋体"/>
                <w:color w:val="000000"/>
                <w:kern w:val="0"/>
                <w:sz w:val="21"/>
                <w:szCs w:val="21"/>
                <w:lang w:val="en-US" w:eastAsia="zh-CN" w:bidi="ar"/>
              </w:rPr>
              <w:t>（提供佐证材料）</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移动控制平台</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1、移动控制平台支持APP和网页在线登录操作两种控制方式。 2、网页在线登录控制支持安卓、Windows、IOS、Linux等多种操作系统。 3、移动控制平台能实现电源、照明、给排水、摇臂、排风系统的控制。 4、无互联网连接的情况下，可以采用內建局域网形式实现一定范围内的无线远程控制。 5、移动控制平台操作界面和顶装智能控制平台操作界面布局和功能完全一样，方便教师操作。 6、温湿度显示：连接控制柜检测环境中实时的温度、湿度并以数值的形式显示。</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四、吊顶安装可升降集成系统—电源系统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学生端分组控制系统</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本系统为单个学生端的控制核心，可以对学生端模块进行控制。监测实时数据实时反馈至控制面板。 规格： （1）控制器类型：采用工业级别PLC控制器，兼容FX2N； （2）信号输入端子接口：4路输入，NPN低电平有效，kf250-3.5mm弹簧式端子； （3）功能输出端子接口：5路输出，142V直角-5.08mm 5P接线端子； （4）高压端子接口：带盖栏栅式8.25mmPCB接线端子； （5）下载器：1路MD8下载器，支持FX编程口协议； 执行各分项控制： （1）电源控制：控制学生端AC220V电源； （2）悬臂控制：接受教师端控制实现悬臂上升、停止、下降； （3）安全防护功能：具备防撞功能，确保使用安全； （4）状态检测：检测电源、悬臂的实时状态，监测数据实时反馈至控制面板。 （5）故障信息：发生故障时智能化锁定故障所在位置，自动分析故障原因，故障数据实时反馈至控制面板，并显示故障提示。</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升降总成</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顶部集成供给系统采用电动吊装升降式，接收智能控制系统信号实现远程遥控，吊装式。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1、完全缩进高度(含电源)1000mm，完全伸出高度(含电源)1655mm。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2、模块化设计，每组模块间采用活接式连接，方便安装、检修。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3、升降臂材质：采用2mm厚的优质铝镁合金大型模具制作而成，内外臂皆为一体型材，增加强度，不得为小件型材拼凑，表面喷砂氧化原色处理。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4、外臂直径70mm，内臂直径62mm。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★5、升降总成内臂集成多根pvc阻燃材质伸缩通道，所有线缆置于伸缩通道内，有效杜绝线缆破损带来的触电风险。</w:t>
            </w:r>
            <w:r>
              <w:rPr>
                <w:rFonts w:hint="eastAsia" w:ascii="宋体" w:hAnsi="宋体" w:eastAsia="宋体" w:cs="宋体"/>
                <w:color w:val="000000"/>
                <w:kern w:val="0"/>
                <w:sz w:val="21"/>
                <w:szCs w:val="21"/>
                <w:lang w:val="en-US" w:eastAsia="zh-CN" w:bidi="ar"/>
              </w:rPr>
              <w:t>（提供佐证材料）</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学生控制终端</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1、终端模块盒箱体整体尺寸为200×140×125mm，材质为：高强度阻燃ABS材料，由模具注塑成型，美观耐用。 2、模块盒上设置6路220V五孔插座及1组学生电源。 3、220V电源：受教师总控制器控制 4、学生电源采用耐磨、耐腐蚀、耐高温的PC亮光薄膜面板，可以设置交、直流切换，电压调节，贴片元件生产技术，微电脑控制，电源输出精度高。接受教师端电压控制及锁定。 5、教师端给定学生端电源授权电压后，学生端仅可在该授权电压值内调节电压。 6、学生电源采用2.3英寸彩色液晶屏显示电源交直流电压、电流及其他显示信息。 7、交流电源电压为1V--24V/2A，分辩率为1V。直流电源调节范围为1.5～24V，分辨率0.1V,额定电流2.5A。 8、交直流电源具有过载保护智能检测功能。</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电路供电系统</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1、采用2.5mm2电线进行系统布线，模块化设计，每组模块间采用活接式连接，方便安装、检修。 2、另含485双绞屏蔽线和电缆桥架等电路铺设辅材。</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项</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系统安装辅件</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1、采用双U型架吊装方式，减少楼板承重，防止左右晃动，可进行上下、左右的平衡调节，实验功能板离地1.6m左右。主要辅件有：连接件、U型吊装挂件、安装连接板等。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★2、吊装支架/辅件的极限抗拉拔力，抗拉强度σb（MPa）检测结果≥280。</w:t>
            </w:r>
            <w:r>
              <w:rPr>
                <w:rFonts w:hint="eastAsia" w:ascii="宋体" w:hAnsi="宋体" w:eastAsia="宋体" w:cs="宋体"/>
                <w:color w:val="000000"/>
                <w:kern w:val="0"/>
                <w:sz w:val="21"/>
                <w:szCs w:val="21"/>
                <w:lang w:val="en-US" w:eastAsia="zh-CN" w:bidi="ar"/>
              </w:rPr>
              <w:t>（提供佐证材料）</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项</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系统安装调试</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1、吊顶式安装系统采用模块化结构设计，采用吊装安装方式； 2、系统结构调试； 3、系统控制调试； 4、供电系统调试；</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项</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五、照明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护眼照明灯</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LED教室灯应为一体式灯具，不接受组合式灯具；边框材料应采用银色铝型材；LED教室灯应采用格栅防眩光处理；格栅网面内侧应有防尘板；LED教室灯应实现背部透光，提高教室照明舒适度，上下出光比例向上12%向下88%；LED教室灯尺寸为：600*600*80mm。 2、LED教室灯驱动电源采用外置方案，便于维护。</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六、氛围装饰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学科窗帘</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1、窗帘采用双喷布喷绘印制，含窗帘卷管、下杆和拉珠。卷管采用铝合金加厚管，下杆采用PVC加厚扁杆。 2、尺寸可订制，在窗帘上印制相关学科内容介绍或印制学校Logo。</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平方</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学科展板</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1、规格：400×600mm, 2、透明亚克力材质，内置内容为UV打印制作。 3、含</w:t>
            </w:r>
            <w:r>
              <w:rPr>
                <w:rFonts w:hint="eastAsia" w:ascii="宋体" w:hAnsi="宋体" w:cs="宋体"/>
                <w:kern w:val="0"/>
                <w:sz w:val="21"/>
                <w:szCs w:val="21"/>
                <w:lang w:val="en-US" w:eastAsia="zh-CN" w:bidi="ar"/>
              </w:rPr>
              <w:t>物理</w:t>
            </w:r>
            <w:r>
              <w:rPr>
                <w:rFonts w:hint="eastAsia" w:ascii="宋体" w:hAnsi="宋体" w:eastAsia="宋体" w:cs="宋体"/>
                <w:kern w:val="0"/>
                <w:sz w:val="21"/>
                <w:szCs w:val="21"/>
                <w:lang w:val="en-US" w:eastAsia="zh-CN" w:bidi="ar"/>
              </w:rPr>
              <w:t>相关学科内容介绍等，集教学、观赏为一体。</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幅</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教室顶部环境</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sz w:val="21"/>
                <w:szCs w:val="21"/>
                <w:lang w:val="en-US"/>
              </w:rPr>
              <w:t>主体布局为铝方通材质。 （满足140平教室）</w:t>
            </w:r>
            <w:bookmarkStart w:id="689" w:name="_GoBack"/>
            <w:bookmarkEnd w:id="689"/>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室</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地面防静电施工</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环氧防静电自流平工艺及铺设优质地胶。如地面有塌陷处，需把地暖拆除，把土层夯实再重新铺设地暖，达到正常使用。（满足140平教室）</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七、物理传感器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数据采集器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kern w:val="0"/>
                <w:sz w:val="21"/>
                <w:szCs w:val="21"/>
                <w:lang w:val="en-US" w:eastAsia="zh-CN" w:bidi="ar"/>
              </w:rPr>
              <w:t>★包含数据采集和有线接口两部分，有线接口与数据采集采用SATA接口连接，以保证数据传输速率。</w:t>
            </w:r>
            <w:r>
              <w:rPr>
                <w:rFonts w:hint="eastAsia" w:ascii="宋体" w:hAnsi="宋体" w:eastAsia="宋体" w:cs="宋体"/>
                <w:color w:val="000000"/>
                <w:kern w:val="0"/>
                <w:sz w:val="21"/>
                <w:szCs w:val="21"/>
                <w:lang w:val="en-US" w:eastAsia="zh-CN" w:bidi="ar"/>
              </w:rPr>
              <w:t>（提供佐证材料）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kern w:val="0"/>
                <w:sz w:val="21"/>
                <w:szCs w:val="21"/>
                <w:lang w:val="en-US" w:eastAsia="zh-CN" w:bidi="ar"/>
              </w:rPr>
              <w:t>★1、外观结构要求：外观平整、清洁，造型美观、色彩协调；无划痕裂、无溶迹、缩迹等，无气泡、烧粉和夹生现象，边缘无毛刺、无变形、破边、凹凸不平等缺陷；无明显浇口和飞边；全透明塑料外壳；面板上标有名称、产品型号等标记，要求字迹清晰，标记醒目。</w:t>
            </w:r>
            <w:r>
              <w:rPr>
                <w:rFonts w:hint="eastAsia" w:ascii="宋体" w:hAnsi="宋体" w:eastAsia="宋体" w:cs="宋体"/>
                <w:color w:val="000000"/>
                <w:kern w:val="0"/>
                <w:sz w:val="21"/>
                <w:szCs w:val="21"/>
                <w:lang w:val="en-US" w:eastAsia="zh-CN" w:bidi="ar"/>
              </w:rPr>
              <w:t>（提供佐证材料）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有线/无线通讯方式转换功能：当数据采集器接插上有线接口时，可与传感器进行有线通讯，当数据采集器接插上无线接收口后，传感器可与无线发射模块插接，打开无线发射的电源开关，实现与数据采集器的无线通讯，无线通讯距离在空旷区域内应≥10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3、最高采集频率要求：数据采集器在有线或无线数据通讯方式下，每个数据通道的采集频率最高可达20kHz；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4、并行采集同步要求：数据采集器在有线数据通讯方式下，四路通道可以同时对信号进行数据采集；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5、数据通道测量精度要求：所有传感器可与数据采集器的任意通道进行通讯，传感器以有线/无线方式接入不同的通道时，其测量结果偏差应为±2个字；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6、电源要求：由计算机的USB接口供电，供电电压在5V±0.5V时，应能正常工作，在四只传感器同时测量时，消耗功率不大于5W。</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台</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无线接口</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采用无线方式接入四种传感器并支持四通道并行采集，全数字通道，与数据采集器接插使用。在此种工作状态下，传感器应配合无线发射模块使用，为方便区分、使用，设备外壳印名称、型号。</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传感器无线发射模块</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通过与传感器组合使之具备与采集器的无线通讯功能，BT自锁接头，支持热插拔连接，可充电电池供电；，为方便区分、使用，设备外壳印名称、型号。</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传感器数据显示模块（PC无线传输版）</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数据显示模块连接传感器可以提供以下显示功能：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1、数据显示模块由内置锂电池供电，自带≥1.7寸彩色显示屏，可以连接传感器并显示传感器采集到的数据。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2、数据显示模块可以通过无线的方式将数据传送至平板或者手机进行实时数据显示或通过表格、图线的方式进行数据分析及存储，并且可以通过有线的方式将内部存储的数据上传至PC端；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3、数据显示模块可以通过自带显示屏显示，蓝牙ID和ID对应的二维码；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屏幕内置二维码，按动按钮屏幕可显示二维码，通过扫描二维码可与手机/平板建立连接，传感器测量数据在移动终端中实时显示，数据呈现方式有数字、曲线、计算表格等，传感器数据显示可通过数据线与计算机连接，将存储的实验数据导入至计算机，并且可以将数据保存为Excel格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w:t>
            </w:r>
            <w:r>
              <w:rPr>
                <w:rFonts w:hint="eastAsia" w:ascii="宋体" w:hAnsi="宋体" w:eastAsia="宋体" w:cs="宋体"/>
                <w:color w:val="000000"/>
                <w:kern w:val="0"/>
                <w:sz w:val="21"/>
                <w:szCs w:val="21"/>
                <w:lang w:val="en-US" w:eastAsia="zh-CN" w:bidi="ar"/>
              </w:rPr>
              <w:t>（提供1-3项参数佐证材料）</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力传感器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1、测量范围：-50N～50N，分度：0.01N；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2、力传感器测拉力为正值，压力为负值；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3、数据传输采用具有方向性和自锁功能的BT接口方式，可保证数据传输稳定，支持热插拔；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4、传感器外壳预留开孔，可用于固定传感器。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5、可通过传感器自带的硬件调零按钮实现数据调零功能；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6、支持有线、无线连接至电脑或者平板电脑设备进行数据显示，支持独立显示数据；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7、可应用于Windows、Android、i0S平台。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w:t>
            </w:r>
            <w:r>
              <w:rPr>
                <w:rFonts w:hint="eastAsia" w:ascii="宋体" w:hAnsi="宋体" w:eastAsia="宋体" w:cs="宋体"/>
                <w:color w:val="000000"/>
                <w:kern w:val="0"/>
                <w:sz w:val="21"/>
                <w:szCs w:val="21"/>
                <w:lang w:val="en-US" w:eastAsia="zh-CN" w:bidi="ar"/>
              </w:rPr>
              <w:t>（提供2-7项参数佐证材料）</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微力传感器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1、测量范围：-2N～2N，分度：0.001N；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2、可用于测拉力（显示正值）和压力（显示负值）；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7、传感器外壳带螺丝孔，可用于固定传感器。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温度传感器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1、测量范围：-50℃～200℃，分度：0.1℃；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2、传感器电路分体式结构，采用独立温度测量端、用于测量待测物温度；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3、数据传输采用具有方向性和自锁功能的BT接口方式，可保证数据传输稳定，支持热插拔；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4、传感器外壳预留开孔，可用于固定传感器；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5、支持有线、无线连接至电脑或者平板电脑设备进行数据显示，支持独立显示数据；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6、可应用于Windows、Android、i0S平台。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w:t>
            </w:r>
            <w:r>
              <w:rPr>
                <w:rFonts w:hint="eastAsia" w:ascii="宋体" w:hAnsi="宋体" w:eastAsia="宋体" w:cs="宋体"/>
                <w:color w:val="000000"/>
                <w:kern w:val="0"/>
                <w:sz w:val="21"/>
                <w:szCs w:val="21"/>
                <w:lang w:val="en-US" w:eastAsia="zh-CN" w:bidi="ar"/>
              </w:rPr>
              <w:t>（提供2-6项参数佐证材料）</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声波/声级传感器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1、声波频率测量范围：20Hz～20kHz，声级测量范围：20 dB ～130dB，分度：0.1dB；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2、可测量环境中声音的声级大小和波形；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3、传感器可通过传感器上按钮切换其测量的声音的表现形式，将声波/声级传感器接入电脑时，电脑显示其测量的声音波形，按下切换按钮后，电脑显示其测量的声音的声级；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4、数据传输采用具有方向性和自锁功能的BT接口方式，可保证数据传输稳定，支持热插拔；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5、传感器外壳预留开孔，可用于固定传感器。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6、支持有线、无线连接至电脑或者平板电脑设备进行数据显示；支持独立显示数据；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7、可应用于Windows、 Android、 i0s平台。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w:t>
            </w:r>
            <w:r>
              <w:rPr>
                <w:rFonts w:hint="eastAsia" w:ascii="宋体" w:hAnsi="宋体" w:eastAsia="宋体" w:cs="宋体"/>
                <w:color w:val="000000"/>
                <w:kern w:val="0"/>
                <w:sz w:val="21"/>
                <w:szCs w:val="21"/>
                <w:lang w:val="en-US" w:eastAsia="zh-CN" w:bidi="ar"/>
              </w:rPr>
              <w:t>（提供2-6项参数佐证材料）</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光电门传感器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1、分度：2μS；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2、用于测量挡光片（U型、I型）的挡光时间；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7、传感器外壳带螺丝孔，可用于固定传感器。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微电流传感器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1、测量范围：-5μA～5μA，分度：0.01μA；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2、用于测量电路中微小电流；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7、传感器外壳带螺丝孔，可用于固定传感器。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多量程电流传感器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1、测量范围1：-3A~+3A，分度：0.01A；测量范围2：-300mA~+300mA，分度：0.1mA；测量范围3：-30mA ~+30mA，分度：0.01 mA；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2、自带硬件功能按钮，单击切换量程，长安传感器调零。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7、传感器外壳带螺丝孔，可用于固定传感器。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多量程电压传感器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1、测量范围1：-20V～20V；分度：0.01V ，测量范围2：-2V～2V；分度：0.001V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测量范围3：-0.2V～0.2V；分度：0.1mV；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2、自带硬件功能按钮，单击切换量程，长安传感器调零。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7、传感器外壳带螺丝孔，可用于固定传感器。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磁感应强度传感器A</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1、测量范围：-15mT～15 mT，分度≤0.01 mT；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2、传感器探头长度不小于10cm，标有刻度方便测量螺线管不同位置磁感应强度。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7、传感器外壳带螺丝孔，可用于固定传感器。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分体式位移传感器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1、测量范围：0cm ～200cm，分度：1mm；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2、由发射器和接收器构成。发射器由一节7号电池供电，易与现有实验装置（运动小车、弹簧振子等）组合。无测量盲区；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7、传感器外壳带螺丝孔，可用于固定传感器。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加速度传感器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1、测量范围-50m/s2～50m/s2；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2、测量X、Y、Z三个正交方向的加速度值，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3、支持有线通讯、无线通讯和屏幕数据显示三种工作方式；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4、采用BT通讯接口，具有方向性和自锁功能，支持热插拔；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5、可应用于Windows、AndroidiOS平台；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6、支持硬件调零和软件调零；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7、传感器外壳带螺丝孔，可用于固定传感器。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压强传感器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1、测量范围：0 kPa～700 kPa；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2、分度：0.1 kPa；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3、自带传感器固定卡槽和螺口，便于和配套实验器材固定；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4、模块化设计，可与有线接口、无线发射模块、数据显示模块连接，实现有线通讯、无线通讯、独立彩屏数据显示三种工作模式；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5、采用BT接口，自带锁扣，有效防止脱落。同时具有单向连接属性，避免因连接失误导致的数据传输失败。支持热插拔，使用寿命：不少于10000次插拔；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6、支持系统：windows、Android、iOS系统。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配件：20ml注射器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只</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多用力学轨道系统V2.0</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光电计时测距实验器（π系统）</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含1.2m专用铝合金轨道1条、光电计时测距装置2台、无线接收器2套，USB Hub一套、弹簧2条、固定柱2只、5克配重块4只、50克配重块2块、100克配重块2块、沙桶1只、滑轮1套、磁碰座架1只、轨道倾角调节器1套、T型支撑架1只、L型挂架1只、I型支架1只、策动源1套、紧固件一宗、充电器1套。无线接收器直接与计算机USB口通讯，通过无线通讯的方式接收光电计时测距装置的信号，并在专用软件上显示出测量数据或图线。</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力的分解合成实验器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由带刻度精密力盘、挂臂、固定柱、滚轴、标准方型物块组成，与两只力传感器配合使用，完成力的分解合成实验</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智能力盘V2.0</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两只一体式力/倾角传感器（测量范围：-20N～20N/-180°～180°；分度：0.01N/0.1°）、精密力盘、挂臂、固定装置组成，与铁架台、数据采集器配合使用。可同时测量两个方向的分力大小与角度值，完成动态条件下力的分解实验</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机械能守恒实验器Ⅰ</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含主板、副板、圆柱型摆、固定臂、测平器、螺栓等。能够完成动能势能转化实验（定性定量）</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机械能守恒实验器Ⅱ</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1.由底座、刻度板（含释放与收纳装置、挡光片）、立柱、光电门传感器、传感器电路、摆锤、摆杆、固定螺栓和 USB 数据线、配套专用软件组成。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2.设备可直接与计算机连接，无需数据采集器，通过专用配套软件实现数据传输和分析；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3.抛体内置光电门传感器，通过摆锤的一次运动，可获得摆锤在六个不同高度位置的速度数据；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4.挡光片固定位0-15cm可调，每0.5cm一个固定位，共30个；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5.摆锤速度采集非角速度或转速换算而来，为通过光电门传感器得到瞬时速度，并由基本公式S/T=V得出，重力势能通过设定零势能点，由刻度板度数高度h，并由基本公式Ep=mgh得出，符合中学生学习和认知规律；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6.设备使用USB通讯线直接接入计算机进行实验；拥有独立的专用软件，方便教师课堂演示实验使用；通过数据计算可以计算出摆球的动能、势能和机械能，并同时描绘出动能、势能和机械能随摆球下落高度的图线，得到随着摆球下落高度的降低，动能增大，势能减小，机械能不变的实验结论，完成对机械能守恒定律的定量探究；</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平抛运动实验器（V8.0）</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由座架、支架、平抛轨道、光电门支架、内置式触碰传感器、小球、标尺游标、磁性回收器等组成。与光电门传感器配合，可测量平抛运动小球的初速度、运行时间与水平距离</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无线向心力实验器（电机版）</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1、由三角稳固底座、金属支架、旋臂、配重杆、平衡杆、挡光臂、旋臂座、砝码、连接装置、紧固件、无线接收器、电机控制系统构成。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2、旋臂内置光电门传感器测量系统、力传感器测量系统及无线发射电路，可自由旋转。                                                                                                                  3、无线接收器与计算机USB接口通讯，无需另配数据采集器与传感器测量系统，内置光电门传感器测量系统可以精确记录每次挡光时间，并通过软件计算出旋臂的角速度；力传感器同步测量向心力的大小。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4、电机驱动，再带调速旋钮；电机转动速度（0~30挡位）双向调速，轻按旋钮停止转动。                                                                                                                                                  5、可通过控制变量法，可描绘向心力与质量、角速度、运动半径的关系曲线，探究向心力与质量、角速度、角速度、运动半径的关系。</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EXB系列电学实验板V2.0</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共23块，设有标准接插孔及开关；包含半波整流与滤波，全波整流与滤波，复杂电路分析，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几十例中学电学实验</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电阻定律实验器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由直径不同的铁、铁铬、镍铬三种金属丝组成，配合电流、电压传感器使用，探究导体的电阻与长度、截面积的关系。</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高灵敏度线圈</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高灵敏度、无源、塑壳封装、带屏蔽，与微电流传感器配合，可测得切割地磁场产生的感生电流，也可测得不同电器的电磁辐射强度</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摩擦力实验器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由轨道、摩擦台底座、多种摩擦块、电机组成，与力传感器配合使用，可实现摩擦物体做匀速直线运动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安培力实验器V2.0</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底座、磁铁组、标有角度的转盘、矩形线框、挂钩、支架组成，配合电流传感器或多量程电流传感器和微力传感器使用，研究安培力与导线长度、供电电流以及电流方向与磁场夹角的关系。矩形线框上线圈为6种匝数，50、100、150、200、250、300匝，可研究不同匝数下的安培力大小。</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法拉第电磁感应实验器Ⅰ</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1、金属底座上安装竖直轨道和长方形扁平磁铁，磁场水平指向，通过云台改变磁铁与线圈之间的间距实现对感应电动势E与磁感应强度B的关系研究；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2、多匝数的活动线圈可在竖直轨道中从不同高度自由下落，通过改变线圈下落高度实现对感应电动势E与切割感线速度V的关系研究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3、线圈有多个抽头，更换不同抽头，从而改变线圈匝数实现对感应电动势E与导线长度L的关系研究；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4、线圈通过柔软的细导线连接内置在底座内的电压传感器，挡光片固定在线圈上端，实验器底座上安装有光电门、电压传感器及磁场管与内置在底座内的采集器连接，并通过USB接口实现与计算机的实时通讯；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法拉第电磁感应实验器Ⅱ</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1、直接与计算机USB口通讯，配套专用软件。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2、底座内置电压传感器，底座能够固定I型支架。主线圈匝数：三线200匝±2匝、副线圈匝数：单线200匝±2匝</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3、与智能电源、磁感应强度传感器配合使用，内置电压传感器。探究感生电动势与磁感强度的变化率关系</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智能电源V2.0</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分为手动模式和智能模式输出。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手动模式输出：直流输出：1.5V~10V连续可调。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智能模式输出：可分别调节单周期的梯形波、单周期三角波及多周期三角波三种模式输出，波形上升与下降斜率分别可调。是法拉第电磁感应定律实验器的必备模块，二者组合使用，可完成研究磁通量的变化率与感生电动势的关系实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自带彩色显示屏，显示输出电压的变化图像，配套专用导线。</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魔板（电磁定位系统）</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1、通过USB直接与计算机实现通讯。配套专用软件进行数据分析。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2、设备由由支架、电磁定位板、纵横向保护槽、信号源、弹射器、附件组成。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3、定位范围：不小于578mm×330mm；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4、最高采样频率：200Hz/s；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5、定位精度：≤1mm；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5、信号源直径：≤3cm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6、通过实时定位，检测跟踪信号源在定位板上的位置，研究物体在二维平面内运动规律。标配实验配件为三速弹射器，用于抛射信号源，可完成平抛运动/斜抛运动的相关实验研究；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为防止虚假响应中标后两日内提供实物进行产品演示，演示内容如下：①通过实验描绘出物体做平抛和斜抛运动的运动轨迹，②弹射装置可以通过换挡以三种不同的速度抛出物体，探究不同抛出速度与物体轨迹的关系，③弹射装置抛出物体角度 0-90 度可任意调节，从而探究抛出角度与物体轨迹的关系，④为保证实验精确度，物理采样频率不应低于 100HZ，测量精度不低于 0.001m，采用超声红外原理测量无法保证采样频率和测量精度达到要求故该测量方式无效，⑤对物体运动进行数据分析，得到每一轨迹点的坐标值，坐标值可导入/导出到 EXCEL中，⑥对运动轨迹进行分解得到水平和竖直方向分运动，⑦便于实验操作，实验器可通过USB 线直接接入计算机，实验器研究对象直径不应大于3cm。</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自由落体运动实验器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（电磁定位系统选配附件）</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实验器由释放装置总成（含翻盖牌、释放装置、释放按钮、信号源夹）、接收筐、接收筐固定装置及紧固件构成。与电磁定位板、信号源配合使用，可进行“自由落体运动”实验，系统自动记录信号源的运动轨迹，软件自动绘制“s-t图线”、“v-t图线”，并根据实验数据计算出加速度。</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运动的合成实验器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（电磁定位系统选配附件）</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实验器由导轨总成（含水平导轨、竖直导轨、导轨支架1、导轨支架2、刻度板、细线固定器、线扣、滑轮、信号源卡座、摆锤线（棉线）、拉环、手拧螺栓、滚花螺母、塑帽螺栓、滑块螺母构成。与电磁定位板、信号源配合使用，可进行“运动的合成”实验，系统自动记录信号源的运动轨迹，并自动描绘出在水平方向和竖直方向上运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自动控制开关</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与其它传感器配合，通过软件设置阈值，触发自动控制开关的闭合或断开，控制与之连接的执行器启动或停止</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静电计</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1、测量范围：-100nC～100 nC；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2、分度：1 nC；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3、自带液晶显示屏，可独立使用并显示测量结果，也可通过无线传输方式与计算机进行通讯。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匀强磁场螺线管</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可接学生电源，塑壳封装，产生匀强磁场</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查理定律实验器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由试管、快速温度探头、压强传感器连接器组成，结合温度与压强传感器，探究气体压强与温度的关系</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摩擦做功实验器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由铜管、支架、摩擦绳组成，与温度传感器配合使用，可完成摩擦做功使温度升高实验</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压缩气体做功实验器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由专用底座、注射器和快速响应温度探头组成，研究气体压缩或膨胀时，温度的变化</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远红外加热器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220V交流供电，功率80W；圆筒型远红外辐射加热炉芯，便于对加热体均匀加热。可完成查理定律、晶体熔解和凝固、比热容等高精度热学定量实验</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光学实验系统</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由长度1.2米铝合金轨道、可调光源座、光缝座、光屏座、相对光照度分布传感器、单缝、双缝、USB数据线构成。可完成高中物理中光的干涉、衍射实验。</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等势线描绘仪</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由智能定位板、导电纸（耗材）、测量笔、负极连线、正电极柱、负电极柱、电极定位助手、强磁铁、条形电极、环形电极、USB Type-C数据线构成。电压测量范围：-20V~+20V；分度：0.01V。与等势线描绘专用软件配套使用，可完成等量异种点电荷电场、匀强电场、点电荷电场中的等势线描绘等实验。</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Mini牛顿管实验器</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由牛顿管（含透明管、微型无线压强传感器、抽气阀门）、抽气装置、观测物体（金属、泡沫或羽毛）等构成。可以观察物体在空气中、近似真空状态下以及其他压强状态情况的下落过程。用于完成探究自由落体实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通过安装App软件的移动终端，实时显示牛顿管内的压强及压强变化。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由牛顿管（含透明管、微型无线压强传感器、抽气阀门）、抽气装置、观测物体（金属、泡沫或羽毛）等构成。可以观察物体在空气中、近似真空状态下以及其他压强状态情况的下落过程。用于完成探究自由落体实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通过安装App软件的移动终端，实时显示牛顿管内的压强及压强变化。</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DISlabV8.0全国版软件包</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1、为数字化实验分析软件软件，用于数据收集和结果分析j；</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2、包含教材通用软件、物理教材专用软件、化学专用软件s、生物专用软件、传感器校准软件与数据导入软件六个部分p；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2.1、通用软件：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可实现传感器数据的自动识别及控制：传感器接入后自动识别测量种类、测量范围、分度、单位、通道序号等；可改变传感器的显示方式：数字表、模拟表、示波。可根据实验调整传感器的采样频率、开始与暂停、字体颜色、字号大小、调零、示波图线的移动及大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还支持打印机直接引用（无需退出实验软件），进行结果打印。实验结果可通过Excel形式进行保存。也可将保存的数据多次调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（4）实验录制：可同时将实验操作过程和软件的实验界面进行同屏录制，实现了实验现象和数据的对应。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2.2、物理专用软件：界面简洁、风格独特、一键OK的特点。涵盖了人教、粤教、鲁科等教材的重点实验。明确了实验题目，使用时直接接入传感器即可。大大的方便了课堂教学。实验界面与多版本教材高度一致，完全符合现行教材。用户可直接根据教材进行实验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2.3、化学专用软件：涵盖了初初中重点实验，起到温故知新的作用。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2.4、生物专用软件：涵盖了初初中重点实验，起到温故知新的作用。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2.5、传感器校准软件：根据国际计量公用应用规范，针对生物、化学传感器进行校准，以减少误差，提高精度。应用于PH、溶解氧、色度、浊度、氧化还原等传感器。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2.6、数据导入软件：和数据显示模块配合使用，将数据显示模块的数据导入电脑进行长期保存和数据处理。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3、应用平台：支持windows、Android、iOS系统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4、为保证实验软件和所供传感器的高度匹配和后期的升级服务。</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附件</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1、含USB通讯线1条、转接器4只、传感器线4条；两端为BT插头，插口具有方向性和自锁功能插接方便、配合严密、方便教学；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2、彩色印刷版实验指南书，有详细实验案例介绍（实验器材、实验装置图、实验操作步骤等）,配有二维码，通过扫描二维码可观看实验操作视频。</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磁力固定座A</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三角型底座配三个强力磁铁，铝合金支柱，适用于固定较大型实验器材。</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传感器收纳箱</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尺寸：511*346*180（mm），由铝合金主架、铝塑板面构成，内设隔断海棉内衬</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9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八、教室改造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墙体拆除</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两面墙体拆除并修复墙面连接处，墙面尺寸分别为9050*3656mm、3860*3656mm。拆除后的建筑垃圾自行清理出学校。</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项</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配电箱迁移</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经改造后原墙上的配电箱要迁移到别处且保证可以正常使用，无安全隐患。</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项</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电路改造</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满足在原有的基础上改造成方案教室正常使用的条件。</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项</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sz w:val="21"/>
                <w:szCs w:val="21"/>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实验台搬运及组装</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原教室实验台拆除，按甲方要求搬运至指定房间并重新组装，需改线路自行解决，保证实验台及水、电、风功能满足正常使用。</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项</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r>
    </w:tbl>
    <w:p>
      <w:pPr>
        <w:pStyle w:val="41"/>
        <w:keepNext w:val="0"/>
        <w:keepLines w:val="0"/>
        <w:widowControl w:val="0"/>
        <w:suppressLineNumbers w:val="0"/>
        <w:spacing w:before="0" w:beforeAutospacing="0" w:after="0" w:afterAutospacing="0" w:line="360" w:lineRule="auto"/>
        <w:ind w:left="0" w:right="0" w:firstLine="0"/>
        <w:jc w:val="both"/>
        <w:rPr>
          <w:lang w:val="en-US"/>
        </w:rPr>
      </w:pPr>
    </w:p>
    <w:p>
      <w:pPr>
        <w:pStyle w:val="41"/>
        <w:keepNext w:val="0"/>
        <w:keepLines w:val="0"/>
        <w:widowControl w:val="0"/>
        <w:suppressLineNumbers w:val="0"/>
        <w:spacing w:before="0" w:beforeAutospacing="0" w:after="0" w:afterAutospacing="0" w:line="360" w:lineRule="auto"/>
        <w:ind w:left="0" w:right="0" w:firstLine="482" w:firstLineChars="200"/>
        <w:jc w:val="both"/>
        <w:rPr>
          <w:rFonts w:hint="default" w:eastAsia="宋体"/>
          <w:b/>
          <w:bCs/>
          <w:color w:val="FF0000"/>
          <w:lang w:val="en-US" w:eastAsia="zh-CN"/>
        </w:rPr>
      </w:pPr>
      <w:r>
        <w:rPr>
          <w:rFonts w:hint="eastAsia"/>
          <w:b/>
          <w:bCs/>
          <w:color w:val="FF0000"/>
          <w:lang w:val="en-US" w:eastAsia="zh-CN"/>
        </w:rPr>
        <w:t>理、化学科教室需将原有设备、水电迁移至甲方指定地点，并对设备、水电进行安装、调试直至所有功能正常使用。其中所产生的一切费用均由供应商承担。</w:t>
      </w:r>
    </w:p>
    <w:p>
      <w:pPr>
        <w:keepNext w:val="0"/>
        <w:keepLines w:val="0"/>
        <w:widowControl/>
        <w:suppressLineNumbers w:val="0"/>
        <w:spacing w:before="0" w:beforeAutospacing="0" w:after="0" w:afterAutospacing="0"/>
        <w:ind w:left="0" w:right="0" w:firstLine="482" w:firstLineChars="200"/>
        <w:jc w:val="left"/>
        <w:textAlignment w:val="center"/>
        <w:rPr>
          <w:rFonts w:hint="eastAsia" w:ascii="宋体" w:hAnsi="Times New Roman" w:eastAsia="宋体" w:cs="宋体"/>
          <w:b/>
          <w:bCs/>
          <w:color w:val="FF0000"/>
          <w:kern w:val="0"/>
          <w:sz w:val="24"/>
          <w:szCs w:val="24"/>
          <w:lang w:val="en-US" w:bidi="ar"/>
        </w:rPr>
      </w:pPr>
      <w:r>
        <w:rPr>
          <w:rFonts w:hint="eastAsia" w:ascii="宋体" w:hAnsi="宋体" w:eastAsia="宋体" w:cs="宋体"/>
          <w:b/>
          <w:bCs/>
          <w:color w:val="FF0000"/>
          <w:kern w:val="0"/>
          <w:sz w:val="24"/>
          <w:szCs w:val="24"/>
          <w:lang w:val="en-US" w:eastAsia="zh-CN" w:bidi="ar"/>
        </w:rPr>
        <w:t>注：上述报价含税运、现场安装培训，质保2年</w:t>
      </w:r>
    </w:p>
    <w:p>
      <w:pPr>
        <w:autoSpaceDE w:val="0"/>
        <w:autoSpaceDN w:val="0"/>
        <w:spacing w:line="360" w:lineRule="auto"/>
        <w:ind w:firstLine="480" w:firstLineChars="200"/>
        <w:rPr>
          <w:rFonts w:hint="eastAsia" w:ascii="宋体" w:hAnsi="Times New Roman" w:eastAsia="宋体" w:cs="Times New Roman"/>
          <w:bCs/>
          <w:sz w:val="24"/>
        </w:rPr>
      </w:pPr>
    </w:p>
    <w:p>
      <w:pPr>
        <w:autoSpaceDE w:val="0"/>
        <w:autoSpaceDN w:val="0"/>
        <w:spacing w:line="360" w:lineRule="auto"/>
        <w:ind w:firstLine="480" w:firstLineChars="200"/>
        <w:rPr>
          <w:rFonts w:hint="eastAsia" w:ascii="宋体" w:hAnsi="Times New Roman" w:eastAsia="宋体" w:cs="Times New Roman"/>
          <w:bCs/>
          <w:sz w:val="24"/>
        </w:rPr>
      </w:pPr>
    </w:p>
    <w:p>
      <w:pPr>
        <w:autoSpaceDE w:val="0"/>
        <w:autoSpaceDN w:val="0"/>
        <w:spacing w:line="360" w:lineRule="auto"/>
        <w:ind w:firstLine="480" w:firstLineChars="200"/>
        <w:jc w:val="center"/>
        <w:rPr>
          <w:rFonts w:hint="eastAsia" w:ascii="宋体" w:hAnsi="宋体" w:cs="宋体"/>
          <w:b/>
          <w:sz w:val="36"/>
          <w:szCs w:val="36"/>
        </w:rPr>
      </w:pPr>
      <w:r>
        <w:rPr>
          <w:rFonts w:hint="eastAsia" w:ascii="宋体" w:hAnsi="Times New Roman" w:eastAsia="宋体" w:cs="Times New Roman"/>
          <w:bCs/>
          <w:sz w:val="24"/>
        </w:rPr>
        <w:br w:type="page"/>
      </w:r>
      <w:bookmarkStart w:id="592" w:name="_Toc97371946"/>
      <w:r>
        <w:rPr>
          <w:rFonts w:hint="eastAsia" w:ascii="宋体" w:hAnsi="宋体" w:cs="宋体"/>
          <w:b/>
          <w:sz w:val="36"/>
          <w:szCs w:val="36"/>
        </w:rPr>
        <w:t>第五章   合同草案条款</w:t>
      </w:r>
      <w:bookmarkEnd w:id="592"/>
    </w:p>
    <w:p>
      <w:pPr>
        <w:spacing w:line="360" w:lineRule="auto"/>
        <w:jc w:val="center"/>
        <w:rPr>
          <w:rFonts w:hint="eastAsia" w:ascii="宋体" w:hAnsi="Calibri"/>
          <w:b/>
          <w:sz w:val="32"/>
          <w:szCs w:val="32"/>
        </w:rPr>
      </w:pPr>
      <w:r>
        <w:rPr>
          <w:rFonts w:hint="eastAsia" w:ascii="宋体" w:hAnsi="宋体"/>
          <w:b/>
          <w:sz w:val="28"/>
          <w:szCs w:val="28"/>
        </w:rPr>
        <w:t>合同一般条款</w:t>
      </w:r>
    </w:p>
    <w:p>
      <w:pPr>
        <w:rPr>
          <w:rFonts w:hint="eastAsia" w:ascii="宋体" w:hAnsi="Calibri"/>
          <w:sz w:val="24"/>
          <w:u w:val="single"/>
        </w:rPr>
      </w:pPr>
    </w:p>
    <w:p>
      <w:pPr>
        <w:spacing w:line="360" w:lineRule="auto"/>
        <w:ind w:firstLine="720" w:firstLineChars="300"/>
        <w:rPr>
          <w:rFonts w:hint="eastAsia" w:ascii="宋体" w:hAnsi="Calibri"/>
          <w:sz w:val="24"/>
        </w:rPr>
      </w:pPr>
      <w:r>
        <w:rPr>
          <w:rFonts w:hint="eastAsia" w:ascii="宋体" w:hAnsi="Calibri"/>
          <w:sz w:val="24"/>
          <w:u w:val="single"/>
          <w:lang w:eastAsia="zh-CN"/>
        </w:rPr>
        <w:t>阜康市第一中学理、化学科教室设备购置项目</w:t>
      </w:r>
      <w:r>
        <w:rPr>
          <w:rFonts w:hint="eastAsia" w:ascii="宋体" w:hAnsi="Calibri"/>
          <w:sz w:val="24"/>
        </w:rPr>
        <w:t>购销合同</w:t>
      </w:r>
    </w:p>
    <w:p>
      <w:pPr>
        <w:spacing w:line="360" w:lineRule="auto"/>
        <w:ind w:firstLine="480" w:firstLineChars="200"/>
        <w:rPr>
          <w:rFonts w:hint="eastAsia" w:ascii="宋体" w:hAnsi="Calibri"/>
          <w:sz w:val="24"/>
        </w:rPr>
      </w:pPr>
      <w:r>
        <w:rPr>
          <w:rFonts w:hint="eastAsia" w:ascii="宋体" w:hAnsi="Calibri"/>
          <w:sz w:val="24"/>
        </w:rPr>
        <w:t>根据“</w:t>
      </w:r>
      <w:r>
        <w:rPr>
          <w:rFonts w:hint="eastAsia" w:ascii="宋体" w:hAnsi="宋体"/>
          <w:b/>
          <w:sz w:val="24"/>
          <w:lang w:eastAsia="zh-CN"/>
        </w:rPr>
        <w:t>阜康市第一中学理、化学科教室设备购置项目</w:t>
      </w:r>
      <w:r>
        <w:rPr>
          <w:rFonts w:hint="eastAsia" w:ascii="宋体" w:hAnsi="宋体"/>
          <w:b/>
          <w:sz w:val="24"/>
        </w:rPr>
        <w:t>”</w:t>
      </w:r>
      <w:r>
        <w:rPr>
          <w:rFonts w:hint="eastAsia" w:ascii="宋体" w:hAnsi="Calibri"/>
          <w:sz w:val="24"/>
        </w:rPr>
        <w:t>【磋商文件编号：</w:t>
      </w:r>
      <w:r>
        <w:rPr>
          <w:rFonts w:hint="eastAsia" w:ascii="宋体" w:hAnsi="Calibri"/>
          <w:sz w:val="24"/>
          <w:szCs w:val="22"/>
          <w:lang w:val="en-US" w:eastAsia="zh-CN"/>
        </w:rPr>
        <w:t>24-RTC061</w:t>
      </w:r>
      <w:r>
        <w:rPr>
          <w:rFonts w:hint="eastAsia" w:ascii="宋体" w:hAnsi="Calibri"/>
          <w:sz w:val="24"/>
        </w:rPr>
        <w:t>】的成交结果，</w:t>
      </w:r>
      <w:r>
        <w:rPr>
          <w:rFonts w:hint="eastAsia" w:ascii="宋体" w:hAnsi="Calibri"/>
          <w:sz w:val="24"/>
          <w:u w:val="single"/>
        </w:rPr>
        <w:t xml:space="preserve">         （以下简称需方）</w:t>
      </w:r>
      <w:r>
        <w:rPr>
          <w:rFonts w:hint="eastAsia" w:ascii="宋体" w:hAnsi="Calibri"/>
          <w:sz w:val="24"/>
        </w:rPr>
        <w:t>与</w:t>
      </w:r>
      <w:r>
        <w:rPr>
          <w:rFonts w:hint="eastAsia" w:ascii="宋体" w:hAnsi="Calibri"/>
          <w:sz w:val="24"/>
          <w:u w:val="single"/>
        </w:rPr>
        <w:t xml:space="preserve">         （以下简称供方）</w:t>
      </w:r>
      <w:r>
        <w:rPr>
          <w:rFonts w:hint="eastAsia" w:ascii="宋体" w:hAnsi="Calibri"/>
          <w:sz w:val="24"/>
        </w:rPr>
        <w:t>签订本合同。</w:t>
      </w:r>
    </w:p>
    <w:p>
      <w:pPr>
        <w:numPr>
          <w:ilvl w:val="0"/>
          <w:numId w:val="14"/>
        </w:numPr>
        <w:spacing w:line="360" w:lineRule="auto"/>
        <w:ind w:firstLine="480" w:firstLineChars="200"/>
        <w:rPr>
          <w:rFonts w:hint="eastAsia" w:ascii="宋体" w:hAnsi="Calibri"/>
          <w:sz w:val="24"/>
        </w:rPr>
      </w:pPr>
      <w:r>
        <w:rPr>
          <w:rFonts w:hint="eastAsia" w:ascii="宋体" w:hAnsi="Calibri"/>
          <w:sz w:val="24"/>
        </w:rPr>
        <w:t>合同编号：</w:t>
      </w:r>
    </w:p>
    <w:p>
      <w:pPr>
        <w:spacing w:line="360" w:lineRule="auto"/>
        <w:ind w:firstLine="480" w:firstLineChars="200"/>
        <w:rPr>
          <w:rFonts w:hint="eastAsia" w:ascii="宋体" w:hAnsi="Calibri"/>
          <w:sz w:val="24"/>
        </w:rPr>
      </w:pPr>
      <w:r>
        <w:rPr>
          <w:rFonts w:hint="eastAsia" w:ascii="宋体" w:hAnsi="Calibri"/>
          <w:sz w:val="24"/>
        </w:rPr>
        <w:t>二、签订地点：</w:t>
      </w:r>
    </w:p>
    <w:p>
      <w:pPr>
        <w:spacing w:line="360" w:lineRule="auto"/>
        <w:ind w:firstLine="480" w:firstLineChars="200"/>
        <w:rPr>
          <w:rFonts w:hint="eastAsia" w:ascii="宋体" w:hAnsi="Calibri"/>
          <w:sz w:val="24"/>
        </w:rPr>
      </w:pPr>
      <w:r>
        <w:rPr>
          <w:rFonts w:hint="eastAsia" w:ascii="宋体" w:hAnsi="Calibri"/>
          <w:sz w:val="24"/>
        </w:rPr>
        <w:t>三、时间：  年  月  日</w:t>
      </w:r>
    </w:p>
    <w:p>
      <w:pPr>
        <w:spacing w:line="360" w:lineRule="auto"/>
        <w:ind w:firstLine="480" w:firstLineChars="200"/>
        <w:rPr>
          <w:rFonts w:hint="eastAsia" w:ascii="宋体" w:hAnsi="Calibri"/>
          <w:sz w:val="24"/>
        </w:rPr>
      </w:pPr>
      <w:r>
        <w:rPr>
          <w:rFonts w:hint="eastAsia" w:ascii="宋体" w:hAnsi="Calibri"/>
          <w:sz w:val="24"/>
        </w:rPr>
        <w:t>四、合同内容：根据《中华人民共和国民法典》及【磋商文件编号：</w:t>
      </w:r>
      <w:r>
        <w:rPr>
          <w:rFonts w:hint="eastAsia" w:ascii="宋体" w:hAnsi="Calibri"/>
          <w:sz w:val="24"/>
          <w:szCs w:val="22"/>
          <w:lang w:val="en-US" w:eastAsia="zh-CN"/>
        </w:rPr>
        <w:t>24-RTC061</w:t>
      </w:r>
      <w:r>
        <w:rPr>
          <w:rFonts w:hint="eastAsia" w:ascii="宋体" w:hAnsi="Calibri"/>
          <w:sz w:val="24"/>
        </w:rPr>
        <w:t>】响应文件的规定，供需双方协商一致，签订本合同。</w:t>
      </w:r>
    </w:p>
    <w:p>
      <w:pPr>
        <w:spacing w:line="360" w:lineRule="auto"/>
        <w:ind w:firstLine="480" w:firstLineChars="200"/>
        <w:rPr>
          <w:rFonts w:hint="eastAsia" w:ascii="宋体" w:hAnsi="Calibri"/>
          <w:sz w:val="24"/>
        </w:rPr>
      </w:pPr>
      <w:r>
        <w:rPr>
          <w:rFonts w:hint="eastAsia" w:ascii="宋体" w:hAnsi="Calibri"/>
          <w:sz w:val="24"/>
        </w:rPr>
        <w:t>1、货物品名、生产厂商、规格、数量等信息详见供货一览表 。</w:t>
      </w:r>
    </w:p>
    <w:p>
      <w:pPr>
        <w:spacing w:line="360" w:lineRule="auto"/>
        <w:ind w:firstLine="480" w:firstLineChars="200"/>
        <w:rPr>
          <w:rFonts w:hint="eastAsia" w:ascii="宋体" w:hAnsi="Calibri"/>
          <w:sz w:val="24"/>
        </w:rPr>
      </w:pPr>
      <w:r>
        <w:rPr>
          <w:rFonts w:hint="eastAsia" w:ascii="宋体" w:hAnsi="Calibri"/>
          <w:sz w:val="24"/>
        </w:rPr>
        <w:t>2、价格解释：合同价格包括成本、税款、包装、运费、售后服务等全部费用，价格一次确定不再变更。</w:t>
      </w:r>
    </w:p>
    <w:p>
      <w:pPr>
        <w:spacing w:line="360" w:lineRule="auto"/>
        <w:ind w:firstLine="480" w:firstLineChars="200"/>
        <w:rPr>
          <w:rFonts w:hint="eastAsia" w:ascii="宋体" w:hAnsi="Calibri"/>
          <w:sz w:val="24"/>
        </w:rPr>
      </w:pPr>
      <w:r>
        <w:rPr>
          <w:rFonts w:hint="eastAsia" w:ascii="宋体" w:hAnsi="Calibri"/>
          <w:sz w:val="24"/>
        </w:rPr>
        <w:t>五、响应文件，磋商文件，成交结果表，合同所附供货一览表均为本合同不可分割的一部分。如果供货一览表的内容与响应文件和成交结果表不一致时，以响应文件和成交结果表为准。</w:t>
      </w:r>
    </w:p>
    <w:p>
      <w:pPr>
        <w:spacing w:line="360" w:lineRule="auto"/>
        <w:ind w:firstLine="480" w:firstLineChars="200"/>
        <w:rPr>
          <w:rFonts w:hint="eastAsia" w:ascii="宋体" w:hAnsi="Calibri"/>
          <w:sz w:val="24"/>
        </w:rPr>
      </w:pPr>
      <w:r>
        <w:rPr>
          <w:rFonts w:hint="eastAsia" w:ascii="宋体" w:hAnsi="Calibri"/>
          <w:sz w:val="24"/>
        </w:rPr>
        <w:t>六、合同金额：</w:t>
      </w:r>
      <w:r>
        <w:rPr>
          <w:rFonts w:hint="eastAsia" w:ascii="宋体" w:hAnsi="Calibri"/>
          <w:sz w:val="24"/>
          <w:u w:val="single"/>
        </w:rPr>
        <w:t xml:space="preserve">                                </w:t>
      </w:r>
      <w:r>
        <w:rPr>
          <w:rFonts w:hint="eastAsia" w:ascii="宋体" w:hAnsi="Calibri"/>
          <w:sz w:val="24"/>
        </w:rPr>
        <w:t>（￥ 元）</w:t>
      </w:r>
    </w:p>
    <w:p>
      <w:pPr>
        <w:spacing w:line="360" w:lineRule="auto"/>
        <w:ind w:firstLine="480" w:firstLineChars="200"/>
        <w:rPr>
          <w:rFonts w:hint="eastAsia" w:ascii="宋体" w:hAnsi="Calibri"/>
          <w:sz w:val="24"/>
        </w:rPr>
      </w:pPr>
      <w:r>
        <w:rPr>
          <w:rFonts w:hint="eastAsia" w:ascii="宋体" w:hAnsi="Calibri"/>
          <w:sz w:val="24"/>
        </w:rPr>
        <w:t>七、一般条款：</w:t>
      </w:r>
    </w:p>
    <w:p>
      <w:pPr>
        <w:spacing w:line="360" w:lineRule="auto"/>
        <w:ind w:firstLine="480" w:firstLineChars="200"/>
        <w:rPr>
          <w:rFonts w:hint="eastAsia" w:ascii="宋体" w:hAnsi="Calibri"/>
          <w:sz w:val="24"/>
          <w:u w:val="single"/>
        </w:rPr>
      </w:pPr>
      <w:r>
        <w:rPr>
          <w:rFonts w:hint="eastAsia" w:ascii="宋体" w:hAnsi="Calibri"/>
          <w:sz w:val="24"/>
        </w:rPr>
        <w:t>1、供方所提供的货物符合国家现行有效标准，并为正规制造厂商生产的合格产品，因质量问题而发生的任何故障由供方负责。本项目质保期为</w:t>
      </w:r>
      <w:r>
        <w:rPr>
          <w:rFonts w:hint="eastAsia" w:ascii="宋体" w:hAnsi="Calibri"/>
          <w:sz w:val="24"/>
          <w:u w:val="single"/>
        </w:rPr>
        <w:t xml:space="preserve">    年。</w:t>
      </w:r>
    </w:p>
    <w:p>
      <w:pPr>
        <w:spacing w:line="360" w:lineRule="auto"/>
        <w:ind w:firstLine="480" w:firstLineChars="200"/>
        <w:rPr>
          <w:rFonts w:hint="eastAsia" w:ascii="宋体" w:hAnsi="Calibri"/>
          <w:sz w:val="24"/>
        </w:rPr>
      </w:pPr>
      <w:r>
        <w:rPr>
          <w:rFonts w:hint="eastAsia" w:ascii="宋体" w:hAnsi="Calibri"/>
          <w:sz w:val="24"/>
        </w:rPr>
        <w:t>2、供方承担交货前的一切责任和费用。</w:t>
      </w:r>
    </w:p>
    <w:p>
      <w:pPr>
        <w:spacing w:line="360" w:lineRule="auto"/>
        <w:ind w:firstLine="480" w:firstLineChars="200"/>
        <w:rPr>
          <w:rFonts w:hint="eastAsia" w:ascii="宋体" w:hAnsi="Calibri"/>
          <w:sz w:val="24"/>
        </w:rPr>
      </w:pPr>
      <w:r>
        <w:rPr>
          <w:rFonts w:hint="eastAsia" w:ascii="宋体" w:hAnsi="Calibri"/>
          <w:sz w:val="24"/>
        </w:rPr>
        <w:t>3、需方在交货地点验收，如发现损坏、缺件等问题，由供方负责。</w:t>
      </w:r>
    </w:p>
    <w:p>
      <w:pPr>
        <w:spacing w:line="360" w:lineRule="auto"/>
        <w:ind w:firstLine="480" w:firstLineChars="200"/>
        <w:rPr>
          <w:rFonts w:hint="eastAsia" w:ascii="宋体" w:hAnsi="Calibri"/>
          <w:sz w:val="24"/>
        </w:rPr>
      </w:pPr>
      <w:r>
        <w:rPr>
          <w:rFonts w:hint="eastAsia" w:ascii="宋体" w:hAnsi="Calibri"/>
          <w:sz w:val="24"/>
        </w:rPr>
        <w:t>4、付款方式：</w:t>
      </w:r>
    </w:p>
    <w:p>
      <w:pPr>
        <w:spacing w:line="360" w:lineRule="auto"/>
        <w:ind w:firstLine="480" w:firstLineChars="200"/>
        <w:rPr>
          <w:rFonts w:hint="eastAsia" w:ascii="宋体" w:hAnsi="Calibri"/>
          <w:sz w:val="24"/>
          <w:u w:val="single"/>
        </w:rPr>
      </w:pPr>
      <w:r>
        <w:rPr>
          <w:rFonts w:hint="eastAsia" w:ascii="宋体" w:hAnsi="Calibri"/>
          <w:sz w:val="24"/>
        </w:rPr>
        <w:t>付款方式：</w:t>
      </w:r>
      <w:r>
        <w:rPr>
          <w:rFonts w:hint="eastAsia" w:ascii="宋体" w:hAnsi="Calibri"/>
          <w:sz w:val="24"/>
          <w:u w:val="single"/>
        </w:rPr>
        <w:t xml:space="preserve"> </w:t>
      </w:r>
      <w:r>
        <w:rPr>
          <w:rFonts w:ascii="宋体" w:hAnsi="Calibri"/>
          <w:sz w:val="24"/>
          <w:u w:val="single"/>
        </w:rPr>
        <w:t xml:space="preserve">                                               </w:t>
      </w:r>
      <w:r>
        <w:rPr>
          <w:rFonts w:hint="eastAsia" w:ascii="宋体" w:hAnsi="Calibri"/>
          <w:sz w:val="24"/>
          <w:u w:val="single"/>
        </w:rPr>
        <w:t xml:space="preserve">  </w:t>
      </w:r>
    </w:p>
    <w:p>
      <w:pPr>
        <w:numPr>
          <w:ilvl w:val="0"/>
          <w:numId w:val="15"/>
        </w:numPr>
        <w:spacing w:line="360" w:lineRule="auto"/>
        <w:ind w:firstLine="480" w:firstLineChars="200"/>
        <w:rPr>
          <w:rFonts w:hint="eastAsia" w:ascii="宋体" w:hAnsi="Calibri"/>
          <w:sz w:val="24"/>
        </w:rPr>
      </w:pPr>
      <w:r>
        <w:rPr>
          <w:rFonts w:hint="eastAsia" w:ascii="宋体" w:hAnsi="Calibri"/>
          <w:sz w:val="24"/>
          <w:u w:val="single"/>
        </w:rPr>
        <w:t xml:space="preserve">    </w:t>
      </w:r>
      <w:r>
        <w:rPr>
          <w:rFonts w:ascii="宋体" w:hAnsi="Calibri"/>
          <w:sz w:val="24"/>
          <w:u w:val="single"/>
        </w:rPr>
        <w:t xml:space="preserve">                 </w:t>
      </w:r>
      <w:r>
        <w:rPr>
          <w:rFonts w:hint="eastAsia" w:ascii="宋体" w:hAnsi="Calibri"/>
          <w:sz w:val="24"/>
          <w:u w:val="single"/>
        </w:rPr>
        <w:t xml:space="preserve">        </w:t>
      </w:r>
      <w:r>
        <w:rPr>
          <w:rFonts w:hint="eastAsia" w:ascii="宋体" w:hAnsi="Calibri"/>
          <w:sz w:val="24"/>
        </w:rPr>
        <w:t xml:space="preserve"> ，买方支付合同总额 </w:t>
      </w:r>
      <w:r>
        <w:rPr>
          <w:rFonts w:hint="eastAsia" w:ascii="宋体" w:hAnsi="Calibri"/>
          <w:sz w:val="24"/>
          <w:u w:val="single"/>
        </w:rPr>
        <w:t xml:space="preserve"> </w:t>
      </w:r>
      <w:r>
        <w:rPr>
          <w:rFonts w:ascii="宋体" w:hAnsi="Calibri"/>
          <w:sz w:val="24"/>
          <w:u w:val="single"/>
        </w:rPr>
        <w:t xml:space="preserve">   </w:t>
      </w:r>
      <w:r>
        <w:rPr>
          <w:rFonts w:hint="eastAsia" w:ascii="宋体" w:hAnsi="Calibri"/>
          <w:sz w:val="24"/>
          <w:u w:val="single"/>
        </w:rPr>
        <w:t xml:space="preserve"> </w:t>
      </w:r>
      <w:r>
        <w:rPr>
          <w:rFonts w:hint="eastAsia" w:ascii="宋体" w:hAnsi="Calibri"/>
          <w:sz w:val="24"/>
        </w:rPr>
        <w:t>%。</w:t>
      </w:r>
    </w:p>
    <w:p>
      <w:pPr>
        <w:numPr>
          <w:ilvl w:val="0"/>
          <w:numId w:val="15"/>
        </w:numPr>
        <w:spacing w:line="360" w:lineRule="auto"/>
        <w:ind w:firstLine="480" w:firstLineChars="200"/>
        <w:rPr>
          <w:rFonts w:hint="eastAsia" w:ascii="宋体" w:hAnsi="Calibri"/>
          <w:sz w:val="24"/>
        </w:rPr>
      </w:pPr>
      <w:r>
        <w:rPr>
          <w:rFonts w:hint="eastAsia" w:ascii="宋体" w:hAnsi="Calibri"/>
          <w:sz w:val="24"/>
          <w:u w:val="single"/>
        </w:rPr>
        <w:t xml:space="preserve">       </w:t>
      </w:r>
      <w:r>
        <w:rPr>
          <w:rFonts w:ascii="宋体" w:hAnsi="Calibri"/>
          <w:sz w:val="24"/>
          <w:u w:val="single"/>
        </w:rPr>
        <w:t xml:space="preserve">              </w:t>
      </w:r>
      <w:r>
        <w:rPr>
          <w:rFonts w:hint="eastAsia" w:ascii="宋体" w:hAnsi="Calibri"/>
          <w:sz w:val="24"/>
          <w:u w:val="single"/>
        </w:rPr>
        <w:t xml:space="preserve">        </w:t>
      </w:r>
      <w:r>
        <w:rPr>
          <w:rFonts w:hint="eastAsia" w:ascii="宋体" w:hAnsi="Calibri"/>
          <w:sz w:val="24"/>
        </w:rPr>
        <w:t xml:space="preserve"> ，由买方支付合同总额 </w:t>
      </w:r>
      <w:r>
        <w:rPr>
          <w:rFonts w:hint="eastAsia" w:ascii="宋体" w:hAnsi="Calibri"/>
          <w:sz w:val="24"/>
          <w:u w:val="single"/>
        </w:rPr>
        <w:t xml:space="preserve"> </w:t>
      </w:r>
      <w:r>
        <w:rPr>
          <w:rFonts w:ascii="宋体" w:hAnsi="Calibri"/>
          <w:sz w:val="24"/>
          <w:u w:val="single"/>
        </w:rPr>
        <w:t xml:space="preserve">  </w:t>
      </w:r>
      <w:r>
        <w:rPr>
          <w:rFonts w:hint="eastAsia" w:ascii="宋体" w:hAnsi="Calibri"/>
          <w:sz w:val="24"/>
          <w:u w:val="single"/>
        </w:rPr>
        <w:t xml:space="preserve"> </w:t>
      </w:r>
      <w:r>
        <w:rPr>
          <w:rFonts w:hint="eastAsia" w:ascii="宋体" w:hAnsi="Calibri"/>
          <w:sz w:val="24"/>
        </w:rPr>
        <w:t>%。</w:t>
      </w:r>
    </w:p>
    <w:p>
      <w:pPr>
        <w:spacing w:line="360" w:lineRule="auto"/>
        <w:ind w:firstLine="480" w:firstLineChars="200"/>
        <w:rPr>
          <w:rFonts w:hint="eastAsia" w:ascii="宋体" w:hAnsi="Calibri"/>
          <w:sz w:val="24"/>
        </w:rPr>
      </w:pPr>
      <w:r>
        <w:rPr>
          <w:rFonts w:hint="eastAsia" w:ascii="宋体" w:hAnsi="Calibri"/>
          <w:sz w:val="24"/>
        </w:rPr>
        <w:t>（3）剩余</w:t>
      </w:r>
      <w:r>
        <w:rPr>
          <w:rFonts w:hint="eastAsia" w:ascii="宋体" w:hAnsi="Calibri"/>
          <w:sz w:val="24"/>
          <w:u w:val="single"/>
        </w:rPr>
        <w:t xml:space="preserve"> </w:t>
      </w:r>
      <w:r>
        <w:rPr>
          <w:rFonts w:ascii="宋体" w:hAnsi="Calibri"/>
          <w:sz w:val="24"/>
          <w:u w:val="single"/>
        </w:rPr>
        <w:t xml:space="preserve">  </w:t>
      </w:r>
      <w:r>
        <w:rPr>
          <w:rFonts w:hint="eastAsia" w:ascii="宋体" w:hAnsi="Calibri"/>
          <w:sz w:val="24"/>
          <w:u w:val="single"/>
        </w:rPr>
        <w:t xml:space="preserve">  </w:t>
      </w:r>
      <w:r>
        <w:rPr>
          <w:rFonts w:hint="eastAsia" w:ascii="宋体" w:hAnsi="Calibri"/>
          <w:sz w:val="24"/>
        </w:rPr>
        <w:t>%的合同货款作为质量保证金，质保期满后没有任何质量问题时，由买方（使用单位）将该质量保证金退还卖方。</w:t>
      </w:r>
    </w:p>
    <w:p>
      <w:pPr>
        <w:spacing w:line="360" w:lineRule="auto"/>
        <w:ind w:firstLine="480" w:firstLineChars="200"/>
        <w:rPr>
          <w:rFonts w:hint="eastAsia" w:ascii="宋体" w:hAnsi="Calibri"/>
          <w:sz w:val="24"/>
        </w:rPr>
      </w:pPr>
      <w:r>
        <w:rPr>
          <w:rFonts w:hint="eastAsia" w:ascii="宋体" w:hAnsi="Calibri"/>
          <w:sz w:val="24"/>
        </w:rPr>
        <w:t>5、供需双方签订的合同，应在政府采购监管部门的监督下认真履行。</w:t>
      </w:r>
    </w:p>
    <w:p>
      <w:pPr>
        <w:spacing w:line="360" w:lineRule="auto"/>
        <w:ind w:firstLine="480" w:firstLineChars="200"/>
        <w:rPr>
          <w:rFonts w:hint="eastAsia" w:ascii="宋体" w:hAnsi="Calibri"/>
          <w:sz w:val="24"/>
        </w:rPr>
      </w:pPr>
      <w:r>
        <w:rPr>
          <w:rFonts w:hint="eastAsia" w:ascii="宋体" w:hAnsi="Calibri"/>
          <w:sz w:val="24"/>
        </w:rPr>
        <w:t>6、违约责任：供方应依据合同规定时间按时交货，如不能，由此给需方带来的损失由供方负责。</w:t>
      </w:r>
    </w:p>
    <w:p>
      <w:pPr>
        <w:spacing w:line="360" w:lineRule="auto"/>
        <w:ind w:firstLine="480" w:firstLineChars="200"/>
        <w:rPr>
          <w:rFonts w:hint="eastAsia" w:ascii="宋体" w:hAnsi="Calibri"/>
          <w:sz w:val="24"/>
        </w:rPr>
      </w:pPr>
      <w:r>
        <w:rPr>
          <w:rFonts w:hint="eastAsia" w:ascii="宋体" w:hAnsi="Calibri"/>
          <w:sz w:val="24"/>
        </w:rPr>
        <w:t>7、质量验收：</w:t>
      </w:r>
    </w:p>
    <w:p>
      <w:pPr>
        <w:spacing w:line="360" w:lineRule="auto"/>
        <w:ind w:firstLine="480" w:firstLineChars="200"/>
        <w:rPr>
          <w:rFonts w:hint="eastAsia" w:ascii="宋体" w:hAnsi="Calibri"/>
          <w:sz w:val="24"/>
        </w:rPr>
      </w:pPr>
      <w:r>
        <w:rPr>
          <w:rFonts w:hint="eastAsia" w:ascii="宋体" w:hAnsi="Calibri"/>
          <w:sz w:val="24"/>
        </w:rPr>
        <w:t>（1）到货后需方组织专人进行验收，验收合格后在验收单上签署 “验收合格”字样，逾期验收视为验收合格。</w:t>
      </w:r>
    </w:p>
    <w:p>
      <w:pPr>
        <w:spacing w:line="360" w:lineRule="auto"/>
        <w:ind w:firstLine="480" w:firstLineChars="200"/>
        <w:rPr>
          <w:rFonts w:hint="eastAsia" w:ascii="宋体" w:hAnsi="Calibri"/>
          <w:sz w:val="24"/>
        </w:rPr>
      </w:pPr>
      <w:r>
        <w:rPr>
          <w:rFonts w:hint="eastAsia" w:ascii="宋体" w:hAnsi="Calibri"/>
          <w:sz w:val="24"/>
        </w:rPr>
        <w:t>（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解除合同。</w:t>
      </w:r>
    </w:p>
    <w:p>
      <w:pPr>
        <w:spacing w:line="360" w:lineRule="auto"/>
        <w:ind w:firstLine="480" w:firstLineChars="200"/>
        <w:rPr>
          <w:rFonts w:hint="eastAsia" w:ascii="宋体" w:hAnsi="Calibri"/>
          <w:sz w:val="24"/>
        </w:rPr>
      </w:pPr>
      <w:r>
        <w:rPr>
          <w:rFonts w:hint="eastAsia" w:ascii="宋体" w:hAnsi="Calibri"/>
          <w:sz w:val="24"/>
        </w:rPr>
        <w:t xml:space="preserve">（3）供方成交后货物调整的数量必须控制在 </w:t>
      </w:r>
      <w:r>
        <w:rPr>
          <w:rFonts w:hint="eastAsia" w:ascii="宋体" w:hAnsi="Calibri"/>
          <w:sz w:val="24"/>
          <w:u w:val="single"/>
        </w:rPr>
        <w:t xml:space="preserve">     </w:t>
      </w:r>
      <w:r>
        <w:rPr>
          <w:rFonts w:hint="eastAsia" w:ascii="宋体" w:hAnsi="Calibri"/>
          <w:sz w:val="24"/>
        </w:rPr>
        <w:t>%以内，如不符合要求的，需方可通知供方停止供货，解除合同。</w:t>
      </w:r>
    </w:p>
    <w:p>
      <w:pPr>
        <w:spacing w:line="360" w:lineRule="auto"/>
        <w:ind w:firstLine="480" w:firstLineChars="200"/>
        <w:rPr>
          <w:rFonts w:hint="eastAsia" w:ascii="宋体" w:hAnsi="Calibri"/>
          <w:sz w:val="24"/>
        </w:rPr>
      </w:pPr>
      <w:r>
        <w:rPr>
          <w:rFonts w:hint="eastAsia" w:ascii="宋体" w:hAnsi="Calibri"/>
          <w:sz w:val="24"/>
        </w:rPr>
        <w:t>八、交货时间、交货地点和验收单位：</w:t>
      </w:r>
    </w:p>
    <w:p>
      <w:pPr>
        <w:spacing w:line="360" w:lineRule="auto"/>
        <w:ind w:firstLine="480" w:firstLineChars="200"/>
        <w:rPr>
          <w:rFonts w:hint="eastAsia" w:ascii="宋体" w:hAnsi="Calibri"/>
          <w:sz w:val="24"/>
        </w:rPr>
      </w:pPr>
      <w:r>
        <w:rPr>
          <w:rFonts w:hint="eastAsia" w:ascii="宋体" w:hAnsi="Calibri"/>
          <w:sz w:val="24"/>
        </w:rPr>
        <w:t>1、交货时间：自合同签订之日起</w:t>
      </w:r>
      <w:r>
        <w:rPr>
          <w:rFonts w:hint="eastAsia" w:ascii="宋体" w:hAnsi="Calibri"/>
          <w:sz w:val="24"/>
          <w:u w:val="single"/>
        </w:rPr>
        <w:t xml:space="preserve"> </w:t>
      </w:r>
      <w:r>
        <w:rPr>
          <w:rFonts w:ascii="宋体" w:hAnsi="Calibri"/>
          <w:sz w:val="24"/>
          <w:u w:val="single"/>
        </w:rPr>
        <w:t xml:space="preserve">           </w:t>
      </w:r>
      <w:r>
        <w:rPr>
          <w:rFonts w:hint="eastAsia" w:ascii="宋体" w:hAnsi="Calibri"/>
          <w:sz w:val="24"/>
          <w:u w:val="single"/>
        </w:rPr>
        <w:t xml:space="preserve"> </w:t>
      </w:r>
      <w:r>
        <w:rPr>
          <w:rFonts w:hint="eastAsia" w:ascii="宋体" w:hAnsi="Calibri"/>
          <w:sz w:val="24"/>
        </w:rPr>
        <w:t>内完成交货、安装至验收合格。</w:t>
      </w:r>
    </w:p>
    <w:p>
      <w:pPr>
        <w:spacing w:line="360" w:lineRule="auto"/>
        <w:ind w:firstLine="480" w:firstLineChars="200"/>
        <w:rPr>
          <w:rFonts w:hint="eastAsia" w:ascii="宋体" w:hAnsi="Calibri"/>
          <w:sz w:val="24"/>
        </w:rPr>
      </w:pPr>
      <w:r>
        <w:rPr>
          <w:rFonts w:hint="eastAsia" w:ascii="宋体" w:hAnsi="Calibri"/>
          <w:sz w:val="24"/>
        </w:rPr>
        <w:t>2、交货地点：采购人指定的交货地点</w:t>
      </w:r>
    </w:p>
    <w:p>
      <w:pPr>
        <w:spacing w:line="360" w:lineRule="auto"/>
        <w:ind w:firstLine="480" w:firstLineChars="200"/>
        <w:rPr>
          <w:rFonts w:hint="eastAsia" w:ascii="宋体" w:hAnsi="宋体"/>
          <w:bCs/>
          <w:sz w:val="32"/>
          <w:szCs w:val="30"/>
        </w:rPr>
      </w:pPr>
      <w:r>
        <w:rPr>
          <w:rFonts w:hint="eastAsia" w:ascii="宋体" w:hAnsi="Calibri"/>
          <w:sz w:val="24"/>
        </w:rPr>
        <w:t>3、验收单位：</w:t>
      </w:r>
    </w:p>
    <w:p>
      <w:pPr>
        <w:spacing w:line="360" w:lineRule="auto"/>
        <w:ind w:firstLine="480" w:firstLineChars="200"/>
        <w:rPr>
          <w:rFonts w:hint="eastAsia" w:ascii="宋体" w:hAnsi="Calibri"/>
          <w:sz w:val="24"/>
        </w:rPr>
      </w:pPr>
      <w:r>
        <w:rPr>
          <w:rFonts w:hint="eastAsia" w:ascii="宋体" w:hAnsi="Calibri"/>
          <w:sz w:val="24"/>
        </w:rPr>
        <w:t>九、经济责任：</w:t>
      </w:r>
    </w:p>
    <w:p>
      <w:pPr>
        <w:spacing w:line="360" w:lineRule="auto"/>
        <w:ind w:firstLine="480" w:firstLineChars="200"/>
        <w:rPr>
          <w:rFonts w:hint="eastAsia" w:ascii="宋体" w:hAnsi="Calibri"/>
          <w:sz w:val="24"/>
        </w:rPr>
      </w:pPr>
      <w:r>
        <w:rPr>
          <w:rFonts w:hint="eastAsia" w:ascii="宋体" w:hAnsi="Calibri"/>
          <w:sz w:val="24"/>
        </w:rPr>
        <w:t>（一）供方责任</w:t>
      </w:r>
    </w:p>
    <w:p>
      <w:pPr>
        <w:spacing w:line="360" w:lineRule="auto"/>
        <w:ind w:firstLine="480" w:firstLineChars="200"/>
        <w:rPr>
          <w:rFonts w:hint="eastAsia" w:ascii="宋体" w:hAnsi="Calibri"/>
          <w:sz w:val="24"/>
        </w:rPr>
      </w:pPr>
      <w:r>
        <w:rPr>
          <w:rFonts w:hint="eastAsia" w:ascii="宋体" w:hAnsi="Calibri"/>
          <w:sz w:val="24"/>
        </w:rPr>
        <w:t>（1）供方不履行合同或交付的货物全部或部分不符合合同要求的，需方有权拒收不符合质量要求的全部或部分货物，供方须向需方支付拒收货物价款总额10%的违约金。</w:t>
      </w:r>
    </w:p>
    <w:p>
      <w:pPr>
        <w:spacing w:line="360" w:lineRule="auto"/>
        <w:ind w:firstLine="480" w:firstLineChars="200"/>
        <w:rPr>
          <w:rFonts w:hint="eastAsia" w:ascii="宋体" w:hAnsi="Calibri"/>
          <w:sz w:val="24"/>
        </w:rPr>
      </w:pPr>
      <w:r>
        <w:rPr>
          <w:rFonts w:hint="eastAsia" w:ascii="宋体" w:hAnsi="Calibri"/>
          <w:sz w:val="24"/>
        </w:rPr>
        <w:t>（2）货物质量不符合合同规定时，需方同意利用的按质论价，不能利用的，供方负责包退包换。由于上述原因导致延误交货时间的，每延误一日，供应方应按逾期交货部分货物价款总值的 5‰向需方偿付违约金。</w:t>
      </w:r>
    </w:p>
    <w:p>
      <w:pPr>
        <w:spacing w:line="360" w:lineRule="auto"/>
        <w:ind w:firstLine="480" w:firstLineChars="200"/>
        <w:rPr>
          <w:rFonts w:hint="eastAsia" w:ascii="宋体" w:hAnsi="Calibri"/>
          <w:sz w:val="24"/>
        </w:rPr>
      </w:pPr>
      <w:r>
        <w:rPr>
          <w:rFonts w:hint="eastAsia" w:ascii="宋体" w:hAnsi="Calibri"/>
          <w:sz w:val="24"/>
        </w:rPr>
        <w:t>（3）供方必须按合同规定的日期交货，每逾期一日，供方必须向需方支付逾期交货部分货物总额 5‰的违约金。逾期交货超过</w:t>
      </w:r>
      <w:r>
        <w:rPr>
          <w:rFonts w:ascii="宋体" w:hAnsi="Calibri"/>
          <w:sz w:val="24"/>
          <w:u w:val="single"/>
        </w:rPr>
        <w:t xml:space="preserve">      </w:t>
      </w:r>
      <w:r>
        <w:rPr>
          <w:rFonts w:hint="eastAsia" w:ascii="宋体" w:hAnsi="Calibri"/>
          <w:sz w:val="24"/>
        </w:rPr>
        <w:t>日，需方有权解除合同，履约保证金不予退还。</w:t>
      </w:r>
    </w:p>
    <w:p>
      <w:pPr>
        <w:spacing w:line="360" w:lineRule="auto"/>
        <w:ind w:firstLine="480" w:firstLineChars="200"/>
        <w:rPr>
          <w:rFonts w:hint="eastAsia" w:ascii="宋体" w:hAnsi="Calibri"/>
          <w:sz w:val="24"/>
        </w:rPr>
      </w:pPr>
      <w:r>
        <w:rPr>
          <w:rFonts w:hint="eastAsia" w:ascii="宋体" w:hAnsi="Calibri"/>
          <w:sz w:val="24"/>
        </w:rPr>
        <w:t xml:space="preserve">（4）供方提供的不符合质量要求的（尺寸大小负责包换，不视为质量问题）货物超过本合同总量的 </w:t>
      </w:r>
      <w:r>
        <w:rPr>
          <w:rFonts w:hint="eastAsia" w:ascii="宋体" w:hAnsi="Calibri"/>
          <w:sz w:val="24"/>
          <w:u w:val="single"/>
        </w:rPr>
        <w:t xml:space="preserve">        </w:t>
      </w:r>
      <w:r>
        <w:rPr>
          <w:rFonts w:hint="eastAsia" w:ascii="宋体" w:hAnsi="Calibri"/>
          <w:sz w:val="24"/>
        </w:rPr>
        <w:t>%时，视为整批货物不合格。</w:t>
      </w:r>
    </w:p>
    <w:p>
      <w:pPr>
        <w:spacing w:line="360" w:lineRule="auto"/>
        <w:ind w:firstLine="480" w:firstLineChars="200"/>
        <w:rPr>
          <w:rFonts w:hint="eastAsia" w:ascii="宋体" w:hAnsi="Calibri"/>
          <w:sz w:val="24"/>
        </w:rPr>
      </w:pPr>
      <w:r>
        <w:rPr>
          <w:rFonts w:hint="eastAsia" w:ascii="宋体" w:hAnsi="Calibri"/>
          <w:sz w:val="24"/>
        </w:rPr>
        <w:t>（二）、需方责任</w:t>
      </w:r>
    </w:p>
    <w:p>
      <w:pPr>
        <w:spacing w:line="360" w:lineRule="auto"/>
        <w:ind w:firstLine="480" w:firstLineChars="200"/>
        <w:rPr>
          <w:rFonts w:hint="eastAsia" w:ascii="宋体" w:hAnsi="Calibri"/>
          <w:sz w:val="24"/>
        </w:rPr>
      </w:pPr>
      <w:r>
        <w:rPr>
          <w:rFonts w:hint="eastAsia" w:ascii="宋体" w:hAnsi="Calibri"/>
          <w:sz w:val="24"/>
        </w:rPr>
        <w:t xml:space="preserve">需方无正当理由，中途退货或拒绝收货，应向供方支付退货部分货款总额 </w:t>
      </w:r>
      <w:r>
        <w:rPr>
          <w:rFonts w:hint="eastAsia" w:ascii="宋体" w:hAnsi="Calibri"/>
          <w:sz w:val="24"/>
          <w:u w:val="single"/>
        </w:rPr>
        <w:t xml:space="preserve">   </w:t>
      </w:r>
      <w:r>
        <w:rPr>
          <w:rFonts w:hint="eastAsia" w:ascii="宋体" w:hAnsi="Calibri"/>
          <w:sz w:val="24"/>
        </w:rPr>
        <w:t>%的违约金，并承担因此造成的经济损失及运输费用。</w:t>
      </w:r>
    </w:p>
    <w:p>
      <w:pPr>
        <w:spacing w:line="360" w:lineRule="auto"/>
        <w:ind w:firstLine="480" w:firstLineChars="200"/>
        <w:rPr>
          <w:rFonts w:hint="eastAsia" w:ascii="宋体" w:hAnsi="Calibri"/>
          <w:sz w:val="24"/>
        </w:rPr>
      </w:pPr>
      <w:r>
        <w:rPr>
          <w:rFonts w:hint="eastAsia" w:ascii="宋体" w:hAnsi="Calibri"/>
          <w:sz w:val="24"/>
        </w:rPr>
        <w:t>十、合同解释：</w:t>
      </w:r>
    </w:p>
    <w:p>
      <w:pPr>
        <w:spacing w:line="360" w:lineRule="auto"/>
        <w:ind w:firstLine="480" w:firstLineChars="200"/>
        <w:rPr>
          <w:rFonts w:hint="eastAsia" w:ascii="宋体" w:hAnsi="Calibri"/>
          <w:sz w:val="24"/>
        </w:rPr>
      </w:pPr>
      <w:r>
        <w:rPr>
          <w:rFonts w:hint="eastAsia" w:ascii="宋体" w:hAnsi="Calibri"/>
          <w:sz w:val="24"/>
        </w:rPr>
        <w:t>如合同条文存在歧义，《民法典》又无明文规定，依照交易习惯和采购当事人订立合同的目的做合理并且善意的解释，以维护交易安全和社会的公序良俗。</w:t>
      </w:r>
    </w:p>
    <w:p>
      <w:pPr>
        <w:spacing w:line="360" w:lineRule="auto"/>
        <w:ind w:firstLine="480" w:firstLineChars="200"/>
        <w:rPr>
          <w:rFonts w:hint="eastAsia" w:ascii="宋体" w:hAnsi="Calibri"/>
          <w:sz w:val="24"/>
        </w:rPr>
      </w:pPr>
      <w:r>
        <w:rPr>
          <w:rFonts w:hint="eastAsia" w:ascii="宋体" w:hAnsi="Calibri"/>
          <w:sz w:val="24"/>
        </w:rPr>
        <w:t>十一、合同执行过程中发生的一切争议，双方应通过友好协商解决，如协商不能解决，应按《中华人民共和国民法典》有关规定解决。</w:t>
      </w:r>
    </w:p>
    <w:p>
      <w:pPr>
        <w:spacing w:line="360" w:lineRule="auto"/>
        <w:ind w:firstLine="480" w:firstLineChars="200"/>
        <w:rPr>
          <w:rFonts w:hint="eastAsia" w:ascii="宋体" w:hAnsi="Calibri"/>
          <w:sz w:val="24"/>
        </w:rPr>
      </w:pPr>
      <w:r>
        <w:rPr>
          <w:rFonts w:hint="eastAsia" w:ascii="宋体" w:hAnsi="Calibri"/>
          <w:sz w:val="24"/>
        </w:rPr>
        <w:t>十二、其它未尽事宜由供需双方协商约定。</w:t>
      </w:r>
    </w:p>
    <w:p>
      <w:pPr>
        <w:spacing w:line="360" w:lineRule="auto"/>
        <w:ind w:firstLine="480" w:firstLineChars="200"/>
        <w:rPr>
          <w:rFonts w:hint="eastAsia" w:ascii="宋体" w:hAnsi="Calibri"/>
          <w:sz w:val="24"/>
        </w:rPr>
      </w:pPr>
      <w:r>
        <w:rPr>
          <w:rFonts w:hint="eastAsia" w:ascii="宋体" w:hAnsi="Calibri"/>
          <w:sz w:val="24"/>
        </w:rPr>
        <w:t>十三、本合同一式肆份，经供需双方签字盖章后生效，需方壹份，供方壹份，财政局采购办备案壹份，采购代理机构备案壹份，均具有同等法律效力。</w:t>
      </w:r>
    </w:p>
    <w:p>
      <w:pPr>
        <w:spacing w:line="360" w:lineRule="auto"/>
        <w:ind w:firstLine="480" w:firstLineChars="200"/>
        <w:rPr>
          <w:rFonts w:hint="eastAsia" w:ascii="宋体" w:hAnsi="Calibri"/>
          <w:sz w:val="24"/>
        </w:rPr>
      </w:pPr>
      <w:r>
        <w:rPr>
          <w:rFonts w:hint="eastAsia" w:ascii="宋体" w:hAnsi="Calibri"/>
          <w:sz w:val="24"/>
        </w:rPr>
        <w:t>供方:（章）                         需方:（章）</w:t>
      </w:r>
    </w:p>
    <w:p>
      <w:pPr>
        <w:spacing w:line="360" w:lineRule="auto"/>
        <w:ind w:firstLine="480" w:firstLineChars="200"/>
        <w:rPr>
          <w:rFonts w:hint="eastAsia" w:ascii="宋体" w:hAnsi="Calibri"/>
          <w:sz w:val="24"/>
        </w:rPr>
      </w:pPr>
      <w:r>
        <w:rPr>
          <w:rFonts w:hint="eastAsia" w:ascii="宋体" w:hAnsi="Calibri"/>
          <w:sz w:val="24"/>
        </w:rPr>
        <w:t>地址:                               地址:</w:t>
      </w:r>
    </w:p>
    <w:p>
      <w:pPr>
        <w:spacing w:line="360" w:lineRule="auto"/>
        <w:ind w:firstLine="480" w:firstLineChars="200"/>
        <w:rPr>
          <w:rFonts w:hint="eastAsia" w:ascii="宋体" w:hAnsi="Calibri"/>
          <w:sz w:val="24"/>
        </w:rPr>
      </w:pPr>
      <w:r>
        <w:rPr>
          <w:rFonts w:hint="eastAsia" w:ascii="宋体" w:hAnsi="Calibri"/>
          <w:sz w:val="24"/>
        </w:rPr>
        <w:t>电话:                               电话:</w:t>
      </w:r>
    </w:p>
    <w:p>
      <w:pPr>
        <w:spacing w:line="360" w:lineRule="auto"/>
        <w:ind w:firstLine="480" w:firstLineChars="200"/>
        <w:rPr>
          <w:rFonts w:hint="eastAsia" w:ascii="宋体" w:hAnsi="Calibri"/>
          <w:sz w:val="24"/>
        </w:rPr>
      </w:pPr>
      <w:r>
        <w:rPr>
          <w:rFonts w:hint="eastAsia" w:ascii="宋体" w:hAnsi="Calibri"/>
          <w:sz w:val="24"/>
        </w:rPr>
        <w:t>邮编:                               邮编:</w:t>
      </w:r>
    </w:p>
    <w:p>
      <w:pPr>
        <w:spacing w:line="360" w:lineRule="auto"/>
        <w:ind w:firstLine="480" w:firstLineChars="200"/>
        <w:rPr>
          <w:rFonts w:hint="eastAsia" w:ascii="宋体" w:hAnsi="Calibri"/>
          <w:sz w:val="24"/>
        </w:rPr>
      </w:pPr>
    </w:p>
    <w:p>
      <w:pPr>
        <w:spacing w:line="360" w:lineRule="auto"/>
        <w:ind w:firstLine="480" w:firstLineChars="200"/>
        <w:rPr>
          <w:rFonts w:hint="eastAsia" w:ascii="宋体" w:hAnsi="Calibri"/>
          <w:sz w:val="24"/>
        </w:rPr>
      </w:pPr>
      <w:r>
        <w:rPr>
          <w:rFonts w:hint="eastAsia" w:ascii="宋体" w:hAnsi="Calibri"/>
          <w:sz w:val="24"/>
        </w:rPr>
        <w:t>法定代表人:                         法定代表人:</w:t>
      </w:r>
    </w:p>
    <w:p>
      <w:pPr>
        <w:spacing w:line="360" w:lineRule="auto"/>
        <w:ind w:firstLine="480" w:firstLineChars="200"/>
        <w:rPr>
          <w:rFonts w:hint="eastAsia" w:ascii="宋体" w:hAnsi="Calibri"/>
          <w:sz w:val="24"/>
        </w:rPr>
      </w:pPr>
      <w:r>
        <w:rPr>
          <w:rFonts w:hint="eastAsia" w:ascii="宋体" w:hAnsi="Calibri"/>
          <w:sz w:val="24"/>
        </w:rPr>
        <w:t>经办人：                            经办人：</w:t>
      </w:r>
    </w:p>
    <w:p>
      <w:pPr>
        <w:spacing w:line="360" w:lineRule="auto"/>
        <w:ind w:firstLine="480" w:firstLineChars="200"/>
        <w:rPr>
          <w:rFonts w:hint="eastAsia" w:ascii="宋体" w:hAnsi="Calibri"/>
          <w:sz w:val="24"/>
        </w:rPr>
      </w:pPr>
      <w:r>
        <w:rPr>
          <w:rFonts w:hint="eastAsia" w:ascii="宋体" w:hAnsi="Calibri"/>
          <w:sz w:val="24"/>
        </w:rPr>
        <w:t>签字日期:                           签字日期:</w:t>
      </w:r>
    </w:p>
    <w:p>
      <w:pPr>
        <w:spacing w:line="360" w:lineRule="auto"/>
        <w:rPr>
          <w:rFonts w:hint="eastAsia" w:ascii="宋体" w:hAnsi="Calibri"/>
          <w:sz w:val="24"/>
        </w:rPr>
      </w:pPr>
    </w:p>
    <w:p>
      <w:pPr>
        <w:spacing w:line="360" w:lineRule="auto"/>
        <w:ind w:firstLine="480" w:firstLineChars="200"/>
        <w:rPr>
          <w:rFonts w:hint="eastAsia" w:ascii="宋体" w:hAnsi="Calibri"/>
          <w:sz w:val="24"/>
        </w:rPr>
      </w:pPr>
      <w:r>
        <w:rPr>
          <w:rFonts w:hint="eastAsia" w:ascii="宋体" w:hAnsi="Calibri"/>
          <w:sz w:val="24"/>
        </w:rPr>
        <w:t>科室负责人：</w:t>
      </w:r>
    </w:p>
    <w:p>
      <w:pPr>
        <w:spacing w:line="360" w:lineRule="auto"/>
        <w:ind w:firstLine="480" w:firstLineChars="200"/>
        <w:rPr>
          <w:rFonts w:hint="eastAsia" w:ascii="宋体" w:hAnsi="Calibri"/>
          <w:sz w:val="24"/>
        </w:rPr>
      </w:pPr>
      <w:r>
        <w:rPr>
          <w:rFonts w:hint="eastAsia" w:ascii="宋体" w:hAnsi="Calibri"/>
          <w:sz w:val="24"/>
        </w:rPr>
        <w:t>签字日期：</w:t>
      </w:r>
    </w:p>
    <w:p>
      <w:pPr>
        <w:spacing w:line="360" w:lineRule="auto"/>
        <w:ind w:firstLine="420" w:firstLineChars="200"/>
        <w:rPr>
          <w:rFonts w:hint="eastAsia" w:ascii="宋体" w:hAnsi="宋体"/>
          <w:sz w:val="28"/>
          <w:szCs w:val="28"/>
        </w:rPr>
        <w:sectPr>
          <w:footerReference r:id="rId10" w:type="first"/>
          <w:footerReference r:id="rId9" w:type="default"/>
          <w:type w:val="continuous"/>
          <w:pgSz w:w="11907" w:h="16840"/>
          <w:pgMar w:top="1418" w:right="1418" w:bottom="1247" w:left="1418" w:header="964" w:footer="850" w:gutter="0"/>
          <w:pgNumType w:fmt="decimal" w:start="1"/>
          <w:cols w:space="720" w:num="1"/>
          <w:titlePg/>
          <w:docGrid w:linePitch="286" w:charSpace="0"/>
        </w:sectPr>
      </w:pPr>
      <w:r>
        <w:rPr>
          <w:rFonts w:hint="eastAsia" w:ascii="宋体" w:hAnsi="Calibri"/>
        </w:rPr>
        <w:t xml:space="preserve">   </w:t>
      </w:r>
      <w:bookmarkStart w:id="593" w:name="_Toc497666659"/>
      <w:bookmarkStart w:id="594" w:name="_Toc380404623"/>
      <w:r>
        <w:rPr>
          <w:rFonts w:hint="eastAsia" w:ascii="宋体" w:hAnsi="Calibri"/>
          <w:sz w:val="24"/>
        </w:rPr>
        <w:t xml:space="preserve">                   </w:t>
      </w:r>
      <w:r>
        <w:rPr>
          <w:rFonts w:hint="eastAsia" w:ascii="宋体" w:hAnsi="宋体"/>
          <w:sz w:val="28"/>
          <w:szCs w:val="28"/>
        </w:rPr>
        <w:t xml:space="preserve">  </w:t>
      </w:r>
    </w:p>
    <w:bookmarkEnd w:id="593"/>
    <w:bookmarkEnd w:id="594"/>
    <w:p>
      <w:pPr>
        <w:ind w:firstLine="3300" w:firstLineChars="1100"/>
        <w:rPr>
          <w:rFonts w:hint="eastAsia" w:ascii="宋体" w:hAnsi="宋体"/>
          <w:sz w:val="30"/>
          <w:szCs w:val="30"/>
        </w:rPr>
      </w:pPr>
      <w:bookmarkStart w:id="595" w:name="_Toc380404624"/>
      <w:bookmarkStart w:id="596" w:name="_Toc497666660"/>
    </w:p>
    <w:p>
      <w:pPr>
        <w:ind w:firstLine="3300" w:firstLineChars="1100"/>
        <w:rPr>
          <w:rFonts w:hint="eastAsia" w:ascii="宋体" w:hAnsi="宋体"/>
          <w:sz w:val="30"/>
          <w:szCs w:val="30"/>
        </w:rPr>
      </w:pPr>
      <w:r>
        <w:rPr>
          <w:rFonts w:hint="eastAsia" w:ascii="宋体" w:hAnsi="宋体"/>
          <w:sz w:val="30"/>
          <w:szCs w:val="30"/>
        </w:rPr>
        <w:t>付款币种及方式</w:t>
      </w:r>
      <w:bookmarkEnd w:id="595"/>
      <w:bookmarkEnd w:id="596"/>
    </w:p>
    <w:p>
      <w:pPr>
        <w:spacing w:line="360" w:lineRule="auto"/>
        <w:ind w:firstLine="482" w:firstLineChars="200"/>
        <w:rPr>
          <w:rFonts w:hint="eastAsia" w:ascii="宋体" w:hAnsi="宋体"/>
          <w:b/>
          <w:sz w:val="24"/>
        </w:rPr>
      </w:pPr>
      <w:r>
        <w:rPr>
          <w:rFonts w:hint="eastAsia" w:ascii="宋体" w:hAnsi="宋体"/>
          <w:b/>
          <w:sz w:val="24"/>
        </w:rPr>
        <w:t>1、付款币种</w:t>
      </w:r>
    </w:p>
    <w:p>
      <w:pPr>
        <w:spacing w:line="360" w:lineRule="auto"/>
        <w:ind w:firstLine="480" w:firstLineChars="200"/>
        <w:rPr>
          <w:rFonts w:hint="eastAsia" w:ascii="宋体" w:hAnsi="宋体"/>
          <w:sz w:val="24"/>
        </w:rPr>
      </w:pPr>
      <w:r>
        <w:rPr>
          <w:rFonts w:hint="eastAsia" w:ascii="宋体" w:hAnsi="宋体"/>
          <w:sz w:val="24"/>
        </w:rPr>
        <w:t>本次采购所述的项目资金均以人民币支付。</w:t>
      </w:r>
    </w:p>
    <w:p>
      <w:pPr>
        <w:numPr>
          <w:ilvl w:val="0"/>
          <w:numId w:val="16"/>
        </w:numPr>
        <w:spacing w:line="360" w:lineRule="auto"/>
        <w:ind w:firstLine="482" w:firstLineChars="200"/>
        <w:rPr>
          <w:rFonts w:hint="eastAsia" w:ascii="宋体" w:hAnsi="宋体"/>
          <w:b/>
          <w:sz w:val="24"/>
        </w:rPr>
      </w:pPr>
      <w:r>
        <w:rPr>
          <w:rFonts w:hint="eastAsia" w:ascii="宋体" w:hAnsi="宋体"/>
          <w:b/>
          <w:sz w:val="24"/>
        </w:rPr>
        <w:t>付款方式</w:t>
      </w:r>
    </w:p>
    <w:p>
      <w:pPr>
        <w:spacing w:line="360" w:lineRule="auto"/>
        <w:ind w:firstLine="482" w:firstLineChars="200"/>
        <w:rPr>
          <w:rFonts w:ascii="宋体" w:hAnsi="宋体"/>
          <w:b/>
          <w:sz w:val="24"/>
          <w:u w:val="single"/>
        </w:rPr>
      </w:pPr>
      <w:r>
        <w:rPr>
          <w:rFonts w:hint="eastAsia" w:ascii="宋体" w:hAnsi="宋体"/>
          <w:b/>
          <w:sz w:val="24"/>
        </w:rPr>
        <w:t xml:space="preserve"> </w:t>
      </w:r>
      <w:r>
        <w:rPr>
          <w:rFonts w:ascii="宋体" w:hAnsi="宋体"/>
          <w:b/>
          <w:sz w:val="24"/>
          <w:u w:val="single"/>
        </w:rPr>
        <w:t xml:space="preserve">                                        </w:t>
      </w:r>
    </w:p>
    <w:p>
      <w:pPr>
        <w:spacing w:line="400" w:lineRule="exact"/>
        <w:jc w:val="left"/>
        <w:rPr>
          <w:rFonts w:hint="eastAsia"/>
          <w:b/>
          <w:sz w:val="26"/>
          <w:szCs w:val="26"/>
        </w:rPr>
      </w:pPr>
      <w:r>
        <w:rPr>
          <w:rFonts w:hint="eastAsia" w:ascii="宋体" w:hAnsi="宋体"/>
          <w:b/>
          <w:sz w:val="24"/>
        </w:rPr>
        <w:t>备注：最终付款方式以成交方和买方单位签订的合同为主。</w:t>
      </w:r>
    </w:p>
    <w:p>
      <w:pPr>
        <w:spacing w:line="400" w:lineRule="exact"/>
        <w:jc w:val="left"/>
        <w:rPr>
          <w:rFonts w:hint="eastAsia" w:ascii="宋体" w:hAnsi="宋体" w:cs="宋体"/>
          <w:sz w:val="24"/>
        </w:rPr>
      </w:pPr>
    </w:p>
    <w:p>
      <w:pPr>
        <w:pStyle w:val="32"/>
        <w:rPr>
          <w:rFonts w:hint="eastAsia" w:ascii="宋体" w:hAnsi="宋体" w:cs="宋体"/>
        </w:rPr>
        <w:sectPr>
          <w:footerReference r:id="rId11" w:type="default"/>
          <w:type w:val="continuous"/>
          <w:pgSz w:w="11906" w:h="16839"/>
          <w:pgMar w:top="1440" w:right="1080" w:bottom="1440" w:left="1080" w:header="964" w:footer="850" w:gutter="0"/>
          <w:pgNumType w:fmt="decimal"/>
          <w:cols w:space="720" w:num="1"/>
        </w:sectPr>
      </w:pPr>
    </w:p>
    <w:p>
      <w:pPr>
        <w:spacing w:line="360" w:lineRule="auto"/>
        <w:jc w:val="center"/>
        <w:outlineLvl w:val="0"/>
        <w:rPr>
          <w:rFonts w:hint="eastAsia" w:ascii="宋体" w:hAnsi="宋体" w:cs="宋体"/>
          <w:b/>
          <w:sz w:val="36"/>
          <w:szCs w:val="36"/>
        </w:rPr>
      </w:pPr>
      <w:bookmarkStart w:id="597" w:name="_Toc97371947"/>
    </w:p>
    <w:p>
      <w:pPr>
        <w:spacing w:line="360" w:lineRule="auto"/>
        <w:jc w:val="center"/>
        <w:outlineLvl w:val="0"/>
        <w:rPr>
          <w:rFonts w:hint="eastAsia" w:ascii="宋体" w:hAnsi="宋体" w:cs="宋体"/>
          <w:b/>
          <w:sz w:val="36"/>
          <w:szCs w:val="36"/>
        </w:rPr>
      </w:pPr>
      <w:r>
        <w:rPr>
          <w:rFonts w:hint="eastAsia" w:ascii="宋体" w:hAnsi="宋体" w:cs="宋体"/>
          <w:b/>
          <w:sz w:val="36"/>
          <w:szCs w:val="36"/>
        </w:rPr>
        <w:t>第六章   响应文件格式</w:t>
      </w:r>
      <w:bookmarkEnd w:id="597"/>
    </w:p>
    <w:p>
      <w:pPr>
        <w:tabs>
          <w:tab w:val="left" w:pos="900"/>
          <w:tab w:val="left" w:pos="1980"/>
        </w:tabs>
        <w:snapToGrid w:val="0"/>
        <w:spacing w:line="360" w:lineRule="auto"/>
        <w:ind w:firstLine="241" w:firstLineChars="100"/>
        <w:rPr>
          <w:rFonts w:hint="eastAsia" w:ascii="宋体" w:hAnsi="宋体" w:cs="宋体"/>
          <w:b/>
          <w:kern w:val="0"/>
          <w:sz w:val="24"/>
        </w:rPr>
      </w:pPr>
      <w:r>
        <w:rPr>
          <w:rFonts w:hint="eastAsia" w:ascii="宋体" w:hAnsi="宋体" w:cs="宋体"/>
          <w:b/>
          <w:kern w:val="0"/>
          <w:sz w:val="24"/>
        </w:rPr>
        <w:t>供应商编制文件须知</w:t>
      </w: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对于竞争性磋商文件中标记了“实质性格式”文件的，供应商</w:t>
      </w:r>
      <w:r>
        <w:rPr>
          <w:rFonts w:hint="eastAsia" w:ascii="宋体" w:hAnsi="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3、全部声明和问题的回答及所附材料必须是真实的、准确的和完整的。</w:t>
      </w:r>
    </w:p>
    <w:p>
      <w:pPr>
        <w:tabs>
          <w:tab w:val="left" w:pos="900"/>
          <w:tab w:val="left" w:pos="1980"/>
        </w:tabs>
        <w:snapToGrid w:val="0"/>
        <w:spacing w:line="360" w:lineRule="auto"/>
        <w:ind w:left="142"/>
        <w:rPr>
          <w:rFonts w:hint="eastAsia" w:ascii="宋体" w:hAnsi="宋体" w:cs="宋体"/>
          <w:sz w:val="24"/>
        </w:rPr>
      </w:pPr>
    </w:p>
    <w:p>
      <w:pPr>
        <w:widowControl/>
        <w:jc w:val="left"/>
        <w:rPr>
          <w:rFonts w:hint="eastAsia" w:ascii="宋体" w:hAnsi="宋体" w:cs="宋体"/>
          <w:sz w:val="24"/>
        </w:rPr>
      </w:pPr>
      <w:r>
        <w:rPr>
          <w:rFonts w:hint="eastAsia" w:ascii="宋体" w:hAnsi="宋体" w:cs="宋体"/>
          <w:sz w:val="24"/>
        </w:rPr>
        <w:br w:type="page"/>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rPr>
          <w:rFonts w:hint="eastAsia" w:ascii="宋体" w:hAnsi="宋体" w:cs="宋体"/>
          <w:b/>
          <w:spacing w:val="20"/>
          <w:szCs w:val="21"/>
        </w:rPr>
      </w:pPr>
    </w:p>
    <w:p>
      <w:pPr>
        <w:rPr>
          <w:rFonts w:hint="eastAsia" w:ascii="宋体" w:hAnsi="宋体" w:cs="宋体"/>
          <w:b/>
          <w:sz w:val="24"/>
        </w:rPr>
      </w:pPr>
      <w:r>
        <w:rPr>
          <w:rFonts w:hint="eastAsia" w:ascii="宋体" w:hAnsi="宋体" w:cs="宋体"/>
          <w:b/>
          <w:spacing w:val="20"/>
          <w:sz w:val="24"/>
        </w:rPr>
        <w:t>响应文件</w:t>
      </w:r>
      <w:r>
        <w:rPr>
          <w:rFonts w:hint="eastAsia" w:ascii="宋体" w:hAnsi="宋体" w:cs="宋体"/>
          <w:b/>
          <w:sz w:val="24"/>
        </w:rPr>
        <w:t>封面（非实质性格式）</w:t>
      </w:r>
    </w:p>
    <w:p>
      <w:pPr>
        <w:jc w:val="center"/>
        <w:rPr>
          <w:rFonts w:hint="eastAsia" w:ascii="宋体" w:hAnsi="宋体" w:cs="宋体"/>
          <w:szCs w:val="21"/>
        </w:rPr>
      </w:pPr>
    </w:p>
    <w:p>
      <w:pPr>
        <w:jc w:val="center"/>
        <w:rPr>
          <w:rFonts w:hint="eastAsia" w:ascii="宋体" w:hAnsi="宋体" w:cs="宋体"/>
          <w:b/>
          <w:spacing w:val="60"/>
          <w:sz w:val="84"/>
          <w:szCs w:val="84"/>
        </w:rPr>
      </w:pPr>
      <w:r>
        <w:rPr>
          <w:rFonts w:hint="eastAsia" w:ascii="宋体" w:hAnsi="宋体" w:cs="宋体"/>
          <w:b/>
          <w:spacing w:val="60"/>
          <w:sz w:val="84"/>
          <w:szCs w:val="84"/>
        </w:rPr>
        <w:t>响 应 文 件</w:t>
      </w:r>
    </w:p>
    <w:p>
      <w:pPr>
        <w:jc w:val="center"/>
        <w:rPr>
          <w:rFonts w:hint="eastAsia" w:ascii="宋体" w:hAnsi="宋体" w:cs="宋体"/>
          <w:b/>
          <w:spacing w:val="60"/>
          <w:sz w:val="52"/>
          <w:szCs w:val="52"/>
        </w:rPr>
      </w:pPr>
    </w:p>
    <w:p>
      <w:pPr>
        <w:ind w:firstLine="542" w:firstLineChars="150"/>
        <w:rPr>
          <w:rFonts w:hint="eastAsia" w:ascii="宋体" w:hAnsi="宋体" w:cs="宋体"/>
          <w:b/>
          <w:spacing w:val="20"/>
          <w:sz w:val="32"/>
          <w:szCs w:val="32"/>
        </w:rPr>
      </w:pPr>
    </w:p>
    <w:p>
      <w:pPr>
        <w:ind w:firstLine="542" w:firstLineChars="150"/>
        <w:rPr>
          <w:rFonts w:hint="eastAsia" w:ascii="宋体" w:hAnsi="宋体" w:cs="宋体"/>
          <w:b/>
          <w:spacing w:val="20"/>
          <w:sz w:val="32"/>
          <w:szCs w:val="32"/>
        </w:rPr>
      </w:pPr>
    </w:p>
    <w:p>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项目编号/包号：</w:t>
      </w:r>
    </w:p>
    <w:p>
      <w:pPr>
        <w:ind w:firstLine="542" w:firstLineChars="150"/>
        <w:rPr>
          <w:rFonts w:hint="eastAsia" w:ascii="宋体" w:hAnsi="宋体" w:cs="宋体"/>
          <w:b/>
          <w:spacing w:val="20"/>
          <w:sz w:val="32"/>
          <w:szCs w:val="32"/>
        </w:rPr>
      </w:pPr>
    </w:p>
    <w:p>
      <w:pPr>
        <w:ind w:firstLine="542" w:firstLineChars="150"/>
        <w:rPr>
          <w:rFonts w:hint="eastAsia" w:ascii="宋体" w:hAnsi="宋体" w:cs="宋体"/>
          <w:b/>
          <w:spacing w:val="20"/>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pacing w:val="20"/>
          <w:sz w:val="32"/>
          <w:szCs w:val="32"/>
        </w:rPr>
      </w:pPr>
    </w:p>
    <w:p>
      <w:pPr>
        <w:jc w:val="center"/>
        <w:rPr>
          <w:rFonts w:hint="eastAsia" w:ascii="宋体" w:hAnsi="宋体" w:cs="宋体"/>
          <w:b/>
          <w:spacing w:val="20"/>
          <w:sz w:val="32"/>
          <w:szCs w:val="32"/>
        </w:rPr>
      </w:pPr>
    </w:p>
    <w:p>
      <w:pPr>
        <w:jc w:val="center"/>
        <w:rPr>
          <w:rFonts w:hint="eastAsia" w:ascii="宋体" w:hAnsi="宋体" w:cs="宋体"/>
          <w:b/>
          <w:spacing w:val="20"/>
          <w:sz w:val="32"/>
          <w:szCs w:val="32"/>
        </w:rPr>
      </w:pPr>
    </w:p>
    <w:p>
      <w:pPr>
        <w:spacing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供应商名称：</w:t>
      </w:r>
    </w:p>
    <w:p>
      <w:pPr>
        <w:jc w:val="center"/>
        <w:rPr>
          <w:rFonts w:hint="eastAsia" w:ascii="宋体" w:hAnsi="宋体" w:cs="宋体"/>
          <w:b/>
          <w:sz w:val="32"/>
          <w:szCs w:val="32"/>
        </w:rPr>
      </w:pPr>
    </w:p>
    <w:p>
      <w:pPr>
        <w:rPr>
          <w:rFonts w:hint="eastAsia" w:ascii="宋体" w:hAnsi="宋体" w:cs="宋体"/>
          <w:b/>
        </w:rPr>
      </w:pPr>
      <w:r>
        <w:rPr>
          <w:rFonts w:hint="eastAsia" w:ascii="宋体" w:hAnsi="宋体" w:cs="宋体"/>
          <w:b/>
          <w:spacing w:val="20"/>
          <w:sz w:val="32"/>
          <w:szCs w:val="32"/>
        </w:rPr>
        <w:br w:type="page"/>
      </w:r>
    </w:p>
    <w:p>
      <w:pPr>
        <w:tabs>
          <w:tab w:val="left" w:pos="360"/>
        </w:tabs>
        <w:snapToGrid w:val="0"/>
        <w:spacing w:line="360" w:lineRule="auto"/>
        <w:outlineLvl w:val="1"/>
        <w:rPr>
          <w:rFonts w:hint="eastAsia" w:ascii="宋体" w:hAnsi="宋体" w:cs="宋体"/>
          <w:sz w:val="24"/>
        </w:rPr>
      </w:pPr>
      <w:r>
        <w:rPr>
          <w:rStyle w:val="84"/>
          <w:rFonts w:hint="eastAsia" w:hAnsi="宋体" w:cs="宋体"/>
        </w:rPr>
        <w:t>满足《中华人民共和国政府采购法》第二十二条规定及法律法规的其他规定：</w:t>
      </w:r>
    </w:p>
    <w:p>
      <w:pPr>
        <w:spacing w:line="360" w:lineRule="auto"/>
        <w:jc w:val="center"/>
        <w:outlineLvl w:val="2"/>
        <w:rPr>
          <w:rFonts w:hint="eastAsia" w:ascii="宋体" w:hAnsi="宋体" w:cs="宋体"/>
          <w:sz w:val="32"/>
          <w:szCs w:val="32"/>
        </w:rPr>
      </w:pPr>
      <w:r>
        <w:rPr>
          <w:rFonts w:hint="eastAsia" w:ascii="宋体" w:hAnsi="宋体" w:cs="宋体"/>
          <w:sz w:val="32"/>
          <w:szCs w:val="32"/>
        </w:rPr>
        <w:t>（营业执照等证明文件）</w:t>
      </w:r>
    </w:p>
    <w:p>
      <w:pPr>
        <w:tabs>
          <w:tab w:val="left" w:pos="1080"/>
        </w:tabs>
        <w:snapToGrid w:val="0"/>
        <w:rPr>
          <w:rFonts w:hint="eastAsia" w:ascii="宋体" w:hAnsi="宋体" w:cs="宋体"/>
          <w:sz w:val="24"/>
        </w:rPr>
      </w:pPr>
    </w:p>
    <w:p>
      <w:pPr>
        <w:widowControl/>
        <w:jc w:val="left"/>
        <w:rPr>
          <w:rStyle w:val="84"/>
          <w:rFonts w:hint="eastAsia" w:hAnsi="宋体" w:cs="宋体"/>
        </w:rPr>
      </w:pPr>
      <w:r>
        <w:rPr>
          <w:rStyle w:val="84"/>
          <w:rFonts w:hint="eastAsia" w:hAnsi="宋体" w:cs="宋体"/>
        </w:rPr>
        <w:t>具有良好的商业信誉和健全的财务会计制度：</w:t>
      </w:r>
    </w:p>
    <w:p>
      <w:pPr>
        <w:widowControl/>
        <w:jc w:val="left"/>
        <w:rPr>
          <w:rFonts w:hint="eastAsia" w:ascii="宋体" w:hAnsi="宋体" w:cs="宋体"/>
          <w:sz w:val="24"/>
        </w:rPr>
      </w:pPr>
    </w:p>
    <w:p>
      <w:pPr>
        <w:widowControl/>
        <w:jc w:val="left"/>
        <w:rPr>
          <w:rFonts w:hint="eastAsia" w:ascii="宋体" w:hAnsi="宋体" w:cs="宋体"/>
          <w:sz w:val="24"/>
        </w:rPr>
      </w:pPr>
    </w:p>
    <w:p>
      <w:pPr>
        <w:widowControl/>
        <w:jc w:val="left"/>
        <w:rPr>
          <w:rFonts w:hint="eastAsia" w:ascii="宋体" w:hAnsi="宋体" w:cs="宋体"/>
          <w:sz w:val="24"/>
        </w:rPr>
      </w:pPr>
      <w:r>
        <w:rPr>
          <w:rFonts w:hint="eastAsia" w:ascii="宋体" w:hAnsi="宋体" w:cs="宋体"/>
          <w:sz w:val="24"/>
          <w:highlight w:val="none"/>
        </w:rPr>
        <w:t>供应商提供本单位</w:t>
      </w:r>
      <w:r>
        <w:rPr>
          <w:rFonts w:hint="eastAsia" w:ascii="宋体" w:hAnsi="宋体" w:cs="宋体"/>
          <w:sz w:val="24"/>
          <w:highlight w:val="none"/>
          <w:lang w:val="en-US" w:eastAsia="zh-CN"/>
        </w:rPr>
        <w:t>2023</w:t>
      </w:r>
      <w:r>
        <w:rPr>
          <w:rFonts w:hint="eastAsia" w:ascii="宋体" w:hAnsi="宋体" w:cs="宋体"/>
          <w:sz w:val="24"/>
          <w:highlight w:val="none"/>
        </w:rPr>
        <w:t>年度经会计师事务所出具的审计报告复印件并加盖供应商公章。如供应商无法提供</w:t>
      </w:r>
      <w:r>
        <w:rPr>
          <w:rFonts w:hint="eastAsia" w:ascii="宋体" w:hAnsi="宋体" w:cs="宋体"/>
          <w:sz w:val="24"/>
          <w:highlight w:val="none"/>
          <w:lang w:val="en-US" w:eastAsia="zh-CN"/>
        </w:rPr>
        <w:t>上述年</w:t>
      </w:r>
      <w:r>
        <w:rPr>
          <w:rFonts w:hint="eastAsia" w:ascii="宋体" w:hAnsi="宋体" w:cs="宋体"/>
          <w:sz w:val="24"/>
          <w:highlight w:val="none"/>
        </w:rPr>
        <w:t>度审计报告，则需提供银行出具的资信证明或提供具有良好的商业信誉和健全的财务会计制度的承诺函（承诺函格式自拟并加盖供应商公章）。</w:t>
      </w:r>
      <w:r>
        <w:rPr>
          <w:rFonts w:hint="eastAsia" w:ascii="宋体" w:hAnsi="宋体" w:cs="宋体"/>
          <w:sz w:val="24"/>
        </w:rPr>
        <w:t>；</w:t>
      </w:r>
    </w:p>
    <w:p>
      <w:pPr>
        <w:widowControl/>
        <w:jc w:val="left"/>
        <w:rPr>
          <w:rFonts w:hint="eastAsia" w:ascii="宋体" w:hAnsi="宋体" w:cs="宋体"/>
          <w:sz w:val="24"/>
        </w:rPr>
      </w:pPr>
    </w:p>
    <w:p>
      <w:pPr>
        <w:widowControl/>
        <w:jc w:val="left"/>
        <w:rPr>
          <w:rFonts w:hint="eastAsia" w:ascii="宋体" w:hAnsi="宋体" w:cs="宋体"/>
          <w:sz w:val="24"/>
        </w:rPr>
      </w:pPr>
    </w:p>
    <w:p>
      <w:pPr>
        <w:widowControl/>
        <w:jc w:val="left"/>
        <w:rPr>
          <w:rStyle w:val="84"/>
          <w:rFonts w:hint="eastAsia" w:hAnsi="宋体" w:cs="宋体"/>
        </w:rPr>
      </w:pPr>
      <w:r>
        <w:rPr>
          <w:rStyle w:val="84"/>
          <w:rFonts w:hint="eastAsia" w:hAnsi="宋体" w:cs="宋体"/>
        </w:rPr>
        <w:t>具有履行合同所必需的设备和专业技术能力：</w:t>
      </w:r>
    </w:p>
    <w:p>
      <w:pPr>
        <w:widowControl/>
        <w:jc w:val="left"/>
        <w:rPr>
          <w:rStyle w:val="84"/>
          <w:rFonts w:hint="eastAsia" w:hAnsi="宋体" w:cs="宋体"/>
        </w:rPr>
      </w:pPr>
    </w:p>
    <w:p>
      <w:pPr>
        <w:widowControl/>
        <w:jc w:val="left"/>
        <w:rPr>
          <w:rStyle w:val="84"/>
          <w:rFonts w:hint="eastAsia" w:hAnsi="宋体" w:cs="宋体"/>
        </w:rPr>
      </w:pPr>
    </w:p>
    <w:p>
      <w:pPr>
        <w:widowControl/>
        <w:jc w:val="left"/>
        <w:rPr>
          <w:rFonts w:hint="eastAsia" w:ascii="宋体" w:hAnsi="宋体" w:cs="宋体"/>
          <w:spacing w:val="-2"/>
          <w:sz w:val="24"/>
        </w:rPr>
      </w:pPr>
      <w:r>
        <w:rPr>
          <w:rFonts w:hint="eastAsia" w:ascii="宋体" w:hAnsi="宋体" w:cs="宋体"/>
          <w:spacing w:val="-2"/>
          <w:sz w:val="24"/>
        </w:rPr>
        <w:t>提供具有履行合同所必需的设备和专业技术能力相关证明材料或承诺函；</w:t>
      </w:r>
    </w:p>
    <w:p>
      <w:pPr>
        <w:widowControl/>
        <w:jc w:val="left"/>
        <w:rPr>
          <w:rFonts w:hint="eastAsia" w:ascii="宋体" w:hAnsi="宋体" w:cs="宋体"/>
          <w:spacing w:val="-2"/>
          <w:sz w:val="24"/>
        </w:rPr>
      </w:pPr>
    </w:p>
    <w:p>
      <w:pPr>
        <w:widowControl/>
        <w:jc w:val="left"/>
        <w:rPr>
          <w:rFonts w:hint="eastAsia" w:ascii="宋体" w:hAnsi="宋体" w:cs="宋体"/>
          <w:spacing w:val="-2"/>
          <w:sz w:val="24"/>
        </w:rPr>
      </w:pPr>
    </w:p>
    <w:p>
      <w:pPr>
        <w:widowControl/>
        <w:jc w:val="left"/>
        <w:rPr>
          <w:rFonts w:hint="eastAsia" w:ascii="宋体" w:hAnsi="宋体" w:cs="宋体"/>
          <w:spacing w:val="-2"/>
          <w:sz w:val="24"/>
        </w:rPr>
      </w:pPr>
    </w:p>
    <w:p>
      <w:pPr>
        <w:widowControl/>
        <w:jc w:val="left"/>
        <w:rPr>
          <w:rStyle w:val="84"/>
          <w:rFonts w:hint="eastAsia" w:hAnsi="宋体" w:cs="宋体"/>
        </w:rPr>
      </w:pPr>
      <w:r>
        <w:rPr>
          <w:rStyle w:val="84"/>
          <w:rFonts w:hint="eastAsia" w:hAnsi="宋体" w:cs="宋体"/>
        </w:rPr>
        <w:t>有依法缴纳税收和社会保障资金的良好记录：</w:t>
      </w:r>
    </w:p>
    <w:p>
      <w:pPr>
        <w:widowControl/>
        <w:jc w:val="left"/>
        <w:rPr>
          <w:rStyle w:val="84"/>
          <w:rFonts w:hint="eastAsia" w:hAnsi="宋体" w:cs="宋体"/>
        </w:rPr>
      </w:pPr>
    </w:p>
    <w:p>
      <w:pPr>
        <w:widowControl/>
        <w:jc w:val="left"/>
        <w:rPr>
          <w:rStyle w:val="84"/>
          <w:rFonts w:hint="eastAsia" w:hAnsi="宋体" w:cs="宋体"/>
        </w:rPr>
      </w:pPr>
    </w:p>
    <w:p>
      <w:pPr>
        <w:widowControl/>
        <w:jc w:val="left"/>
        <w:rPr>
          <w:rFonts w:hint="eastAsia" w:ascii="宋体" w:hAnsi="宋体" w:cs="宋体"/>
          <w:sz w:val="24"/>
        </w:rPr>
      </w:pPr>
      <w:r>
        <w:rPr>
          <w:rFonts w:hint="eastAsia" w:ascii="宋体" w:hAnsi="宋体" w:cs="宋体"/>
          <w:sz w:val="24"/>
        </w:rPr>
        <w:t>提供社会保险登记证或社保机构出具的社保缴纳证明近</w:t>
      </w:r>
      <w:r>
        <w:rPr>
          <w:rFonts w:hint="eastAsia" w:ascii="宋体" w:hAnsi="宋体" w:cs="宋体"/>
          <w:sz w:val="24"/>
          <w:lang w:val="en-US" w:eastAsia="zh-CN"/>
        </w:rPr>
        <w:t>六</w:t>
      </w:r>
      <w:r>
        <w:rPr>
          <w:rFonts w:hint="eastAsia" w:ascii="宋体" w:hAnsi="宋体" w:cs="宋体"/>
          <w:sz w:val="24"/>
        </w:rPr>
        <w:t>个月至今任意一月（202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月至</w:t>
      </w:r>
      <w:r>
        <w:rPr>
          <w:rFonts w:hint="eastAsia" w:ascii="宋体" w:hAnsi="宋体" w:cs="宋体"/>
          <w:sz w:val="24"/>
          <w:lang w:val="en-US" w:eastAsia="zh-CN"/>
        </w:rPr>
        <w:t>2024年5</w:t>
      </w:r>
      <w:r>
        <w:rPr>
          <w:rFonts w:hint="eastAsia" w:ascii="宋体" w:hAnsi="宋体" w:cs="宋体"/>
          <w:sz w:val="24"/>
        </w:rPr>
        <w:t>月，当月新成立公司不需提供）；如无法提供缴纳社会保障资金的记录，则需提供有依法缴纳社会保障资金的承诺函（格式自拟）并加盖本单位公章；</w:t>
      </w:r>
      <w:r>
        <w:rPr>
          <w:rFonts w:hint="eastAsia" w:ascii="宋体" w:hAnsi="宋体" w:cs="宋体"/>
          <w:sz w:val="24"/>
          <w:lang w:val="en-US" w:eastAsia="zh-CN"/>
        </w:rPr>
        <w:t>税务单位</w:t>
      </w:r>
      <w:r>
        <w:rPr>
          <w:rFonts w:hint="eastAsia" w:ascii="宋体" w:hAnsi="宋体" w:cs="宋体"/>
          <w:sz w:val="24"/>
        </w:rPr>
        <w:t>出具的</w:t>
      </w:r>
      <w:r>
        <w:rPr>
          <w:rFonts w:hint="eastAsia" w:ascii="宋体" w:hAnsi="宋体" w:cs="宋体"/>
          <w:sz w:val="24"/>
          <w:lang w:val="en-US" w:eastAsia="zh-CN"/>
        </w:rPr>
        <w:t>纳税</w:t>
      </w:r>
      <w:r>
        <w:rPr>
          <w:rFonts w:hint="eastAsia" w:ascii="宋体" w:hAnsi="宋体" w:cs="宋体"/>
          <w:sz w:val="24"/>
        </w:rPr>
        <w:t>证明近</w:t>
      </w:r>
      <w:r>
        <w:rPr>
          <w:rFonts w:hint="eastAsia" w:ascii="宋体" w:hAnsi="宋体" w:cs="宋体"/>
          <w:sz w:val="24"/>
          <w:lang w:val="en-US" w:eastAsia="zh-CN"/>
        </w:rPr>
        <w:t>六</w:t>
      </w:r>
      <w:r>
        <w:rPr>
          <w:rFonts w:hint="eastAsia" w:ascii="宋体" w:hAnsi="宋体" w:cs="宋体"/>
          <w:sz w:val="24"/>
        </w:rPr>
        <w:t>个月至今任意一月（202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月至</w:t>
      </w:r>
      <w:r>
        <w:rPr>
          <w:rFonts w:hint="eastAsia" w:ascii="宋体" w:hAnsi="宋体" w:cs="宋体"/>
          <w:sz w:val="24"/>
          <w:lang w:val="en-US" w:eastAsia="zh-CN"/>
        </w:rPr>
        <w:t>2024年5</w:t>
      </w:r>
      <w:r>
        <w:rPr>
          <w:rFonts w:hint="eastAsia" w:ascii="宋体" w:hAnsi="宋体" w:cs="宋体"/>
          <w:sz w:val="24"/>
        </w:rPr>
        <w:t>月，当月新成立公司不需提供）如</w:t>
      </w:r>
      <w:r>
        <w:rPr>
          <w:rFonts w:hint="eastAsia" w:ascii="宋体" w:hAnsi="宋体" w:cs="宋体"/>
          <w:color w:val="000000"/>
          <w:sz w:val="24"/>
        </w:rPr>
        <w:t>无法提供纳税证明记录，则需提供依法缴纳税收</w:t>
      </w:r>
      <w:r>
        <w:rPr>
          <w:rFonts w:hint="eastAsia" w:ascii="宋体" w:hAnsi="宋体" w:cs="宋体"/>
          <w:sz w:val="24"/>
        </w:rPr>
        <w:t>的</w:t>
      </w:r>
      <w:r>
        <w:rPr>
          <w:rFonts w:hint="eastAsia" w:ascii="宋体" w:hAnsi="宋体" w:cs="宋体"/>
          <w:color w:val="000000"/>
          <w:sz w:val="24"/>
        </w:rPr>
        <w:t>承诺函（格式自拟）并加盖本单位公章。</w:t>
      </w:r>
    </w:p>
    <w:p>
      <w:pPr>
        <w:widowControl/>
        <w:jc w:val="left"/>
        <w:rPr>
          <w:rFonts w:hint="eastAsia" w:ascii="宋体" w:hAnsi="宋体" w:cs="宋体"/>
          <w:sz w:val="24"/>
        </w:rPr>
      </w:pPr>
    </w:p>
    <w:p>
      <w:pPr>
        <w:widowControl/>
        <w:jc w:val="left"/>
        <w:rPr>
          <w:rFonts w:hint="eastAsia" w:ascii="宋体" w:hAnsi="宋体" w:cs="宋体"/>
          <w:sz w:val="24"/>
        </w:rPr>
      </w:pPr>
    </w:p>
    <w:p>
      <w:pPr>
        <w:widowControl/>
        <w:jc w:val="left"/>
        <w:rPr>
          <w:rStyle w:val="84"/>
          <w:rFonts w:hint="eastAsia" w:hAnsi="宋体" w:cs="宋体"/>
        </w:rPr>
      </w:pPr>
      <w:r>
        <w:rPr>
          <w:rStyle w:val="84"/>
          <w:rFonts w:hint="eastAsia" w:hAnsi="宋体" w:cs="宋体"/>
        </w:rPr>
        <w:t>信用报告：</w:t>
      </w:r>
    </w:p>
    <w:p>
      <w:pPr>
        <w:widowControl/>
        <w:jc w:val="left"/>
        <w:rPr>
          <w:rStyle w:val="84"/>
          <w:rFonts w:hint="eastAsia" w:hAnsi="宋体" w:cs="宋体"/>
        </w:rPr>
      </w:pPr>
    </w:p>
    <w:p>
      <w:pPr>
        <w:widowControl/>
        <w:jc w:val="left"/>
        <w:rPr>
          <w:rStyle w:val="84"/>
          <w:rFonts w:hint="eastAsia" w:hAnsi="宋体" w:cs="宋体"/>
        </w:rPr>
      </w:pPr>
      <w:r>
        <w:rPr>
          <w:rFonts w:hint="eastAsia" w:ascii="宋体" w:hAnsi="宋体" w:cs="宋体"/>
          <w:bCs/>
          <w:kern w:val="0"/>
          <w:sz w:val="24"/>
        </w:rPr>
        <w:t>通过“信用中国”网站（www.creditchina.gov.cn）和中国政府采购网（www.ccgp.gov.cn）查询信用记录（截止时间点为投标截止时间），未被列入失信被执行人、重大税收违法案件当事人名单或政府采购严重违法失信行为记录名单的供应商；</w:t>
      </w:r>
    </w:p>
    <w:p>
      <w:pPr>
        <w:widowControl/>
        <w:jc w:val="left"/>
        <w:rPr>
          <w:rFonts w:hint="eastAsia" w:ascii="宋体" w:hAnsi="宋体" w:cs="宋体"/>
          <w:bCs/>
        </w:rPr>
      </w:pPr>
      <w:r>
        <w:rPr>
          <w:rFonts w:hint="eastAsia" w:ascii="宋体" w:hAnsi="宋体" w:cs="宋体"/>
          <w:sz w:val="24"/>
        </w:rPr>
        <w:br w:type="page"/>
      </w:r>
      <w:r>
        <w:rPr>
          <w:rFonts w:hint="eastAsia" w:ascii="宋体" w:hAnsi="宋体" w:cs="宋体"/>
          <w:b/>
          <w:kern w:val="44"/>
          <w:sz w:val="32"/>
          <w:szCs w:val="20"/>
        </w:rPr>
        <w:t>供应商资格声明书（实质性格式）</w:t>
      </w:r>
    </w:p>
    <w:p>
      <w:pPr>
        <w:jc w:val="center"/>
        <w:rPr>
          <w:rFonts w:hint="eastAsia" w:ascii="宋体" w:hAnsi="宋体" w:cs="宋体"/>
          <w:b/>
          <w:sz w:val="36"/>
          <w:szCs w:val="36"/>
        </w:rPr>
      </w:pPr>
      <w:r>
        <w:rPr>
          <w:rFonts w:hint="eastAsia" w:ascii="宋体" w:hAnsi="宋体" w:cs="宋体"/>
          <w:b/>
          <w:sz w:val="36"/>
          <w:szCs w:val="36"/>
        </w:rPr>
        <w:t>供应商资格声明书</w:t>
      </w:r>
    </w:p>
    <w:p>
      <w:pPr>
        <w:tabs>
          <w:tab w:val="left" w:pos="5580"/>
        </w:tabs>
        <w:spacing w:line="360" w:lineRule="auto"/>
        <w:rPr>
          <w:rFonts w:hint="eastAsia" w:ascii="宋体" w:hAnsi="宋体" w:cs="宋体"/>
          <w:sz w:val="24"/>
        </w:rPr>
      </w:pPr>
    </w:p>
    <w:p>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spacing w:line="360" w:lineRule="auto"/>
        <w:ind w:firstLine="480" w:firstLineChars="200"/>
        <w:rPr>
          <w:rFonts w:hint="eastAsia" w:ascii="宋体" w:hAnsi="宋体" w:cs="宋体"/>
          <w:sz w:val="24"/>
        </w:rPr>
      </w:pPr>
      <w:r>
        <w:rPr>
          <w:rFonts w:hint="eastAsia" w:ascii="宋体" w:hAnsi="宋体" w:cs="宋体"/>
          <w:sz w:val="24"/>
        </w:rPr>
        <w:t>在参与本次项目磋商中，我单位承诺：</w:t>
      </w:r>
    </w:p>
    <w:p>
      <w:pPr>
        <w:numPr>
          <w:ilvl w:val="0"/>
          <w:numId w:val="17"/>
        </w:numPr>
        <w:spacing w:line="360" w:lineRule="auto"/>
        <w:ind w:left="1140"/>
        <w:rPr>
          <w:rFonts w:hint="eastAsia" w:ascii="宋体" w:hAnsi="宋体" w:cs="宋体"/>
          <w:sz w:val="24"/>
          <w:szCs w:val="22"/>
        </w:rPr>
      </w:pPr>
      <w:r>
        <w:rPr>
          <w:rFonts w:hint="eastAsia" w:ascii="宋体" w:hAnsi="宋体" w:cs="宋体"/>
          <w:sz w:val="24"/>
          <w:szCs w:val="22"/>
        </w:rPr>
        <w:t>具有良好的商业信誉和健全的财务会计制度；</w:t>
      </w:r>
    </w:p>
    <w:p>
      <w:pPr>
        <w:numPr>
          <w:ilvl w:val="0"/>
          <w:numId w:val="17"/>
        </w:numPr>
        <w:spacing w:line="360" w:lineRule="auto"/>
        <w:ind w:left="1140"/>
        <w:rPr>
          <w:rFonts w:hint="eastAsia" w:ascii="宋体" w:hAnsi="宋体" w:cs="宋体"/>
          <w:sz w:val="24"/>
          <w:szCs w:val="22"/>
        </w:rPr>
      </w:pPr>
      <w:r>
        <w:rPr>
          <w:rFonts w:hint="eastAsia" w:ascii="宋体" w:hAnsi="宋体" w:cs="宋体"/>
          <w:sz w:val="24"/>
          <w:szCs w:val="22"/>
        </w:rPr>
        <w:t>具有履行合同所必需的设备和专业技术能力；</w:t>
      </w:r>
    </w:p>
    <w:p>
      <w:pPr>
        <w:numPr>
          <w:ilvl w:val="0"/>
          <w:numId w:val="17"/>
        </w:numPr>
        <w:spacing w:line="360" w:lineRule="auto"/>
        <w:ind w:left="1140"/>
        <w:rPr>
          <w:rFonts w:hint="eastAsia" w:ascii="宋体" w:hAnsi="宋体" w:cs="宋体"/>
          <w:sz w:val="24"/>
          <w:szCs w:val="22"/>
        </w:rPr>
      </w:pPr>
      <w:r>
        <w:rPr>
          <w:rFonts w:hint="eastAsia" w:ascii="宋体" w:hAnsi="宋体" w:cs="宋体"/>
          <w:sz w:val="24"/>
          <w:szCs w:val="22"/>
        </w:rPr>
        <w:t>有依法缴纳税收和社会保障资金的良好记录；</w:t>
      </w:r>
    </w:p>
    <w:p>
      <w:pPr>
        <w:numPr>
          <w:ilvl w:val="0"/>
          <w:numId w:val="17"/>
        </w:numPr>
        <w:spacing w:line="360" w:lineRule="auto"/>
        <w:ind w:left="1140"/>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7"/>
        </w:numPr>
        <w:spacing w:line="360" w:lineRule="auto"/>
        <w:ind w:left="1140"/>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pPr>
        <w:numPr>
          <w:ilvl w:val="0"/>
          <w:numId w:val="17"/>
        </w:numPr>
        <w:spacing w:line="360" w:lineRule="auto"/>
        <w:ind w:left="1140"/>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pPr>
        <w:numPr>
          <w:ilvl w:val="0"/>
          <w:numId w:val="17"/>
        </w:numPr>
        <w:spacing w:line="360" w:lineRule="auto"/>
        <w:ind w:left="1140"/>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cs="宋体"/>
                <w:sz w:val="24"/>
              </w:rPr>
            </w:pPr>
            <w:r>
              <w:rPr>
                <w:rFonts w:hint="eastAsia" w:ascii="宋体" w:hAnsi="宋体" w:cs="宋体"/>
                <w:sz w:val="24"/>
              </w:rPr>
              <w:t>序号</w:t>
            </w:r>
          </w:p>
        </w:tc>
        <w:tc>
          <w:tcPr>
            <w:tcW w:w="4574" w:type="dxa"/>
            <w:noWrap w:val="0"/>
            <w:vAlign w:val="center"/>
          </w:tcPr>
          <w:p>
            <w:pPr>
              <w:jc w:val="center"/>
              <w:rPr>
                <w:rFonts w:hint="eastAsia" w:ascii="宋体" w:hAnsi="宋体" w:cs="宋体"/>
                <w:sz w:val="24"/>
              </w:rPr>
            </w:pPr>
            <w:r>
              <w:rPr>
                <w:rFonts w:hint="eastAsia" w:ascii="宋体" w:hAnsi="宋体" w:cs="宋体"/>
                <w:sz w:val="24"/>
              </w:rPr>
              <w:t>单位名称</w:t>
            </w:r>
          </w:p>
        </w:tc>
        <w:tc>
          <w:tcPr>
            <w:tcW w:w="2976" w:type="dxa"/>
            <w:noWrap w:val="0"/>
            <w:vAlign w:val="center"/>
          </w:tcPr>
          <w:p>
            <w:pPr>
              <w:jc w:val="center"/>
              <w:rPr>
                <w:rFonts w:hint="eastAsia" w:ascii="宋体" w:hAnsi="宋体" w:cs="宋体"/>
                <w:sz w:val="24"/>
              </w:rPr>
            </w:pPr>
            <w:r>
              <w:rPr>
                <w:rFonts w:hint="eastAsia" w:ascii="宋体" w:hAnsi="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cs="宋体"/>
                <w:sz w:val="24"/>
              </w:rPr>
            </w:pPr>
            <w:r>
              <w:rPr>
                <w:rFonts w:hint="eastAsia" w:ascii="宋体" w:hAnsi="宋体" w:cs="宋体"/>
                <w:sz w:val="24"/>
              </w:rPr>
              <w:t>1</w:t>
            </w:r>
          </w:p>
        </w:tc>
        <w:tc>
          <w:tcPr>
            <w:tcW w:w="4574" w:type="dxa"/>
            <w:noWrap w:val="0"/>
            <w:vAlign w:val="center"/>
          </w:tcPr>
          <w:p>
            <w:pPr>
              <w:jc w:val="center"/>
              <w:rPr>
                <w:rFonts w:hint="eastAsia" w:ascii="宋体" w:hAnsi="宋体" w:cs="宋体"/>
                <w:sz w:val="24"/>
              </w:rPr>
            </w:pPr>
          </w:p>
        </w:tc>
        <w:tc>
          <w:tcPr>
            <w:tcW w:w="2976" w:type="dxa"/>
            <w:noWrap w:val="0"/>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cs="宋体"/>
                <w:sz w:val="24"/>
              </w:rPr>
            </w:pPr>
            <w:r>
              <w:rPr>
                <w:rFonts w:hint="eastAsia" w:ascii="宋体" w:hAnsi="宋体" w:cs="宋体"/>
                <w:sz w:val="24"/>
              </w:rPr>
              <w:t>2</w:t>
            </w:r>
          </w:p>
        </w:tc>
        <w:tc>
          <w:tcPr>
            <w:tcW w:w="4574" w:type="dxa"/>
            <w:noWrap w:val="0"/>
            <w:vAlign w:val="center"/>
          </w:tcPr>
          <w:p>
            <w:pPr>
              <w:jc w:val="center"/>
              <w:rPr>
                <w:rFonts w:hint="eastAsia" w:ascii="宋体" w:hAnsi="宋体" w:cs="宋体"/>
                <w:sz w:val="24"/>
              </w:rPr>
            </w:pPr>
          </w:p>
        </w:tc>
        <w:tc>
          <w:tcPr>
            <w:tcW w:w="2976" w:type="dxa"/>
            <w:noWrap w:val="0"/>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cs="宋体"/>
                <w:sz w:val="24"/>
              </w:rPr>
            </w:pPr>
            <w:r>
              <w:rPr>
                <w:rFonts w:hint="eastAsia" w:ascii="宋体" w:hAnsi="宋体" w:cs="宋体"/>
                <w:sz w:val="24"/>
              </w:rPr>
              <w:t>…</w:t>
            </w:r>
          </w:p>
        </w:tc>
        <w:tc>
          <w:tcPr>
            <w:tcW w:w="4574" w:type="dxa"/>
            <w:noWrap w:val="0"/>
            <w:vAlign w:val="center"/>
          </w:tcPr>
          <w:p>
            <w:pPr>
              <w:jc w:val="center"/>
              <w:rPr>
                <w:rFonts w:hint="eastAsia" w:ascii="宋体" w:hAnsi="宋体" w:cs="宋体"/>
                <w:sz w:val="24"/>
              </w:rPr>
            </w:pPr>
          </w:p>
        </w:tc>
        <w:tc>
          <w:tcPr>
            <w:tcW w:w="2976" w:type="dxa"/>
            <w:noWrap w:val="0"/>
            <w:vAlign w:val="center"/>
          </w:tcPr>
          <w:p>
            <w:pPr>
              <w:jc w:val="center"/>
              <w:rPr>
                <w:rFonts w:hint="eastAsia" w:ascii="宋体" w:hAnsi="宋体" w:cs="宋体"/>
                <w:sz w:val="24"/>
              </w:rPr>
            </w:pPr>
          </w:p>
        </w:tc>
      </w:tr>
    </w:tbl>
    <w:p>
      <w:pPr>
        <w:rPr>
          <w:rFonts w:hint="eastAsia" w:ascii="宋体" w:hAnsi="宋体" w:cs="宋体"/>
        </w:rPr>
      </w:pPr>
    </w:p>
    <w:p>
      <w:pPr>
        <w:ind w:firstLine="480" w:firstLineChars="200"/>
        <w:rPr>
          <w:rFonts w:hint="eastAsia" w:ascii="宋体" w:hAnsi="宋体" w:cs="宋体"/>
          <w:sz w:val="24"/>
          <w:szCs w:val="22"/>
        </w:rPr>
      </w:pPr>
      <w:r>
        <w:rPr>
          <w:rFonts w:hint="eastAsia" w:ascii="宋体" w:hAnsi="宋体" w:cs="宋体"/>
          <w:sz w:val="24"/>
        </w:rPr>
        <w:t>上述声明真实有效，否则我方负全部责任。</w:t>
      </w:r>
    </w:p>
    <w:p>
      <w:pPr>
        <w:spacing w:line="360" w:lineRule="auto"/>
        <w:rPr>
          <w:rFonts w:hint="eastAsia" w:ascii="宋体" w:hAnsi="宋体" w:cs="宋体"/>
          <w:sz w:val="24"/>
        </w:rPr>
      </w:pPr>
    </w:p>
    <w:p>
      <w:pPr>
        <w:autoSpaceDE w:val="0"/>
        <w:autoSpaceDN w:val="0"/>
        <w:adjustRightInd w:val="0"/>
        <w:snapToGrid w:val="0"/>
        <w:spacing w:before="25" w:after="25" w:line="360" w:lineRule="auto"/>
        <w:ind w:right="360"/>
        <w:jc w:val="righ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pPr>
        <w:spacing w:line="360" w:lineRule="auto"/>
        <w:ind w:right="360" w:firstLine="480"/>
        <w:jc w:val="right"/>
        <w:rPr>
          <w:rFonts w:hint="eastAsia" w:ascii="宋体" w:hAnsi="宋体" w:cs="宋体"/>
          <w:sz w:val="24"/>
        </w:rPr>
      </w:pPr>
      <w:r>
        <w:rPr>
          <w:rFonts w:hint="eastAsia" w:ascii="宋体" w:hAnsi="宋体" w:cs="宋体"/>
          <w:sz w:val="24"/>
          <w:szCs w:val="20"/>
        </w:rPr>
        <w:t xml:space="preserve">日期：____年____月____日   </w:t>
      </w:r>
    </w:p>
    <w:p>
      <w:pPr>
        <w:spacing w:line="360" w:lineRule="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pPr>
        <w:tabs>
          <w:tab w:val="left" w:pos="5580"/>
        </w:tabs>
        <w:spacing w:line="360" w:lineRule="auto"/>
        <w:rPr>
          <w:rFonts w:hint="eastAsia" w:ascii="宋体" w:hAnsi="宋体" w:cs="宋体"/>
          <w:sz w:val="24"/>
        </w:rPr>
        <w:sectPr>
          <w:headerReference r:id="rId13" w:type="first"/>
          <w:footerReference r:id="rId15" w:type="first"/>
          <w:headerReference r:id="rId12" w:type="even"/>
          <w:footerReference r:id="rId14" w:type="even"/>
          <w:pgSz w:w="11907" w:h="16840"/>
          <w:pgMar w:top="1440" w:right="1080" w:bottom="1440" w:left="1080" w:header="851" w:footer="851" w:gutter="0"/>
          <w:pgNumType w:fmt="decimal"/>
          <w:cols w:space="720" w:num="1"/>
          <w:docGrid w:linePitch="462" w:charSpace="0"/>
        </w:sectPr>
      </w:pPr>
    </w:p>
    <w:p>
      <w:pPr>
        <w:tabs>
          <w:tab w:val="left" w:pos="360"/>
        </w:tabs>
        <w:snapToGrid w:val="0"/>
        <w:spacing w:line="360" w:lineRule="auto"/>
        <w:jc w:val="left"/>
        <w:outlineLvl w:val="1"/>
        <w:rPr>
          <w:rFonts w:hint="eastAsia" w:ascii="宋体" w:hAnsi="宋体" w:cs="宋体"/>
          <w:sz w:val="24"/>
        </w:rPr>
      </w:pPr>
      <w:r>
        <w:rPr>
          <w:rFonts w:hint="eastAsia" w:ascii="宋体" w:hAnsi="宋体" w:cs="宋体"/>
          <w:b/>
          <w:kern w:val="44"/>
          <w:sz w:val="32"/>
          <w:szCs w:val="20"/>
        </w:rPr>
        <w:t>落实政府采购政策需满足的资格要求</w:t>
      </w:r>
    </w:p>
    <w:p>
      <w:pPr>
        <w:spacing w:line="360" w:lineRule="auto"/>
        <w:jc w:val="center"/>
        <w:outlineLvl w:val="2"/>
        <w:rPr>
          <w:rFonts w:hint="eastAsia" w:ascii="宋体" w:hAnsi="宋体" w:eastAsia="宋体" w:cs="宋体"/>
          <w:b/>
          <w:bCs/>
          <w:color w:val="000000"/>
          <w:sz w:val="32"/>
          <w:szCs w:val="22"/>
        </w:rPr>
      </w:pPr>
      <w:r>
        <w:rPr>
          <w:rFonts w:hint="eastAsia" w:ascii="宋体" w:hAnsi="宋体" w:eastAsia="宋体" w:cs="宋体"/>
          <w:b/>
          <w:bCs/>
          <w:color w:val="000000"/>
          <w:sz w:val="32"/>
          <w:szCs w:val="22"/>
        </w:rPr>
        <w:t>中小企业声明函</w:t>
      </w:r>
    </w:p>
    <w:p>
      <w:pPr>
        <w:tabs>
          <w:tab w:val="left" w:pos="5580"/>
        </w:tabs>
        <w:spacing w:line="360" w:lineRule="auto"/>
        <w:rPr>
          <w:rFonts w:hint="eastAsia" w:ascii="宋体" w:hAnsi="宋体" w:eastAsia="宋体" w:cs="宋体"/>
          <w:sz w:val="24"/>
        </w:rPr>
      </w:pP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说明：</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（1）如本项目（包）不专门面向中小企业预留采购份额，资格证明文件部分无需提供《中小企业声明函》。</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（2）如本项目（包）专门面向中小/小微企业采购，须提供《中小企业声明函》</w:t>
      </w:r>
      <w:r>
        <w:rPr>
          <w:rFonts w:hint="eastAsia" w:ascii="宋体" w:hAnsi="宋体" w:eastAsia="宋体" w:cs="宋体"/>
          <w:color w:val="000000"/>
          <w:sz w:val="24"/>
          <w:szCs w:val="20"/>
        </w:rPr>
        <w:t>（实质性格式）</w:t>
      </w:r>
      <w:r>
        <w:rPr>
          <w:rFonts w:hint="eastAsia" w:ascii="宋体" w:hAnsi="宋体" w:eastAsia="宋体" w:cs="宋体"/>
          <w:sz w:val="24"/>
        </w:rPr>
        <w:t>。</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（3）如本项目（包）预留部分采购项目预算专门面向中小企业采购，要求</w:t>
      </w:r>
      <w:r>
        <w:rPr>
          <w:rFonts w:hint="eastAsia" w:ascii="宋体" w:hAnsi="宋体" w:cs="宋体"/>
          <w:sz w:val="24"/>
          <w:lang w:eastAsia="zh-CN"/>
        </w:rPr>
        <w:t>投标人</w:t>
      </w:r>
      <w:r>
        <w:rPr>
          <w:rFonts w:hint="eastAsia" w:ascii="宋体" w:hAnsi="宋体" w:eastAsia="宋体" w:cs="宋体"/>
          <w:sz w:val="24"/>
        </w:rPr>
        <w:t>以联合体形式参加采购活动，且联合体中中小企业承担的部分达到一定比例的，须提供《联合协议》；要求获得采购合同的</w:t>
      </w:r>
      <w:r>
        <w:rPr>
          <w:rFonts w:hint="eastAsia" w:ascii="宋体" w:hAnsi="宋体" w:cs="宋体"/>
          <w:sz w:val="24"/>
          <w:lang w:eastAsia="zh-CN"/>
        </w:rPr>
        <w:t>投标人</w:t>
      </w:r>
      <w:r>
        <w:rPr>
          <w:rFonts w:hint="eastAsia" w:ascii="宋体" w:hAnsi="宋体" w:eastAsia="宋体" w:cs="宋体"/>
          <w:sz w:val="24"/>
        </w:rPr>
        <w:t>将采购项目中的一定比例分包给一家或者多家中小企业的，须提供《</w:t>
      </w:r>
      <w:r>
        <w:rPr>
          <w:rFonts w:hint="eastAsia" w:ascii="宋体" w:hAnsi="宋体" w:eastAsia="宋体" w:cs="宋体"/>
          <w:sz w:val="24"/>
          <w:lang w:val="en-US" w:eastAsia="zh-CN"/>
        </w:rPr>
        <w:t>分包意向</w:t>
      </w:r>
      <w:r>
        <w:rPr>
          <w:rFonts w:hint="eastAsia" w:ascii="宋体" w:hAnsi="宋体" w:cs="宋体"/>
          <w:sz w:val="24"/>
          <w:lang w:val="en-US" w:eastAsia="zh-CN"/>
        </w:rPr>
        <w:t>协议</w:t>
      </w:r>
      <w:r>
        <w:rPr>
          <w:rFonts w:hint="eastAsia" w:ascii="宋体" w:hAnsi="宋体" w:eastAsia="宋体" w:cs="宋体"/>
          <w:sz w:val="24"/>
        </w:rPr>
        <w:t>》。</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（4）其他</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2）对于联合体中由中小企业承担的部分，或者分包给中小企业的部分，必须全部由中小企业制造、承建或者承接。</w:t>
      </w:r>
      <w:r>
        <w:rPr>
          <w:rFonts w:hint="eastAsia" w:ascii="宋体" w:hAnsi="宋体" w:cs="宋体"/>
          <w:sz w:val="24"/>
          <w:lang w:eastAsia="zh-CN"/>
        </w:rPr>
        <w:t>投标人</w:t>
      </w:r>
      <w:r>
        <w:rPr>
          <w:rFonts w:hint="eastAsia" w:ascii="宋体" w:hAnsi="宋体" w:eastAsia="宋体" w:cs="宋体"/>
          <w:sz w:val="24"/>
        </w:rPr>
        <w:t>应当在声明函“项目名称”部分标明联合体中中小企业承担的具体内容或者中小企业的具体分包内容。</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3）对于多标的的采购项目，投标人应充分、准确地了解所投产品制造企业信息。对相关情况了解不清楚的，不建议填报本声明函。</w:t>
      </w:r>
    </w:p>
    <w:p>
      <w:pPr>
        <w:tabs>
          <w:tab w:val="left" w:pos="5580"/>
        </w:tabs>
        <w:spacing w:line="360" w:lineRule="auto"/>
        <w:rPr>
          <w:rFonts w:hint="eastAsia" w:ascii="宋体" w:hAnsi="宋体" w:eastAsia="宋体" w:cs="宋体"/>
          <w:sz w:val="24"/>
        </w:rPr>
        <w:sectPr>
          <w:headerReference r:id="rId17" w:type="first"/>
          <w:footerReference r:id="rId19" w:type="first"/>
          <w:headerReference r:id="rId16" w:type="even"/>
          <w:footerReference r:id="rId18" w:type="even"/>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tabs>
          <w:tab w:val="left" w:pos="5580"/>
        </w:tabs>
        <w:spacing w:line="360" w:lineRule="auto"/>
        <w:rPr>
          <w:rFonts w:hint="eastAsia" w:ascii="宋体" w:hAnsi="宋体" w:eastAsia="宋体" w:cs="宋体"/>
          <w:b/>
          <w:kern w:val="44"/>
          <w:sz w:val="32"/>
          <w:szCs w:val="20"/>
          <w:highlight w:val="none"/>
        </w:rPr>
      </w:pPr>
      <w:r>
        <w:rPr>
          <w:rFonts w:hint="eastAsia" w:ascii="宋体" w:hAnsi="宋体" w:eastAsia="宋体" w:cs="宋体"/>
          <w:b/>
          <w:bCs/>
          <w:sz w:val="32"/>
          <w:szCs w:val="32"/>
          <w:highlight w:val="none"/>
        </w:rPr>
        <w:t>中小微企业划型标准</w:t>
      </w:r>
    </w:p>
    <w:p>
      <w:pPr>
        <w:pStyle w:val="35"/>
        <w:rPr>
          <w:rFonts w:hint="eastAsia"/>
        </w:rPr>
      </w:pPr>
    </w:p>
    <w:tbl>
      <w:tblPr>
        <w:tblStyle w:val="46"/>
        <w:tblW w:w="14496" w:type="dxa"/>
        <w:jc w:val="center"/>
        <w:tblLayout w:type="fixed"/>
        <w:tblCellMar>
          <w:top w:w="0" w:type="dxa"/>
          <w:left w:w="108" w:type="dxa"/>
          <w:bottom w:w="0" w:type="dxa"/>
          <w:right w:w="108" w:type="dxa"/>
        </w:tblCellMar>
      </w:tblPr>
      <w:tblGrid>
        <w:gridCol w:w="4422"/>
        <w:gridCol w:w="2388"/>
        <w:gridCol w:w="1445"/>
        <w:gridCol w:w="2639"/>
        <w:gridCol w:w="2166"/>
        <w:gridCol w:w="1436"/>
      </w:tblGrid>
      <w:tr>
        <w:tblPrEx>
          <w:tblCellMar>
            <w:top w:w="0" w:type="dxa"/>
            <w:left w:w="108" w:type="dxa"/>
            <w:bottom w:w="0" w:type="dxa"/>
            <w:right w:w="108" w:type="dxa"/>
          </w:tblCellMar>
        </w:tblPrEx>
        <w:trPr>
          <w:trHeight w:val="362" w:hRule="atLeast"/>
          <w:jc w:val="center"/>
        </w:trPr>
        <w:tc>
          <w:tcPr>
            <w:tcW w:w="44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2388"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45"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2639"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2166"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436"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tblPrEx>
          <w:tblCellMar>
            <w:top w:w="0" w:type="dxa"/>
            <w:left w:w="108" w:type="dxa"/>
            <w:bottom w:w="0" w:type="dxa"/>
            <w:right w:w="108" w:type="dxa"/>
          </w:tblCellMar>
        </w:tblPrEx>
        <w:trPr>
          <w:trHeight w:val="90" w:hRule="atLeast"/>
          <w:jc w:val="center"/>
        </w:trPr>
        <w:tc>
          <w:tcPr>
            <w:tcW w:w="4422" w:type="dxa"/>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工业（包括采矿业，制造业，电力、热力、燃气及水生产和供应业）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tblPrEx>
          <w:tblCellMar>
            <w:top w:w="0" w:type="dxa"/>
            <w:left w:w="108" w:type="dxa"/>
            <w:bottom w:w="0" w:type="dxa"/>
            <w:right w:w="108" w:type="dxa"/>
          </w:tblCellMar>
        </w:tblPrEx>
        <w:trPr>
          <w:trHeight w:val="488"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交通运输业（不含铁路运输业）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信息传输业（包括电信、互联网和相关服务）</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tblPrEx>
          <w:tblCellMar>
            <w:top w:w="0" w:type="dxa"/>
            <w:left w:w="108" w:type="dxa"/>
            <w:bottom w:w="0" w:type="dxa"/>
            <w:right w:w="108" w:type="dxa"/>
          </w:tblCellMar>
        </w:tblPrEx>
        <w:trPr>
          <w:trHeight w:val="623"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tblPrEx>
          <w:tblCellMar>
            <w:top w:w="0" w:type="dxa"/>
            <w:left w:w="108" w:type="dxa"/>
            <w:bottom w:w="0" w:type="dxa"/>
            <w:right w:w="108" w:type="dxa"/>
          </w:tblCellMar>
        </w:tblPrEx>
        <w:trPr>
          <w:trHeight w:val="488"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tblPrEx>
          <w:tblCellMar>
            <w:top w:w="0" w:type="dxa"/>
            <w:left w:w="108" w:type="dxa"/>
            <w:bottom w:w="0" w:type="dxa"/>
            <w:right w:w="108" w:type="dxa"/>
          </w:tblCellMar>
        </w:tblPrEx>
        <w:trPr>
          <w:trHeight w:val="488"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tblPrEx>
          <w:tblCellMar>
            <w:top w:w="0" w:type="dxa"/>
            <w:left w:w="108" w:type="dxa"/>
            <w:bottom w:w="0" w:type="dxa"/>
            <w:right w:w="108" w:type="dxa"/>
          </w:tblCellMar>
        </w:tblPrEx>
        <w:trPr>
          <w:trHeight w:val="327"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tblPrEx>
          <w:tblCellMar>
            <w:top w:w="0" w:type="dxa"/>
            <w:left w:w="108" w:type="dxa"/>
            <w:bottom w:w="0" w:type="dxa"/>
            <w:right w:w="108" w:type="dxa"/>
          </w:tblCellMar>
        </w:tblPrEx>
        <w:trPr>
          <w:trHeight w:val="327" w:hRule="atLeast"/>
          <w:jc w:val="center"/>
        </w:trPr>
        <w:tc>
          <w:tcPr>
            <w:tcW w:w="4422"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488" w:hRule="atLeast"/>
          <w:jc w:val="center"/>
        </w:trPr>
        <w:tc>
          <w:tcPr>
            <w:tcW w:w="4422"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1721" w:hRule="atLeast"/>
          <w:jc w:val="center"/>
        </w:trPr>
        <w:tc>
          <w:tcPr>
            <w:tcW w:w="4422" w:type="dxa"/>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其他未列明行业（包括科学研究和技术服务业，水利、环境和公共设施管理业，居民服务、修理和其他服务业，社会工作，文化、体育和娱乐业等）</w:t>
            </w:r>
          </w:p>
        </w:tc>
        <w:tc>
          <w:tcPr>
            <w:tcW w:w="2388"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45"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639"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21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43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pPr>
        <w:spacing w:before="240" w:beforeLines="100" w:after="240" w:afterLines="100" w:line="360" w:lineRule="auto"/>
        <w:jc w:val="center"/>
        <w:rPr>
          <w:rFonts w:hint="eastAsia" w:ascii="宋体" w:hAnsi="宋体" w:eastAsia="宋体" w:cs="宋体"/>
          <w:color w:val="auto"/>
          <w:sz w:val="24"/>
          <w:szCs w:val="24"/>
          <w:highlight w:val="none"/>
          <w:lang w:eastAsia="zh-CN"/>
        </w:rPr>
        <w:sectPr>
          <w:pgSz w:w="16840" w:h="11907" w:orient="landscape"/>
          <w:pgMar w:top="1701" w:right="1418" w:bottom="1134" w:left="1418" w:header="851" w:footer="851" w:gutter="0"/>
          <w:pgNumType w:fmt="decimal"/>
          <w:cols w:space="720" w:num="1"/>
          <w:docGrid w:linePitch="462" w:charSpace="0"/>
        </w:sect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eastAsia="宋体" w:cs="宋体"/>
          <w:color w:val="auto"/>
          <w:sz w:val="24"/>
          <w:szCs w:val="24"/>
          <w:highlight w:val="none"/>
          <w:lang w:eastAsia="zh-CN"/>
        </w:rPr>
        <w:t>。</w:t>
      </w:r>
    </w:p>
    <w:p>
      <w:pPr>
        <w:spacing w:before="240" w:beforeLines="100" w:after="240" w:afterLines="100" w:line="360" w:lineRule="auto"/>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中小企业声明函（货物）格式</w:t>
      </w:r>
    </w:p>
    <w:p>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r>
        <w:rPr>
          <w:rFonts w:hint="eastAsia" w:ascii="宋体" w:hAnsi="宋体" w:eastAsia="宋体" w:cs="宋体"/>
          <w:color w:val="auto"/>
          <w:spacing w:val="6"/>
          <w:sz w:val="24"/>
          <w:highlight w:val="none"/>
          <w:u w:val="single"/>
        </w:rPr>
        <w:t xml:space="preserve"> （标的名称） </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w:t>
      </w:r>
      <w:r>
        <w:rPr>
          <w:rFonts w:hint="eastAsia" w:ascii="宋体" w:hAnsi="宋体" w:eastAsia="宋体" w:cs="宋体"/>
          <w:color w:val="auto"/>
          <w:spacing w:val="6"/>
          <w:sz w:val="24"/>
          <w:highlight w:val="none"/>
          <w:u w:val="single"/>
          <w:lang w:val="en-US" w:eastAsia="zh-CN"/>
        </w:rPr>
        <w:t>采购</w:t>
      </w:r>
      <w:r>
        <w:rPr>
          <w:rFonts w:hint="eastAsia" w:ascii="宋体" w:hAnsi="宋体" w:eastAsia="宋体" w:cs="宋体"/>
          <w:color w:val="auto"/>
          <w:spacing w:val="6"/>
          <w:sz w:val="24"/>
          <w:highlight w:val="none"/>
          <w:u w:val="single"/>
        </w:rPr>
        <w:t>文件中明确的所属行业）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，从业人员______人，营业收入为______万元，资产总额为______万元</w:t>
      </w:r>
      <w:r>
        <w:rPr>
          <w:rFonts w:hint="eastAsia" w:ascii="宋体" w:hAnsi="宋体" w:eastAsia="宋体" w:cs="宋体"/>
          <w:color w:val="auto"/>
          <w:spacing w:val="6"/>
          <w:sz w:val="24"/>
          <w:highlight w:val="none"/>
          <w:vertAlign w:val="superscript"/>
        </w:rPr>
        <w:t>1</w:t>
      </w:r>
      <w:r>
        <w:rPr>
          <w:rFonts w:hint="eastAsia" w:ascii="宋体" w:hAnsi="宋体" w:eastAsia="宋体" w:cs="宋体"/>
          <w:color w:val="auto"/>
          <w:spacing w:val="6"/>
          <w:sz w:val="24"/>
          <w:highlight w:val="none"/>
        </w:rPr>
        <w:t>，属于（中型企业、小型企业、微型企业）；</w:t>
      </w:r>
    </w:p>
    <w:p>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2. </w:t>
      </w:r>
      <w:r>
        <w:rPr>
          <w:rFonts w:hint="eastAsia" w:ascii="宋体" w:hAnsi="宋体" w:eastAsia="宋体" w:cs="宋体"/>
          <w:color w:val="auto"/>
          <w:spacing w:val="6"/>
          <w:sz w:val="24"/>
          <w:highlight w:val="none"/>
          <w:u w:val="single"/>
        </w:rPr>
        <w:t xml:space="preserve">（标的名称） </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w:t>
      </w:r>
      <w:r>
        <w:rPr>
          <w:rFonts w:hint="eastAsia" w:ascii="宋体" w:hAnsi="宋体" w:eastAsia="宋体" w:cs="宋体"/>
          <w:color w:val="auto"/>
          <w:spacing w:val="6"/>
          <w:sz w:val="24"/>
          <w:highlight w:val="none"/>
          <w:u w:val="single"/>
          <w:lang w:val="en-US" w:eastAsia="zh-CN"/>
        </w:rPr>
        <w:t>采购</w:t>
      </w:r>
      <w:r>
        <w:rPr>
          <w:rFonts w:hint="eastAsia" w:ascii="宋体" w:hAnsi="宋体" w:eastAsia="宋体" w:cs="宋体"/>
          <w:color w:val="auto"/>
          <w:spacing w:val="6"/>
          <w:sz w:val="24"/>
          <w:highlight w:val="none"/>
          <w:u w:val="single"/>
        </w:rPr>
        <w:t>文件中明确的所属行业）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，从业人员______人，营业收入为______万元，资产总额为______万元，属于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p>
    <w:p>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以上企业，不属于大企业的分支机构，不存在控股股东为大企业的情形，也不存在与大企业的负责人为同一人的情形。</w:t>
      </w:r>
    </w:p>
    <w:p>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本企业对上述声明内容的真实性负责。如有虚假，将依法承担相应责任。</w:t>
      </w:r>
    </w:p>
    <w:p>
      <w:pPr>
        <w:spacing w:line="360" w:lineRule="auto"/>
        <w:ind w:firstLine="504"/>
        <w:rPr>
          <w:rFonts w:hint="eastAsia" w:ascii="宋体" w:hAnsi="宋体" w:eastAsia="宋体" w:cs="宋体"/>
          <w:color w:val="auto"/>
          <w:spacing w:val="6"/>
          <w:sz w:val="24"/>
          <w:highlight w:val="none"/>
        </w:rPr>
      </w:pPr>
    </w:p>
    <w:p>
      <w:pP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企业名称（盖章）：______</w:t>
      </w:r>
    </w:p>
    <w:p>
      <w:pP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期：______</w:t>
      </w:r>
    </w:p>
    <w:p>
      <w:pPr>
        <w:spacing w:line="360" w:lineRule="auto"/>
        <w:ind w:right="360" w:firstLine="480"/>
        <w:jc w:val="right"/>
        <w:rPr>
          <w:rFonts w:hint="eastAsia" w:ascii="宋体" w:hAnsi="宋体" w:eastAsia="宋体" w:cs="宋体"/>
          <w:color w:val="auto"/>
          <w:sz w:val="24"/>
          <w:highlight w:val="none"/>
        </w:rPr>
      </w:pPr>
    </w:p>
    <w:p>
      <w:pPr>
        <w:spacing w:line="360" w:lineRule="auto"/>
        <w:ind w:right="360" w:firstLine="480"/>
        <w:jc w:val="right"/>
        <w:rPr>
          <w:rFonts w:hint="eastAsia" w:ascii="宋体" w:hAnsi="宋体" w:eastAsia="宋体" w:cs="宋体"/>
          <w:color w:val="auto"/>
          <w:sz w:val="24"/>
          <w:highlight w:val="none"/>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2.中小企业划分标准见工业和信息化部 国家统计局 国家发展改革委 财政部《关于印发中小企业划型标准规定的通知》工信部联企业{2011}300号。</w:t>
            </w:r>
          </w:p>
        </w:tc>
      </w:tr>
    </w:tbl>
    <w:p>
      <w:pPr>
        <w:pStyle w:val="21"/>
        <w:rPr>
          <w:rFonts w:hint="eastAsia"/>
        </w:rPr>
      </w:pPr>
      <w:r>
        <w:rPr>
          <w:rFonts w:hint="eastAsia"/>
        </w:rPr>
        <w:br w:type="page"/>
      </w:r>
    </w:p>
    <w:p>
      <w:pPr>
        <w:spacing w:before="240" w:beforeLines="100" w:after="240" w:afterLines="100" w:line="360" w:lineRule="auto"/>
        <w:jc w:val="center"/>
        <w:rPr>
          <w:rFonts w:hint="eastAsia" w:ascii="宋体" w:hAnsi="宋体" w:cs="宋体"/>
          <w:b/>
          <w:sz w:val="36"/>
          <w:szCs w:val="36"/>
        </w:rPr>
      </w:pPr>
      <w:r>
        <w:rPr>
          <w:rFonts w:hint="eastAsia" w:ascii="宋体" w:hAnsi="宋体" w:cs="宋体"/>
          <w:b/>
          <w:bCs/>
          <w:sz w:val="36"/>
          <w:szCs w:val="36"/>
        </w:rPr>
        <w:t>残疾人福利性单位声明函格式</w:t>
      </w:r>
      <w:r>
        <w:rPr>
          <w:rFonts w:hint="eastAsia" w:ascii="宋体" w:hAnsi="宋体" w:cs="宋体"/>
          <w:b/>
          <w:sz w:val="36"/>
          <w:szCs w:val="36"/>
        </w:rPr>
        <w:t xml:space="preserve">       </w:t>
      </w:r>
    </w:p>
    <w:p>
      <w:pPr>
        <w:spacing w:line="588" w:lineRule="exact"/>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pPr>
        <w:spacing w:line="588" w:lineRule="exact"/>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588" w:lineRule="exact"/>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z w:val="24"/>
        </w:rPr>
        <w:t>______</w:t>
      </w:r>
      <w:r>
        <w:rPr>
          <w:rFonts w:hint="eastAsia" w:ascii="宋体" w:hAnsi="宋体" w:cs="宋体"/>
          <w:spacing w:val="6"/>
          <w:sz w:val="24"/>
        </w:rPr>
        <w:t>单位的</w:t>
      </w:r>
      <w:r>
        <w:rPr>
          <w:rFonts w:hint="eastAsia" w:ascii="宋体" w:hAnsi="宋体" w:cs="宋体"/>
          <w:sz w:val="24"/>
        </w:rPr>
        <w:t>______</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pPr>
        <w:spacing w:line="588" w:lineRule="exact"/>
        <w:ind w:firstLine="504" w:firstLineChars="200"/>
        <w:rPr>
          <w:rFonts w:hint="eastAsia" w:ascii="宋体" w:hAnsi="宋体" w:cs="宋体"/>
          <w:spacing w:val="6"/>
          <w:sz w:val="24"/>
        </w:rPr>
      </w:pPr>
    </w:p>
    <w:p>
      <w:pPr>
        <w:spacing w:line="588" w:lineRule="exact"/>
        <w:ind w:firstLine="504" w:firstLineChars="200"/>
        <w:rPr>
          <w:rFonts w:hint="eastAsia" w:ascii="宋体" w:hAnsi="宋体" w:cs="宋体"/>
          <w:spacing w:val="6"/>
          <w:sz w:val="24"/>
        </w:rPr>
      </w:pPr>
    </w:p>
    <w:p>
      <w:pPr>
        <w:tabs>
          <w:tab w:val="left" w:pos="4860"/>
        </w:tabs>
        <w:spacing w:line="588" w:lineRule="exact"/>
        <w:ind w:right="1560" w:firstLine="504" w:firstLineChars="200"/>
        <w:jc w:val="right"/>
        <w:rPr>
          <w:rFonts w:hint="eastAsia" w:ascii="宋体" w:hAnsi="宋体" w:cs="宋体"/>
          <w:spacing w:val="6"/>
          <w:sz w:val="24"/>
        </w:rPr>
      </w:pPr>
      <w:r>
        <w:rPr>
          <w:rFonts w:hint="eastAsia" w:ascii="宋体" w:hAnsi="宋体" w:cs="宋体"/>
          <w:spacing w:val="6"/>
          <w:sz w:val="24"/>
        </w:rPr>
        <w:t xml:space="preserve">          单位名称（盖章）：</w:t>
      </w:r>
      <w:r>
        <w:rPr>
          <w:rFonts w:hint="eastAsia" w:ascii="宋体" w:hAnsi="宋体" w:cs="宋体"/>
          <w:sz w:val="24"/>
        </w:rPr>
        <w:t>______</w:t>
      </w:r>
    </w:p>
    <w:p>
      <w:pPr>
        <w:tabs>
          <w:tab w:val="left" w:pos="4860"/>
        </w:tabs>
        <w:spacing w:line="588" w:lineRule="exact"/>
        <w:ind w:right="1560" w:firstLine="504" w:firstLineChars="200"/>
        <w:jc w:val="right"/>
        <w:rPr>
          <w:rFonts w:hint="eastAsia" w:ascii="宋体" w:hAnsi="宋体" w:cs="宋体"/>
          <w:spacing w:val="6"/>
          <w:sz w:val="24"/>
        </w:rPr>
      </w:pPr>
      <w:r>
        <w:rPr>
          <w:rFonts w:hint="eastAsia" w:ascii="宋体" w:hAnsi="宋体" w:cs="宋体"/>
          <w:spacing w:val="6"/>
          <w:sz w:val="24"/>
        </w:rPr>
        <w:t xml:space="preserve">       日  期：</w:t>
      </w:r>
      <w:r>
        <w:rPr>
          <w:rFonts w:hint="eastAsia" w:ascii="宋体" w:hAnsi="宋体" w:cs="宋体"/>
          <w:sz w:val="24"/>
        </w:rPr>
        <w:t>______</w:t>
      </w:r>
    </w:p>
    <w:p>
      <w:pPr>
        <w:widowControl/>
        <w:jc w:val="left"/>
        <w:rPr>
          <w:rFonts w:hint="eastAsia" w:ascii="宋体" w:hAnsi="宋体" w:cs="宋体"/>
          <w:sz w:val="24"/>
        </w:rPr>
      </w:pPr>
      <w:r>
        <w:rPr>
          <w:rFonts w:hint="eastAsia" w:ascii="宋体" w:hAnsi="宋体" w:cs="宋体"/>
          <w:sz w:val="24"/>
          <w:szCs w:val="20"/>
        </w:rPr>
        <w:br w:type="page"/>
      </w:r>
    </w:p>
    <w:p>
      <w:pPr>
        <w:widowControl/>
        <w:jc w:val="left"/>
        <w:rPr>
          <w:rFonts w:hint="eastAsia" w:ascii="宋体" w:hAnsi="宋体" w:cs="宋体"/>
          <w:b/>
          <w:kern w:val="44"/>
          <w:sz w:val="32"/>
          <w:szCs w:val="20"/>
        </w:rPr>
      </w:pPr>
      <w:r>
        <w:rPr>
          <w:rFonts w:hint="eastAsia" w:ascii="宋体" w:hAnsi="宋体" w:cs="宋体"/>
          <w:b/>
          <w:kern w:val="44"/>
          <w:sz w:val="32"/>
          <w:szCs w:val="20"/>
        </w:rPr>
        <w:t>其他特定资格要求：</w:t>
      </w:r>
    </w:p>
    <w:p>
      <w:pPr>
        <w:pStyle w:val="85"/>
        <w:rPr>
          <w:rFonts w:hint="eastAsia" w:ascii="宋体" w:hAnsi="宋体" w:cs="宋体"/>
          <w:b/>
          <w:kern w:val="44"/>
          <w:sz w:val="32"/>
          <w:szCs w:val="20"/>
        </w:rPr>
      </w:pPr>
    </w:p>
    <w:p>
      <w:pPr>
        <w:spacing w:line="360" w:lineRule="auto"/>
        <w:ind w:firstLine="480" w:firstLineChars="200"/>
        <w:rPr>
          <w:rFonts w:hint="eastAsia"/>
        </w:rPr>
      </w:pPr>
      <w:r>
        <w:rPr>
          <w:rFonts w:hint="eastAsia" w:ascii="宋体" w:hAnsi="宋体" w:cs="宋体"/>
          <w:sz w:val="24"/>
          <w:lang w:eastAsia="zh-CN"/>
        </w:rPr>
        <w:t>无</w:t>
      </w:r>
      <w:r>
        <w:rPr>
          <w:rFonts w:hint="eastAsia" w:ascii="宋体" w:hAnsi="宋体" w:cs="宋体"/>
          <w:sz w:val="24"/>
        </w:rPr>
        <w:t>。</w:t>
      </w:r>
    </w:p>
    <w:p>
      <w:pPr>
        <w:pStyle w:val="85"/>
        <w:rPr>
          <w:rFonts w:ascii="宋体" w:hAnsi="宋体" w:cs="宋体"/>
          <w:b/>
          <w:kern w:val="44"/>
          <w:sz w:val="32"/>
          <w:szCs w:val="20"/>
        </w:rPr>
      </w:pPr>
    </w:p>
    <w:p>
      <w:pPr>
        <w:widowControl/>
        <w:jc w:val="left"/>
        <w:rPr>
          <w:rFonts w:hint="eastAsia" w:ascii="宋体" w:hAnsi="宋体" w:cs="宋体"/>
          <w:b/>
          <w:kern w:val="44"/>
          <w:sz w:val="32"/>
          <w:szCs w:val="20"/>
        </w:rPr>
      </w:pPr>
    </w:p>
    <w:p>
      <w:pPr>
        <w:widowControl/>
        <w:jc w:val="left"/>
        <w:rPr>
          <w:rFonts w:hint="eastAsia" w:ascii="宋体" w:hAnsi="宋体" w:cs="宋体"/>
          <w:b/>
          <w:kern w:val="44"/>
          <w:sz w:val="32"/>
          <w:szCs w:val="20"/>
        </w:rPr>
      </w:pPr>
    </w:p>
    <w:p>
      <w:pPr>
        <w:widowControl/>
        <w:jc w:val="center"/>
        <w:rPr>
          <w:rFonts w:ascii="宋体" w:hAnsi="宋体" w:cs="宋体"/>
          <w:b/>
          <w:kern w:val="44"/>
          <w:sz w:val="32"/>
          <w:szCs w:val="20"/>
        </w:rPr>
      </w:pPr>
    </w:p>
    <w:p>
      <w:pPr>
        <w:tabs>
          <w:tab w:val="left" w:pos="5580"/>
        </w:tabs>
        <w:spacing w:line="360" w:lineRule="auto"/>
        <w:rPr>
          <w:rFonts w:hint="eastAsia" w:ascii="宋体" w:hAnsi="宋体" w:cs="宋体"/>
          <w:sz w:val="24"/>
        </w:rPr>
      </w:pPr>
    </w:p>
    <w:p>
      <w:pPr>
        <w:widowControl/>
        <w:jc w:val="left"/>
        <w:rPr>
          <w:rFonts w:hint="eastAsia" w:ascii="宋体" w:hAnsi="宋体" w:cs="宋体"/>
          <w:sz w:val="24"/>
          <w:szCs w:val="20"/>
        </w:rPr>
      </w:pPr>
      <w:r>
        <w:rPr>
          <w:rFonts w:hint="eastAsia" w:ascii="宋体" w:hAnsi="宋体" w:cs="宋体"/>
          <w:sz w:val="24"/>
          <w:szCs w:val="20"/>
        </w:rPr>
        <w:br w:type="page"/>
      </w:r>
    </w:p>
    <w:p>
      <w:pPr>
        <w:pStyle w:val="5"/>
        <w:jc w:val="left"/>
        <w:rPr>
          <w:rFonts w:hint="eastAsia" w:hAnsi="宋体" w:cs="宋体"/>
        </w:rPr>
      </w:pPr>
      <w:bookmarkStart w:id="598" w:name="_Hlt520271212"/>
      <w:bookmarkEnd w:id="598"/>
      <w:bookmarkStart w:id="599" w:name="_Hlt520274121"/>
      <w:bookmarkEnd w:id="599"/>
      <w:bookmarkStart w:id="600" w:name="_Hlt520343392"/>
      <w:bookmarkEnd w:id="600"/>
      <w:bookmarkStart w:id="601" w:name="_Hlt520274393"/>
      <w:bookmarkEnd w:id="601"/>
      <w:bookmarkStart w:id="602" w:name="_Hlt520274407"/>
      <w:bookmarkEnd w:id="602"/>
      <w:bookmarkStart w:id="603" w:name="_Hlt520274065"/>
      <w:bookmarkEnd w:id="603"/>
      <w:bookmarkStart w:id="604" w:name="_Hlt520343000"/>
      <w:bookmarkEnd w:id="604"/>
      <w:bookmarkStart w:id="605" w:name="_Hlt520273711"/>
      <w:bookmarkEnd w:id="605"/>
      <w:bookmarkStart w:id="606" w:name="_Hlt520355504"/>
      <w:bookmarkEnd w:id="606"/>
      <w:bookmarkStart w:id="607" w:name="_Hlt520350918"/>
      <w:bookmarkEnd w:id="607"/>
      <w:bookmarkStart w:id="608" w:name="_Ref467988698"/>
      <w:bookmarkStart w:id="609" w:name="_Toc480942349"/>
      <w:bookmarkStart w:id="610" w:name="_Toc226965746"/>
      <w:bookmarkStart w:id="611" w:name="_Toc195842921"/>
      <w:bookmarkStart w:id="612" w:name="_Toc127151556"/>
      <w:bookmarkStart w:id="613" w:name="_Toc520356217"/>
      <w:bookmarkStart w:id="614" w:name="_Toc150480794"/>
      <w:bookmarkStart w:id="615" w:name="_Toc226309800"/>
      <w:bookmarkStart w:id="616" w:name="_Toc226337252"/>
      <w:bookmarkStart w:id="617" w:name="_Toc142311058"/>
      <w:bookmarkStart w:id="618" w:name="_Toc150774761"/>
      <w:bookmarkStart w:id="619" w:name="_Toc226965829"/>
      <w:r>
        <w:rPr>
          <w:rFonts w:hint="eastAsia" w:hAnsi="宋体" w:cs="宋体"/>
        </w:rPr>
        <w:t xml:space="preserve"> </w:t>
      </w:r>
      <w:bookmarkEnd w:id="608"/>
      <w:bookmarkEnd w:id="609"/>
      <w:r>
        <w:rPr>
          <w:rFonts w:hint="eastAsia" w:hAnsi="宋体" w:cs="宋体"/>
        </w:rPr>
        <w:t>响应书</w:t>
      </w:r>
      <w:bookmarkEnd w:id="610"/>
      <w:bookmarkEnd w:id="611"/>
      <w:bookmarkEnd w:id="612"/>
      <w:bookmarkEnd w:id="613"/>
      <w:bookmarkEnd w:id="614"/>
      <w:bookmarkEnd w:id="615"/>
      <w:bookmarkEnd w:id="616"/>
      <w:bookmarkEnd w:id="617"/>
      <w:bookmarkEnd w:id="618"/>
      <w:bookmarkEnd w:id="619"/>
    </w:p>
    <w:p>
      <w:pPr>
        <w:tabs>
          <w:tab w:val="left" w:pos="5580"/>
        </w:tabs>
        <w:spacing w:line="360" w:lineRule="auto"/>
        <w:rPr>
          <w:rFonts w:hint="eastAsia" w:ascii="宋体" w:hAnsi="宋体" w:cs="宋体"/>
          <w:sz w:val="24"/>
        </w:rPr>
      </w:pPr>
    </w:p>
    <w:p>
      <w:pPr>
        <w:spacing w:line="360" w:lineRule="auto"/>
        <w:jc w:val="center"/>
        <w:rPr>
          <w:rFonts w:hint="eastAsia" w:ascii="宋体" w:hAnsi="宋体" w:cs="宋体"/>
          <w:b/>
          <w:sz w:val="36"/>
          <w:szCs w:val="36"/>
        </w:rPr>
      </w:pPr>
      <w:r>
        <w:rPr>
          <w:rFonts w:hint="eastAsia" w:ascii="宋体" w:hAnsi="宋体" w:cs="宋体"/>
          <w:b/>
          <w:sz w:val="36"/>
          <w:szCs w:val="36"/>
        </w:rPr>
        <w:t>响应书</w:t>
      </w:r>
    </w:p>
    <w:p>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tabs>
          <w:tab w:val="left" w:pos="5580"/>
        </w:tabs>
        <w:spacing w:line="360" w:lineRule="auto"/>
        <w:rPr>
          <w:rFonts w:hint="eastAsia" w:ascii="宋体" w:hAnsi="宋体" w:cs="宋体"/>
          <w:sz w:val="24"/>
          <w:szCs w:val="20"/>
        </w:rPr>
      </w:pPr>
    </w:p>
    <w:p>
      <w:pPr>
        <w:tabs>
          <w:tab w:val="left" w:pos="5580"/>
        </w:tabs>
        <w:spacing w:line="360" w:lineRule="auto"/>
        <w:ind w:firstLine="408"/>
        <w:rPr>
          <w:rFonts w:hint="eastAsia" w:ascii="宋体" w:hAnsi="宋体" w:cs="宋体"/>
          <w:sz w:val="24"/>
          <w:szCs w:val="20"/>
        </w:rPr>
      </w:pPr>
      <w:r>
        <w:rPr>
          <w:rFonts w:hint="eastAsia" w:ascii="宋体" w:hAnsi="宋体" w:cs="宋体"/>
          <w:sz w:val="24"/>
          <w:szCs w:val="20"/>
        </w:rPr>
        <w:t>我方参加你方就</w:t>
      </w:r>
      <w:r>
        <w:rPr>
          <w:rFonts w:hint="eastAsia" w:ascii="宋体" w:hAnsi="宋体" w:cs="宋体"/>
          <w:sz w:val="24"/>
        </w:rPr>
        <w:t>______</w:t>
      </w:r>
      <w:r>
        <w:rPr>
          <w:rFonts w:hint="eastAsia" w:ascii="宋体" w:hAnsi="宋体" w:cs="宋体"/>
          <w:sz w:val="24"/>
          <w:szCs w:val="20"/>
        </w:rPr>
        <w:t>（项目名称，项目编号/包号）组织的采购活动，并对此项目进行磋商。</w:t>
      </w:r>
    </w:p>
    <w:p>
      <w:pPr>
        <w:tabs>
          <w:tab w:val="left" w:pos="5580"/>
        </w:tabs>
        <w:spacing w:line="360" w:lineRule="auto"/>
        <w:ind w:firstLine="408"/>
        <w:rPr>
          <w:rFonts w:hint="eastAsia" w:ascii="宋体" w:hAnsi="宋体" w:cs="宋体"/>
          <w:sz w:val="24"/>
          <w:szCs w:val="20"/>
        </w:rPr>
      </w:pPr>
      <w:r>
        <w:rPr>
          <w:rFonts w:hint="eastAsia" w:ascii="宋体" w:hAnsi="宋体" w:cs="宋体"/>
          <w:sz w:val="24"/>
          <w:szCs w:val="20"/>
        </w:rPr>
        <w:t>1. 我方</w:t>
      </w:r>
      <w:r>
        <w:rPr>
          <w:rFonts w:hint="eastAsia" w:ascii="宋体" w:hAnsi="宋体" w:cs="宋体"/>
          <w:sz w:val="24"/>
        </w:rPr>
        <w:t>已详细审查全部竞争性磋商文件</w:t>
      </w:r>
      <w:r>
        <w:rPr>
          <w:rFonts w:hint="eastAsia" w:ascii="宋体" w:hAnsi="宋体" w:cs="宋体"/>
          <w:sz w:val="24"/>
          <w:szCs w:val="20"/>
        </w:rPr>
        <w:t>，自愿参与磋商并承诺如下：</w:t>
      </w:r>
    </w:p>
    <w:p>
      <w:pPr>
        <w:tabs>
          <w:tab w:val="left" w:pos="720"/>
          <w:tab w:val="left" w:pos="900"/>
        </w:tabs>
        <w:spacing w:line="360" w:lineRule="auto"/>
        <w:ind w:left="360" w:firstLine="72" w:firstLineChars="30"/>
        <w:rPr>
          <w:rFonts w:hint="eastAsia" w:ascii="宋体" w:hAnsi="宋体" w:cs="宋体"/>
          <w:sz w:val="24"/>
          <w:szCs w:val="20"/>
        </w:rPr>
      </w:pPr>
      <w:r>
        <w:rPr>
          <w:rFonts w:hint="eastAsia" w:ascii="宋体" w:hAnsi="宋体" w:cs="宋体"/>
          <w:sz w:val="24"/>
          <w:szCs w:val="20"/>
        </w:rPr>
        <w:t>（1）本响应有效期为自提交响应文件的截止之日起</w:t>
      </w:r>
      <w:r>
        <w:rPr>
          <w:rFonts w:hint="eastAsia" w:ascii="宋体" w:hAnsi="宋体" w:cs="宋体"/>
          <w:sz w:val="24"/>
        </w:rPr>
        <w:t>______</w:t>
      </w:r>
      <w:r>
        <w:rPr>
          <w:rFonts w:hint="eastAsia" w:ascii="宋体" w:hAnsi="宋体" w:cs="宋体"/>
          <w:sz w:val="24"/>
          <w:szCs w:val="20"/>
        </w:rPr>
        <w:t>个日历日。</w:t>
      </w:r>
    </w:p>
    <w:p>
      <w:pPr>
        <w:tabs>
          <w:tab w:val="left" w:pos="720"/>
          <w:tab w:val="left" w:pos="900"/>
        </w:tabs>
        <w:spacing w:line="360" w:lineRule="auto"/>
        <w:ind w:left="360" w:firstLine="72" w:firstLineChars="30"/>
        <w:rPr>
          <w:rFonts w:hint="eastAsia" w:ascii="宋体" w:hAnsi="宋体" w:cs="宋体"/>
          <w:sz w:val="24"/>
          <w:szCs w:val="20"/>
        </w:rPr>
      </w:pPr>
      <w:r>
        <w:rPr>
          <w:rFonts w:hint="eastAsia" w:ascii="宋体" w:hAnsi="宋体" w:cs="宋体"/>
          <w:sz w:val="24"/>
          <w:szCs w:val="20"/>
        </w:rPr>
        <w:t>（2）除合同条款及采购需求偏离表列出的偏离外，我方响应竞争性磋商文件的全部要求。</w:t>
      </w:r>
    </w:p>
    <w:p>
      <w:pPr>
        <w:tabs>
          <w:tab w:val="left" w:pos="5580"/>
        </w:tabs>
        <w:spacing w:line="360" w:lineRule="auto"/>
        <w:ind w:firstLine="420" w:firstLineChars="175"/>
        <w:rPr>
          <w:rFonts w:hint="eastAsia" w:ascii="宋体" w:hAnsi="宋体" w:cs="宋体"/>
          <w:sz w:val="24"/>
          <w:szCs w:val="20"/>
        </w:rPr>
      </w:pPr>
      <w:r>
        <w:rPr>
          <w:rFonts w:hint="eastAsia" w:ascii="宋体" w:hAnsi="宋体" w:cs="宋体"/>
          <w:sz w:val="24"/>
          <w:szCs w:val="20"/>
        </w:rPr>
        <w:t>（3）我方已提供的全部文件资料是真实、准确的，并对此承担一切法律后果。</w:t>
      </w:r>
    </w:p>
    <w:p>
      <w:pPr>
        <w:tabs>
          <w:tab w:val="left" w:pos="5580"/>
        </w:tabs>
        <w:spacing w:line="360" w:lineRule="auto"/>
        <w:ind w:firstLine="420" w:firstLineChars="175"/>
        <w:rPr>
          <w:rFonts w:hint="eastAsia" w:ascii="宋体" w:hAnsi="宋体" w:cs="宋体"/>
          <w:sz w:val="24"/>
        </w:rPr>
      </w:pPr>
      <w:r>
        <w:rPr>
          <w:rFonts w:hint="eastAsia" w:ascii="宋体" w:hAnsi="宋体" w:cs="宋体"/>
          <w:sz w:val="24"/>
          <w:szCs w:val="20"/>
        </w:rPr>
        <w:t>（4）如我方成交，我方将在法律规定的期限内与你方签订合同，按照竞争性磋商文件要求提交履约保证金，并在合同约定的期限内完成合同规定的全部义务。</w:t>
      </w:r>
    </w:p>
    <w:p>
      <w:pPr>
        <w:tabs>
          <w:tab w:val="left" w:pos="5580"/>
        </w:tabs>
        <w:spacing w:line="360" w:lineRule="auto"/>
        <w:ind w:firstLine="420" w:firstLineChars="175"/>
        <w:rPr>
          <w:rFonts w:hint="eastAsia" w:ascii="宋体" w:hAnsi="宋体" w:eastAsia="宋体" w:cs="宋体"/>
          <w:sz w:val="24"/>
          <w:szCs w:val="20"/>
        </w:rPr>
      </w:pPr>
      <w:r>
        <w:rPr>
          <w:rFonts w:hint="eastAsia" w:ascii="宋体" w:hAnsi="宋体" w:eastAsia="宋体" w:cs="宋体"/>
          <w:sz w:val="24"/>
          <w:szCs w:val="20"/>
        </w:rPr>
        <w:t>（5）我方近三年内不存在任何不良违法记录或行政处罚等情况。</w:t>
      </w:r>
    </w:p>
    <w:p>
      <w:pPr>
        <w:tabs>
          <w:tab w:val="left" w:pos="5580"/>
        </w:tabs>
        <w:spacing w:line="360" w:lineRule="auto"/>
        <w:ind w:firstLine="420" w:firstLineChars="175"/>
        <w:rPr>
          <w:rFonts w:hint="eastAsia" w:ascii="宋体" w:hAnsi="宋体" w:eastAsia="宋体" w:cs="宋体"/>
          <w:sz w:val="24"/>
          <w:szCs w:val="20"/>
        </w:rPr>
      </w:pPr>
      <w:r>
        <w:rPr>
          <w:rFonts w:hint="eastAsia" w:ascii="宋体" w:hAnsi="宋体" w:eastAsia="宋体" w:cs="宋体"/>
          <w:sz w:val="24"/>
          <w:szCs w:val="20"/>
        </w:rPr>
        <w:t>（6）我公司承诺一旦成交按照要求缴纳代理服务费。</w:t>
      </w:r>
    </w:p>
    <w:p>
      <w:pPr>
        <w:spacing w:line="360" w:lineRule="auto"/>
        <w:ind w:left="420"/>
        <w:rPr>
          <w:rFonts w:hint="eastAsia" w:ascii="宋体" w:hAnsi="宋体" w:cs="宋体"/>
          <w:sz w:val="24"/>
        </w:rPr>
      </w:pPr>
      <w:r>
        <w:rPr>
          <w:rFonts w:hint="eastAsia" w:ascii="宋体" w:hAnsi="宋体" w:cs="宋体"/>
          <w:sz w:val="24"/>
        </w:rPr>
        <w:t>2. 其他补充条款（如有）：______。</w:t>
      </w:r>
    </w:p>
    <w:p>
      <w:pPr>
        <w:spacing w:line="360" w:lineRule="auto"/>
        <w:ind w:firstLine="480" w:firstLineChars="200"/>
        <w:rPr>
          <w:rFonts w:hint="eastAsia" w:ascii="宋体" w:hAnsi="宋体" w:cs="宋体"/>
          <w:sz w:val="24"/>
        </w:rPr>
      </w:pPr>
      <w:r>
        <w:rPr>
          <w:rFonts w:hint="eastAsia" w:ascii="宋体" w:hAnsi="宋体" w:cs="宋体"/>
          <w:sz w:val="24"/>
        </w:rPr>
        <w:t>与本磋商有关的一切正式往来信函请寄：</w:t>
      </w:r>
    </w:p>
    <w:p>
      <w:pPr>
        <w:tabs>
          <w:tab w:val="left" w:pos="5580"/>
        </w:tabs>
        <w:spacing w:line="360" w:lineRule="auto"/>
        <w:ind w:left="420"/>
        <w:rPr>
          <w:rFonts w:hint="eastAsia" w:ascii="宋体" w:hAnsi="宋体" w:cs="宋体"/>
          <w:sz w:val="24"/>
          <w:szCs w:val="20"/>
        </w:rPr>
      </w:pPr>
    </w:p>
    <w:p>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地址</w:t>
      </w:r>
      <w:r>
        <w:rPr>
          <w:rFonts w:hint="eastAsia" w:ascii="宋体" w:hAnsi="宋体" w:cs="宋体"/>
          <w:bCs/>
          <w:sz w:val="24"/>
        </w:rPr>
        <w:t>_________________________</w:t>
      </w:r>
      <w:r>
        <w:rPr>
          <w:rFonts w:hint="eastAsia" w:ascii="宋体" w:hAnsi="宋体" w:cs="宋体"/>
          <w:sz w:val="24"/>
          <w:szCs w:val="20"/>
        </w:rPr>
        <w:t xml:space="preserve">      传   真</w:t>
      </w:r>
      <w:r>
        <w:rPr>
          <w:rFonts w:hint="eastAsia" w:ascii="宋体" w:hAnsi="宋体" w:cs="宋体"/>
          <w:bCs/>
          <w:sz w:val="24"/>
        </w:rPr>
        <w:t>_________________________</w:t>
      </w:r>
    </w:p>
    <w:p>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电话</w:t>
      </w:r>
      <w:r>
        <w:rPr>
          <w:rFonts w:hint="eastAsia" w:ascii="宋体" w:hAnsi="宋体" w:cs="宋体"/>
          <w:bCs/>
          <w:sz w:val="24"/>
        </w:rPr>
        <w:t>_________________________</w:t>
      </w:r>
      <w:r>
        <w:rPr>
          <w:rFonts w:hint="eastAsia" w:ascii="宋体" w:hAnsi="宋体" w:cs="宋体"/>
          <w:sz w:val="24"/>
          <w:szCs w:val="20"/>
        </w:rPr>
        <w:t xml:space="preserve">      电子函件</w:t>
      </w:r>
      <w:r>
        <w:rPr>
          <w:rFonts w:hint="eastAsia" w:ascii="宋体" w:hAnsi="宋体" w:cs="宋体"/>
          <w:bCs/>
          <w:sz w:val="24"/>
        </w:rPr>
        <w:t>_________________________</w:t>
      </w:r>
    </w:p>
    <w:p>
      <w:pPr>
        <w:tabs>
          <w:tab w:val="left" w:pos="5580"/>
        </w:tabs>
        <w:spacing w:line="360" w:lineRule="auto"/>
        <w:ind w:left="420"/>
        <w:rPr>
          <w:rFonts w:hint="eastAsia" w:ascii="宋体" w:hAnsi="宋体" w:cs="宋体"/>
          <w:sz w:val="24"/>
          <w:szCs w:val="20"/>
        </w:rPr>
      </w:pPr>
    </w:p>
    <w:p>
      <w:pPr>
        <w:tabs>
          <w:tab w:val="left" w:pos="5580"/>
        </w:tabs>
        <w:spacing w:line="360" w:lineRule="auto"/>
        <w:ind w:left="420"/>
        <w:rPr>
          <w:rFonts w:hint="eastAsia" w:ascii="宋体" w:hAnsi="宋体" w:cs="宋体"/>
          <w:sz w:val="24"/>
          <w:szCs w:val="20"/>
        </w:rPr>
      </w:pPr>
    </w:p>
    <w:p>
      <w:pPr>
        <w:tabs>
          <w:tab w:val="left" w:pos="5580"/>
        </w:tabs>
        <w:spacing w:line="360" w:lineRule="auto"/>
        <w:ind w:left="420"/>
        <w:rPr>
          <w:rFonts w:hint="eastAsia" w:ascii="宋体" w:hAnsi="宋体" w:cs="宋体"/>
          <w:sz w:val="24"/>
          <w:szCs w:val="20"/>
        </w:rPr>
      </w:pPr>
    </w:p>
    <w:p>
      <w:pPr>
        <w:autoSpaceDE w:val="0"/>
        <w:autoSpaceDN w:val="0"/>
        <w:adjustRightInd w:val="0"/>
        <w:snapToGrid w:val="0"/>
        <w:spacing w:before="25" w:after="25" w:line="360" w:lineRule="auto"/>
        <w:ind w:right="360" w:firstLine="360" w:firstLineChars="150"/>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pPr>
        <w:tabs>
          <w:tab w:val="left" w:pos="5580"/>
        </w:tabs>
        <w:spacing w:line="360" w:lineRule="auto"/>
        <w:ind w:firstLine="360" w:firstLineChars="150"/>
        <w:rPr>
          <w:rFonts w:hint="eastAsia" w:ascii="宋体" w:hAnsi="宋体" w:cs="宋体"/>
          <w:sz w:val="24"/>
          <w:szCs w:val="20"/>
        </w:rPr>
      </w:pPr>
      <w:r>
        <w:rPr>
          <w:rFonts w:hint="eastAsia" w:ascii="宋体" w:hAnsi="宋体" w:cs="宋体"/>
          <w:sz w:val="24"/>
          <w:szCs w:val="20"/>
        </w:rPr>
        <w:t xml:space="preserve">日期：____年____月____日  </w:t>
      </w:r>
    </w:p>
    <w:p>
      <w:pPr>
        <w:tabs>
          <w:tab w:val="left" w:pos="5580"/>
        </w:tabs>
        <w:spacing w:line="360" w:lineRule="auto"/>
        <w:ind w:left="420"/>
        <w:jc w:val="left"/>
        <w:rPr>
          <w:rFonts w:hint="eastAsia" w:ascii="宋体" w:hAnsi="宋体" w:cs="宋体"/>
          <w:sz w:val="24"/>
          <w:szCs w:val="20"/>
        </w:rPr>
      </w:pPr>
    </w:p>
    <w:p>
      <w:pPr>
        <w:widowControl/>
        <w:jc w:val="left"/>
        <w:rPr>
          <w:rFonts w:hint="eastAsia" w:ascii="宋体" w:hAnsi="宋体" w:cs="宋体"/>
          <w:b/>
          <w:sz w:val="24"/>
          <w:szCs w:val="20"/>
        </w:rPr>
      </w:pPr>
      <w:r>
        <w:rPr>
          <w:rFonts w:hint="eastAsia" w:ascii="宋体" w:hAnsi="宋体" w:cs="宋体"/>
          <w:b/>
          <w:sz w:val="24"/>
          <w:szCs w:val="20"/>
        </w:rPr>
        <w:br w:type="page"/>
      </w:r>
    </w:p>
    <w:p>
      <w:pPr>
        <w:pStyle w:val="5"/>
        <w:jc w:val="left"/>
        <w:rPr>
          <w:rFonts w:hint="eastAsia" w:hAnsi="宋体" w:cs="宋体"/>
        </w:rPr>
      </w:pPr>
      <w:bookmarkStart w:id="620" w:name="_Hlt520356243"/>
      <w:bookmarkEnd w:id="620"/>
      <w:bookmarkStart w:id="621" w:name="_Hlt520355938"/>
      <w:bookmarkEnd w:id="621"/>
      <w:bookmarkStart w:id="622" w:name="_Toc520356218"/>
      <w:bookmarkStart w:id="623" w:name="_Toc150480795"/>
      <w:bookmarkStart w:id="624" w:name="_Toc127151557"/>
      <w:bookmarkStart w:id="625" w:name="_Toc305158825"/>
      <w:bookmarkStart w:id="626" w:name="_Toc480942350"/>
      <w:bookmarkStart w:id="627" w:name="_Toc305158899"/>
      <w:bookmarkStart w:id="628" w:name="_Toc265228395"/>
      <w:bookmarkStart w:id="629" w:name="_Ref467988705"/>
      <w:bookmarkStart w:id="630" w:name="_Toc142311059"/>
      <w:bookmarkStart w:id="631" w:name="_Toc226965830"/>
      <w:bookmarkStart w:id="632" w:name="_Toc150774762"/>
      <w:bookmarkStart w:id="633" w:name="_Toc226309801"/>
      <w:bookmarkStart w:id="634" w:name="_Toc226337253"/>
      <w:bookmarkStart w:id="635" w:name="_Toc226965747"/>
      <w:bookmarkStart w:id="636" w:name="_Toc264969247"/>
      <w:bookmarkStart w:id="637" w:name="_Toc195842922"/>
      <w:r>
        <w:rPr>
          <w:rFonts w:hint="eastAsia" w:hAnsi="宋体" w:cs="宋体"/>
        </w:rPr>
        <w:t>授权委托书</w:t>
      </w:r>
    </w:p>
    <w:p>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授权委托书</w:t>
      </w:r>
    </w:p>
    <w:p>
      <w:pPr>
        <w:spacing w:line="360" w:lineRule="auto"/>
        <w:ind w:firstLine="420"/>
        <w:rPr>
          <w:rFonts w:hint="eastAsia" w:ascii="宋体" w:hAnsi="宋体" w:cs="宋体"/>
          <w:sz w:val="24"/>
          <w:szCs w:val="20"/>
        </w:rPr>
      </w:pPr>
      <w:r>
        <w:rPr>
          <w:rFonts w:hint="eastAsia" w:ascii="宋体" w:hAnsi="宋体" w:cs="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rFonts w:hint="eastAsia" w:ascii="宋体" w:hAnsi="宋体" w:cs="宋体"/>
          <w:sz w:val="24"/>
          <w:szCs w:val="20"/>
        </w:rPr>
      </w:pPr>
      <w:r>
        <w:rPr>
          <w:rFonts w:hint="eastAsia" w:ascii="宋体" w:hAnsi="宋体" w:cs="宋体"/>
          <w:sz w:val="24"/>
          <w:szCs w:val="20"/>
        </w:rPr>
        <w:t>委托期限：自本授权委托书签署之日起至响应有效期届满之日止。</w:t>
      </w:r>
    </w:p>
    <w:p>
      <w:pPr>
        <w:spacing w:line="360" w:lineRule="auto"/>
        <w:ind w:firstLine="420"/>
        <w:rPr>
          <w:rFonts w:hint="eastAsia" w:ascii="宋体" w:hAnsi="宋体" w:cs="宋体"/>
          <w:sz w:val="24"/>
          <w:szCs w:val="20"/>
        </w:rPr>
      </w:pPr>
      <w:r>
        <w:rPr>
          <w:rFonts w:hint="eastAsia" w:ascii="宋体" w:hAnsi="宋体" w:cs="宋体"/>
          <w:sz w:val="24"/>
          <w:szCs w:val="20"/>
        </w:rPr>
        <w:t>代理人无转委托权。</w:t>
      </w:r>
      <w:r>
        <w:rPr>
          <w:rFonts w:hint="eastAsia" w:ascii="宋体" w:hAnsi="宋体" w:cs="宋体"/>
          <w:sz w:val="24"/>
          <w:szCs w:val="20"/>
        </w:rPr>
        <w:cr/>
      </w:r>
    </w:p>
    <w:p>
      <w:pPr>
        <w:spacing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szCs w:val="20"/>
        </w:rPr>
        <w:t>______________</w:t>
      </w:r>
    </w:p>
    <w:p>
      <w:pPr>
        <w:spacing w:line="360" w:lineRule="auto"/>
        <w:rPr>
          <w:rFonts w:hint="eastAsia" w:ascii="宋体" w:hAnsi="宋体" w:cs="宋体"/>
          <w:sz w:val="24"/>
          <w:szCs w:val="20"/>
        </w:rPr>
      </w:pPr>
      <w:r>
        <w:rPr>
          <w:rFonts w:hint="eastAsia" w:ascii="宋体" w:hAnsi="宋体" w:cs="宋体"/>
          <w:sz w:val="24"/>
          <w:szCs w:val="20"/>
        </w:rPr>
        <w:t>法定代表人（单位负责人）（签字、签章或印鉴）：______________</w:t>
      </w:r>
    </w:p>
    <w:p>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委托代理人（签字</w:t>
      </w:r>
      <w:r>
        <w:rPr>
          <w:rFonts w:hint="eastAsia" w:ascii="宋体" w:hAnsi="宋体" w:cs="宋体"/>
          <w:sz w:val="24"/>
          <w:szCs w:val="20"/>
        </w:rPr>
        <w:t>/签章</w:t>
      </w:r>
      <w:r>
        <w:rPr>
          <w:rFonts w:hint="eastAsia" w:ascii="宋体" w:hAnsi="宋体" w:cs="宋体"/>
          <w:sz w:val="24"/>
        </w:rPr>
        <w:t>）：</w:t>
      </w:r>
      <w:r>
        <w:rPr>
          <w:rFonts w:hint="eastAsia" w:ascii="宋体" w:hAnsi="宋体" w:cs="宋体"/>
          <w:sz w:val="24"/>
          <w:szCs w:val="20"/>
        </w:rPr>
        <w:t>______________</w:t>
      </w:r>
      <w:r>
        <w:rPr>
          <w:rFonts w:hint="eastAsia" w:ascii="宋体" w:hAnsi="宋体" w:cs="宋体"/>
          <w:sz w:val="24"/>
          <w:lang w:val="zh-CN"/>
        </w:rPr>
        <w:t xml:space="preserve">        </w:t>
      </w:r>
    </w:p>
    <w:p>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日期：</w:t>
      </w:r>
      <w:r>
        <w:rPr>
          <w:rFonts w:hint="eastAsia" w:ascii="宋体" w:hAnsi="宋体" w:cs="宋体"/>
          <w:sz w:val="24"/>
          <w:szCs w:val="20"/>
        </w:rPr>
        <w:t>____</w:t>
      </w:r>
      <w:r>
        <w:rPr>
          <w:rFonts w:hint="eastAsia" w:ascii="宋体" w:hAnsi="宋体" w:cs="宋体"/>
          <w:sz w:val="24"/>
        </w:rPr>
        <w:t>年</w:t>
      </w:r>
      <w:r>
        <w:rPr>
          <w:rFonts w:hint="eastAsia" w:ascii="宋体" w:hAnsi="宋体" w:cs="宋体"/>
          <w:sz w:val="24"/>
          <w:szCs w:val="20"/>
        </w:rPr>
        <w:t>____</w:t>
      </w:r>
      <w:r>
        <w:rPr>
          <w:rFonts w:hint="eastAsia" w:ascii="宋体" w:hAnsi="宋体" w:cs="宋体"/>
          <w:sz w:val="24"/>
        </w:rPr>
        <w:t>月</w:t>
      </w:r>
      <w:r>
        <w:rPr>
          <w:rFonts w:hint="eastAsia" w:ascii="宋体" w:hAnsi="宋体" w:cs="宋体"/>
          <w:sz w:val="24"/>
          <w:szCs w:val="20"/>
        </w:rPr>
        <w:t>____</w:t>
      </w:r>
      <w:r>
        <w:rPr>
          <w:rFonts w:hint="eastAsia" w:ascii="宋体" w:hAnsi="宋体" w:cs="宋体"/>
          <w:sz w:val="24"/>
        </w:rPr>
        <w:t>日</w:t>
      </w:r>
    </w:p>
    <w:p>
      <w:pPr>
        <w:tabs>
          <w:tab w:val="left" w:pos="5580"/>
        </w:tabs>
        <w:spacing w:line="360" w:lineRule="auto"/>
        <w:ind w:firstLine="480" w:firstLineChars="200"/>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法定代表人（单位负责人）有效期内的身份证</w:t>
      </w:r>
      <w:r>
        <w:rPr>
          <w:rFonts w:hint="eastAsia" w:ascii="宋体" w:hAnsi="宋体" w:cs="宋体"/>
          <w:b/>
          <w:sz w:val="24"/>
          <w:szCs w:val="20"/>
        </w:rPr>
        <w:t>正反面</w:t>
      </w:r>
      <w:r>
        <w:rPr>
          <w:rFonts w:hint="eastAsia" w:ascii="宋体" w:hAnsi="宋体" w:cs="宋体"/>
          <w:sz w:val="24"/>
          <w:szCs w:val="20"/>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tc>
        <w:tc>
          <w:tcPr>
            <w:tcW w:w="4536" w:type="dxa"/>
            <w:noWrap w:val="0"/>
            <w:vAlign w:val="top"/>
          </w:tcPr>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tc>
      </w:tr>
    </w:tbl>
    <w:p>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委托代理人有效期内的身份证</w:t>
      </w:r>
      <w:r>
        <w:rPr>
          <w:rFonts w:hint="eastAsia" w:ascii="宋体" w:hAnsi="宋体" w:cs="宋体"/>
          <w:b/>
          <w:sz w:val="24"/>
          <w:szCs w:val="20"/>
        </w:rPr>
        <w:t>正反面</w:t>
      </w:r>
      <w:r>
        <w:rPr>
          <w:rFonts w:hint="eastAsia" w:ascii="宋体" w:hAnsi="宋体" w:cs="宋体"/>
          <w:sz w:val="24"/>
          <w:szCs w:val="20"/>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tc>
        <w:tc>
          <w:tcPr>
            <w:tcW w:w="4536" w:type="dxa"/>
            <w:noWrap w:val="0"/>
            <w:vAlign w:val="top"/>
          </w:tcPr>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tc>
      </w:tr>
    </w:tbl>
    <w:p>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说明：</w:t>
      </w:r>
    </w:p>
    <w:p>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3.供应商为自然人的情形，可不提供本《授权委托书》。</w:t>
      </w:r>
    </w:p>
    <w:p>
      <w:pPr>
        <w:widowControl/>
        <w:jc w:val="left"/>
        <w:rPr>
          <w:rFonts w:hint="eastAsia" w:ascii="宋体" w:hAnsi="宋体" w:cs="宋体"/>
          <w:sz w:val="30"/>
          <w:szCs w:val="30"/>
        </w:rPr>
      </w:pPr>
      <w:r>
        <w:rPr>
          <w:rFonts w:hint="eastAsia" w:ascii="宋体" w:hAnsi="宋体" w:cs="宋体"/>
          <w:sz w:val="30"/>
          <w:szCs w:val="30"/>
        </w:rPr>
        <w:br w:type="page"/>
      </w:r>
    </w:p>
    <w:p>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附：法定代表人（单位负责人）身份证明</w:t>
      </w:r>
    </w:p>
    <w:p>
      <w:pPr>
        <w:kinsoku w:val="0"/>
        <w:overflowPunct w:val="0"/>
        <w:spacing w:line="200" w:lineRule="exact"/>
        <w:rPr>
          <w:rFonts w:hint="eastAsia" w:ascii="宋体" w:hAnsi="宋体" w:cs="宋体"/>
          <w:sz w:val="20"/>
          <w:szCs w:val="20"/>
        </w:rPr>
      </w:pPr>
    </w:p>
    <w:p>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szCs w:val="20"/>
        </w:rPr>
        <w:t>____</w:t>
      </w:r>
      <w:r>
        <w:rPr>
          <w:rFonts w:hint="eastAsia" w:ascii="宋体" w:hAnsi="宋体" w:cs="宋体"/>
          <w:sz w:val="24"/>
        </w:rPr>
        <w:t>（采购人或采购代理机构）</w:t>
      </w:r>
    </w:p>
    <w:p>
      <w:pPr>
        <w:pStyle w:val="21"/>
        <w:tabs>
          <w:tab w:val="left" w:pos="2412"/>
          <w:tab w:val="left" w:pos="3883"/>
          <w:tab w:val="left" w:pos="5352"/>
          <w:tab w:val="left" w:pos="6821"/>
        </w:tabs>
        <w:kinsoku w:val="0"/>
        <w:overflowPunct w:val="0"/>
        <w:spacing w:line="335" w:lineRule="exact"/>
        <w:ind w:firstLine="480" w:firstLineChars="200"/>
        <w:rPr>
          <w:rFonts w:hint="eastAsia" w:cs="宋体"/>
        </w:rPr>
      </w:pPr>
      <w:r>
        <w:rPr>
          <w:rFonts w:hint="eastAsia" w:cs="宋体"/>
        </w:rPr>
        <w:t>兹证明，</w:t>
      </w:r>
    </w:p>
    <w:p>
      <w:pPr>
        <w:pStyle w:val="21"/>
        <w:tabs>
          <w:tab w:val="left" w:pos="1690"/>
          <w:tab w:val="left" w:pos="3400"/>
          <w:tab w:val="left" w:pos="5110"/>
          <w:tab w:val="left" w:pos="6821"/>
        </w:tabs>
        <w:kinsoku w:val="0"/>
        <w:overflowPunct w:val="0"/>
        <w:spacing w:line="335" w:lineRule="exact"/>
        <w:rPr>
          <w:rFonts w:hint="eastAsia" w:cs="宋体"/>
        </w:rPr>
      </w:pPr>
      <w:r>
        <w:rPr>
          <w:rFonts w:hint="eastAsia" w:cs="宋体"/>
        </w:rPr>
        <w:t>姓名：</w:t>
      </w:r>
      <w:r>
        <w:rPr>
          <w:rFonts w:hint="eastAsia" w:cs="宋体"/>
          <w:szCs w:val="20"/>
        </w:rPr>
        <w:t>____</w:t>
      </w:r>
      <w:r>
        <w:rPr>
          <w:rFonts w:hint="eastAsia" w:cs="宋体"/>
        </w:rPr>
        <w:t>性别：</w:t>
      </w:r>
      <w:r>
        <w:rPr>
          <w:rFonts w:hint="eastAsia" w:cs="宋体"/>
          <w:szCs w:val="20"/>
        </w:rPr>
        <w:t>____</w:t>
      </w:r>
      <w:r>
        <w:rPr>
          <w:rFonts w:hint="eastAsia" w:cs="宋体"/>
        </w:rPr>
        <w:t>年龄：</w:t>
      </w:r>
      <w:r>
        <w:rPr>
          <w:rFonts w:hint="eastAsia" w:cs="宋体"/>
          <w:szCs w:val="20"/>
        </w:rPr>
        <w:t>____</w:t>
      </w:r>
      <w:r>
        <w:rPr>
          <w:rFonts w:hint="eastAsia" w:cs="宋体"/>
        </w:rPr>
        <w:t>职务：</w:t>
      </w:r>
      <w:r>
        <w:rPr>
          <w:rFonts w:hint="eastAsia" w:cs="宋体"/>
          <w:szCs w:val="20"/>
        </w:rPr>
        <w:t>____</w:t>
      </w:r>
    </w:p>
    <w:p>
      <w:pPr>
        <w:pStyle w:val="21"/>
        <w:tabs>
          <w:tab w:val="left" w:pos="2412"/>
          <w:tab w:val="left" w:pos="3883"/>
          <w:tab w:val="left" w:pos="5352"/>
          <w:tab w:val="left" w:pos="6821"/>
        </w:tabs>
        <w:kinsoku w:val="0"/>
        <w:overflowPunct w:val="0"/>
        <w:spacing w:line="335" w:lineRule="exact"/>
        <w:rPr>
          <w:rFonts w:hint="eastAsia" w:cs="宋体"/>
        </w:rPr>
      </w:pPr>
    </w:p>
    <w:p>
      <w:pPr>
        <w:pStyle w:val="21"/>
        <w:tabs>
          <w:tab w:val="left" w:pos="2250"/>
          <w:tab w:val="left" w:pos="2412"/>
          <w:tab w:val="left" w:pos="3883"/>
          <w:tab w:val="left" w:pos="5352"/>
          <w:tab w:val="left" w:pos="6821"/>
          <w:tab w:val="clear" w:pos="567"/>
        </w:tabs>
        <w:kinsoku w:val="0"/>
        <w:overflowPunct w:val="0"/>
        <w:spacing w:line="335" w:lineRule="exact"/>
        <w:rPr>
          <w:rFonts w:hint="eastAsia" w:cs="宋体"/>
        </w:rPr>
      </w:pPr>
      <w:r>
        <w:rPr>
          <w:rFonts w:hint="eastAsia" w:cs="宋体"/>
        </w:rPr>
        <w:t>系</w:t>
      </w:r>
      <w:r>
        <w:rPr>
          <w:rFonts w:hint="eastAsia" w:cs="宋体"/>
          <w:szCs w:val="20"/>
        </w:rPr>
        <w:t>__________</w:t>
      </w:r>
      <w:r>
        <w:rPr>
          <w:rFonts w:hint="eastAsia" w:cs="宋体"/>
        </w:rPr>
        <w:t>（供应商名称）的法定代表人（单位负责人）。</w:t>
      </w:r>
    </w:p>
    <w:p>
      <w:pPr>
        <w:pStyle w:val="21"/>
        <w:tabs>
          <w:tab w:val="left" w:pos="2412"/>
          <w:tab w:val="left" w:pos="3883"/>
          <w:tab w:val="left" w:pos="5352"/>
          <w:tab w:val="left" w:pos="6821"/>
        </w:tabs>
        <w:kinsoku w:val="0"/>
        <w:overflowPunct w:val="0"/>
        <w:spacing w:line="335" w:lineRule="exact"/>
        <w:rPr>
          <w:rFonts w:hint="eastAsia" w:cs="宋体"/>
        </w:rPr>
      </w:pPr>
    </w:p>
    <w:p>
      <w:pPr>
        <w:pStyle w:val="21"/>
        <w:tabs>
          <w:tab w:val="left" w:pos="2412"/>
          <w:tab w:val="left" w:pos="3883"/>
          <w:tab w:val="left" w:pos="5352"/>
          <w:tab w:val="left" w:pos="6821"/>
        </w:tabs>
        <w:kinsoku w:val="0"/>
        <w:overflowPunct w:val="0"/>
        <w:spacing w:line="335" w:lineRule="exact"/>
        <w:rPr>
          <w:rFonts w:hint="eastAsia" w:cs="宋体"/>
        </w:rPr>
      </w:pPr>
    </w:p>
    <w:p>
      <w:pPr>
        <w:pStyle w:val="21"/>
        <w:tabs>
          <w:tab w:val="left" w:pos="2412"/>
          <w:tab w:val="left" w:pos="3883"/>
          <w:tab w:val="left" w:pos="5352"/>
          <w:tab w:val="left" w:pos="6821"/>
        </w:tabs>
        <w:kinsoku w:val="0"/>
        <w:overflowPunct w:val="0"/>
        <w:spacing w:line="335" w:lineRule="exact"/>
        <w:rPr>
          <w:rFonts w:hint="eastAsia" w:cs="宋体"/>
        </w:rPr>
      </w:pPr>
    </w:p>
    <w:p>
      <w:pPr>
        <w:pStyle w:val="21"/>
        <w:kinsoku w:val="0"/>
        <w:overflowPunct w:val="0"/>
        <w:spacing w:line="583" w:lineRule="auto"/>
        <w:ind w:right="-46"/>
        <w:rPr>
          <w:rFonts w:hint="eastAsia"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）有效期内的身份证正反面件。</w:t>
      </w:r>
    </w:p>
    <w:tbl>
      <w:tblPr>
        <w:tblStyle w:val="46"/>
        <w:tblW w:w="88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35"/>
        <w:gridCol w:w="4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2" w:hRule="atLeast"/>
        </w:trPr>
        <w:tc>
          <w:tcPr>
            <w:tcW w:w="4435" w:type="dxa"/>
            <w:noWrap w:val="0"/>
            <w:vAlign w:val="top"/>
          </w:tcPr>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tc>
        <w:tc>
          <w:tcPr>
            <w:tcW w:w="4464" w:type="dxa"/>
            <w:noWrap w:val="0"/>
            <w:vAlign w:val="top"/>
          </w:tcPr>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p>
            <w:pPr>
              <w:tabs>
                <w:tab w:val="left" w:pos="5580"/>
              </w:tabs>
              <w:spacing w:line="360" w:lineRule="auto"/>
              <w:jc w:val="left"/>
              <w:rPr>
                <w:rFonts w:hint="eastAsia" w:ascii="宋体" w:hAnsi="宋体" w:cs="宋体"/>
                <w:sz w:val="24"/>
                <w:szCs w:val="20"/>
              </w:rPr>
            </w:pPr>
          </w:p>
        </w:tc>
      </w:tr>
    </w:tbl>
    <w:p>
      <w:pPr>
        <w:pStyle w:val="21"/>
        <w:kinsoku w:val="0"/>
        <w:overflowPunct w:val="0"/>
        <w:spacing w:line="583" w:lineRule="auto"/>
        <w:ind w:right="4305"/>
        <w:rPr>
          <w:rFonts w:hint="eastAsia" w:cs="宋体"/>
          <w:spacing w:val="-3"/>
        </w:rPr>
      </w:pPr>
    </w:p>
    <w:p>
      <w:pPr>
        <w:pStyle w:val="21"/>
        <w:kinsoku w:val="0"/>
        <w:overflowPunct w:val="0"/>
        <w:spacing w:line="583" w:lineRule="auto"/>
        <w:ind w:right="4305"/>
        <w:rPr>
          <w:rFonts w:hint="eastAsia" w:cs="宋体"/>
          <w:spacing w:val="-3"/>
        </w:rPr>
      </w:pPr>
    </w:p>
    <w:p>
      <w:pPr>
        <w:pStyle w:val="21"/>
        <w:kinsoku w:val="0"/>
        <w:overflowPunct w:val="0"/>
        <w:spacing w:line="583" w:lineRule="auto"/>
        <w:ind w:right="4305"/>
        <w:rPr>
          <w:rFonts w:hint="eastAsia" w:cs="宋体"/>
          <w:spacing w:val="-3"/>
        </w:rPr>
      </w:pPr>
    </w:p>
    <w:p>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pacing w:val="-3"/>
          <w:sz w:val="24"/>
        </w:rPr>
        <w:t>法定代表人（</w:t>
      </w:r>
      <w:r>
        <w:rPr>
          <w:rFonts w:hint="eastAsia" w:ascii="宋体" w:hAnsi="宋体" w:cs="宋体"/>
          <w:sz w:val="24"/>
        </w:rPr>
        <w:t>单位负责人</w:t>
      </w:r>
      <w:r>
        <w:rPr>
          <w:rFonts w:hint="eastAsia" w:ascii="宋体" w:hAnsi="宋体" w:cs="宋体"/>
          <w:spacing w:val="-3"/>
          <w:sz w:val="24"/>
        </w:rPr>
        <w:t>）（签字</w:t>
      </w:r>
      <w:r>
        <w:rPr>
          <w:rFonts w:hint="eastAsia" w:ascii="宋体" w:hAnsi="宋体" w:cs="宋体"/>
          <w:sz w:val="24"/>
          <w:szCs w:val="20"/>
        </w:rPr>
        <w:t>、签章</w:t>
      </w:r>
      <w:r>
        <w:rPr>
          <w:rFonts w:hint="eastAsia" w:ascii="宋体" w:hAnsi="宋体" w:cs="宋体"/>
          <w:spacing w:val="-3"/>
          <w:sz w:val="24"/>
        </w:rPr>
        <w:t>或印鉴）：</w:t>
      </w:r>
      <w:r>
        <w:rPr>
          <w:rFonts w:hint="eastAsia" w:ascii="宋体" w:hAnsi="宋体" w:cs="宋体"/>
          <w:sz w:val="24"/>
        </w:rPr>
        <w:t>______</w:t>
      </w:r>
    </w:p>
    <w:p>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日期：</w:t>
      </w:r>
      <w:r>
        <w:rPr>
          <w:rFonts w:hint="eastAsia" w:ascii="宋体" w:hAnsi="宋体" w:cs="宋体"/>
          <w:sz w:val="24"/>
          <w:szCs w:val="20"/>
        </w:rPr>
        <w:t>____年____月____日</w:t>
      </w:r>
    </w:p>
    <w:p>
      <w:pPr>
        <w:widowControl/>
        <w:jc w:val="left"/>
        <w:rPr>
          <w:rFonts w:hint="eastAsia" w:ascii="宋体" w:hAnsi="宋体" w:cs="宋体"/>
          <w:i/>
          <w:sz w:val="24"/>
          <w:szCs w:val="20"/>
          <w:u w:val="single"/>
        </w:rPr>
      </w:pPr>
    </w:p>
    <w:p>
      <w:pPr>
        <w:widowControl/>
        <w:jc w:val="left"/>
        <w:rPr>
          <w:rFonts w:hint="eastAsia" w:ascii="宋体" w:hAnsi="宋体" w:cs="宋体"/>
          <w:sz w:val="24"/>
          <w:szCs w:val="20"/>
        </w:rPr>
      </w:pPr>
      <w:r>
        <w:rPr>
          <w:rFonts w:hint="eastAsia" w:ascii="宋体" w:hAnsi="宋体" w:cs="宋体"/>
          <w:sz w:val="24"/>
          <w:szCs w:val="20"/>
        </w:rPr>
        <w:br w:type="page"/>
      </w:r>
    </w:p>
    <w:p>
      <w:pPr>
        <w:widowControl/>
        <w:jc w:val="left"/>
        <w:rPr>
          <w:rFonts w:hint="eastAsia" w:ascii="宋体" w:hAnsi="宋体" w:cs="宋体"/>
          <w:b/>
          <w:kern w:val="44"/>
          <w:sz w:val="32"/>
          <w:szCs w:val="20"/>
        </w:rPr>
      </w:pPr>
      <w:r>
        <w:rPr>
          <w:rFonts w:hint="eastAsia" w:ascii="宋体" w:hAnsi="宋体" w:cs="宋体"/>
          <w:b/>
          <w:kern w:val="44"/>
          <w:sz w:val="32"/>
          <w:szCs w:val="20"/>
        </w:rPr>
        <w:t>报价一览表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spacing w:line="360" w:lineRule="exact"/>
        <w:jc w:val="center"/>
        <w:rPr>
          <w:rFonts w:hint="eastAsia" w:ascii="宋体" w:hAnsi="宋体" w:cs="宋体"/>
          <w:b/>
          <w:sz w:val="36"/>
          <w:szCs w:val="36"/>
        </w:rPr>
      </w:pPr>
      <w:bookmarkStart w:id="638" w:name="_Toc164608672"/>
      <w:bookmarkStart w:id="639" w:name="_Toc195842923"/>
      <w:bookmarkStart w:id="640" w:name="_Toc226309802"/>
      <w:bookmarkStart w:id="641" w:name="_Toc226965748"/>
      <w:bookmarkStart w:id="642" w:name="_Toc264969248"/>
      <w:bookmarkStart w:id="643" w:name="_Toc226965831"/>
      <w:bookmarkStart w:id="644" w:name="_Toc164608827"/>
      <w:bookmarkStart w:id="645" w:name="_Toc265228396"/>
      <w:bookmarkStart w:id="646" w:name="_Toc305158826"/>
      <w:bookmarkStart w:id="647" w:name="_Toc226337254"/>
      <w:bookmarkStart w:id="648" w:name="_Toc305158900"/>
      <w:r>
        <w:rPr>
          <w:rFonts w:hint="eastAsia" w:ascii="宋体" w:hAnsi="宋体" w:cs="宋体"/>
          <w:b/>
          <w:sz w:val="36"/>
          <w:szCs w:val="36"/>
        </w:rPr>
        <w:t>报价一览表</w:t>
      </w:r>
      <w:bookmarkEnd w:id="638"/>
      <w:bookmarkEnd w:id="639"/>
      <w:bookmarkEnd w:id="640"/>
      <w:bookmarkEnd w:id="641"/>
      <w:bookmarkEnd w:id="642"/>
      <w:bookmarkEnd w:id="643"/>
      <w:bookmarkEnd w:id="644"/>
      <w:bookmarkEnd w:id="645"/>
      <w:bookmarkEnd w:id="646"/>
      <w:bookmarkEnd w:id="647"/>
      <w:bookmarkEnd w:id="648"/>
    </w:p>
    <w:p>
      <w:pPr>
        <w:tabs>
          <w:tab w:val="left" w:pos="1800"/>
          <w:tab w:val="left" w:pos="5580"/>
        </w:tabs>
        <w:spacing w:line="360" w:lineRule="auto"/>
        <w:jc w:val="left"/>
        <w:rPr>
          <w:rFonts w:hint="eastAsia" w:ascii="宋体" w:hAnsi="宋体" w:cs="宋体"/>
          <w:sz w:val="24"/>
        </w:rPr>
      </w:pPr>
    </w:p>
    <w:p>
      <w:pPr>
        <w:tabs>
          <w:tab w:val="left" w:pos="1800"/>
          <w:tab w:val="left" w:pos="5580"/>
        </w:tabs>
        <w:spacing w:line="360" w:lineRule="auto"/>
        <w:ind w:firstLine="240" w:firstLineChars="100"/>
        <w:jc w:val="left"/>
        <w:rPr>
          <w:rFonts w:hint="eastAsia" w:ascii="宋体" w:hAnsi="宋体" w:cs="宋体"/>
          <w:sz w:val="24"/>
          <w:u w:val="single"/>
        </w:rPr>
      </w:pPr>
      <w:r>
        <w:rPr>
          <w:rFonts w:hint="eastAsia" w:ascii="宋体" w:hAnsi="宋体" w:cs="宋体"/>
          <w:sz w:val="24"/>
        </w:rPr>
        <w:t>项目编号/包号：___________     项目名称：___________</w:t>
      </w:r>
    </w:p>
    <w:tbl>
      <w:tblPr>
        <w:tblStyle w:val="46"/>
        <w:tblW w:w="5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2"/>
        <w:gridCol w:w="1984"/>
        <w:gridCol w:w="2576"/>
        <w:gridCol w:w="2578"/>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宋体" w:hAnsi="宋体" w:cs="宋体"/>
                <w:b/>
                <w:sz w:val="24"/>
              </w:rPr>
            </w:pPr>
            <w:r>
              <w:rPr>
                <w:rFonts w:hint="eastAsia" w:ascii="宋体" w:hAnsi="宋体" w:cs="宋体"/>
                <w:b/>
                <w:sz w:val="24"/>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宋体" w:hAnsi="宋体" w:cs="宋体"/>
                <w:b/>
                <w:sz w:val="24"/>
              </w:rPr>
            </w:pPr>
            <w:r>
              <w:rPr>
                <w:rFonts w:hint="eastAsia" w:ascii="宋体" w:hAnsi="宋体" w:cs="宋体"/>
                <w:b/>
                <w:sz w:val="24"/>
              </w:rPr>
              <w:t>供应商名称</w:t>
            </w:r>
          </w:p>
        </w:tc>
        <w:tc>
          <w:tcPr>
            <w:tcW w:w="1261" w:type="pct"/>
            <w:tcBorders>
              <w:top w:val="single" w:color="auto" w:sz="4" w:space="0"/>
              <w:left w:val="single" w:color="auto" w:sz="4" w:space="0"/>
              <w:right w:val="single" w:color="auto" w:sz="4" w:space="0"/>
            </w:tcBorders>
            <w:noWrap w:val="0"/>
            <w:vAlign w:val="center"/>
          </w:tcPr>
          <w:p>
            <w:pPr>
              <w:tabs>
                <w:tab w:val="left" w:pos="5580"/>
              </w:tabs>
              <w:jc w:val="center"/>
              <w:rPr>
                <w:rFonts w:hint="eastAsia" w:ascii="宋体" w:hAnsi="宋体" w:eastAsia="宋体" w:cs="宋体"/>
                <w:b/>
                <w:sz w:val="24"/>
                <w:lang w:eastAsia="zh-CN"/>
              </w:rPr>
            </w:pPr>
            <w:r>
              <w:rPr>
                <w:rFonts w:hint="eastAsia" w:ascii="宋体" w:hAnsi="宋体" w:cs="宋体"/>
                <w:b/>
                <w:sz w:val="24"/>
              </w:rPr>
              <w:t>报价</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宋体" w:hAnsi="宋体" w:cs="宋体"/>
                <w:b/>
                <w:sz w:val="24"/>
              </w:rPr>
            </w:pPr>
            <w:r>
              <w:rPr>
                <w:rFonts w:hint="eastAsia" w:ascii="宋体" w:hAnsi="宋体" w:cs="宋体"/>
                <w:b/>
                <w:sz w:val="24"/>
              </w:rPr>
              <w:t>合同履行期限</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宋体" w:hAnsi="宋体" w:cs="宋体"/>
                <w:sz w:val="24"/>
              </w:rPr>
            </w:pPr>
          </w:p>
        </w:tc>
        <w:tc>
          <w:tcPr>
            <w:tcW w:w="97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宋体" w:hAnsi="宋体" w:cs="宋体"/>
                <w:sz w:val="24"/>
              </w:rPr>
            </w:pPr>
          </w:p>
        </w:tc>
        <w:tc>
          <w:tcPr>
            <w:tcW w:w="12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Calibri" w:hAnsi="宋体"/>
                <w:b/>
                <w:sz w:val="24"/>
              </w:rPr>
            </w:pPr>
            <w:r>
              <w:rPr>
                <w:rFonts w:hint="eastAsia" w:ascii="Calibri" w:hAnsi="宋体"/>
                <w:b/>
                <w:sz w:val="24"/>
              </w:rPr>
              <w:t>响应报价大写：</w:t>
            </w:r>
          </w:p>
          <w:p>
            <w:pPr>
              <w:tabs>
                <w:tab w:val="left" w:pos="5580"/>
              </w:tabs>
              <w:rPr>
                <w:rFonts w:hint="eastAsia" w:ascii="宋体" w:hAnsi="宋体" w:cs="宋体"/>
                <w:sz w:val="24"/>
              </w:rPr>
            </w:pPr>
            <w:r>
              <w:rPr>
                <w:rFonts w:hint="eastAsia" w:ascii="Calibri" w:hAnsi="宋体"/>
                <w:b/>
                <w:sz w:val="24"/>
              </w:rPr>
              <w:t>响应报价小写：</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宋体" w:hAnsi="宋体" w:cs="宋体"/>
                <w:sz w:val="24"/>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hint="eastAsia" w:ascii="宋体" w:hAnsi="宋体" w:cs="宋体"/>
                <w:sz w:val="24"/>
              </w:rPr>
            </w:pPr>
          </w:p>
        </w:tc>
      </w:tr>
    </w:tbl>
    <w:p>
      <w:pPr>
        <w:autoSpaceDE w:val="0"/>
        <w:autoSpaceDN w:val="0"/>
        <w:adjustRightInd w:val="0"/>
        <w:jc w:val="left"/>
        <w:rPr>
          <w:rFonts w:hint="eastAsia" w:ascii="宋体" w:hAnsi="宋体" w:cs="宋体"/>
          <w:kern w:val="0"/>
          <w:sz w:val="24"/>
        </w:rPr>
      </w:pPr>
    </w:p>
    <w:p>
      <w:pPr>
        <w:autoSpaceDE w:val="0"/>
        <w:autoSpaceDN w:val="0"/>
        <w:adjustRightInd w:val="0"/>
        <w:jc w:val="left"/>
        <w:rPr>
          <w:rFonts w:hint="eastAsia" w:ascii="宋体" w:hAnsi="宋体" w:cs="宋体"/>
          <w:sz w:val="24"/>
          <w:szCs w:val="20"/>
        </w:rPr>
      </w:pPr>
      <w:r>
        <w:rPr>
          <w:rFonts w:hint="eastAsia" w:ascii="宋体" w:hAnsi="宋体" w:cs="宋体"/>
          <w:kern w:val="0"/>
          <w:sz w:val="24"/>
        </w:rPr>
        <w:t>注：1</w:t>
      </w:r>
      <w:r>
        <w:rPr>
          <w:rFonts w:hint="eastAsia" w:ascii="宋体" w:hAnsi="宋体" w:cs="宋体"/>
          <w:sz w:val="24"/>
          <w:szCs w:val="20"/>
        </w:rPr>
        <w:t>.此表中，每包的报价应和《分项报价表》中的总价相一致。</w:t>
      </w:r>
    </w:p>
    <w:p>
      <w:pPr>
        <w:tabs>
          <w:tab w:val="left" w:pos="5580"/>
        </w:tabs>
        <w:ind w:firstLine="480" w:firstLineChars="200"/>
        <w:rPr>
          <w:rFonts w:hint="eastAsia" w:ascii="宋体" w:hAnsi="宋体" w:cs="宋体"/>
          <w:sz w:val="24"/>
          <w:szCs w:val="20"/>
        </w:rPr>
      </w:pPr>
      <w:r>
        <w:rPr>
          <w:rFonts w:hint="eastAsia" w:ascii="宋体" w:hAnsi="宋体" w:cs="宋体"/>
          <w:sz w:val="24"/>
          <w:szCs w:val="20"/>
        </w:rPr>
        <w:t>2.本表必须按包分别填写。</w:t>
      </w:r>
    </w:p>
    <w:p>
      <w:pPr>
        <w:tabs>
          <w:tab w:val="left" w:pos="5580"/>
        </w:tabs>
        <w:ind w:firstLine="480" w:firstLineChars="200"/>
        <w:rPr>
          <w:rFonts w:hint="eastAsia" w:ascii="宋体" w:hAnsi="宋体" w:cs="宋体"/>
          <w:sz w:val="24"/>
          <w:szCs w:val="20"/>
        </w:rPr>
      </w:pPr>
    </w:p>
    <w:p>
      <w:pPr>
        <w:autoSpaceDE w:val="0"/>
        <w:autoSpaceDN w:val="0"/>
        <w:adjustRightInd w:val="0"/>
        <w:snapToGrid w:val="0"/>
        <w:spacing w:before="25" w:after="25" w:line="360" w:lineRule="auto"/>
        <w:rPr>
          <w:rFonts w:hint="eastAsia" w:ascii="宋体" w:hAnsi="宋体" w:cs="宋体"/>
          <w:sz w:val="24"/>
          <w:lang w:val="zh-CN"/>
        </w:rPr>
      </w:pPr>
    </w:p>
    <w:p>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lang w:val="zh-CN"/>
        </w:rPr>
        <w:t xml:space="preserve">   </w:t>
      </w:r>
    </w:p>
    <w:p>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___________</w:t>
      </w:r>
    </w:p>
    <w:p>
      <w:pPr>
        <w:autoSpaceDE w:val="0"/>
        <w:autoSpaceDN w:val="0"/>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szCs w:val="20"/>
        </w:rPr>
        <w:t>____年____月____日</w:t>
      </w:r>
    </w:p>
    <w:p>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  </w:t>
      </w:r>
    </w:p>
    <w:p>
      <w:pPr>
        <w:widowControl/>
        <w:jc w:val="left"/>
        <w:rPr>
          <w:rFonts w:hint="eastAsia" w:ascii="宋体" w:hAnsi="宋体" w:cs="宋体"/>
          <w:sz w:val="24"/>
          <w:szCs w:val="20"/>
        </w:rPr>
      </w:pPr>
      <w:bookmarkStart w:id="649" w:name="_Toc226309803"/>
      <w:bookmarkStart w:id="650" w:name="_Toc226337255"/>
      <w:bookmarkStart w:id="651" w:name="_Toc264969249"/>
      <w:bookmarkStart w:id="652" w:name="_Toc265228397"/>
      <w:bookmarkStart w:id="653" w:name="_Toc142311060"/>
      <w:bookmarkStart w:id="654" w:name="_Toc226965832"/>
      <w:bookmarkStart w:id="655" w:name="_Toc195842924"/>
      <w:bookmarkStart w:id="656" w:name="_Toc226965749"/>
      <w:bookmarkStart w:id="657" w:name="_Toc127151558"/>
      <w:bookmarkStart w:id="658" w:name="_Toc150774763"/>
      <w:bookmarkStart w:id="659" w:name="_Toc305158827"/>
      <w:bookmarkStart w:id="660" w:name="_Toc305158901"/>
      <w:bookmarkStart w:id="661" w:name="_Toc150480796"/>
      <w:r>
        <w:rPr>
          <w:rFonts w:hint="eastAsia" w:ascii="宋体" w:hAnsi="宋体" w:cs="宋体"/>
          <w:sz w:val="24"/>
          <w:szCs w:val="20"/>
        </w:rPr>
        <w:br w:type="page"/>
      </w:r>
    </w:p>
    <w:p>
      <w:pPr>
        <w:pStyle w:val="5"/>
        <w:jc w:val="left"/>
        <w:rPr>
          <w:rFonts w:hint="eastAsia" w:hAnsi="宋体" w:cs="宋体"/>
        </w:rPr>
      </w:pPr>
      <w:r>
        <w:rPr>
          <w:rFonts w:hint="eastAsia" w:hAnsi="宋体" w:cs="宋体"/>
        </w:rPr>
        <w:t>分项报价表</w:t>
      </w:r>
      <w:bookmarkEnd w:id="649"/>
      <w:bookmarkEnd w:id="650"/>
      <w:bookmarkEnd w:id="651"/>
      <w:bookmarkEnd w:id="652"/>
      <w:bookmarkEnd w:id="653"/>
      <w:bookmarkEnd w:id="654"/>
      <w:bookmarkEnd w:id="655"/>
      <w:bookmarkEnd w:id="656"/>
      <w:bookmarkEnd w:id="657"/>
      <w:bookmarkEnd w:id="658"/>
      <w:bookmarkEnd w:id="659"/>
      <w:bookmarkEnd w:id="660"/>
      <w:bookmarkEnd w:id="661"/>
    </w:p>
    <w:p>
      <w:pPr>
        <w:spacing w:line="360" w:lineRule="exact"/>
        <w:jc w:val="center"/>
        <w:rPr>
          <w:rFonts w:hint="eastAsia" w:ascii="宋体" w:hAnsi="宋体" w:cs="宋体"/>
          <w:b/>
          <w:sz w:val="36"/>
          <w:szCs w:val="36"/>
        </w:rPr>
      </w:pPr>
      <w:r>
        <w:rPr>
          <w:rFonts w:hint="eastAsia" w:ascii="宋体" w:hAnsi="宋体" w:cs="宋体"/>
          <w:b/>
          <w:sz w:val="36"/>
          <w:szCs w:val="36"/>
        </w:rPr>
        <w:t>分项报价表</w:t>
      </w:r>
    </w:p>
    <w:p>
      <w:pPr>
        <w:spacing w:line="260" w:lineRule="exact"/>
        <w:jc w:val="center"/>
        <w:rPr>
          <w:rFonts w:hint="eastAsia" w:ascii="宋体" w:hAnsi="宋体" w:cs="宋体"/>
          <w:sz w:val="36"/>
          <w:szCs w:val="36"/>
        </w:rPr>
      </w:pPr>
    </w:p>
    <w:p>
      <w:pPr>
        <w:adjustRightInd w:val="0"/>
        <w:snapToGrid w:val="0"/>
        <w:spacing w:before="240" w:beforeLines="100" w:after="240" w:afterLines="100"/>
        <w:jc w:val="left"/>
        <w:rPr>
          <w:rFonts w:hint="eastAsia" w:ascii="宋体" w:hAnsi="宋体" w:cs="宋体"/>
          <w:b/>
          <w:i/>
          <w:sz w:val="24"/>
        </w:rPr>
      </w:pPr>
      <w:r>
        <w:rPr>
          <w:rFonts w:hint="eastAsia" w:ascii="宋体" w:hAnsi="宋体"/>
          <w:sz w:val="24"/>
          <w:shd w:val="clear" w:color="auto" w:fill="FFFFFF"/>
        </w:rPr>
        <w:t>供应商名称（公章）：</w:t>
      </w:r>
      <w:r>
        <w:rPr>
          <w:rFonts w:hint="eastAsia" w:ascii="宋体" w:hAnsi="宋体"/>
          <w:sz w:val="24"/>
          <w:u w:val="single"/>
          <w:shd w:val="clear" w:color="auto" w:fill="FFFFFF"/>
        </w:rPr>
        <w:t xml:space="preserve">                 </w:t>
      </w:r>
    </w:p>
    <w:p>
      <w:pPr>
        <w:tabs>
          <w:tab w:val="left" w:pos="1800"/>
          <w:tab w:val="left" w:pos="5580"/>
        </w:tabs>
        <w:rPr>
          <w:rFonts w:hint="eastAsia" w:ascii="宋体" w:hAnsi="宋体" w:cs="宋体"/>
          <w:sz w:val="24"/>
        </w:rPr>
      </w:pPr>
      <w:r>
        <w:rPr>
          <w:rFonts w:hint="eastAsia" w:ascii="宋体" w:hAnsi="宋体" w:cs="宋体"/>
          <w:sz w:val="24"/>
        </w:rPr>
        <w:t>项目编号：_________ 项目名称：_________</w:t>
      </w:r>
    </w:p>
    <w:p>
      <w:pPr>
        <w:tabs>
          <w:tab w:val="left" w:pos="1800"/>
          <w:tab w:val="left" w:pos="5580"/>
        </w:tabs>
        <w:rPr>
          <w:rFonts w:hint="eastAsia" w:ascii="宋体" w:hAnsi="宋体" w:cs="宋体"/>
          <w:sz w:val="24"/>
        </w:rPr>
      </w:pPr>
    </w:p>
    <w:p>
      <w:pPr>
        <w:tabs>
          <w:tab w:val="left" w:pos="1800"/>
          <w:tab w:val="left" w:pos="5580"/>
        </w:tabs>
        <w:rPr>
          <w:rFonts w:hint="eastAsia" w:ascii="宋体" w:hAnsi="宋体" w:cs="宋体"/>
          <w:sz w:val="24"/>
        </w:rPr>
      </w:pPr>
      <w:r>
        <w:rPr>
          <w:rFonts w:hint="eastAsia" w:ascii="宋体" w:hAnsi="宋体" w:cs="宋体"/>
          <w:sz w:val="24"/>
        </w:rPr>
        <w:t>报价单位：人民币（元）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978"/>
        <w:gridCol w:w="1033"/>
        <w:gridCol w:w="969"/>
        <w:gridCol w:w="969"/>
        <w:gridCol w:w="969"/>
        <w:gridCol w:w="819"/>
        <w:gridCol w:w="1167"/>
        <w:gridCol w:w="1168"/>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top"/>
          </w:tcPr>
          <w:p>
            <w:pPr>
              <w:rPr>
                <w:rFonts w:hint="eastAsia" w:ascii="宋体" w:hAnsi="宋体" w:cs="宋体"/>
                <w:kern w:val="0"/>
                <w:sz w:val="24"/>
              </w:rPr>
            </w:pPr>
            <w:r>
              <w:rPr>
                <w:rFonts w:hint="eastAsia" w:ascii="宋体" w:hAnsi="宋体" w:cs="宋体"/>
                <w:kern w:val="0"/>
                <w:sz w:val="24"/>
              </w:rPr>
              <w:t>序号</w:t>
            </w:r>
          </w:p>
        </w:tc>
        <w:tc>
          <w:tcPr>
            <w:tcW w:w="2011" w:type="dxa"/>
            <w:gridSpan w:val="2"/>
            <w:noWrap w:val="0"/>
            <w:vAlign w:val="top"/>
          </w:tcPr>
          <w:p>
            <w:pPr>
              <w:jc w:val="center"/>
              <w:rPr>
                <w:rFonts w:hint="eastAsia" w:ascii="宋体" w:hAnsi="宋体" w:eastAsia="宋体" w:cs="宋体"/>
                <w:kern w:val="0"/>
                <w:sz w:val="24"/>
                <w:lang w:eastAsia="zh-CN"/>
              </w:rPr>
            </w:pPr>
            <w:r>
              <w:rPr>
                <w:rFonts w:hint="eastAsia" w:ascii="宋体" w:hAnsi="宋体" w:cs="宋体"/>
                <w:kern w:val="0"/>
                <w:sz w:val="24"/>
                <w:lang w:val="en-US" w:eastAsia="zh-CN"/>
              </w:rPr>
              <w:t>标的</w:t>
            </w:r>
            <w:r>
              <w:rPr>
                <w:rFonts w:hint="eastAsia" w:ascii="宋体" w:hAnsi="宋体" w:cs="宋体"/>
                <w:kern w:val="0"/>
                <w:sz w:val="24"/>
              </w:rPr>
              <w:t>名称</w:t>
            </w:r>
          </w:p>
        </w:tc>
        <w:tc>
          <w:tcPr>
            <w:tcW w:w="969" w:type="dxa"/>
            <w:noWrap w:val="0"/>
            <w:vAlign w:val="top"/>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品牌</w:t>
            </w:r>
          </w:p>
        </w:tc>
        <w:tc>
          <w:tcPr>
            <w:tcW w:w="969" w:type="dxa"/>
            <w:noWrap w:val="0"/>
            <w:vAlign w:val="top"/>
          </w:tcPr>
          <w:p>
            <w:pPr>
              <w:jc w:val="center"/>
              <w:rPr>
                <w:rFonts w:hint="default" w:ascii="宋体" w:hAnsi="宋体" w:cs="宋体"/>
                <w:kern w:val="0"/>
                <w:sz w:val="24"/>
                <w:lang w:val="en-US" w:eastAsia="zh-CN"/>
              </w:rPr>
            </w:pPr>
            <w:r>
              <w:rPr>
                <w:rFonts w:hint="eastAsia" w:ascii="宋体" w:hAnsi="宋体" w:cs="宋体"/>
                <w:kern w:val="0"/>
                <w:sz w:val="24"/>
                <w:lang w:val="en-US" w:eastAsia="zh-CN"/>
              </w:rPr>
              <w:t>型号</w:t>
            </w:r>
          </w:p>
        </w:tc>
        <w:tc>
          <w:tcPr>
            <w:tcW w:w="969" w:type="dxa"/>
            <w:noWrap w:val="0"/>
            <w:vAlign w:val="top"/>
          </w:tcPr>
          <w:p>
            <w:pPr>
              <w:jc w:val="center"/>
              <w:rPr>
                <w:rFonts w:hint="default" w:ascii="宋体" w:hAnsi="宋体" w:eastAsia="宋体" w:cs="宋体"/>
                <w:kern w:val="0"/>
                <w:sz w:val="24"/>
                <w:lang w:val="en-US" w:eastAsia="zh-CN"/>
              </w:rPr>
            </w:pPr>
            <w:r>
              <w:rPr>
                <w:rFonts w:hint="eastAsia" w:ascii="宋体" w:hAnsi="宋体" w:cs="宋体"/>
                <w:kern w:val="0"/>
                <w:sz w:val="24"/>
              </w:rPr>
              <w:t>数量</w:t>
            </w:r>
          </w:p>
        </w:tc>
        <w:tc>
          <w:tcPr>
            <w:tcW w:w="819" w:type="dxa"/>
            <w:noWrap w:val="0"/>
            <w:vAlign w:val="top"/>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单位</w:t>
            </w:r>
          </w:p>
        </w:tc>
        <w:tc>
          <w:tcPr>
            <w:tcW w:w="1167" w:type="dxa"/>
            <w:noWrap w:val="0"/>
            <w:vAlign w:val="top"/>
          </w:tcPr>
          <w:p>
            <w:pPr>
              <w:jc w:val="center"/>
              <w:rPr>
                <w:rFonts w:hint="default" w:ascii="宋体" w:hAnsi="宋体" w:cs="宋体"/>
                <w:kern w:val="0"/>
                <w:sz w:val="24"/>
                <w:lang w:val="en-US" w:eastAsia="zh-CN"/>
              </w:rPr>
            </w:pPr>
            <w:r>
              <w:rPr>
                <w:rFonts w:hint="eastAsia" w:ascii="宋体" w:hAnsi="宋体" w:cs="宋体"/>
                <w:kern w:val="0"/>
                <w:sz w:val="24"/>
                <w:lang w:val="en-US" w:eastAsia="zh-CN"/>
              </w:rPr>
              <w:t>单价</w:t>
            </w:r>
          </w:p>
        </w:tc>
        <w:tc>
          <w:tcPr>
            <w:tcW w:w="1168" w:type="dxa"/>
            <w:noWrap w:val="0"/>
            <w:vAlign w:val="top"/>
          </w:tcPr>
          <w:p>
            <w:pPr>
              <w:jc w:val="center"/>
              <w:rPr>
                <w:rFonts w:hint="eastAsia" w:ascii="宋体" w:hAnsi="宋体" w:eastAsia="宋体" w:cs="宋体"/>
                <w:kern w:val="0"/>
                <w:sz w:val="24"/>
                <w:lang w:eastAsia="zh-CN"/>
              </w:rPr>
            </w:pPr>
            <w:r>
              <w:rPr>
                <w:rFonts w:hint="eastAsia" w:ascii="宋体" w:hAnsi="宋体" w:cs="宋体"/>
                <w:kern w:val="0"/>
                <w:sz w:val="24"/>
                <w:lang w:val="en-US" w:eastAsia="zh-CN"/>
              </w:rPr>
              <w:t>合计</w:t>
            </w:r>
          </w:p>
        </w:tc>
        <w:tc>
          <w:tcPr>
            <w:tcW w:w="640" w:type="dxa"/>
            <w:noWrap w:val="0"/>
            <w:vAlign w:val="top"/>
          </w:tcPr>
          <w:p>
            <w:pPr>
              <w:jc w:val="center"/>
              <w:rPr>
                <w:rFonts w:hint="eastAsia"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76" w:type="dxa"/>
            <w:noWrap w:val="0"/>
            <w:vAlign w:val="top"/>
          </w:tcPr>
          <w:p>
            <w:pPr>
              <w:jc w:val="center"/>
              <w:rPr>
                <w:rFonts w:hint="eastAsia" w:ascii="宋体" w:hAnsi="宋体" w:cs="宋体"/>
                <w:kern w:val="0"/>
                <w:sz w:val="24"/>
              </w:rPr>
            </w:pPr>
            <w:r>
              <w:rPr>
                <w:rFonts w:hint="eastAsia" w:ascii="宋体" w:hAnsi="宋体" w:cs="宋体"/>
                <w:kern w:val="0"/>
                <w:sz w:val="24"/>
              </w:rPr>
              <w:t>1</w:t>
            </w:r>
          </w:p>
        </w:tc>
        <w:tc>
          <w:tcPr>
            <w:tcW w:w="2011" w:type="dxa"/>
            <w:gridSpan w:val="2"/>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819" w:type="dxa"/>
            <w:noWrap w:val="0"/>
            <w:vAlign w:val="top"/>
          </w:tcPr>
          <w:p>
            <w:pPr>
              <w:rPr>
                <w:rFonts w:hint="eastAsia" w:ascii="宋体" w:hAnsi="宋体" w:cs="宋体"/>
                <w:kern w:val="0"/>
                <w:sz w:val="24"/>
              </w:rPr>
            </w:pPr>
          </w:p>
        </w:tc>
        <w:tc>
          <w:tcPr>
            <w:tcW w:w="1167" w:type="dxa"/>
            <w:noWrap w:val="0"/>
            <w:vAlign w:val="top"/>
          </w:tcPr>
          <w:p>
            <w:pPr>
              <w:rPr>
                <w:rFonts w:hint="eastAsia" w:ascii="宋体" w:hAnsi="宋体" w:cs="宋体"/>
                <w:kern w:val="0"/>
                <w:sz w:val="24"/>
              </w:rPr>
            </w:pPr>
          </w:p>
        </w:tc>
        <w:tc>
          <w:tcPr>
            <w:tcW w:w="1168" w:type="dxa"/>
            <w:noWrap w:val="0"/>
            <w:vAlign w:val="top"/>
          </w:tcPr>
          <w:p>
            <w:pPr>
              <w:rPr>
                <w:rFonts w:hint="eastAsia" w:ascii="宋体" w:hAnsi="宋体" w:cs="宋体"/>
                <w:kern w:val="0"/>
                <w:sz w:val="24"/>
              </w:rPr>
            </w:pPr>
          </w:p>
        </w:tc>
        <w:tc>
          <w:tcPr>
            <w:tcW w:w="640" w:type="dxa"/>
            <w:noWrap w:val="0"/>
            <w:vAlign w:val="top"/>
          </w:tcPr>
          <w:p>
            <w:pP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76" w:type="dxa"/>
            <w:noWrap w:val="0"/>
            <w:vAlign w:val="top"/>
          </w:tcPr>
          <w:p>
            <w:pPr>
              <w:jc w:val="center"/>
              <w:rPr>
                <w:rFonts w:hint="eastAsia" w:ascii="宋体" w:hAnsi="宋体" w:cs="宋体"/>
                <w:kern w:val="0"/>
                <w:sz w:val="24"/>
              </w:rPr>
            </w:pPr>
            <w:r>
              <w:rPr>
                <w:rFonts w:hint="eastAsia" w:ascii="宋体" w:hAnsi="宋体" w:cs="宋体"/>
                <w:kern w:val="0"/>
                <w:sz w:val="24"/>
              </w:rPr>
              <w:t>2</w:t>
            </w:r>
          </w:p>
        </w:tc>
        <w:tc>
          <w:tcPr>
            <w:tcW w:w="2011" w:type="dxa"/>
            <w:gridSpan w:val="2"/>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819" w:type="dxa"/>
            <w:noWrap w:val="0"/>
            <w:vAlign w:val="top"/>
          </w:tcPr>
          <w:p>
            <w:pPr>
              <w:rPr>
                <w:rFonts w:hint="eastAsia" w:ascii="宋体" w:hAnsi="宋体" w:cs="宋体"/>
                <w:kern w:val="0"/>
                <w:sz w:val="24"/>
              </w:rPr>
            </w:pPr>
          </w:p>
        </w:tc>
        <w:tc>
          <w:tcPr>
            <w:tcW w:w="1167" w:type="dxa"/>
            <w:noWrap w:val="0"/>
            <w:vAlign w:val="top"/>
          </w:tcPr>
          <w:p>
            <w:pPr>
              <w:rPr>
                <w:rFonts w:hint="eastAsia" w:ascii="宋体" w:hAnsi="宋体" w:cs="宋体"/>
                <w:kern w:val="0"/>
                <w:sz w:val="24"/>
              </w:rPr>
            </w:pPr>
          </w:p>
        </w:tc>
        <w:tc>
          <w:tcPr>
            <w:tcW w:w="1168" w:type="dxa"/>
            <w:noWrap w:val="0"/>
            <w:vAlign w:val="top"/>
          </w:tcPr>
          <w:p>
            <w:pPr>
              <w:rPr>
                <w:rFonts w:hint="eastAsia" w:ascii="宋体" w:hAnsi="宋体" w:cs="宋体"/>
                <w:kern w:val="0"/>
                <w:sz w:val="24"/>
              </w:rPr>
            </w:pPr>
          </w:p>
        </w:tc>
        <w:tc>
          <w:tcPr>
            <w:tcW w:w="640" w:type="dxa"/>
            <w:noWrap w:val="0"/>
            <w:vAlign w:val="top"/>
          </w:tcPr>
          <w:p>
            <w:pP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76" w:type="dxa"/>
            <w:noWrap w:val="0"/>
            <w:vAlign w:val="top"/>
          </w:tcPr>
          <w:p>
            <w:pPr>
              <w:jc w:val="center"/>
              <w:rPr>
                <w:rFonts w:ascii="宋体" w:hAnsi="宋体" w:cs="宋体"/>
                <w:kern w:val="0"/>
                <w:sz w:val="24"/>
              </w:rPr>
            </w:pPr>
            <w:r>
              <w:rPr>
                <w:rFonts w:hint="eastAsia" w:ascii="宋体" w:hAnsi="宋体" w:cs="宋体"/>
                <w:kern w:val="0"/>
                <w:sz w:val="24"/>
              </w:rPr>
              <w:t>...</w:t>
            </w:r>
          </w:p>
        </w:tc>
        <w:tc>
          <w:tcPr>
            <w:tcW w:w="2011" w:type="dxa"/>
            <w:gridSpan w:val="2"/>
            <w:noWrap w:val="0"/>
            <w:vAlign w:val="top"/>
          </w:tcPr>
          <w:p>
            <w:pPr>
              <w:rPr>
                <w:rFonts w:hint="eastAsia" w:ascii="宋体" w:hAnsi="宋体" w:cs="宋体"/>
                <w:kern w:val="0"/>
                <w:sz w:val="24"/>
              </w:rPr>
            </w:pPr>
            <w:r>
              <w:rPr>
                <w:rFonts w:hint="eastAsia" w:ascii="宋体" w:hAnsi="宋体" w:cs="宋体"/>
                <w:kern w:val="0"/>
                <w:sz w:val="24"/>
              </w:rPr>
              <w:t>......</w:t>
            </w:r>
          </w:p>
        </w:tc>
        <w:tc>
          <w:tcPr>
            <w:tcW w:w="969" w:type="dxa"/>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819" w:type="dxa"/>
            <w:noWrap w:val="0"/>
            <w:vAlign w:val="top"/>
          </w:tcPr>
          <w:p>
            <w:pPr>
              <w:rPr>
                <w:rFonts w:hint="eastAsia" w:ascii="宋体" w:hAnsi="宋体" w:cs="宋体"/>
                <w:kern w:val="0"/>
                <w:sz w:val="24"/>
              </w:rPr>
            </w:pPr>
          </w:p>
        </w:tc>
        <w:tc>
          <w:tcPr>
            <w:tcW w:w="1167" w:type="dxa"/>
            <w:noWrap w:val="0"/>
            <w:vAlign w:val="top"/>
          </w:tcPr>
          <w:p>
            <w:pPr>
              <w:rPr>
                <w:rFonts w:hint="eastAsia" w:ascii="宋体" w:hAnsi="宋体" w:cs="宋体"/>
                <w:kern w:val="0"/>
                <w:sz w:val="24"/>
              </w:rPr>
            </w:pPr>
          </w:p>
        </w:tc>
        <w:tc>
          <w:tcPr>
            <w:tcW w:w="1168" w:type="dxa"/>
            <w:noWrap w:val="0"/>
            <w:vAlign w:val="top"/>
          </w:tcPr>
          <w:p>
            <w:pPr>
              <w:rPr>
                <w:rFonts w:hint="eastAsia" w:ascii="宋体" w:hAnsi="宋体" w:cs="宋体"/>
                <w:kern w:val="0"/>
                <w:sz w:val="24"/>
              </w:rPr>
            </w:pPr>
          </w:p>
        </w:tc>
        <w:tc>
          <w:tcPr>
            <w:tcW w:w="640" w:type="dxa"/>
            <w:noWrap w:val="0"/>
            <w:vAlign w:val="top"/>
          </w:tcPr>
          <w:p>
            <w:pP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76" w:type="dxa"/>
            <w:noWrap w:val="0"/>
            <w:vAlign w:val="top"/>
          </w:tcPr>
          <w:p>
            <w:pPr>
              <w:jc w:val="center"/>
              <w:rPr>
                <w:rFonts w:hint="eastAsia" w:ascii="宋体" w:hAnsi="宋体" w:cs="宋体"/>
                <w:kern w:val="0"/>
                <w:sz w:val="24"/>
              </w:rPr>
            </w:pPr>
            <w:r>
              <w:rPr>
                <w:rFonts w:ascii="宋体" w:hAnsi="宋体" w:cs="宋体"/>
                <w:kern w:val="0"/>
                <w:sz w:val="24"/>
              </w:rPr>
              <w:t>3</w:t>
            </w:r>
          </w:p>
        </w:tc>
        <w:tc>
          <w:tcPr>
            <w:tcW w:w="2011" w:type="dxa"/>
            <w:gridSpan w:val="2"/>
            <w:noWrap w:val="0"/>
            <w:vAlign w:val="top"/>
          </w:tcPr>
          <w:p>
            <w:pPr>
              <w:rPr>
                <w:rFonts w:hint="eastAsia" w:ascii="宋体" w:hAnsi="宋体" w:cs="宋体"/>
                <w:kern w:val="0"/>
                <w:sz w:val="24"/>
              </w:rPr>
            </w:pPr>
            <w:r>
              <w:rPr>
                <w:rFonts w:hint="eastAsia" w:ascii="宋体" w:hAnsi="宋体" w:cs="宋体"/>
                <w:kern w:val="0"/>
                <w:sz w:val="24"/>
              </w:rPr>
              <w:t>其他费用</w:t>
            </w:r>
          </w:p>
        </w:tc>
        <w:tc>
          <w:tcPr>
            <w:tcW w:w="969" w:type="dxa"/>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969" w:type="dxa"/>
            <w:noWrap w:val="0"/>
            <w:vAlign w:val="top"/>
          </w:tcPr>
          <w:p>
            <w:pPr>
              <w:rPr>
                <w:rFonts w:hint="eastAsia" w:ascii="宋体" w:hAnsi="宋体" w:cs="宋体"/>
                <w:kern w:val="0"/>
                <w:sz w:val="24"/>
              </w:rPr>
            </w:pPr>
          </w:p>
        </w:tc>
        <w:tc>
          <w:tcPr>
            <w:tcW w:w="819" w:type="dxa"/>
            <w:noWrap w:val="0"/>
            <w:vAlign w:val="top"/>
          </w:tcPr>
          <w:p>
            <w:pPr>
              <w:rPr>
                <w:rFonts w:hint="eastAsia" w:ascii="宋体" w:hAnsi="宋体" w:cs="宋体"/>
                <w:kern w:val="0"/>
                <w:sz w:val="24"/>
              </w:rPr>
            </w:pPr>
          </w:p>
        </w:tc>
        <w:tc>
          <w:tcPr>
            <w:tcW w:w="1167" w:type="dxa"/>
            <w:noWrap w:val="0"/>
            <w:vAlign w:val="top"/>
          </w:tcPr>
          <w:p>
            <w:pPr>
              <w:rPr>
                <w:rFonts w:hint="eastAsia" w:ascii="宋体" w:hAnsi="宋体" w:cs="宋体"/>
                <w:kern w:val="0"/>
                <w:sz w:val="24"/>
              </w:rPr>
            </w:pPr>
          </w:p>
        </w:tc>
        <w:tc>
          <w:tcPr>
            <w:tcW w:w="1168" w:type="dxa"/>
            <w:noWrap w:val="0"/>
            <w:vAlign w:val="top"/>
          </w:tcPr>
          <w:p>
            <w:pPr>
              <w:rPr>
                <w:rFonts w:hint="eastAsia" w:ascii="宋体" w:hAnsi="宋体" w:cs="宋体"/>
                <w:kern w:val="0"/>
                <w:sz w:val="24"/>
              </w:rPr>
            </w:pPr>
          </w:p>
        </w:tc>
        <w:tc>
          <w:tcPr>
            <w:tcW w:w="640" w:type="dxa"/>
            <w:noWrap w:val="0"/>
            <w:vAlign w:val="top"/>
          </w:tcPr>
          <w:p>
            <w:pP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554" w:type="dxa"/>
            <w:gridSpan w:val="2"/>
            <w:noWrap w:val="0"/>
            <w:vAlign w:val="center"/>
          </w:tcPr>
          <w:p>
            <w:pPr>
              <w:spacing w:line="480" w:lineRule="auto"/>
              <w:rPr>
                <w:rFonts w:hint="eastAsia" w:ascii="宋体" w:hAnsi="宋体" w:cs="宋体"/>
                <w:kern w:val="0"/>
                <w:sz w:val="24"/>
              </w:rPr>
            </w:pPr>
            <w:r>
              <w:rPr>
                <w:rFonts w:hint="eastAsia" w:ascii="宋体" w:hAnsi="宋体" w:cs="宋体"/>
                <w:kern w:val="0"/>
                <w:sz w:val="24"/>
              </w:rPr>
              <w:t>总计</w:t>
            </w:r>
          </w:p>
        </w:tc>
        <w:tc>
          <w:tcPr>
            <w:tcW w:w="7734" w:type="dxa"/>
            <w:gridSpan w:val="8"/>
            <w:noWrap w:val="0"/>
            <w:vAlign w:val="top"/>
          </w:tcPr>
          <w:p>
            <w:pPr>
              <w:spacing w:line="480" w:lineRule="auto"/>
              <w:rPr>
                <w:rFonts w:hint="eastAsia"/>
              </w:rPr>
            </w:pPr>
            <w:r>
              <w:rPr>
                <w:rFonts w:hint="eastAsia" w:ascii="宋体" w:hAnsi="宋体" w:cs="宋体"/>
                <w:kern w:val="0"/>
                <w:sz w:val="24"/>
              </w:rPr>
              <w:t>小写：</w:t>
            </w:r>
          </w:p>
          <w:p>
            <w:pPr>
              <w:spacing w:line="480" w:lineRule="auto"/>
              <w:rPr>
                <w:rFonts w:hint="eastAsia" w:ascii="宋体" w:hAnsi="宋体" w:cs="宋体"/>
                <w:kern w:val="0"/>
                <w:sz w:val="24"/>
              </w:rPr>
            </w:pPr>
            <w:r>
              <w:rPr>
                <w:rFonts w:hint="eastAsia" w:ascii="宋体" w:hAnsi="宋体" w:cs="宋体"/>
                <w:kern w:val="0"/>
                <w:sz w:val="24"/>
              </w:rPr>
              <w:t>大写：</w:t>
            </w:r>
          </w:p>
        </w:tc>
      </w:tr>
    </w:tbl>
    <w:p>
      <w:pPr>
        <w:tabs>
          <w:tab w:val="left" w:pos="1800"/>
          <w:tab w:val="left" w:pos="5580"/>
        </w:tabs>
        <w:jc w:val="left"/>
        <w:rPr>
          <w:rFonts w:hint="eastAsia" w:ascii="宋体" w:hAnsi="宋体" w:cs="宋体"/>
          <w:sz w:val="24"/>
        </w:rPr>
      </w:pPr>
    </w:p>
    <w:p>
      <w:pPr>
        <w:tabs>
          <w:tab w:val="left" w:pos="360"/>
        </w:tabs>
        <w:snapToGrid w:val="0"/>
        <w:spacing w:line="360" w:lineRule="auto"/>
        <w:jc w:val="left"/>
        <w:outlineLvl w:val="1"/>
        <w:rPr>
          <w:rFonts w:hint="eastAsia" w:ascii="宋体" w:hAnsi="宋体" w:cs="宋体"/>
          <w:sz w:val="24"/>
        </w:rPr>
      </w:pPr>
      <w:bookmarkStart w:id="662" w:name="_Toc226965835"/>
      <w:bookmarkStart w:id="663" w:name="_Toc127151562"/>
      <w:bookmarkStart w:id="664" w:name="_Toc305158904"/>
      <w:bookmarkStart w:id="665" w:name="_Toc150480798"/>
      <w:bookmarkStart w:id="666" w:name="_Toc226965752"/>
      <w:bookmarkStart w:id="667" w:name="_Toc150774765"/>
      <w:bookmarkStart w:id="668" w:name="_Toc265228400"/>
      <w:bookmarkStart w:id="669" w:name="_Toc142311062"/>
      <w:bookmarkStart w:id="670" w:name="_Toc226337258"/>
      <w:bookmarkStart w:id="671" w:name="_Toc305158830"/>
      <w:bookmarkStart w:id="672" w:name="_Toc195842927"/>
      <w:bookmarkStart w:id="673" w:name="_Toc226309806"/>
      <w:bookmarkStart w:id="674" w:name="_Toc264969252"/>
      <w:bookmarkStart w:id="675" w:name="_Toc127151561"/>
      <w:bookmarkStart w:id="676" w:name="_Toc142311061"/>
      <w:bookmarkStart w:id="677" w:name="_Toc226965834"/>
      <w:bookmarkStart w:id="678" w:name="_Toc226965751"/>
      <w:bookmarkStart w:id="679" w:name="_Toc195842926"/>
      <w:bookmarkStart w:id="680" w:name="_Toc264969251"/>
      <w:bookmarkStart w:id="681" w:name="_Toc150480797"/>
      <w:bookmarkStart w:id="682" w:name="_Toc226337257"/>
      <w:bookmarkStart w:id="683" w:name="_Toc226309805"/>
      <w:bookmarkStart w:id="684" w:name="_Toc150774764"/>
      <w:bookmarkStart w:id="685" w:name="_Toc305158903"/>
      <w:bookmarkStart w:id="686" w:name="_Toc265228399"/>
      <w:bookmarkStart w:id="687" w:name="_Toc305158829"/>
      <w:r>
        <w:rPr>
          <w:rFonts w:hint="eastAsia" w:ascii="宋体" w:hAnsi="宋体" w:cs="宋体"/>
          <w:sz w:val="24"/>
        </w:rPr>
        <w:t>（退还磋商保证金时，将依据以下账户信息）</w:t>
      </w:r>
    </w:p>
    <w:p>
      <w:pPr>
        <w:tabs>
          <w:tab w:val="left" w:pos="360"/>
        </w:tabs>
        <w:snapToGrid w:val="0"/>
        <w:spacing w:line="360" w:lineRule="auto"/>
        <w:jc w:val="left"/>
        <w:outlineLvl w:val="1"/>
        <w:rPr>
          <w:rFonts w:hint="eastAsia" w:ascii="宋体" w:hAnsi="宋体" w:cs="宋体"/>
          <w:sz w:val="24"/>
        </w:rPr>
      </w:pPr>
      <w:r>
        <w:rPr>
          <w:rFonts w:hint="eastAsia" w:ascii="宋体" w:hAnsi="宋体" w:cs="宋体"/>
          <w:sz w:val="24"/>
        </w:rPr>
        <w:t xml:space="preserve">供应商开户银行（全称）： </w:t>
      </w:r>
    </w:p>
    <w:p>
      <w:pPr>
        <w:tabs>
          <w:tab w:val="left" w:pos="360"/>
        </w:tabs>
        <w:snapToGrid w:val="0"/>
        <w:spacing w:line="360" w:lineRule="auto"/>
        <w:jc w:val="left"/>
        <w:outlineLvl w:val="1"/>
        <w:rPr>
          <w:rFonts w:hint="eastAsia" w:ascii="宋体" w:hAnsi="宋体" w:cs="宋体"/>
          <w:sz w:val="24"/>
        </w:rPr>
      </w:pPr>
      <w:r>
        <w:rPr>
          <w:rFonts w:hint="eastAsia" w:ascii="宋体" w:hAnsi="宋体" w:cs="宋体"/>
          <w:sz w:val="24"/>
        </w:rPr>
        <w:t xml:space="preserve">供应商银行账号： </w:t>
      </w:r>
    </w:p>
    <w:p>
      <w:pPr>
        <w:tabs>
          <w:tab w:val="left" w:pos="360"/>
        </w:tabs>
        <w:snapToGrid w:val="0"/>
        <w:spacing w:line="360" w:lineRule="auto"/>
        <w:jc w:val="left"/>
        <w:outlineLvl w:val="1"/>
        <w:rPr>
          <w:rFonts w:hint="eastAsia" w:ascii="宋体" w:hAnsi="宋体" w:cs="宋体"/>
          <w:sz w:val="24"/>
        </w:rPr>
      </w:pPr>
      <w:r>
        <w:rPr>
          <w:rFonts w:hint="eastAsia" w:ascii="宋体" w:hAnsi="宋体" w:cs="宋体"/>
          <w:sz w:val="24"/>
        </w:rPr>
        <w:t xml:space="preserve">供应商地址： </w:t>
      </w:r>
    </w:p>
    <w:p>
      <w:pPr>
        <w:tabs>
          <w:tab w:val="left" w:pos="360"/>
        </w:tabs>
        <w:snapToGrid w:val="0"/>
        <w:spacing w:line="360" w:lineRule="auto"/>
        <w:jc w:val="left"/>
        <w:outlineLvl w:val="1"/>
        <w:rPr>
          <w:rFonts w:hint="eastAsia" w:ascii="宋体" w:hAnsi="宋体" w:cs="宋体"/>
          <w:sz w:val="24"/>
        </w:rPr>
      </w:pPr>
      <w:r>
        <w:rPr>
          <w:rFonts w:hint="eastAsia" w:ascii="宋体" w:hAnsi="宋体" w:cs="宋体"/>
          <w:sz w:val="24"/>
        </w:rPr>
        <w:t>供应商法定代表人或授权代表（盖章或签字）：</w:t>
      </w:r>
    </w:p>
    <w:p>
      <w:pPr>
        <w:tabs>
          <w:tab w:val="left" w:pos="360"/>
        </w:tabs>
        <w:snapToGrid w:val="0"/>
        <w:spacing w:line="360" w:lineRule="auto"/>
        <w:jc w:val="left"/>
        <w:outlineLvl w:val="1"/>
        <w:rPr>
          <w:rFonts w:hint="eastAsia" w:ascii="宋体" w:hAnsi="宋体" w:cs="宋体"/>
          <w:sz w:val="24"/>
        </w:rPr>
      </w:pPr>
      <w:r>
        <w:rPr>
          <w:rFonts w:hint="eastAsia" w:ascii="宋体" w:hAnsi="宋体" w:cs="宋体"/>
          <w:sz w:val="24"/>
        </w:rPr>
        <w:t xml:space="preserve">供应商名称（加盖单位公章）： </w:t>
      </w:r>
    </w:p>
    <w:p>
      <w:pPr>
        <w:tabs>
          <w:tab w:val="left" w:pos="360"/>
        </w:tabs>
        <w:snapToGrid w:val="0"/>
        <w:spacing w:line="360" w:lineRule="auto"/>
        <w:jc w:val="left"/>
        <w:outlineLvl w:val="1"/>
        <w:rPr>
          <w:rFonts w:hint="eastAsia" w:ascii="宋体" w:hAnsi="宋体" w:cs="宋体"/>
          <w:sz w:val="24"/>
        </w:rPr>
      </w:pPr>
      <w:r>
        <w:rPr>
          <w:rFonts w:hint="eastAsia" w:ascii="宋体" w:hAnsi="宋体" w:cs="宋体"/>
          <w:sz w:val="24"/>
        </w:rPr>
        <w:t xml:space="preserve">日期： </w:t>
      </w:r>
    </w:p>
    <w:p>
      <w:pPr>
        <w:tabs>
          <w:tab w:val="left" w:pos="360"/>
        </w:tabs>
        <w:snapToGrid w:val="0"/>
        <w:spacing w:line="360" w:lineRule="auto"/>
        <w:jc w:val="left"/>
        <w:outlineLvl w:val="1"/>
        <w:rPr>
          <w:rFonts w:hint="eastAsia" w:ascii="宋体" w:hAnsi="宋体" w:cs="宋体"/>
          <w:sz w:val="24"/>
        </w:rPr>
      </w:pPr>
    </w:p>
    <w:p>
      <w:pPr>
        <w:tabs>
          <w:tab w:val="left" w:pos="360"/>
        </w:tabs>
        <w:snapToGrid w:val="0"/>
        <w:spacing w:line="360" w:lineRule="auto"/>
        <w:jc w:val="left"/>
        <w:outlineLvl w:val="1"/>
        <w:rPr>
          <w:rFonts w:hint="eastAsia" w:ascii="宋体" w:hAnsi="宋体" w:cs="宋体"/>
          <w:b/>
          <w:bCs/>
          <w:sz w:val="24"/>
        </w:rPr>
      </w:pPr>
      <w:r>
        <w:rPr>
          <w:rFonts w:hint="eastAsia" w:ascii="宋体" w:hAnsi="宋体" w:cs="宋体"/>
          <w:b/>
          <w:bCs/>
          <w:sz w:val="24"/>
        </w:rPr>
        <w:t>注：</w:t>
      </w:r>
      <w:r>
        <w:rPr>
          <w:rFonts w:hint="eastAsia" w:ascii="宋体" w:hAnsi="宋体" w:cs="宋体"/>
          <w:b/>
          <w:bCs/>
          <w:sz w:val="24"/>
          <w:lang w:val="en-US" w:eastAsia="zh-CN"/>
        </w:rPr>
        <w:t>1.</w:t>
      </w:r>
      <w:r>
        <w:rPr>
          <w:rFonts w:hint="eastAsia" w:ascii="宋体" w:hAnsi="宋体" w:cs="宋体"/>
          <w:b/>
          <w:bCs/>
          <w:sz w:val="24"/>
        </w:rPr>
        <w:t>报价一览表内容与响应文件中相应内容不一致的，以报价一览表本表为准。</w:t>
      </w:r>
    </w:p>
    <w:p>
      <w:pPr>
        <w:tabs>
          <w:tab w:val="left" w:pos="360"/>
        </w:tabs>
        <w:snapToGrid w:val="0"/>
        <w:spacing w:line="360" w:lineRule="auto"/>
        <w:jc w:val="left"/>
        <w:outlineLvl w:val="1"/>
        <w:rPr>
          <w:rFonts w:hint="eastAsia" w:ascii="宋体" w:hAnsi="宋体" w:cs="宋体"/>
          <w:sz w:val="24"/>
          <w:szCs w:val="20"/>
        </w:rPr>
      </w:pPr>
      <w:r>
        <w:rPr>
          <w:rFonts w:hint="eastAsia" w:ascii="宋体" w:hAnsi="宋体" w:cs="宋体"/>
          <w:b/>
          <w:bCs/>
          <w:sz w:val="24"/>
          <w:szCs w:val="20"/>
        </w:rPr>
        <w:br w:type="page"/>
      </w:r>
    </w:p>
    <w:p>
      <w:pPr>
        <w:tabs>
          <w:tab w:val="left" w:pos="360"/>
        </w:tabs>
        <w:snapToGrid w:val="0"/>
        <w:spacing w:line="360" w:lineRule="auto"/>
        <w:jc w:val="left"/>
        <w:outlineLvl w:val="1"/>
        <w:rPr>
          <w:rFonts w:hint="eastAsia" w:ascii="宋体" w:hAnsi="宋体" w:cs="宋体"/>
          <w:sz w:val="24"/>
          <w:szCs w:val="20"/>
        </w:rPr>
      </w:pPr>
      <w:r>
        <w:rPr>
          <w:rStyle w:val="84"/>
          <w:rFonts w:hint="eastAsia" w:hAnsi="宋体" w:cs="宋体"/>
        </w:rPr>
        <w:t>合同条款偏离表</w:t>
      </w:r>
      <w:bookmarkEnd w:id="662"/>
      <w:bookmarkEnd w:id="663"/>
      <w:bookmarkEnd w:id="664"/>
      <w:bookmarkEnd w:id="665"/>
      <w:bookmarkEnd w:id="666"/>
      <w:bookmarkEnd w:id="667"/>
      <w:bookmarkEnd w:id="668"/>
      <w:bookmarkEnd w:id="669"/>
      <w:bookmarkEnd w:id="670"/>
      <w:bookmarkEnd w:id="671"/>
      <w:bookmarkEnd w:id="672"/>
      <w:bookmarkEnd w:id="673"/>
      <w:bookmarkEnd w:id="674"/>
    </w:p>
    <w:p>
      <w:pPr>
        <w:spacing w:line="360" w:lineRule="auto"/>
        <w:rPr>
          <w:rFonts w:hint="eastAsia" w:ascii="宋体" w:hAnsi="宋体" w:cs="宋体"/>
          <w:sz w:val="24"/>
          <w:szCs w:val="20"/>
        </w:rPr>
      </w:pPr>
    </w:p>
    <w:p>
      <w:pPr>
        <w:tabs>
          <w:tab w:val="left" w:pos="2775"/>
          <w:tab w:val="center" w:pos="4153"/>
        </w:tabs>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合同条款偏离表</w:t>
      </w:r>
    </w:p>
    <w:p>
      <w:pPr>
        <w:spacing w:line="360" w:lineRule="auto"/>
        <w:rPr>
          <w:rFonts w:hint="eastAsia" w:ascii="宋体" w:hAnsi="宋体" w:cs="宋体"/>
          <w:sz w:val="24"/>
          <w:szCs w:val="20"/>
        </w:rPr>
      </w:pPr>
    </w:p>
    <w:p>
      <w:pPr>
        <w:tabs>
          <w:tab w:val="left" w:pos="1800"/>
          <w:tab w:val="left" w:pos="5580"/>
        </w:tabs>
        <w:spacing w:line="360" w:lineRule="auto"/>
        <w:ind w:firstLine="360" w:firstLineChars="150"/>
        <w:jc w:val="left"/>
        <w:rPr>
          <w:rFonts w:hint="eastAsia" w:ascii="宋体" w:hAnsi="宋体" w:cs="宋体"/>
          <w:sz w:val="24"/>
        </w:rPr>
      </w:pPr>
      <w:r>
        <w:rPr>
          <w:rFonts w:hint="eastAsia" w:ascii="宋体" w:hAnsi="宋体" w:cs="宋体"/>
          <w:sz w:val="24"/>
        </w:rPr>
        <w:t>项目编号：_______________     项目名称：_______________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jc w:val="left"/>
              <w:rPr>
                <w:rFonts w:hint="eastAsia" w:ascii="宋体" w:hAnsi="宋体" w:cs="宋体"/>
                <w:b/>
                <w:sz w:val="24"/>
              </w:rPr>
            </w:pPr>
            <w:r>
              <w:rPr>
                <w:rFonts w:hint="eastAsia" w:ascii="宋体" w:hAnsi="宋体" w:cs="宋体"/>
                <w:b/>
                <w:sz w:val="24"/>
              </w:rPr>
              <w:t>对本项目合同条款的偏离情况（请进行勾选）：</w:t>
            </w:r>
          </w:p>
          <w:p>
            <w:pPr>
              <w:adjustRightInd w:val="0"/>
              <w:snapToGrid w:val="0"/>
              <w:jc w:val="left"/>
              <w:rPr>
                <w:rFonts w:hint="eastAsia" w:ascii="宋体" w:hAnsi="宋体" w:cs="宋体"/>
                <w:b/>
                <w:sz w:val="24"/>
              </w:rPr>
            </w:pPr>
            <w:r>
              <w:rPr>
                <w:rFonts w:hint="eastAsia" w:ascii="宋体" w:hAnsi="宋体" w:cs="宋体"/>
                <w:b/>
                <w:sz w:val="24"/>
              </w:rPr>
              <w:t>□无偏离</w:t>
            </w:r>
            <w:r>
              <w:rPr>
                <w:rFonts w:hint="eastAsia" w:ascii="宋体" w:hAnsi="宋体" w:cs="宋体"/>
                <w:sz w:val="24"/>
              </w:rPr>
              <w:t>（</w:t>
            </w:r>
            <w:r>
              <w:rPr>
                <w:rFonts w:hint="eastAsia" w:ascii="宋体" w:hAnsi="宋体" w:cs="宋体"/>
                <w:sz w:val="24"/>
                <w:szCs w:val="21"/>
              </w:rPr>
              <w:t>如无偏离，仅勾选无偏离即可</w:t>
            </w:r>
            <w:r>
              <w:rPr>
                <w:rFonts w:hint="eastAsia" w:ascii="宋体" w:hAnsi="宋体" w:cs="宋体"/>
                <w:sz w:val="24"/>
              </w:rPr>
              <w:t>）</w:t>
            </w:r>
          </w:p>
          <w:p>
            <w:pPr>
              <w:adjustRightInd w:val="0"/>
              <w:snapToGrid w:val="0"/>
              <w:jc w:val="left"/>
              <w:rPr>
                <w:rFonts w:hint="eastAsia" w:ascii="宋体" w:hAnsi="宋体" w:cs="宋体"/>
                <w:sz w:val="24"/>
              </w:rPr>
            </w:pPr>
            <w:r>
              <w:rPr>
                <w:rFonts w:hint="eastAsia" w:ascii="宋体" w:hAnsi="宋体" w:cs="宋体"/>
                <w:b/>
                <w:sz w:val="24"/>
              </w:rPr>
              <w:t>□有偏离</w:t>
            </w:r>
            <w:r>
              <w:rPr>
                <w:rFonts w:hint="eastAsia" w:ascii="宋体" w:hAnsi="宋体" w:cs="宋体"/>
                <w:sz w:val="24"/>
              </w:rPr>
              <w:t>（</w:t>
            </w:r>
            <w:r>
              <w:rPr>
                <w:rFonts w:hint="eastAsia" w:ascii="宋体" w:hAnsi="宋体" w:cs="宋体"/>
                <w:sz w:val="24"/>
                <w:szCs w:val="21"/>
              </w:rPr>
              <w:t>如有负偏离，</w:t>
            </w:r>
            <w:r>
              <w:rPr>
                <w:rFonts w:hint="eastAsia" w:ascii="宋体" w:hAnsi="宋体" w:cs="宋体"/>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序号</w:t>
            </w:r>
          </w:p>
        </w:tc>
        <w:tc>
          <w:tcPr>
            <w:tcW w:w="1301" w:type="dxa"/>
            <w:noWrap w:val="0"/>
            <w:vAlign w:val="center"/>
          </w:tcPr>
          <w:p>
            <w:pPr>
              <w:adjustRightInd w:val="0"/>
              <w:snapToGrid w:val="0"/>
              <w:jc w:val="center"/>
              <w:rPr>
                <w:rFonts w:hint="eastAsia" w:ascii="宋体" w:hAnsi="宋体" w:cs="宋体"/>
                <w:sz w:val="24"/>
              </w:rPr>
            </w:pPr>
            <w:r>
              <w:rPr>
                <w:rFonts w:hint="eastAsia" w:ascii="宋体" w:hAnsi="宋体" w:cs="宋体"/>
                <w:sz w:val="24"/>
                <w:szCs w:val="21"/>
              </w:rPr>
              <w:t>竞争性磋商文件</w:t>
            </w:r>
            <w:r>
              <w:rPr>
                <w:rFonts w:hint="eastAsia" w:ascii="宋体" w:hAnsi="宋体" w:cs="宋体"/>
                <w:sz w:val="24"/>
              </w:rPr>
              <w:t>条目号（页码）</w:t>
            </w:r>
          </w:p>
        </w:tc>
        <w:tc>
          <w:tcPr>
            <w:tcW w:w="2007" w:type="dxa"/>
            <w:noWrap w:val="0"/>
            <w:vAlign w:val="center"/>
          </w:tcPr>
          <w:p>
            <w:pPr>
              <w:adjustRightInd w:val="0"/>
              <w:snapToGrid w:val="0"/>
              <w:jc w:val="center"/>
              <w:rPr>
                <w:rFonts w:hint="eastAsia" w:ascii="宋体" w:hAnsi="宋体" w:cs="宋体"/>
                <w:sz w:val="24"/>
              </w:rPr>
            </w:pPr>
            <w:r>
              <w:rPr>
                <w:rFonts w:hint="eastAsia" w:ascii="宋体" w:hAnsi="宋体" w:cs="宋体"/>
                <w:sz w:val="24"/>
                <w:szCs w:val="21"/>
              </w:rPr>
              <w:t>竞争性磋商文件</w:t>
            </w:r>
            <w:r>
              <w:rPr>
                <w:rFonts w:hint="eastAsia" w:ascii="宋体" w:hAnsi="宋体" w:cs="宋体"/>
                <w:sz w:val="24"/>
              </w:rPr>
              <w:t>要求</w:t>
            </w:r>
          </w:p>
        </w:tc>
        <w:tc>
          <w:tcPr>
            <w:tcW w:w="2008"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响应文件内容</w:t>
            </w:r>
          </w:p>
        </w:tc>
        <w:tc>
          <w:tcPr>
            <w:tcW w:w="2458"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偏离情况</w:t>
            </w:r>
          </w:p>
          <w:p>
            <w:pPr>
              <w:adjustRightInd w:val="0"/>
              <w:snapToGrid w:val="0"/>
              <w:jc w:val="center"/>
              <w:rPr>
                <w:rFonts w:hint="eastAsia" w:ascii="宋体" w:hAnsi="宋体" w:cs="宋体"/>
                <w:sz w:val="24"/>
              </w:rPr>
            </w:pPr>
            <w:r>
              <w:rPr>
                <w:rFonts w:hint="eastAsia" w:ascii="宋体" w:hAnsi="宋体" w:cs="宋体"/>
                <w:sz w:val="24"/>
              </w:rPr>
              <w:t>（据实填写）</w:t>
            </w:r>
          </w:p>
        </w:tc>
        <w:tc>
          <w:tcPr>
            <w:tcW w:w="788"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 w:val="24"/>
              </w:rPr>
            </w:pPr>
          </w:p>
        </w:tc>
        <w:tc>
          <w:tcPr>
            <w:tcW w:w="1301" w:type="dxa"/>
            <w:noWrap w:val="0"/>
            <w:vAlign w:val="center"/>
          </w:tcPr>
          <w:p>
            <w:pPr>
              <w:adjustRightInd w:val="0"/>
              <w:snapToGrid w:val="0"/>
              <w:jc w:val="center"/>
              <w:rPr>
                <w:rFonts w:hint="eastAsia" w:ascii="宋体" w:hAnsi="宋体" w:cs="宋体"/>
                <w:sz w:val="24"/>
              </w:rPr>
            </w:pPr>
          </w:p>
        </w:tc>
        <w:tc>
          <w:tcPr>
            <w:tcW w:w="2007" w:type="dxa"/>
            <w:noWrap w:val="0"/>
            <w:vAlign w:val="center"/>
          </w:tcPr>
          <w:p>
            <w:pPr>
              <w:adjustRightInd w:val="0"/>
              <w:snapToGrid w:val="0"/>
              <w:jc w:val="center"/>
              <w:rPr>
                <w:rFonts w:hint="eastAsia" w:ascii="宋体" w:hAnsi="宋体" w:cs="宋体"/>
                <w:sz w:val="24"/>
              </w:rPr>
            </w:pPr>
          </w:p>
        </w:tc>
        <w:tc>
          <w:tcPr>
            <w:tcW w:w="2008" w:type="dxa"/>
            <w:noWrap w:val="0"/>
            <w:vAlign w:val="center"/>
          </w:tcPr>
          <w:p>
            <w:pPr>
              <w:adjustRightInd w:val="0"/>
              <w:snapToGrid w:val="0"/>
              <w:jc w:val="center"/>
              <w:rPr>
                <w:rFonts w:hint="eastAsia" w:ascii="宋体" w:hAnsi="宋体" w:cs="宋体"/>
                <w:sz w:val="24"/>
              </w:rPr>
            </w:pPr>
          </w:p>
        </w:tc>
        <w:tc>
          <w:tcPr>
            <w:tcW w:w="2458" w:type="dxa"/>
            <w:noWrap w:val="0"/>
            <w:vAlign w:val="center"/>
          </w:tcPr>
          <w:p>
            <w:pPr>
              <w:adjustRightInd w:val="0"/>
              <w:snapToGrid w:val="0"/>
              <w:jc w:val="center"/>
              <w:rPr>
                <w:rFonts w:hint="eastAsia" w:ascii="宋体" w:hAnsi="宋体" w:cs="宋体"/>
                <w:sz w:val="24"/>
              </w:rPr>
            </w:pPr>
          </w:p>
        </w:tc>
        <w:tc>
          <w:tcPr>
            <w:tcW w:w="788" w:type="dxa"/>
            <w:noWrap w:val="0"/>
            <w:vAlign w:val="center"/>
          </w:tcPr>
          <w:p>
            <w:pPr>
              <w:adjustRightInd w:val="0"/>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 w:val="24"/>
              </w:rPr>
            </w:pPr>
          </w:p>
        </w:tc>
        <w:tc>
          <w:tcPr>
            <w:tcW w:w="1301" w:type="dxa"/>
            <w:noWrap w:val="0"/>
            <w:vAlign w:val="center"/>
          </w:tcPr>
          <w:p>
            <w:pPr>
              <w:adjustRightInd w:val="0"/>
              <w:snapToGrid w:val="0"/>
              <w:jc w:val="center"/>
              <w:rPr>
                <w:rFonts w:hint="eastAsia" w:ascii="宋体" w:hAnsi="宋体" w:cs="宋体"/>
                <w:sz w:val="24"/>
              </w:rPr>
            </w:pPr>
          </w:p>
        </w:tc>
        <w:tc>
          <w:tcPr>
            <w:tcW w:w="2007" w:type="dxa"/>
            <w:noWrap w:val="0"/>
            <w:vAlign w:val="center"/>
          </w:tcPr>
          <w:p>
            <w:pPr>
              <w:adjustRightInd w:val="0"/>
              <w:snapToGrid w:val="0"/>
              <w:jc w:val="center"/>
              <w:rPr>
                <w:rFonts w:hint="eastAsia" w:ascii="宋体" w:hAnsi="宋体" w:cs="宋体"/>
                <w:sz w:val="24"/>
              </w:rPr>
            </w:pPr>
          </w:p>
        </w:tc>
        <w:tc>
          <w:tcPr>
            <w:tcW w:w="2008" w:type="dxa"/>
            <w:noWrap w:val="0"/>
            <w:vAlign w:val="center"/>
          </w:tcPr>
          <w:p>
            <w:pPr>
              <w:adjustRightInd w:val="0"/>
              <w:snapToGrid w:val="0"/>
              <w:jc w:val="center"/>
              <w:rPr>
                <w:rFonts w:hint="eastAsia" w:ascii="宋体" w:hAnsi="宋体" w:cs="宋体"/>
                <w:sz w:val="24"/>
              </w:rPr>
            </w:pPr>
          </w:p>
        </w:tc>
        <w:tc>
          <w:tcPr>
            <w:tcW w:w="2458" w:type="dxa"/>
            <w:noWrap w:val="0"/>
            <w:vAlign w:val="center"/>
          </w:tcPr>
          <w:p>
            <w:pPr>
              <w:adjustRightInd w:val="0"/>
              <w:snapToGrid w:val="0"/>
              <w:jc w:val="center"/>
              <w:rPr>
                <w:rFonts w:hint="eastAsia" w:ascii="宋体" w:hAnsi="宋体" w:cs="宋体"/>
                <w:sz w:val="24"/>
              </w:rPr>
            </w:pPr>
          </w:p>
        </w:tc>
        <w:tc>
          <w:tcPr>
            <w:tcW w:w="788" w:type="dxa"/>
            <w:noWrap w:val="0"/>
            <w:vAlign w:val="center"/>
          </w:tcPr>
          <w:p>
            <w:pPr>
              <w:adjustRightInd w:val="0"/>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 w:val="24"/>
              </w:rPr>
            </w:pPr>
          </w:p>
        </w:tc>
        <w:tc>
          <w:tcPr>
            <w:tcW w:w="1301" w:type="dxa"/>
            <w:noWrap w:val="0"/>
            <w:vAlign w:val="center"/>
          </w:tcPr>
          <w:p>
            <w:pPr>
              <w:adjustRightInd w:val="0"/>
              <w:snapToGrid w:val="0"/>
              <w:jc w:val="center"/>
              <w:rPr>
                <w:rFonts w:hint="eastAsia" w:ascii="宋体" w:hAnsi="宋体" w:cs="宋体"/>
                <w:sz w:val="24"/>
              </w:rPr>
            </w:pPr>
          </w:p>
        </w:tc>
        <w:tc>
          <w:tcPr>
            <w:tcW w:w="2007" w:type="dxa"/>
            <w:noWrap w:val="0"/>
            <w:vAlign w:val="center"/>
          </w:tcPr>
          <w:p>
            <w:pPr>
              <w:adjustRightInd w:val="0"/>
              <w:snapToGrid w:val="0"/>
              <w:jc w:val="center"/>
              <w:rPr>
                <w:rFonts w:hint="eastAsia" w:ascii="宋体" w:hAnsi="宋体" w:cs="宋体"/>
                <w:sz w:val="24"/>
              </w:rPr>
            </w:pPr>
          </w:p>
        </w:tc>
        <w:tc>
          <w:tcPr>
            <w:tcW w:w="2008" w:type="dxa"/>
            <w:noWrap w:val="0"/>
            <w:vAlign w:val="center"/>
          </w:tcPr>
          <w:p>
            <w:pPr>
              <w:adjustRightInd w:val="0"/>
              <w:snapToGrid w:val="0"/>
              <w:jc w:val="center"/>
              <w:rPr>
                <w:rFonts w:hint="eastAsia" w:ascii="宋体" w:hAnsi="宋体" w:cs="宋体"/>
                <w:sz w:val="24"/>
              </w:rPr>
            </w:pPr>
          </w:p>
        </w:tc>
        <w:tc>
          <w:tcPr>
            <w:tcW w:w="2458" w:type="dxa"/>
            <w:noWrap w:val="0"/>
            <w:vAlign w:val="center"/>
          </w:tcPr>
          <w:p>
            <w:pPr>
              <w:adjustRightInd w:val="0"/>
              <w:snapToGrid w:val="0"/>
              <w:jc w:val="center"/>
              <w:rPr>
                <w:rFonts w:hint="eastAsia" w:ascii="宋体" w:hAnsi="宋体" w:cs="宋体"/>
                <w:sz w:val="24"/>
              </w:rPr>
            </w:pPr>
          </w:p>
        </w:tc>
        <w:tc>
          <w:tcPr>
            <w:tcW w:w="788" w:type="dxa"/>
            <w:noWrap w:val="0"/>
            <w:vAlign w:val="center"/>
          </w:tcPr>
          <w:p>
            <w:pPr>
              <w:adjustRightInd w:val="0"/>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rFonts w:hint="eastAsia" w:ascii="宋体" w:hAnsi="宋体" w:cs="宋体"/>
                <w:sz w:val="24"/>
              </w:rPr>
            </w:pPr>
          </w:p>
        </w:tc>
        <w:tc>
          <w:tcPr>
            <w:tcW w:w="1301" w:type="dxa"/>
            <w:noWrap w:val="0"/>
            <w:vAlign w:val="center"/>
          </w:tcPr>
          <w:p>
            <w:pPr>
              <w:adjustRightInd w:val="0"/>
              <w:snapToGrid w:val="0"/>
              <w:jc w:val="center"/>
              <w:rPr>
                <w:rFonts w:hint="eastAsia" w:ascii="宋体" w:hAnsi="宋体" w:cs="宋体"/>
                <w:sz w:val="24"/>
              </w:rPr>
            </w:pPr>
          </w:p>
        </w:tc>
        <w:tc>
          <w:tcPr>
            <w:tcW w:w="2007" w:type="dxa"/>
            <w:noWrap w:val="0"/>
            <w:vAlign w:val="center"/>
          </w:tcPr>
          <w:p>
            <w:pPr>
              <w:adjustRightInd w:val="0"/>
              <w:snapToGrid w:val="0"/>
              <w:jc w:val="center"/>
              <w:rPr>
                <w:rFonts w:hint="eastAsia" w:ascii="宋体" w:hAnsi="宋体" w:cs="宋体"/>
                <w:sz w:val="24"/>
              </w:rPr>
            </w:pPr>
          </w:p>
        </w:tc>
        <w:tc>
          <w:tcPr>
            <w:tcW w:w="2008" w:type="dxa"/>
            <w:noWrap w:val="0"/>
            <w:vAlign w:val="center"/>
          </w:tcPr>
          <w:p>
            <w:pPr>
              <w:adjustRightInd w:val="0"/>
              <w:snapToGrid w:val="0"/>
              <w:jc w:val="center"/>
              <w:rPr>
                <w:rFonts w:hint="eastAsia" w:ascii="宋体" w:hAnsi="宋体" w:cs="宋体"/>
                <w:sz w:val="24"/>
              </w:rPr>
            </w:pPr>
          </w:p>
        </w:tc>
        <w:tc>
          <w:tcPr>
            <w:tcW w:w="2458" w:type="dxa"/>
            <w:noWrap w:val="0"/>
            <w:vAlign w:val="center"/>
          </w:tcPr>
          <w:p>
            <w:pPr>
              <w:adjustRightInd w:val="0"/>
              <w:snapToGrid w:val="0"/>
              <w:jc w:val="center"/>
              <w:rPr>
                <w:rFonts w:hint="eastAsia" w:ascii="宋体" w:hAnsi="宋体" w:cs="宋体"/>
                <w:sz w:val="24"/>
              </w:rPr>
            </w:pPr>
          </w:p>
        </w:tc>
        <w:tc>
          <w:tcPr>
            <w:tcW w:w="788" w:type="dxa"/>
            <w:noWrap w:val="0"/>
            <w:vAlign w:val="center"/>
          </w:tcPr>
          <w:p>
            <w:pPr>
              <w:adjustRightInd w:val="0"/>
              <w:snapToGrid w:val="0"/>
              <w:jc w:val="center"/>
              <w:rPr>
                <w:rFonts w:hint="eastAsia" w:ascii="宋体" w:hAnsi="宋体" w:cs="宋体"/>
                <w:sz w:val="24"/>
              </w:rPr>
            </w:pPr>
          </w:p>
        </w:tc>
      </w:tr>
    </w:tbl>
    <w:p>
      <w:pPr>
        <w:tabs>
          <w:tab w:val="left" w:pos="1800"/>
          <w:tab w:val="left" w:pos="5580"/>
        </w:tabs>
        <w:jc w:val="left"/>
        <w:rPr>
          <w:rFonts w:hint="eastAsia" w:ascii="宋体" w:hAnsi="宋体" w:cs="宋体"/>
          <w:sz w:val="24"/>
        </w:rPr>
      </w:pPr>
    </w:p>
    <w:p>
      <w:pPr>
        <w:tabs>
          <w:tab w:val="left" w:pos="1800"/>
          <w:tab w:val="left" w:pos="5580"/>
        </w:tabs>
        <w:jc w:val="left"/>
        <w:rPr>
          <w:rFonts w:hint="eastAsia" w:ascii="宋体" w:hAnsi="宋体" w:cs="宋体"/>
          <w:sz w:val="24"/>
        </w:rPr>
      </w:pPr>
      <w:r>
        <w:rPr>
          <w:rFonts w:hint="eastAsia" w:ascii="宋体" w:hAnsi="宋体" w:cs="宋体"/>
          <w:sz w:val="24"/>
        </w:rPr>
        <w:t>注：</w:t>
      </w:r>
    </w:p>
    <w:p>
      <w:pPr>
        <w:tabs>
          <w:tab w:val="left" w:pos="1800"/>
          <w:tab w:val="left" w:pos="5580"/>
        </w:tabs>
        <w:jc w:val="left"/>
        <w:rPr>
          <w:rFonts w:hint="eastAsia" w:ascii="宋体" w:hAnsi="宋体" w:cs="宋体"/>
          <w:sz w:val="24"/>
        </w:rPr>
      </w:pPr>
      <w:r>
        <w:rPr>
          <w:rFonts w:hint="eastAsia" w:ascii="宋体" w:hAnsi="宋体" w:cs="宋体"/>
          <w:sz w:val="24"/>
        </w:rPr>
        <w:t>1. 对合同条款中的所有要求，除本表所列明的所有偏离外，均视作供应商已对之理解和响应。</w:t>
      </w:r>
    </w:p>
    <w:p>
      <w:pPr>
        <w:tabs>
          <w:tab w:val="left" w:pos="1800"/>
          <w:tab w:val="left" w:pos="5580"/>
        </w:tabs>
        <w:jc w:val="left"/>
        <w:rPr>
          <w:rFonts w:hint="eastAsia" w:ascii="宋体" w:hAnsi="宋体" w:cs="宋体"/>
          <w:sz w:val="24"/>
        </w:rPr>
      </w:pPr>
      <w:r>
        <w:rPr>
          <w:rFonts w:hint="eastAsia" w:ascii="宋体" w:hAnsi="宋体" w:cs="宋体"/>
          <w:sz w:val="24"/>
        </w:rPr>
        <w:t>2. “偏离情况”列应据实填写“正偏离”</w:t>
      </w:r>
      <w:r>
        <w:rPr>
          <w:rFonts w:hint="eastAsia" w:ascii="宋体" w:hAnsi="宋体" w:cs="宋体"/>
          <w:sz w:val="24"/>
          <w:lang w:val="en-US" w:eastAsia="zh-CN"/>
        </w:rPr>
        <w:t>或“无偏离”</w:t>
      </w:r>
      <w:r>
        <w:rPr>
          <w:rFonts w:hint="eastAsia" w:ascii="宋体" w:hAnsi="宋体" w:cs="宋体"/>
          <w:sz w:val="24"/>
        </w:rPr>
        <w:t>或“负偏离”。</w:t>
      </w:r>
    </w:p>
    <w:p>
      <w:pPr>
        <w:spacing w:line="360" w:lineRule="auto"/>
        <w:rPr>
          <w:rFonts w:hint="eastAsia" w:ascii="宋体" w:hAnsi="宋体" w:cs="宋体"/>
          <w:sz w:val="24"/>
          <w:szCs w:val="20"/>
        </w:rPr>
      </w:pPr>
    </w:p>
    <w:p>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_______________</w:t>
      </w:r>
    </w:p>
    <w:p>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日期：____年____月____日    </w:t>
      </w:r>
    </w:p>
    <w:p>
      <w:pPr>
        <w:tabs>
          <w:tab w:val="left" w:pos="360"/>
        </w:tabs>
        <w:snapToGrid w:val="0"/>
        <w:spacing w:line="360" w:lineRule="auto"/>
        <w:jc w:val="left"/>
        <w:outlineLvl w:val="1"/>
        <w:rPr>
          <w:rFonts w:hint="eastAsia" w:ascii="宋体" w:hAnsi="宋体" w:cs="宋体"/>
          <w:sz w:val="24"/>
          <w:szCs w:val="20"/>
        </w:rPr>
      </w:pPr>
      <w:r>
        <w:rPr>
          <w:rFonts w:hint="eastAsia" w:ascii="宋体" w:hAnsi="宋体" w:cs="宋体"/>
          <w:sz w:val="24"/>
          <w:szCs w:val="20"/>
        </w:rPr>
        <w:br w:type="page"/>
      </w:r>
      <w:bookmarkEnd w:id="675"/>
      <w:bookmarkEnd w:id="676"/>
      <w:bookmarkEnd w:id="677"/>
      <w:bookmarkEnd w:id="678"/>
      <w:bookmarkEnd w:id="679"/>
      <w:bookmarkEnd w:id="680"/>
      <w:bookmarkEnd w:id="681"/>
      <w:bookmarkEnd w:id="682"/>
      <w:bookmarkEnd w:id="683"/>
      <w:bookmarkEnd w:id="684"/>
      <w:bookmarkEnd w:id="685"/>
      <w:bookmarkEnd w:id="686"/>
      <w:bookmarkEnd w:id="687"/>
      <w:r>
        <w:rPr>
          <w:rStyle w:val="84"/>
          <w:rFonts w:hint="eastAsia" w:hAnsi="宋体" w:cs="宋体"/>
          <w:lang w:val="en-US" w:eastAsia="zh-CN"/>
        </w:rPr>
        <w:t>技术</w:t>
      </w:r>
      <w:r>
        <w:rPr>
          <w:rStyle w:val="84"/>
          <w:rFonts w:hint="eastAsia" w:hAnsi="宋体" w:cs="宋体"/>
        </w:rPr>
        <w:t>需求偏离表</w:t>
      </w:r>
    </w:p>
    <w:p>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lang w:val="en-US" w:eastAsia="zh-CN"/>
        </w:rPr>
        <w:t>技术</w:t>
      </w:r>
      <w:r>
        <w:rPr>
          <w:rFonts w:hint="eastAsia" w:ascii="宋体" w:hAnsi="宋体" w:cs="宋体"/>
          <w:b/>
          <w:sz w:val="36"/>
          <w:szCs w:val="36"/>
        </w:rPr>
        <w:t>需求偏离表</w:t>
      </w:r>
    </w:p>
    <w:p>
      <w:pPr>
        <w:tabs>
          <w:tab w:val="left" w:pos="1800"/>
          <w:tab w:val="left" w:pos="5580"/>
        </w:tabs>
        <w:spacing w:line="360" w:lineRule="auto"/>
        <w:ind w:firstLine="360" w:firstLineChars="150"/>
        <w:jc w:val="left"/>
        <w:rPr>
          <w:rFonts w:hint="eastAsia" w:ascii="宋体" w:hAnsi="宋体" w:cs="宋体"/>
          <w:sz w:val="24"/>
        </w:rPr>
      </w:pPr>
      <w:r>
        <w:rPr>
          <w:rFonts w:hint="eastAsia" w:ascii="宋体" w:hAnsi="宋体" w:cs="宋体"/>
          <w:sz w:val="24"/>
        </w:rPr>
        <w:t>项目编号/包号：_______________     项目名称：_______________</w:t>
      </w:r>
    </w:p>
    <w:tbl>
      <w:tblPr>
        <w:tblStyle w:val="46"/>
        <w:tblW w:w="10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222"/>
        <w:gridCol w:w="1860"/>
        <w:gridCol w:w="1650"/>
        <w:gridCol w:w="166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序号</w:t>
            </w:r>
          </w:p>
        </w:tc>
        <w:tc>
          <w:tcPr>
            <w:tcW w:w="1482"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竞争性磋商文件条目号(页码)</w:t>
            </w:r>
          </w:p>
        </w:tc>
        <w:tc>
          <w:tcPr>
            <w:tcW w:w="2222"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竞争性磋商文件要求</w:t>
            </w:r>
          </w:p>
        </w:tc>
        <w:tc>
          <w:tcPr>
            <w:tcW w:w="1860"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响应内容</w:t>
            </w:r>
          </w:p>
        </w:tc>
        <w:tc>
          <w:tcPr>
            <w:tcW w:w="1650"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偏离情况</w:t>
            </w:r>
          </w:p>
          <w:p>
            <w:pPr>
              <w:adjustRightInd w:val="0"/>
              <w:snapToGrid w:val="0"/>
              <w:jc w:val="center"/>
              <w:rPr>
                <w:rFonts w:hint="eastAsia" w:ascii="宋体" w:hAnsi="宋体" w:cs="宋体"/>
                <w:sz w:val="24"/>
              </w:rPr>
            </w:pPr>
            <w:r>
              <w:rPr>
                <w:rFonts w:hint="eastAsia" w:ascii="宋体" w:hAnsi="宋体" w:cs="宋体"/>
                <w:sz w:val="24"/>
                <w:szCs w:val="21"/>
              </w:rPr>
              <w:t>（据实填写）</w:t>
            </w:r>
          </w:p>
        </w:tc>
        <w:tc>
          <w:tcPr>
            <w:tcW w:w="1662" w:type="dxa"/>
            <w:noWrap w:val="0"/>
            <w:vAlign w:val="center"/>
          </w:tcPr>
          <w:p>
            <w:pPr>
              <w:adjustRightInd w:val="0"/>
              <w:snapToGrid w:val="0"/>
              <w:jc w:val="center"/>
              <w:rPr>
                <w:rFonts w:hint="default" w:ascii="宋体" w:hAnsi="宋体" w:eastAsia="宋体" w:cs="宋体"/>
                <w:sz w:val="24"/>
                <w:szCs w:val="21"/>
                <w:lang w:val="en-US" w:eastAsia="zh-CN"/>
              </w:rPr>
            </w:pPr>
            <w:r>
              <w:rPr>
                <w:rFonts w:hint="eastAsia" w:ascii="宋体" w:hAnsi="宋体" w:cs="宋体"/>
                <w:sz w:val="24"/>
                <w:szCs w:val="21"/>
                <w:lang w:val="en-US" w:eastAsia="zh-CN"/>
              </w:rPr>
              <w:t>佐证材料或证明材料页码</w:t>
            </w:r>
          </w:p>
        </w:tc>
        <w:tc>
          <w:tcPr>
            <w:tcW w:w="1009" w:type="dxa"/>
            <w:noWrap w:val="0"/>
            <w:vAlign w:val="center"/>
          </w:tcPr>
          <w:p>
            <w:pPr>
              <w:adjustRightInd w:val="0"/>
              <w:snapToGrid w:val="0"/>
              <w:jc w:val="center"/>
              <w:rPr>
                <w:rFonts w:hint="eastAsia"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 w:val="24"/>
              </w:rPr>
            </w:pPr>
          </w:p>
        </w:tc>
        <w:tc>
          <w:tcPr>
            <w:tcW w:w="1482" w:type="dxa"/>
            <w:noWrap w:val="0"/>
            <w:vAlign w:val="center"/>
          </w:tcPr>
          <w:p>
            <w:pPr>
              <w:adjustRightInd w:val="0"/>
              <w:snapToGrid w:val="0"/>
              <w:jc w:val="center"/>
              <w:rPr>
                <w:rFonts w:hint="eastAsia" w:ascii="宋体" w:hAnsi="宋体" w:cs="宋体"/>
                <w:sz w:val="24"/>
              </w:rPr>
            </w:pPr>
          </w:p>
        </w:tc>
        <w:tc>
          <w:tcPr>
            <w:tcW w:w="2222" w:type="dxa"/>
            <w:noWrap w:val="0"/>
            <w:vAlign w:val="center"/>
          </w:tcPr>
          <w:p>
            <w:pPr>
              <w:adjustRightInd w:val="0"/>
              <w:snapToGrid w:val="0"/>
              <w:jc w:val="center"/>
              <w:rPr>
                <w:rFonts w:hint="eastAsia" w:ascii="宋体" w:hAnsi="宋体" w:cs="宋体"/>
                <w:sz w:val="24"/>
              </w:rPr>
            </w:pPr>
          </w:p>
        </w:tc>
        <w:tc>
          <w:tcPr>
            <w:tcW w:w="1860" w:type="dxa"/>
            <w:noWrap w:val="0"/>
            <w:vAlign w:val="center"/>
          </w:tcPr>
          <w:p>
            <w:pPr>
              <w:adjustRightInd w:val="0"/>
              <w:snapToGrid w:val="0"/>
              <w:jc w:val="center"/>
              <w:rPr>
                <w:rFonts w:hint="eastAsia" w:ascii="宋体" w:hAnsi="宋体" w:cs="宋体"/>
                <w:sz w:val="24"/>
              </w:rPr>
            </w:pPr>
          </w:p>
        </w:tc>
        <w:tc>
          <w:tcPr>
            <w:tcW w:w="1650" w:type="dxa"/>
            <w:noWrap w:val="0"/>
            <w:vAlign w:val="center"/>
          </w:tcPr>
          <w:p>
            <w:pPr>
              <w:adjustRightInd w:val="0"/>
              <w:snapToGrid w:val="0"/>
              <w:jc w:val="center"/>
              <w:rPr>
                <w:rFonts w:hint="eastAsia" w:ascii="宋体" w:hAnsi="宋体" w:cs="宋体"/>
                <w:sz w:val="24"/>
              </w:rPr>
            </w:pPr>
          </w:p>
        </w:tc>
        <w:tc>
          <w:tcPr>
            <w:tcW w:w="1662" w:type="dxa"/>
            <w:noWrap w:val="0"/>
            <w:vAlign w:val="center"/>
          </w:tcPr>
          <w:p>
            <w:pPr>
              <w:adjustRightInd w:val="0"/>
              <w:snapToGrid w:val="0"/>
              <w:jc w:val="center"/>
              <w:rPr>
                <w:rFonts w:hint="eastAsia" w:ascii="宋体" w:hAnsi="宋体" w:cs="宋体"/>
                <w:sz w:val="24"/>
              </w:rPr>
            </w:pPr>
          </w:p>
        </w:tc>
        <w:tc>
          <w:tcPr>
            <w:tcW w:w="1009" w:type="dxa"/>
            <w:noWrap w:val="0"/>
            <w:vAlign w:val="center"/>
          </w:tcPr>
          <w:p>
            <w:pPr>
              <w:adjustRightInd w:val="0"/>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 w:val="24"/>
              </w:rPr>
            </w:pPr>
          </w:p>
        </w:tc>
        <w:tc>
          <w:tcPr>
            <w:tcW w:w="1482" w:type="dxa"/>
            <w:noWrap w:val="0"/>
            <w:vAlign w:val="center"/>
          </w:tcPr>
          <w:p>
            <w:pPr>
              <w:adjustRightInd w:val="0"/>
              <w:snapToGrid w:val="0"/>
              <w:jc w:val="center"/>
              <w:rPr>
                <w:rFonts w:hint="eastAsia" w:ascii="宋体" w:hAnsi="宋体" w:cs="宋体"/>
                <w:sz w:val="24"/>
              </w:rPr>
            </w:pPr>
          </w:p>
        </w:tc>
        <w:tc>
          <w:tcPr>
            <w:tcW w:w="2222" w:type="dxa"/>
            <w:noWrap w:val="0"/>
            <w:vAlign w:val="center"/>
          </w:tcPr>
          <w:p>
            <w:pPr>
              <w:adjustRightInd w:val="0"/>
              <w:snapToGrid w:val="0"/>
              <w:jc w:val="center"/>
              <w:rPr>
                <w:rFonts w:hint="eastAsia" w:ascii="宋体" w:hAnsi="宋体" w:cs="宋体"/>
                <w:sz w:val="24"/>
              </w:rPr>
            </w:pPr>
          </w:p>
        </w:tc>
        <w:tc>
          <w:tcPr>
            <w:tcW w:w="1860" w:type="dxa"/>
            <w:noWrap w:val="0"/>
            <w:vAlign w:val="center"/>
          </w:tcPr>
          <w:p>
            <w:pPr>
              <w:adjustRightInd w:val="0"/>
              <w:snapToGrid w:val="0"/>
              <w:jc w:val="center"/>
              <w:rPr>
                <w:rFonts w:hint="eastAsia" w:ascii="宋体" w:hAnsi="宋体" w:cs="宋体"/>
                <w:sz w:val="24"/>
              </w:rPr>
            </w:pPr>
          </w:p>
        </w:tc>
        <w:tc>
          <w:tcPr>
            <w:tcW w:w="1650" w:type="dxa"/>
            <w:noWrap w:val="0"/>
            <w:vAlign w:val="center"/>
          </w:tcPr>
          <w:p>
            <w:pPr>
              <w:adjustRightInd w:val="0"/>
              <w:snapToGrid w:val="0"/>
              <w:jc w:val="center"/>
              <w:rPr>
                <w:rFonts w:hint="eastAsia" w:ascii="宋体" w:hAnsi="宋体" w:cs="宋体"/>
                <w:sz w:val="24"/>
              </w:rPr>
            </w:pPr>
          </w:p>
        </w:tc>
        <w:tc>
          <w:tcPr>
            <w:tcW w:w="1662" w:type="dxa"/>
            <w:noWrap w:val="0"/>
            <w:vAlign w:val="center"/>
          </w:tcPr>
          <w:p>
            <w:pPr>
              <w:adjustRightInd w:val="0"/>
              <w:snapToGrid w:val="0"/>
              <w:jc w:val="center"/>
              <w:rPr>
                <w:rFonts w:hint="eastAsia" w:ascii="宋体" w:hAnsi="宋体" w:cs="宋体"/>
                <w:sz w:val="24"/>
              </w:rPr>
            </w:pPr>
          </w:p>
        </w:tc>
        <w:tc>
          <w:tcPr>
            <w:tcW w:w="1009" w:type="dxa"/>
            <w:noWrap w:val="0"/>
            <w:vAlign w:val="center"/>
          </w:tcPr>
          <w:p>
            <w:pPr>
              <w:adjustRightInd w:val="0"/>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 w:val="24"/>
              </w:rPr>
            </w:pPr>
          </w:p>
        </w:tc>
        <w:tc>
          <w:tcPr>
            <w:tcW w:w="1482" w:type="dxa"/>
            <w:noWrap w:val="0"/>
            <w:vAlign w:val="center"/>
          </w:tcPr>
          <w:p>
            <w:pPr>
              <w:adjustRightInd w:val="0"/>
              <w:snapToGrid w:val="0"/>
              <w:jc w:val="center"/>
              <w:rPr>
                <w:rFonts w:hint="eastAsia" w:ascii="宋体" w:hAnsi="宋体" w:cs="宋体"/>
                <w:sz w:val="24"/>
              </w:rPr>
            </w:pPr>
          </w:p>
        </w:tc>
        <w:tc>
          <w:tcPr>
            <w:tcW w:w="2222" w:type="dxa"/>
            <w:noWrap w:val="0"/>
            <w:vAlign w:val="center"/>
          </w:tcPr>
          <w:p>
            <w:pPr>
              <w:adjustRightInd w:val="0"/>
              <w:snapToGrid w:val="0"/>
              <w:jc w:val="center"/>
              <w:rPr>
                <w:rFonts w:hint="eastAsia" w:ascii="宋体" w:hAnsi="宋体" w:cs="宋体"/>
                <w:sz w:val="24"/>
              </w:rPr>
            </w:pPr>
          </w:p>
        </w:tc>
        <w:tc>
          <w:tcPr>
            <w:tcW w:w="1860" w:type="dxa"/>
            <w:noWrap w:val="0"/>
            <w:vAlign w:val="center"/>
          </w:tcPr>
          <w:p>
            <w:pPr>
              <w:adjustRightInd w:val="0"/>
              <w:snapToGrid w:val="0"/>
              <w:jc w:val="center"/>
              <w:rPr>
                <w:rFonts w:hint="eastAsia" w:ascii="宋体" w:hAnsi="宋体" w:cs="宋体"/>
                <w:sz w:val="24"/>
              </w:rPr>
            </w:pPr>
          </w:p>
        </w:tc>
        <w:tc>
          <w:tcPr>
            <w:tcW w:w="1650" w:type="dxa"/>
            <w:noWrap w:val="0"/>
            <w:vAlign w:val="center"/>
          </w:tcPr>
          <w:p>
            <w:pPr>
              <w:adjustRightInd w:val="0"/>
              <w:snapToGrid w:val="0"/>
              <w:jc w:val="center"/>
              <w:rPr>
                <w:rFonts w:hint="eastAsia" w:ascii="宋体" w:hAnsi="宋体" w:cs="宋体"/>
                <w:sz w:val="24"/>
              </w:rPr>
            </w:pPr>
          </w:p>
        </w:tc>
        <w:tc>
          <w:tcPr>
            <w:tcW w:w="1662" w:type="dxa"/>
            <w:noWrap w:val="0"/>
            <w:vAlign w:val="center"/>
          </w:tcPr>
          <w:p>
            <w:pPr>
              <w:adjustRightInd w:val="0"/>
              <w:snapToGrid w:val="0"/>
              <w:jc w:val="center"/>
              <w:rPr>
                <w:rFonts w:hint="eastAsia" w:ascii="宋体" w:hAnsi="宋体" w:cs="宋体"/>
                <w:sz w:val="24"/>
              </w:rPr>
            </w:pPr>
          </w:p>
        </w:tc>
        <w:tc>
          <w:tcPr>
            <w:tcW w:w="1009" w:type="dxa"/>
            <w:noWrap w:val="0"/>
            <w:vAlign w:val="center"/>
          </w:tcPr>
          <w:p>
            <w:pPr>
              <w:adjustRightInd w:val="0"/>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 w:val="24"/>
              </w:rPr>
            </w:pPr>
          </w:p>
        </w:tc>
        <w:tc>
          <w:tcPr>
            <w:tcW w:w="1482" w:type="dxa"/>
            <w:noWrap w:val="0"/>
            <w:vAlign w:val="center"/>
          </w:tcPr>
          <w:p>
            <w:pPr>
              <w:adjustRightInd w:val="0"/>
              <w:snapToGrid w:val="0"/>
              <w:jc w:val="center"/>
              <w:rPr>
                <w:rFonts w:hint="eastAsia" w:ascii="宋体" w:hAnsi="宋体" w:cs="宋体"/>
                <w:sz w:val="24"/>
              </w:rPr>
            </w:pPr>
          </w:p>
        </w:tc>
        <w:tc>
          <w:tcPr>
            <w:tcW w:w="2222" w:type="dxa"/>
            <w:noWrap w:val="0"/>
            <w:vAlign w:val="center"/>
          </w:tcPr>
          <w:p>
            <w:pPr>
              <w:adjustRightInd w:val="0"/>
              <w:snapToGrid w:val="0"/>
              <w:jc w:val="center"/>
              <w:rPr>
                <w:rFonts w:hint="eastAsia" w:ascii="宋体" w:hAnsi="宋体" w:cs="宋体"/>
                <w:sz w:val="24"/>
              </w:rPr>
            </w:pPr>
          </w:p>
        </w:tc>
        <w:tc>
          <w:tcPr>
            <w:tcW w:w="1860" w:type="dxa"/>
            <w:noWrap w:val="0"/>
            <w:vAlign w:val="center"/>
          </w:tcPr>
          <w:p>
            <w:pPr>
              <w:adjustRightInd w:val="0"/>
              <w:snapToGrid w:val="0"/>
              <w:jc w:val="center"/>
              <w:rPr>
                <w:rFonts w:hint="eastAsia" w:ascii="宋体" w:hAnsi="宋体" w:cs="宋体"/>
                <w:sz w:val="24"/>
              </w:rPr>
            </w:pPr>
          </w:p>
        </w:tc>
        <w:tc>
          <w:tcPr>
            <w:tcW w:w="1650" w:type="dxa"/>
            <w:noWrap w:val="0"/>
            <w:vAlign w:val="center"/>
          </w:tcPr>
          <w:p>
            <w:pPr>
              <w:adjustRightInd w:val="0"/>
              <w:snapToGrid w:val="0"/>
              <w:jc w:val="center"/>
              <w:rPr>
                <w:rFonts w:hint="eastAsia" w:ascii="宋体" w:hAnsi="宋体" w:cs="宋体"/>
                <w:sz w:val="24"/>
              </w:rPr>
            </w:pPr>
          </w:p>
        </w:tc>
        <w:tc>
          <w:tcPr>
            <w:tcW w:w="1662" w:type="dxa"/>
            <w:noWrap w:val="0"/>
            <w:vAlign w:val="center"/>
          </w:tcPr>
          <w:p>
            <w:pPr>
              <w:adjustRightInd w:val="0"/>
              <w:snapToGrid w:val="0"/>
              <w:jc w:val="center"/>
              <w:rPr>
                <w:rFonts w:hint="eastAsia" w:ascii="宋体" w:hAnsi="宋体" w:cs="宋体"/>
                <w:sz w:val="24"/>
              </w:rPr>
            </w:pPr>
          </w:p>
        </w:tc>
        <w:tc>
          <w:tcPr>
            <w:tcW w:w="1009" w:type="dxa"/>
            <w:noWrap w:val="0"/>
            <w:vAlign w:val="center"/>
          </w:tcPr>
          <w:p>
            <w:pPr>
              <w:adjustRightInd w:val="0"/>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 w:val="24"/>
              </w:rPr>
            </w:pPr>
          </w:p>
        </w:tc>
        <w:tc>
          <w:tcPr>
            <w:tcW w:w="1482" w:type="dxa"/>
            <w:noWrap w:val="0"/>
            <w:vAlign w:val="center"/>
          </w:tcPr>
          <w:p>
            <w:pPr>
              <w:adjustRightInd w:val="0"/>
              <w:snapToGrid w:val="0"/>
              <w:jc w:val="center"/>
              <w:rPr>
                <w:rFonts w:hint="eastAsia" w:ascii="宋体" w:hAnsi="宋体" w:cs="宋体"/>
                <w:sz w:val="24"/>
              </w:rPr>
            </w:pPr>
          </w:p>
        </w:tc>
        <w:tc>
          <w:tcPr>
            <w:tcW w:w="2222" w:type="dxa"/>
            <w:noWrap w:val="0"/>
            <w:vAlign w:val="center"/>
          </w:tcPr>
          <w:p>
            <w:pPr>
              <w:adjustRightInd w:val="0"/>
              <w:snapToGrid w:val="0"/>
              <w:jc w:val="center"/>
              <w:rPr>
                <w:rFonts w:hint="eastAsia" w:ascii="宋体" w:hAnsi="宋体" w:cs="宋体"/>
                <w:sz w:val="24"/>
              </w:rPr>
            </w:pPr>
          </w:p>
        </w:tc>
        <w:tc>
          <w:tcPr>
            <w:tcW w:w="1860" w:type="dxa"/>
            <w:noWrap w:val="0"/>
            <w:vAlign w:val="center"/>
          </w:tcPr>
          <w:p>
            <w:pPr>
              <w:adjustRightInd w:val="0"/>
              <w:snapToGrid w:val="0"/>
              <w:jc w:val="center"/>
              <w:rPr>
                <w:rFonts w:hint="eastAsia" w:ascii="宋体" w:hAnsi="宋体" w:cs="宋体"/>
                <w:sz w:val="24"/>
              </w:rPr>
            </w:pPr>
          </w:p>
        </w:tc>
        <w:tc>
          <w:tcPr>
            <w:tcW w:w="1650" w:type="dxa"/>
            <w:noWrap w:val="0"/>
            <w:vAlign w:val="center"/>
          </w:tcPr>
          <w:p>
            <w:pPr>
              <w:adjustRightInd w:val="0"/>
              <w:snapToGrid w:val="0"/>
              <w:jc w:val="center"/>
              <w:rPr>
                <w:rFonts w:hint="eastAsia" w:ascii="宋体" w:hAnsi="宋体" w:cs="宋体"/>
                <w:sz w:val="24"/>
              </w:rPr>
            </w:pPr>
          </w:p>
        </w:tc>
        <w:tc>
          <w:tcPr>
            <w:tcW w:w="1662" w:type="dxa"/>
            <w:noWrap w:val="0"/>
            <w:vAlign w:val="center"/>
          </w:tcPr>
          <w:p>
            <w:pPr>
              <w:adjustRightInd w:val="0"/>
              <w:snapToGrid w:val="0"/>
              <w:jc w:val="center"/>
              <w:rPr>
                <w:rFonts w:hint="eastAsia" w:ascii="宋体" w:hAnsi="宋体" w:cs="宋体"/>
                <w:sz w:val="24"/>
              </w:rPr>
            </w:pPr>
          </w:p>
        </w:tc>
        <w:tc>
          <w:tcPr>
            <w:tcW w:w="1009" w:type="dxa"/>
            <w:noWrap w:val="0"/>
            <w:vAlign w:val="center"/>
          </w:tcPr>
          <w:p>
            <w:pPr>
              <w:adjustRightInd w:val="0"/>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cs="宋体"/>
                <w:sz w:val="24"/>
              </w:rPr>
            </w:pPr>
          </w:p>
        </w:tc>
        <w:tc>
          <w:tcPr>
            <w:tcW w:w="1482" w:type="dxa"/>
            <w:noWrap w:val="0"/>
            <w:vAlign w:val="center"/>
          </w:tcPr>
          <w:p>
            <w:pPr>
              <w:adjustRightInd w:val="0"/>
              <w:snapToGrid w:val="0"/>
              <w:jc w:val="center"/>
              <w:rPr>
                <w:rFonts w:hint="eastAsia" w:ascii="宋体" w:hAnsi="宋体" w:cs="宋体"/>
                <w:sz w:val="24"/>
              </w:rPr>
            </w:pPr>
          </w:p>
        </w:tc>
        <w:tc>
          <w:tcPr>
            <w:tcW w:w="2222" w:type="dxa"/>
            <w:noWrap w:val="0"/>
            <w:vAlign w:val="center"/>
          </w:tcPr>
          <w:p>
            <w:pPr>
              <w:adjustRightInd w:val="0"/>
              <w:snapToGrid w:val="0"/>
              <w:jc w:val="center"/>
              <w:rPr>
                <w:rFonts w:hint="eastAsia" w:ascii="宋体" w:hAnsi="宋体" w:cs="宋体"/>
                <w:sz w:val="24"/>
              </w:rPr>
            </w:pPr>
          </w:p>
        </w:tc>
        <w:tc>
          <w:tcPr>
            <w:tcW w:w="1860" w:type="dxa"/>
            <w:noWrap w:val="0"/>
            <w:vAlign w:val="center"/>
          </w:tcPr>
          <w:p>
            <w:pPr>
              <w:adjustRightInd w:val="0"/>
              <w:snapToGrid w:val="0"/>
              <w:jc w:val="center"/>
              <w:rPr>
                <w:rFonts w:hint="eastAsia" w:ascii="宋体" w:hAnsi="宋体" w:cs="宋体"/>
                <w:sz w:val="24"/>
              </w:rPr>
            </w:pPr>
          </w:p>
        </w:tc>
        <w:tc>
          <w:tcPr>
            <w:tcW w:w="1650" w:type="dxa"/>
            <w:noWrap w:val="0"/>
            <w:vAlign w:val="center"/>
          </w:tcPr>
          <w:p>
            <w:pPr>
              <w:adjustRightInd w:val="0"/>
              <w:snapToGrid w:val="0"/>
              <w:jc w:val="center"/>
              <w:rPr>
                <w:rFonts w:hint="eastAsia" w:ascii="宋体" w:hAnsi="宋体" w:cs="宋体"/>
                <w:sz w:val="24"/>
              </w:rPr>
            </w:pPr>
          </w:p>
        </w:tc>
        <w:tc>
          <w:tcPr>
            <w:tcW w:w="1662" w:type="dxa"/>
            <w:noWrap w:val="0"/>
            <w:vAlign w:val="center"/>
          </w:tcPr>
          <w:p>
            <w:pPr>
              <w:adjustRightInd w:val="0"/>
              <w:snapToGrid w:val="0"/>
              <w:jc w:val="center"/>
              <w:rPr>
                <w:rFonts w:hint="eastAsia" w:ascii="宋体" w:hAnsi="宋体" w:cs="宋体"/>
                <w:sz w:val="24"/>
              </w:rPr>
            </w:pPr>
          </w:p>
        </w:tc>
        <w:tc>
          <w:tcPr>
            <w:tcW w:w="1009" w:type="dxa"/>
            <w:noWrap w:val="0"/>
            <w:vAlign w:val="center"/>
          </w:tcPr>
          <w:p>
            <w:pPr>
              <w:adjustRightInd w:val="0"/>
              <w:snapToGrid w:val="0"/>
              <w:jc w:val="center"/>
              <w:rPr>
                <w:rFonts w:hint="eastAsia" w:ascii="宋体" w:hAnsi="宋体" w:cs="宋体"/>
                <w:sz w:val="24"/>
              </w:rPr>
            </w:pPr>
          </w:p>
        </w:tc>
      </w:tr>
    </w:tbl>
    <w:p>
      <w:pPr>
        <w:tabs>
          <w:tab w:val="left" w:pos="1800"/>
          <w:tab w:val="left" w:pos="5580"/>
        </w:tabs>
        <w:spacing w:line="360" w:lineRule="auto"/>
        <w:ind w:firstLine="360" w:firstLineChars="150"/>
        <w:jc w:val="left"/>
        <w:rPr>
          <w:rFonts w:hint="eastAsia" w:ascii="宋体" w:hAnsi="宋体" w:cs="宋体"/>
          <w:sz w:val="24"/>
          <w:u w:val="single"/>
        </w:rPr>
      </w:pPr>
    </w:p>
    <w:p>
      <w:pPr>
        <w:tabs>
          <w:tab w:val="left" w:pos="1800"/>
          <w:tab w:val="left" w:pos="5580"/>
        </w:tabs>
        <w:spacing w:line="360" w:lineRule="auto"/>
        <w:ind w:firstLine="360" w:firstLineChars="150"/>
        <w:jc w:val="left"/>
        <w:rPr>
          <w:rFonts w:hint="eastAsia" w:ascii="宋体" w:hAnsi="宋体" w:cs="宋体"/>
          <w:sz w:val="24"/>
          <w:u w:val="single"/>
        </w:rPr>
      </w:pPr>
    </w:p>
    <w:p>
      <w:pPr>
        <w:tabs>
          <w:tab w:val="left" w:pos="1800"/>
          <w:tab w:val="left" w:pos="5580"/>
        </w:tabs>
        <w:jc w:val="left"/>
        <w:rPr>
          <w:rFonts w:hint="eastAsia" w:ascii="宋体" w:hAnsi="宋体" w:cs="宋体"/>
          <w:sz w:val="24"/>
        </w:rPr>
      </w:pPr>
      <w:r>
        <w:rPr>
          <w:rFonts w:hint="eastAsia" w:ascii="宋体" w:hAnsi="宋体" w:cs="宋体"/>
          <w:sz w:val="24"/>
        </w:rPr>
        <w:t>注：</w:t>
      </w:r>
    </w:p>
    <w:p>
      <w:pPr>
        <w:tabs>
          <w:tab w:val="left" w:pos="1800"/>
          <w:tab w:val="left" w:pos="5580"/>
        </w:tabs>
        <w:jc w:val="left"/>
        <w:rPr>
          <w:rFonts w:hint="eastAsia" w:ascii="宋体" w:hAnsi="宋体" w:cs="宋体"/>
          <w:sz w:val="24"/>
        </w:rPr>
      </w:pPr>
      <w:r>
        <w:rPr>
          <w:rFonts w:hint="eastAsia" w:ascii="宋体" w:hAnsi="宋体" w:cs="宋体"/>
          <w:sz w:val="24"/>
        </w:rPr>
        <w:t>1. 对竞争性磋商文件中的所有商务、技术要求，除本表所列明的所有偏离外，均视作供应商已对之理解和响应。此表中若无任何文字说明，内容为空白的</w:t>
      </w:r>
      <w:r>
        <w:rPr>
          <w:rFonts w:hint="eastAsia" w:ascii="宋体" w:hAnsi="宋体" w:cs="宋体"/>
          <w:b/>
          <w:sz w:val="24"/>
        </w:rPr>
        <w:t>响应无效</w:t>
      </w:r>
      <w:r>
        <w:rPr>
          <w:rFonts w:hint="eastAsia" w:ascii="宋体" w:hAnsi="宋体" w:cs="宋体"/>
          <w:sz w:val="24"/>
        </w:rPr>
        <w:t>。</w:t>
      </w:r>
    </w:p>
    <w:p>
      <w:pPr>
        <w:tabs>
          <w:tab w:val="left" w:pos="1800"/>
          <w:tab w:val="left" w:pos="5580"/>
        </w:tabs>
        <w:jc w:val="left"/>
        <w:rPr>
          <w:rFonts w:hint="eastAsia" w:ascii="宋体" w:hAnsi="宋体" w:cs="宋体"/>
          <w:sz w:val="24"/>
        </w:rPr>
      </w:pPr>
      <w:r>
        <w:rPr>
          <w:rFonts w:hint="eastAsia" w:ascii="宋体" w:hAnsi="宋体" w:cs="宋体"/>
          <w:sz w:val="24"/>
        </w:rPr>
        <w:t>2.“偏离情况”列应据实填写“正偏离”</w:t>
      </w:r>
      <w:r>
        <w:rPr>
          <w:rFonts w:hint="eastAsia" w:ascii="宋体" w:hAnsi="宋体" w:cs="宋体"/>
          <w:sz w:val="24"/>
          <w:lang w:val="en-US" w:eastAsia="zh-CN"/>
        </w:rPr>
        <w:t>或“无偏离”</w:t>
      </w:r>
      <w:r>
        <w:rPr>
          <w:rFonts w:hint="eastAsia" w:ascii="宋体" w:hAnsi="宋体" w:cs="宋体"/>
          <w:sz w:val="24"/>
        </w:rPr>
        <w:t>或“负偏离”。</w:t>
      </w:r>
    </w:p>
    <w:p>
      <w:pPr>
        <w:tabs>
          <w:tab w:val="left" w:pos="1800"/>
          <w:tab w:val="left" w:pos="5580"/>
        </w:tabs>
        <w:jc w:val="left"/>
        <w:rPr>
          <w:rFonts w:hint="default" w:ascii="宋体" w:hAnsi="宋体" w:eastAsia="宋体" w:cs="宋体"/>
          <w:sz w:val="24"/>
          <w:lang w:val="en-US" w:eastAsia="zh-CN"/>
        </w:rPr>
      </w:pPr>
      <w:r>
        <w:rPr>
          <w:rFonts w:hint="eastAsia" w:ascii="宋体" w:hAnsi="宋体" w:cs="宋体"/>
          <w:sz w:val="24"/>
          <w:lang w:val="en-US" w:eastAsia="zh-CN"/>
        </w:rPr>
        <w:t>3.供应商完全复制采购需求作为响应内容的视为负偏离。</w:t>
      </w:r>
    </w:p>
    <w:p>
      <w:pPr>
        <w:rPr>
          <w:rFonts w:hint="default" w:ascii="宋体" w:hAnsi="宋体" w:eastAsia="宋体" w:cs="宋体"/>
          <w:sz w:val="24"/>
          <w:szCs w:val="20"/>
          <w:lang w:val="en-US" w:eastAsia="zh-CN"/>
        </w:rPr>
      </w:pPr>
      <w:r>
        <w:rPr>
          <w:rFonts w:hint="eastAsia" w:ascii="宋体" w:hAnsi="宋体" w:cs="宋体"/>
          <w:sz w:val="24"/>
          <w:szCs w:val="20"/>
          <w:lang w:val="en-US" w:eastAsia="zh-CN"/>
        </w:rPr>
        <w:t>4.供应商提供技术需求</w:t>
      </w:r>
      <w:r>
        <w:rPr>
          <w:rFonts w:hint="eastAsia" w:ascii="宋体" w:hAnsi="宋体" w:cs="宋体"/>
          <w:sz w:val="24"/>
          <w:szCs w:val="21"/>
          <w:lang w:val="en-US" w:eastAsia="zh-CN"/>
        </w:rPr>
        <w:t>佐证材料或证明材料的应注明页码以便查找，因供应商未标注佐证材料页码致使材料未找到的，后果由供应商自行承担</w:t>
      </w:r>
    </w:p>
    <w:p>
      <w:pPr>
        <w:autoSpaceDE w:val="0"/>
        <w:autoSpaceDN w:val="0"/>
        <w:adjustRightInd w:val="0"/>
        <w:snapToGrid w:val="0"/>
        <w:spacing w:before="25" w:after="25" w:line="360" w:lineRule="auto"/>
        <w:ind w:right="360"/>
        <w:jc w:val="left"/>
        <w:rPr>
          <w:rFonts w:hint="eastAsia" w:ascii="宋体" w:hAnsi="宋体" w:cs="宋体"/>
          <w:sz w:val="24"/>
        </w:rPr>
      </w:pPr>
    </w:p>
    <w:p>
      <w:pPr>
        <w:autoSpaceDE w:val="0"/>
        <w:autoSpaceDN w:val="0"/>
        <w:adjustRightInd w:val="0"/>
        <w:snapToGrid w:val="0"/>
        <w:spacing w:before="25" w:after="25" w:line="360" w:lineRule="auto"/>
        <w:ind w:right="360"/>
        <w:jc w:val="lef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pPr>
        <w:autoSpaceDE w:val="0"/>
        <w:autoSpaceDN w:val="0"/>
        <w:adjustRightInd w:val="0"/>
        <w:snapToGrid w:val="0"/>
        <w:spacing w:before="25" w:after="25" w:line="360" w:lineRule="auto"/>
        <w:ind w:right="360"/>
        <w:jc w:val="left"/>
        <w:rPr>
          <w:rFonts w:hint="eastAsia" w:ascii="宋体" w:hAnsi="宋体" w:cs="宋体"/>
          <w:sz w:val="24"/>
          <w:szCs w:val="20"/>
        </w:rPr>
      </w:pPr>
      <w:r>
        <w:rPr>
          <w:rFonts w:hint="eastAsia" w:ascii="宋体" w:hAnsi="宋体" w:cs="宋体"/>
          <w:sz w:val="24"/>
          <w:szCs w:val="20"/>
        </w:rPr>
        <w:t xml:space="preserve">日期：____年____月____日 </w:t>
      </w:r>
    </w:p>
    <w:p>
      <w:pPr>
        <w:tabs>
          <w:tab w:val="left" w:pos="360"/>
        </w:tabs>
        <w:snapToGrid w:val="0"/>
        <w:spacing w:line="360" w:lineRule="auto"/>
        <w:outlineLvl w:val="1"/>
        <w:rPr>
          <w:rFonts w:hint="eastAsia" w:ascii="宋体" w:hAnsi="宋体" w:cs="宋体"/>
          <w:sz w:val="24"/>
        </w:rPr>
      </w:pPr>
    </w:p>
    <w:p>
      <w:pPr>
        <w:pStyle w:val="21"/>
        <w:rPr>
          <w:rFonts w:hint="eastAsia" w:cs="宋体"/>
        </w:rPr>
      </w:pPr>
    </w:p>
    <w:p>
      <w:pPr>
        <w:tabs>
          <w:tab w:val="left" w:pos="360"/>
        </w:tabs>
        <w:snapToGrid w:val="0"/>
        <w:spacing w:line="360" w:lineRule="auto"/>
        <w:jc w:val="left"/>
        <w:outlineLvl w:val="1"/>
        <w:rPr>
          <w:rFonts w:hint="eastAsia" w:ascii="宋体" w:hAnsi="宋体" w:cs="宋体"/>
          <w:sz w:val="24"/>
        </w:rPr>
      </w:pPr>
      <w:r>
        <w:rPr>
          <w:rFonts w:hint="eastAsia" w:ascii="宋体" w:hAnsi="宋体" w:cs="宋体"/>
          <w:sz w:val="24"/>
        </w:rPr>
        <w:br w:type="page"/>
      </w:r>
      <w:r>
        <w:rPr>
          <w:rStyle w:val="84"/>
          <w:rFonts w:hint="eastAsia" w:hAnsi="宋体" w:cs="宋体"/>
        </w:rPr>
        <w:t>近三年内类似项目情况表及用户证明</w:t>
      </w:r>
    </w:p>
    <w:p>
      <w:pPr>
        <w:spacing w:line="360" w:lineRule="auto"/>
        <w:jc w:val="center"/>
        <w:rPr>
          <w:rFonts w:hint="eastAsia" w:ascii="宋体" w:hAnsi="宋体" w:cs="宋体"/>
          <w:b/>
          <w:sz w:val="24"/>
        </w:rPr>
      </w:pPr>
      <w:r>
        <w:rPr>
          <w:rFonts w:hint="eastAsia" w:ascii="宋体" w:hAnsi="宋体" w:cs="宋体"/>
          <w:b/>
          <w:sz w:val="24"/>
        </w:rPr>
        <w:t>近三年内（20</w:t>
      </w:r>
      <w:r>
        <w:rPr>
          <w:rFonts w:hint="eastAsia" w:ascii="宋体" w:hAnsi="宋体" w:cs="宋体"/>
          <w:b/>
          <w:sz w:val="24"/>
          <w:lang w:val="en-US" w:eastAsia="zh-CN"/>
        </w:rPr>
        <w:t>21</w:t>
      </w:r>
      <w:r>
        <w:rPr>
          <w:rFonts w:hint="eastAsia" w:ascii="宋体" w:hAnsi="宋体" w:cs="宋体"/>
          <w:b/>
          <w:sz w:val="24"/>
        </w:rPr>
        <w:t>年至今）类似项目情况表</w:t>
      </w:r>
    </w:p>
    <w:p>
      <w:pPr>
        <w:jc w:val="center"/>
        <w:rPr>
          <w:rFonts w:hint="eastAsia" w:ascii="宋体" w:hAnsi="宋体" w:cs="宋体"/>
          <w:b/>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1872"/>
        <w:gridCol w:w="1262"/>
        <w:gridCol w:w="1262"/>
        <w:gridCol w:w="1262"/>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09" w:type="dxa"/>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417" w:type="dxa"/>
            <w:noWrap w:val="0"/>
            <w:vAlign w:val="center"/>
          </w:tcPr>
          <w:p>
            <w:pPr>
              <w:spacing w:line="360" w:lineRule="auto"/>
              <w:jc w:val="center"/>
              <w:rPr>
                <w:rFonts w:hint="eastAsia" w:ascii="宋体" w:hAnsi="宋体" w:cs="宋体"/>
                <w:sz w:val="24"/>
              </w:rPr>
            </w:pPr>
            <w:r>
              <w:rPr>
                <w:rFonts w:hint="eastAsia" w:ascii="宋体" w:hAnsi="宋体" w:cs="宋体"/>
                <w:sz w:val="24"/>
              </w:rPr>
              <w:t>业主名称</w:t>
            </w:r>
          </w:p>
        </w:tc>
        <w:tc>
          <w:tcPr>
            <w:tcW w:w="1872" w:type="dxa"/>
            <w:noWrap w:val="0"/>
            <w:vAlign w:val="center"/>
          </w:tcPr>
          <w:p>
            <w:pPr>
              <w:spacing w:line="360" w:lineRule="auto"/>
              <w:jc w:val="center"/>
              <w:rPr>
                <w:rFonts w:hint="eastAsia" w:ascii="宋体" w:hAnsi="宋体" w:cs="宋体"/>
                <w:sz w:val="24"/>
              </w:rPr>
            </w:pPr>
            <w:r>
              <w:rPr>
                <w:rFonts w:hint="eastAsia" w:ascii="宋体" w:hAnsi="宋体" w:cs="宋体"/>
                <w:sz w:val="24"/>
              </w:rPr>
              <w:t>项目名称</w:t>
            </w:r>
          </w:p>
        </w:tc>
        <w:tc>
          <w:tcPr>
            <w:tcW w:w="1262" w:type="dxa"/>
            <w:noWrap w:val="0"/>
            <w:vAlign w:val="center"/>
          </w:tcPr>
          <w:p>
            <w:pPr>
              <w:spacing w:line="360" w:lineRule="auto"/>
              <w:jc w:val="center"/>
              <w:rPr>
                <w:rFonts w:hint="eastAsia" w:ascii="宋体" w:hAnsi="宋体" w:cs="宋体"/>
                <w:sz w:val="24"/>
              </w:rPr>
            </w:pPr>
            <w:r>
              <w:rPr>
                <w:rFonts w:hint="eastAsia" w:ascii="宋体" w:hAnsi="宋体" w:cs="宋体"/>
                <w:sz w:val="24"/>
              </w:rPr>
              <w:t>联系人</w:t>
            </w:r>
          </w:p>
        </w:tc>
        <w:tc>
          <w:tcPr>
            <w:tcW w:w="1262" w:type="dxa"/>
            <w:noWrap w:val="0"/>
            <w:vAlign w:val="center"/>
          </w:tcPr>
          <w:p>
            <w:pPr>
              <w:spacing w:line="360" w:lineRule="auto"/>
              <w:jc w:val="center"/>
              <w:rPr>
                <w:rFonts w:hint="eastAsia" w:ascii="宋体" w:hAnsi="宋体" w:cs="宋体"/>
                <w:sz w:val="24"/>
              </w:rPr>
            </w:pPr>
            <w:r>
              <w:rPr>
                <w:rFonts w:hint="eastAsia" w:ascii="宋体" w:hAnsi="宋体" w:cs="宋体"/>
                <w:sz w:val="24"/>
              </w:rPr>
              <w:t>联系方式</w:t>
            </w:r>
          </w:p>
        </w:tc>
        <w:tc>
          <w:tcPr>
            <w:tcW w:w="1262" w:type="dxa"/>
            <w:noWrap w:val="0"/>
            <w:vAlign w:val="center"/>
          </w:tcPr>
          <w:p>
            <w:pPr>
              <w:spacing w:line="360" w:lineRule="auto"/>
              <w:jc w:val="center"/>
              <w:rPr>
                <w:rFonts w:hint="eastAsia" w:ascii="宋体" w:hAnsi="宋体" w:cs="宋体"/>
                <w:sz w:val="24"/>
              </w:rPr>
            </w:pPr>
            <w:r>
              <w:rPr>
                <w:rFonts w:hint="eastAsia" w:ascii="宋体" w:hAnsi="宋体" w:cs="宋体"/>
                <w:sz w:val="24"/>
              </w:rPr>
              <w:t>完成情况</w:t>
            </w:r>
          </w:p>
        </w:tc>
        <w:tc>
          <w:tcPr>
            <w:tcW w:w="1430" w:type="dxa"/>
            <w:noWrap w:val="0"/>
            <w:vAlign w:val="center"/>
          </w:tcPr>
          <w:p>
            <w:pPr>
              <w:spacing w:line="360" w:lineRule="auto"/>
              <w:jc w:val="center"/>
              <w:rPr>
                <w:rFonts w:hint="eastAsia" w:ascii="宋体" w:hAnsi="宋体" w:cs="宋体"/>
                <w:sz w:val="24"/>
              </w:rPr>
            </w:pPr>
            <w:r>
              <w:rPr>
                <w:rFonts w:hint="eastAsia" w:ascii="宋体" w:hAnsi="宋体" w:cs="宋体"/>
                <w:sz w:val="24"/>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pPr>
              <w:spacing w:line="360" w:lineRule="auto"/>
              <w:jc w:val="center"/>
              <w:rPr>
                <w:rFonts w:hint="eastAsia" w:ascii="宋体" w:hAnsi="宋体" w:cs="宋体"/>
                <w:sz w:val="24"/>
              </w:rPr>
            </w:pPr>
          </w:p>
        </w:tc>
        <w:tc>
          <w:tcPr>
            <w:tcW w:w="1417" w:type="dxa"/>
            <w:noWrap w:val="0"/>
            <w:vAlign w:val="top"/>
          </w:tcPr>
          <w:p>
            <w:pPr>
              <w:spacing w:line="360" w:lineRule="auto"/>
              <w:jc w:val="center"/>
              <w:rPr>
                <w:rFonts w:hint="eastAsia" w:ascii="宋体" w:hAnsi="宋体" w:cs="宋体"/>
                <w:sz w:val="24"/>
              </w:rPr>
            </w:pPr>
          </w:p>
        </w:tc>
        <w:tc>
          <w:tcPr>
            <w:tcW w:w="187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430"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pPr>
              <w:spacing w:line="360" w:lineRule="auto"/>
              <w:jc w:val="center"/>
              <w:rPr>
                <w:rFonts w:hint="eastAsia" w:ascii="宋体" w:hAnsi="宋体" w:cs="宋体"/>
                <w:sz w:val="24"/>
              </w:rPr>
            </w:pPr>
          </w:p>
        </w:tc>
        <w:tc>
          <w:tcPr>
            <w:tcW w:w="1417" w:type="dxa"/>
            <w:noWrap w:val="0"/>
            <w:vAlign w:val="top"/>
          </w:tcPr>
          <w:p>
            <w:pPr>
              <w:spacing w:line="360" w:lineRule="auto"/>
              <w:jc w:val="center"/>
              <w:rPr>
                <w:rFonts w:hint="eastAsia" w:ascii="宋体" w:hAnsi="宋体" w:cs="宋体"/>
                <w:sz w:val="24"/>
              </w:rPr>
            </w:pPr>
          </w:p>
        </w:tc>
        <w:tc>
          <w:tcPr>
            <w:tcW w:w="187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430"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pPr>
              <w:spacing w:line="360" w:lineRule="auto"/>
              <w:jc w:val="center"/>
              <w:rPr>
                <w:rFonts w:hint="eastAsia" w:ascii="宋体" w:hAnsi="宋体" w:cs="宋体"/>
                <w:sz w:val="24"/>
              </w:rPr>
            </w:pPr>
          </w:p>
        </w:tc>
        <w:tc>
          <w:tcPr>
            <w:tcW w:w="1417" w:type="dxa"/>
            <w:noWrap w:val="0"/>
            <w:vAlign w:val="top"/>
          </w:tcPr>
          <w:p>
            <w:pPr>
              <w:spacing w:line="360" w:lineRule="auto"/>
              <w:jc w:val="center"/>
              <w:rPr>
                <w:rFonts w:hint="eastAsia" w:ascii="宋体" w:hAnsi="宋体" w:cs="宋体"/>
                <w:sz w:val="24"/>
              </w:rPr>
            </w:pPr>
          </w:p>
        </w:tc>
        <w:tc>
          <w:tcPr>
            <w:tcW w:w="187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430"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pPr>
              <w:spacing w:line="360" w:lineRule="auto"/>
              <w:jc w:val="center"/>
              <w:rPr>
                <w:rFonts w:hint="eastAsia" w:ascii="宋体" w:hAnsi="宋体" w:cs="宋体"/>
                <w:sz w:val="24"/>
              </w:rPr>
            </w:pPr>
          </w:p>
        </w:tc>
        <w:tc>
          <w:tcPr>
            <w:tcW w:w="1417" w:type="dxa"/>
            <w:noWrap w:val="0"/>
            <w:vAlign w:val="top"/>
          </w:tcPr>
          <w:p>
            <w:pPr>
              <w:spacing w:line="360" w:lineRule="auto"/>
              <w:jc w:val="center"/>
              <w:rPr>
                <w:rFonts w:hint="eastAsia" w:ascii="宋体" w:hAnsi="宋体" w:cs="宋体"/>
                <w:sz w:val="24"/>
              </w:rPr>
            </w:pPr>
          </w:p>
        </w:tc>
        <w:tc>
          <w:tcPr>
            <w:tcW w:w="187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430"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pPr>
              <w:spacing w:line="360" w:lineRule="auto"/>
              <w:jc w:val="center"/>
              <w:rPr>
                <w:rFonts w:hint="eastAsia" w:ascii="宋体" w:hAnsi="宋体" w:cs="宋体"/>
                <w:sz w:val="24"/>
              </w:rPr>
            </w:pPr>
          </w:p>
        </w:tc>
        <w:tc>
          <w:tcPr>
            <w:tcW w:w="1417" w:type="dxa"/>
            <w:noWrap w:val="0"/>
            <w:vAlign w:val="top"/>
          </w:tcPr>
          <w:p>
            <w:pPr>
              <w:spacing w:line="360" w:lineRule="auto"/>
              <w:jc w:val="center"/>
              <w:rPr>
                <w:rFonts w:hint="eastAsia" w:ascii="宋体" w:hAnsi="宋体" w:cs="宋体"/>
                <w:sz w:val="24"/>
              </w:rPr>
            </w:pPr>
          </w:p>
        </w:tc>
        <w:tc>
          <w:tcPr>
            <w:tcW w:w="187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262" w:type="dxa"/>
            <w:noWrap w:val="0"/>
            <w:vAlign w:val="top"/>
          </w:tcPr>
          <w:p>
            <w:pPr>
              <w:spacing w:line="360" w:lineRule="auto"/>
              <w:jc w:val="center"/>
              <w:rPr>
                <w:rFonts w:hint="eastAsia" w:ascii="宋体" w:hAnsi="宋体" w:cs="宋体"/>
                <w:sz w:val="24"/>
              </w:rPr>
            </w:pPr>
          </w:p>
        </w:tc>
        <w:tc>
          <w:tcPr>
            <w:tcW w:w="1430" w:type="dxa"/>
            <w:noWrap w:val="0"/>
            <w:vAlign w:val="top"/>
          </w:tcPr>
          <w:p>
            <w:pPr>
              <w:spacing w:line="360" w:lineRule="auto"/>
              <w:jc w:val="center"/>
              <w:rPr>
                <w:rFonts w:hint="eastAsia" w:ascii="宋体" w:hAnsi="宋体" w:cs="宋体"/>
                <w:sz w:val="24"/>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注：1、供应商必须提供能够证明上述案例真实性的合同，合同复印件中必须至少包括合同的甲乙双方，合同详细标的和双方签章及生效时间；</w:t>
      </w:r>
    </w:p>
    <w:p>
      <w:pPr>
        <w:numPr>
          <w:ilvl w:val="0"/>
          <w:numId w:val="18"/>
        </w:numPr>
        <w:spacing w:line="360" w:lineRule="auto"/>
        <w:rPr>
          <w:rFonts w:hint="eastAsia" w:ascii="宋体" w:hAnsi="宋体" w:cs="宋体"/>
          <w:sz w:val="24"/>
        </w:rPr>
      </w:pPr>
      <w:r>
        <w:rPr>
          <w:rFonts w:hint="eastAsia" w:ascii="宋体" w:hAnsi="宋体" w:cs="宋体"/>
          <w:sz w:val="24"/>
        </w:rPr>
        <w:t>如供应商成立日期不足</w:t>
      </w:r>
      <w:r>
        <w:rPr>
          <w:rFonts w:hint="eastAsia" w:ascii="宋体" w:hAnsi="宋体" w:cs="宋体"/>
          <w:b/>
          <w:sz w:val="24"/>
        </w:rPr>
        <w:t>三</w:t>
      </w:r>
      <w:r>
        <w:rPr>
          <w:rFonts w:hint="eastAsia" w:ascii="宋体" w:hAnsi="宋体" w:cs="宋体"/>
          <w:sz w:val="24"/>
        </w:rPr>
        <w:t>年，请提供自成立之日至递交响应文件之日的同类项目业绩；</w:t>
      </w:r>
    </w:p>
    <w:p>
      <w:pPr>
        <w:spacing w:line="360" w:lineRule="auto"/>
        <w:rPr>
          <w:rFonts w:hint="eastAsia" w:ascii="宋体" w:hAnsi="宋体" w:cs="宋体"/>
          <w:sz w:val="24"/>
        </w:rPr>
      </w:pPr>
      <w:r>
        <w:rPr>
          <w:rFonts w:hint="eastAsia" w:ascii="宋体" w:hAnsi="宋体" w:cs="宋体"/>
          <w:sz w:val="24"/>
        </w:rPr>
        <w:t>3、所有复印件应清晰，并由供应商单位加盖公章；</w:t>
      </w:r>
    </w:p>
    <w:p>
      <w:pPr>
        <w:spacing w:line="360" w:lineRule="auto"/>
        <w:rPr>
          <w:rFonts w:hint="eastAsia" w:ascii="宋体" w:hAnsi="宋体" w:cs="宋体"/>
          <w:sz w:val="24"/>
        </w:rPr>
      </w:pPr>
      <w:r>
        <w:rPr>
          <w:rFonts w:hint="eastAsia" w:ascii="宋体" w:hAnsi="宋体" w:cs="宋体"/>
          <w:sz w:val="24"/>
        </w:rPr>
        <w:t>4、不提供复印件的业绩，评分阶段不予以考虑。</w:t>
      </w:r>
    </w:p>
    <w:p>
      <w:pPr>
        <w:spacing w:line="360" w:lineRule="auto"/>
        <w:rPr>
          <w:rFonts w:hint="eastAsia" w:ascii="宋体" w:hAnsi="宋体" w:cs="宋体"/>
          <w:sz w:val="24"/>
        </w:rPr>
      </w:pPr>
    </w:p>
    <w:p>
      <w:pPr>
        <w:spacing w:line="360" w:lineRule="auto"/>
        <w:jc w:val="right"/>
        <w:rPr>
          <w:rFonts w:hint="eastAsia" w:ascii="宋体" w:hAnsi="宋体" w:cs="宋体"/>
          <w:sz w:val="24"/>
        </w:rPr>
      </w:pPr>
      <w:r>
        <w:rPr>
          <w:rFonts w:hint="eastAsia" w:ascii="宋体" w:hAnsi="宋体" w:cs="宋体"/>
          <w:sz w:val="24"/>
        </w:rPr>
        <w:t>被授权人</w:t>
      </w:r>
      <w:r>
        <w:rPr>
          <w:rFonts w:hint="eastAsia" w:ascii="宋体" w:hAnsi="宋体" w:cs="宋体"/>
          <w:sz w:val="24"/>
          <w:shd w:val="clear" w:color="auto" w:fill="FFFFFF"/>
        </w:rPr>
        <w:t>签字或盖章</w:t>
      </w:r>
      <w:r>
        <w:rPr>
          <w:rFonts w:hint="eastAsia" w:ascii="宋体" w:hAnsi="宋体" w:cs="宋体"/>
          <w:sz w:val="24"/>
        </w:rPr>
        <w:t>：</w:t>
      </w:r>
    </w:p>
    <w:p>
      <w:pPr>
        <w:spacing w:line="360" w:lineRule="auto"/>
        <w:ind w:firstLine="435"/>
        <w:jc w:val="right"/>
        <w:rPr>
          <w:rFonts w:hint="eastAsia" w:ascii="宋体" w:hAnsi="宋体" w:cs="宋体"/>
          <w:sz w:val="24"/>
          <w:u w:val="single"/>
        </w:rPr>
      </w:pPr>
    </w:p>
    <w:p>
      <w:pPr>
        <w:spacing w:line="360" w:lineRule="auto"/>
        <w:jc w:val="right"/>
        <w:rPr>
          <w:rFonts w:hint="eastAsia" w:ascii="宋体" w:hAnsi="宋体" w:cs="宋体"/>
          <w:sz w:val="24"/>
          <w:u w:val="single"/>
        </w:rPr>
      </w:pPr>
      <w:r>
        <w:rPr>
          <w:rFonts w:hint="eastAsia" w:ascii="宋体" w:hAnsi="宋体" w:cs="宋体"/>
          <w:sz w:val="24"/>
        </w:rPr>
        <w:t>供应商名称（公章）：</w:t>
      </w:r>
    </w:p>
    <w:p>
      <w:pPr>
        <w:spacing w:line="360" w:lineRule="auto"/>
        <w:ind w:firstLine="435"/>
        <w:rPr>
          <w:rFonts w:hint="eastAsia" w:ascii="宋体" w:hAnsi="宋体" w:cs="宋体"/>
          <w:sz w:val="24"/>
          <w:u w:val="single"/>
        </w:rPr>
      </w:pPr>
    </w:p>
    <w:p>
      <w:pPr>
        <w:spacing w:line="360" w:lineRule="auto"/>
        <w:ind w:firstLine="435"/>
        <w:jc w:val="right"/>
        <w:rPr>
          <w:rFonts w:hint="eastAsia" w:ascii="宋体" w:hAnsi="宋体" w:cs="宋体"/>
          <w:sz w:val="24"/>
        </w:rPr>
      </w:pPr>
      <w:r>
        <w:rPr>
          <w:rFonts w:hint="eastAsia" w:ascii="宋体" w:hAnsi="宋体" w:cs="宋体"/>
          <w:sz w:val="24"/>
        </w:rPr>
        <w:t>日期：</w:t>
      </w:r>
    </w:p>
    <w:p>
      <w:pPr>
        <w:pStyle w:val="33"/>
        <w:rPr>
          <w:rFonts w:hint="eastAsia" w:cs="宋体"/>
        </w:rPr>
      </w:pPr>
    </w:p>
    <w:p>
      <w:pPr>
        <w:rPr>
          <w:rFonts w:hint="eastAsia" w:ascii="宋体" w:hAnsi="宋体" w:cs="宋体"/>
        </w:rPr>
      </w:pPr>
    </w:p>
    <w:p>
      <w:pPr>
        <w:pStyle w:val="5"/>
        <w:jc w:val="left"/>
        <w:rPr>
          <w:rFonts w:hint="eastAsia" w:hAnsi="宋体" w:cs="宋体"/>
        </w:rPr>
      </w:pPr>
      <w:r>
        <w:rPr>
          <w:rFonts w:hint="eastAsia" w:hAnsi="宋体" w:cs="宋体"/>
        </w:rPr>
        <w:t>技术方案</w:t>
      </w:r>
    </w:p>
    <w:p>
      <w:pPr>
        <w:pStyle w:val="5"/>
        <w:ind w:firstLine="964" w:firstLineChars="400"/>
        <w:jc w:val="left"/>
        <w:rPr>
          <w:rFonts w:hint="eastAsia" w:hAnsi="宋体" w:cs="宋体"/>
          <w:sz w:val="24"/>
          <w:szCs w:val="24"/>
        </w:rPr>
      </w:pPr>
      <w:r>
        <w:rPr>
          <w:rFonts w:hint="eastAsia" w:hAnsi="宋体" w:cs="宋体"/>
          <w:sz w:val="24"/>
          <w:szCs w:val="24"/>
        </w:rPr>
        <w:t>(供应商应根据磋商文件的技术要求编制详细的方案，格式自拟)</w:t>
      </w:r>
    </w:p>
    <w:p>
      <w:pPr>
        <w:spacing w:line="360" w:lineRule="auto"/>
        <w:ind w:firstLine="480" w:firstLineChars="200"/>
        <w:rPr>
          <w:rFonts w:hint="eastAsia" w:ascii="宋体"/>
          <w:sz w:val="24"/>
        </w:rPr>
      </w:pPr>
      <w:r>
        <w:rPr>
          <w:rFonts w:hint="eastAsia" w:ascii="宋体"/>
          <w:sz w:val="24"/>
        </w:rPr>
        <w:t>设备清单及方案概述、标书技术规范书要求提供的内容、综合说明、技术条款偏离表等。所提供产品的详细说明（在磋商文件中详细说明所提供规格、品牌</w:t>
      </w:r>
      <w:r>
        <w:rPr>
          <w:rFonts w:hint="eastAsia" w:ascii="宋体"/>
          <w:sz w:val="24"/>
          <w:lang w:eastAsia="zh-CN"/>
        </w:rPr>
        <w:t>、</w:t>
      </w:r>
      <w:r>
        <w:rPr>
          <w:rFonts w:hint="eastAsia" w:ascii="宋体"/>
          <w:sz w:val="24"/>
          <w:lang w:val="en-US" w:eastAsia="zh-CN"/>
        </w:rPr>
        <w:t>详细技术参数</w:t>
      </w:r>
      <w:r>
        <w:rPr>
          <w:rFonts w:hint="eastAsia" w:ascii="宋体"/>
          <w:sz w:val="24"/>
        </w:rPr>
        <w:t>等）；</w:t>
      </w:r>
    </w:p>
    <w:p>
      <w:pPr>
        <w:spacing w:line="360" w:lineRule="auto"/>
        <w:ind w:firstLine="480" w:firstLineChars="200"/>
        <w:rPr>
          <w:rFonts w:hint="eastAsia" w:ascii="宋体"/>
          <w:sz w:val="24"/>
        </w:rPr>
      </w:pPr>
      <w:r>
        <w:rPr>
          <w:rFonts w:hint="eastAsia" w:ascii="宋体"/>
          <w:sz w:val="24"/>
        </w:rPr>
        <w:t>所提供产品相关服务人员的配备情况；</w:t>
      </w:r>
    </w:p>
    <w:p>
      <w:pPr>
        <w:spacing w:line="360" w:lineRule="auto"/>
        <w:ind w:firstLine="480" w:firstLineChars="200"/>
        <w:rPr>
          <w:rFonts w:hint="eastAsia" w:ascii="宋体"/>
          <w:sz w:val="24"/>
        </w:rPr>
      </w:pPr>
      <w:r>
        <w:rPr>
          <w:rFonts w:hint="eastAsia" w:ascii="宋体"/>
          <w:sz w:val="24"/>
        </w:rPr>
        <w:t>项目实施方案；</w:t>
      </w:r>
    </w:p>
    <w:p>
      <w:pPr>
        <w:spacing w:line="360" w:lineRule="auto"/>
        <w:ind w:firstLine="480" w:firstLineChars="200"/>
        <w:rPr>
          <w:rFonts w:hint="eastAsia" w:ascii="宋体"/>
          <w:sz w:val="24"/>
        </w:rPr>
      </w:pPr>
      <w:r>
        <w:rPr>
          <w:rFonts w:hint="eastAsia" w:ascii="宋体"/>
          <w:sz w:val="24"/>
        </w:rPr>
        <w:t>产品</w:t>
      </w:r>
      <w:r>
        <w:rPr>
          <w:rFonts w:hint="eastAsia" w:ascii="宋体"/>
          <w:sz w:val="24"/>
          <w:lang w:val="en-US" w:eastAsia="zh-CN"/>
        </w:rPr>
        <w:t>详细技术规格</w:t>
      </w:r>
      <w:r>
        <w:rPr>
          <w:rFonts w:hint="eastAsia" w:ascii="宋体"/>
          <w:sz w:val="24"/>
        </w:rPr>
        <w:t>；</w:t>
      </w:r>
    </w:p>
    <w:p>
      <w:pPr>
        <w:spacing w:line="360" w:lineRule="auto"/>
        <w:ind w:firstLine="480" w:firstLineChars="200"/>
        <w:rPr>
          <w:rFonts w:hint="eastAsia" w:ascii="宋体"/>
          <w:sz w:val="24"/>
        </w:rPr>
      </w:pPr>
      <w:r>
        <w:rPr>
          <w:rFonts w:hint="eastAsia" w:ascii="宋体"/>
          <w:sz w:val="24"/>
        </w:rPr>
        <w:t>产品彩图；</w:t>
      </w:r>
    </w:p>
    <w:p>
      <w:pPr>
        <w:spacing w:line="360" w:lineRule="auto"/>
        <w:ind w:firstLine="480" w:firstLineChars="200"/>
        <w:rPr>
          <w:rFonts w:hint="eastAsia" w:ascii="宋体"/>
          <w:sz w:val="24"/>
        </w:rPr>
      </w:pPr>
      <w:r>
        <w:rPr>
          <w:rFonts w:hint="eastAsia" w:ascii="宋体"/>
          <w:sz w:val="24"/>
        </w:rPr>
        <w:t>证明供应商履约能力的文件；</w:t>
      </w:r>
    </w:p>
    <w:p>
      <w:pPr>
        <w:pStyle w:val="21"/>
        <w:rPr>
          <w:rFonts w:hint="eastAsia"/>
        </w:rPr>
      </w:pPr>
      <w:r>
        <w:rPr>
          <w:rFonts w:hint="eastAsia"/>
        </w:rPr>
        <w:t>供应商认为需要说明的其他部分；</w:t>
      </w:r>
    </w:p>
    <w:p>
      <w:pPr>
        <w:spacing w:line="360" w:lineRule="auto"/>
        <w:ind w:firstLine="435"/>
        <w:rPr>
          <w:rFonts w:hint="eastAsia" w:ascii="宋体" w:hAnsi="宋体" w:cs="宋体"/>
          <w:sz w:val="24"/>
        </w:rPr>
      </w:pPr>
    </w:p>
    <w:p>
      <w:pPr>
        <w:spacing w:line="360" w:lineRule="auto"/>
        <w:ind w:firstLine="435"/>
        <w:rPr>
          <w:rFonts w:hint="eastAsia" w:ascii="宋体" w:hAnsi="宋体" w:cs="宋体"/>
          <w:sz w:val="24"/>
        </w:rPr>
      </w:pPr>
    </w:p>
    <w:p>
      <w:pPr>
        <w:spacing w:line="360" w:lineRule="auto"/>
        <w:ind w:firstLine="435"/>
        <w:rPr>
          <w:rFonts w:hint="eastAsia" w:ascii="宋体" w:hAnsi="宋体" w:cs="宋体"/>
          <w:sz w:val="24"/>
        </w:rPr>
      </w:pPr>
    </w:p>
    <w:p>
      <w:pPr>
        <w:spacing w:line="360" w:lineRule="auto"/>
        <w:ind w:firstLine="435"/>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jc w:val="right"/>
        <w:rPr>
          <w:rFonts w:hint="eastAsia" w:ascii="宋体" w:hAnsi="宋体" w:cs="宋体"/>
          <w:sz w:val="24"/>
        </w:rPr>
      </w:pPr>
      <w:r>
        <w:rPr>
          <w:rFonts w:hint="eastAsia" w:ascii="宋体" w:hAnsi="宋体" w:cs="宋体"/>
          <w:sz w:val="24"/>
        </w:rPr>
        <w:t>被授权人</w:t>
      </w:r>
      <w:r>
        <w:rPr>
          <w:rFonts w:hint="eastAsia" w:ascii="宋体" w:hAnsi="宋体" w:cs="宋体"/>
          <w:sz w:val="24"/>
          <w:shd w:val="clear" w:color="auto" w:fill="FFFFFF"/>
        </w:rPr>
        <w:t>签字或盖章</w:t>
      </w:r>
      <w:r>
        <w:rPr>
          <w:rFonts w:hint="eastAsia" w:ascii="宋体" w:hAnsi="宋体" w:cs="宋体"/>
          <w:sz w:val="24"/>
        </w:rPr>
        <w:t>：</w:t>
      </w:r>
    </w:p>
    <w:p>
      <w:pPr>
        <w:spacing w:line="360" w:lineRule="auto"/>
        <w:ind w:firstLine="435"/>
        <w:jc w:val="right"/>
        <w:rPr>
          <w:rFonts w:hint="eastAsia" w:ascii="宋体" w:hAnsi="宋体" w:cs="宋体"/>
          <w:sz w:val="24"/>
          <w:u w:val="single"/>
        </w:rPr>
      </w:pPr>
    </w:p>
    <w:p>
      <w:pPr>
        <w:spacing w:line="360" w:lineRule="auto"/>
        <w:jc w:val="right"/>
        <w:rPr>
          <w:rFonts w:hint="eastAsia" w:ascii="宋体" w:hAnsi="宋体" w:cs="宋体"/>
          <w:sz w:val="24"/>
          <w:u w:val="single"/>
        </w:rPr>
      </w:pPr>
      <w:r>
        <w:rPr>
          <w:rFonts w:hint="eastAsia" w:ascii="宋体" w:hAnsi="宋体" w:cs="宋体"/>
          <w:sz w:val="24"/>
        </w:rPr>
        <w:t>供应商名称（公章）：</w:t>
      </w:r>
    </w:p>
    <w:p>
      <w:pPr>
        <w:spacing w:line="360" w:lineRule="auto"/>
        <w:ind w:firstLine="435"/>
        <w:jc w:val="right"/>
        <w:rPr>
          <w:rFonts w:hint="eastAsia" w:ascii="宋体" w:hAnsi="宋体" w:cs="宋体"/>
        </w:rPr>
      </w:pPr>
    </w:p>
    <w:p>
      <w:pPr>
        <w:spacing w:line="360" w:lineRule="auto"/>
        <w:jc w:val="right"/>
        <w:rPr>
          <w:rFonts w:hint="eastAsia" w:ascii="宋体" w:hAnsi="宋体" w:cs="宋体"/>
        </w:rPr>
      </w:pPr>
      <w:r>
        <w:rPr>
          <w:rFonts w:hint="eastAsia" w:ascii="宋体" w:hAnsi="宋体" w:cs="宋体"/>
          <w:sz w:val="24"/>
        </w:rPr>
        <w:t>日期：</w:t>
      </w:r>
    </w:p>
    <w:p>
      <w:pPr>
        <w:spacing w:line="360" w:lineRule="auto"/>
        <w:ind w:firstLine="435"/>
        <w:jc w:val="right"/>
        <w:rPr>
          <w:rFonts w:hint="eastAsia" w:ascii="宋体" w:hAnsi="宋体" w:cs="宋体"/>
          <w:sz w:val="24"/>
        </w:rPr>
      </w:pPr>
    </w:p>
    <w:p>
      <w:pPr>
        <w:pStyle w:val="21"/>
        <w:rPr>
          <w:rFonts w:hint="eastAsia" w:cs="宋体"/>
        </w:rPr>
      </w:pPr>
      <w:r>
        <w:rPr>
          <w:rFonts w:hint="eastAsia" w:cs="宋体"/>
        </w:rPr>
        <w:br w:type="page"/>
      </w:r>
    </w:p>
    <w:p>
      <w:pPr>
        <w:pStyle w:val="43"/>
        <w:jc w:val="left"/>
        <w:rPr>
          <w:rFonts w:hint="eastAsia" w:ascii="宋体" w:hAnsi="宋体" w:cs="宋体"/>
        </w:rPr>
      </w:pPr>
      <w:r>
        <w:rPr>
          <w:rFonts w:hint="eastAsia" w:ascii="宋体" w:hAnsi="宋体" w:cs="宋体"/>
        </w:rPr>
        <w:t>拟投入的人员配备情况</w:t>
      </w: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r>
        <w:rPr>
          <w:rFonts w:hint="eastAsia"/>
          <w:sz w:val="24"/>
          <w:szCs w:val="24"/>
          <w:lang w:eastAsia="zh-CN"/>
        </w:rPr>
        <w:t>单位名称:</w:t>
      </w:r>
      <w:r>
        <w:rPr>
          <w:rFonts w:hint="eastAsia"/>
          <w:sz w:val="24"/>
          <w:szCs w:val="24"/>
          <w:u w:val="single"/>
          <w:lang w:eastAsia="zh-CN"/>
        </w:rPr>
        <w:t xml:space="preserve">                          </w:t>
      </w:r>
      <w:r>
        <w:rPr>
          <w:rFonts w:hint="eastAsia"/>
          <w:sz w:val="24"/>
          <w:szCs w:val="24"/>
          <w:lang w:eastAsia="zh-CN"/>
        </w:rPr>
        <w:t xml:space="preserve">                                </w:t>
      </w:r>
    </w:p>
    <w:p>
      <w:pPr>
        <w:pStyle w:val="256"/>
        <w:tabs>
          <w:tab w:val="left" w:pos="951"/>
        </w:tabs>
        <w:adjustRightInd w:val="0"/>
        <w:snapToGrid w:val="0"/>
        <w:spacing w:line="360" w:lineRule="auto"/>
        <w:rPr>
          <w:rFonts w:hint="eastAsia"/>
          <w:sz w:val="24"/>
          <w:szCs w:val="24"/>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lang w:eastAsia="zh-CN"/>
        </w:rPr>
        <w:t xml:space="preserve">                            </w:t>
      </w:r>
    </w:p>
    <w:p>
      <w:pPr>
        <w:pStyle w:val="37"/>
        <w:ind w:left="0" w:firstLine="0"/>
        <w:jc w:val="both"/>
        <w:rPr>
          <w:rFonts w:hint="eastAsia" w:hAnsi="宋体" w:cs="宋体"/>
          <w:szCs w:val="24"/>
        </w:rPr>
      </w:pPr>
      <w:r>
        <w:rPr>
          <w:rFonts w:hint="eastAsia" w:hAnsi="宋体" w:cs="宋体"/>
          <w:szCs w:val="24"/>
        </w:rPr>
        <w:t>项目编号：</w:t>
      </w:r>
      <w:r>
        <w:rPr>
          <w:rFonts w:hint="eastAsia" w:hAnsi="宋体" w:cs="宋体"/>
          <w:szCs w:val="24"/>
          <w:u w:val="single"/>
        </w:rPr>
        <w:t xml:space="preserve">                         </w:t>
      </w: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center"/>
        <w:rPr>
          <w:rFonts w:hint="eastAsia" w:hAnsi="宋体" w:cs="宋体"/>
          <w:b/>
          <w:bCs/>
          <w:sz w:val="36"/>
          <w:szCs w:val="24"/>
        </w:rPr>
      </w:pPr>
    </w:p>
    <w:p>
      <w:pPr>
        <w:pStyle w:val="37"/>
        <w:ind w:left="0" w:firstLine="0"/>
        <w:jc w:val="center"/>
        <w:rPr>
          <w:rFonts w:hint="eastAsia" w:hAnsi="宋体" w:cs="宋体"/>
          <w:b/>
          <w:bCs/>
          <w:sz w:val="36"/>
          <w:szCs w:val="24"/>
        </w:rPr>
      </w:pPr>
      <w:r>
        <w:rPr>
          <w:rFonts w:hint="eastAsia" w:hAnsi="宋体" w:cs="宋体"/>
          <w:b/>
          <w:bCs/>
          <w:sz w:val="36"/>
          <w:szCs w:val="24"/>
        </w:rPr>
        <w:t>（格式自拟）</w:t>
      </w: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43"/>
        <w:jc w:val="left"/>
        <w:rPr>
          <w:rFonts w:hint="eastAsia" w:ascii="宋体" w:hAnsi="宋体" w:cs="宋体"/>
        </w:rPr>
      </w:pPr>
      <w:r>
        <w:rPr>
          <w:rFonts w:hint="eastAsia" w:ascii="宋体" w:hAnsi="宋体" w:cs="宋体"/>
        </w:rPr>
        <w:t>拟投入的仪器设备情况</w:t>
      </w: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r>
        <w:rPr>
          <w:rFonts w:hint="eastAsia"/>
          <w:sz w:val="24"/>
          <w:szCs w:val="24"/>
          <w:lang w:eastAsia="zh-CN"/>
        </w:rPr>
        <w:t>单位名称:</w:t>
      </w:r>
      <w:r>
        <w:rPr>
          <w:rFonts w:hint="eastAsia"/>
          <w:sz w:val="24"/>
          <w:szCs w:val="24"/>
          <w:u w:val="single"/>
          <w:lang w:eastAsia="zh-CN"/>
        </w:rPr>
        <w:t xml:space="preserve">                          </w:t>
      </w:r>
      <w:r>
        <w:rPr>
          <w:rFonts w:hint="eastAsia"/>
          <w:sz w:val="24"/>
          <w:szCs w:val="24"/>
          <w:lang w:eastAsia="zh-CN"/>
        </w:rPr>
        <w:t xml:space="preserve">                                </w:t>
      </w:r>
    </w:p>
    <w:p>
      <w:pPr>
        <w:pStyle w:val="256"/>
        <w:tabs>
          <w:tab w:val="left" w:pos="951"/>
        </w:tabs>
        <w:adjustRightInd w:val="0"/>
        <w:snapToGrid w:val="0"/>
        <w:spacing w:line="360" w:lineRule="auto"/>
        <w:rPr>
          <w:rFonts w:hint="eastAsia"/>
          <w:sz w:val="24"/>
          <w:szCs w:val="24"/>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lang w:eastAsia="zh-CN"/>
        </w:rPr>
        <w:t xml:space="preserve">                            </w:t>
      </w:r>
    </w:p>
    <w:p>
      <w:pPr>
        <w:pStyle w:val="37"/>
        <w:ind w:left="0" w:firstLine="0"/>
        <w:jc w:val="both"/>
        <w:rPr>
          <w:rFonts w:hint="eastAsia" w:hAnsi="宋体" w:cs="宋体"/>
          <w:szCs w:val="24"/>
        </w:rPr>
      </w:pPr>
      <w:r>
        <w:rPr>
          <w:rFonts w:hint="eastAsia" w:hAnsi="宋体" w:cs="宋体"/>
          <w:szCs w:val="24"/>
        </w:rPr>
        <w:t>项目编号：</w:t>
      </w:r>
      <w:r>
        <w:rPr>
          <w:rFonts w:hint="eastAsia" w:hAnsi="宋体" w:cs="宋体"/>
          <w:szCs w:val="24"/>
          <w:u w:val="single"/>
        </w:rPr>
        <w:t xml:space="preserve">                         </w:t>
      </w: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center"/>
        <w:rPr>
          <w:rFonts w:hint="eastAsia" w:hAnsi="宋体" w:cs="宋体"/>
          <w:b/>
          <w:bCs/>
          <w:sz w:val="36"/>
          <w:szCs w:val="24"/>
        </w:rPr>
      </w:pPr>
    </w:p>
    <w:p>
      <w:pPr>
        <w:pStyle w:val="37"/>
        <w:ind w:left="0" w:firstLine="0"/>
        <w:jc w:val="center"/>
        <w:rPr>
          <w:rFonts w:hint="eastAsia" w:hAnsi="宋体" w:cs="宋体"/>
          <w:b/>
          <w:bCs/>
          <w:sz w:val="36"/>
          <w:szCs w:val="24"/>
        </w:rPr>
      </w:pPr>
    </w:p>
    <w:p>
      <w:pPr>
        <w:pStyle w:val="37"/>
        <w:ind w:left="0" w:firstLine="0"/>
        <w:jc w:val="center"/>
        <w:rPr>
          <w:rFonts w:hint="eastAsia" w:hAnsi="宋体" w:cs="宋体"/>
          <w:b/>
          <w:bCs/>
          <w:sz w:val="36"/>
          <w:szCs w:val="24"/>
        </w:rPr>
      </w:pPr>
      <w:r>
        <w:rPr>
          <w:rFonts w:hint="eastAsia" w:hAnsi="宋体" w:cs="宋体"/>
          <w:b/>
          <w:bCs/>
          <w:sz w:val="36"/>
          <w:szCs w:val="24"/>
        </w:rPr>
        <w:t>（格式自拟）</w:t>
      </w: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43"/>
        <w:jc w:val="left"/>
        <w:rPr>
          <w:rFonts w:hint="eastAsia" w:ascii="宋体" w:hAnsi="宋体" w:cs="宋体"/>
        </w:rPr>
      </w:pPr>
      <w:r>
        <w:rPr>
          <w:rFonts w:hint="eastAsia" w:ascii="宋体" w:hAnsi="宋体" w:cs="宋体"/>
        </w:rPr>
        <w:t>服务体系、承诺</w:t>
      </w: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r>
        <w:rPr>
          <w:rFonts w:hint="eastAsia"/>
          <w:sz w:val="24"/>
          <w:szCs w:val="24"/>
          <w:lang w:eastAsia="zh-CN"/>
        </w:rPr>
        <w:t>单位名称:</w:t>
      </w:r>
      <w:r>
        <w:rPr>
          <w:rFonts w:hint="eastAsia"/>
          <w:sz w:val="24"/>
          <w:szCs w:val="24"/>
          <w:u w:val="single"/>
          <w:lang w:eastAsia="zh-CN"/>
        </w:rPr>
        <w:t xml:space="preserve">                          </w:t>
      </w:r>
      <w:r>
        <w:rPr>
          <w:rFonts w:hint="eastAsia"/>
          <w:sz w:val="24"/>
          <w:szCs w:val="24"/>
          <w:lang w:eastAsia="zh-CN"/>
        </w:rPr>
        <w:t xml:space="preserve">                                </w:t>
      </w:r>
    </w:p>
    <w:p>
      <w:pPr>
        <w:pStyle w:val="256"/>
        <w:tabs>
          <w:tab w:val="left" w:pos="951"/>
        </w:tabs>
        <w:adjustRightInd w:val="0"/>
        <w:snapToGrid w:val="0"/>
        <w:spacing w:line="360" w:lineRule="auto"/>
        <w:rPr>
          <w:rFonts w:hint="eastAsia"/>
          <w:sz w:val="24"/>
          <w:szCs w:val="24"/>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lang w:eastAsia="zh-CN"/>
        </w:rPr>
        <w:t xml:space="preserve">                            </w:t>
      </w:r>
    </w:p>
    <w:p>
      <w:pPr>
        <w:pStyle w:val="37"/>
        <w:ind w:left="0" w:firstLine="0"/>
        <w:jc w:val="both"/>
        <w:rPr>
          <w:rFonts w:hint="eastAsia" w:hAnsi="宋体" w:cs="宋体"/>
          <w:szCs w:val="24"/>
        </w:rPr>
      </w:pPr>
      <w:r>
        <w:rPr>
          <w:rFonts w:hint="eastAsia" w:hAnsi="宋体" w:cs="宋体"/>
          <w:szCs w:val="24"/>
        </w:rPr>
        <w:t>项目编号：</w:t>
      </w:r>
      <w:r>
        <w:rPr>
          <w:rFonts w:hint="eastAsia" w:hAnsi="宋体" w:cs="宋体"/>
          <w:szCs w:val="24"/>
          <w:u w:val="single"/>
        </w:rPr>
        <w:t xml:space="preserve">                         </w:t>
      </w: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37"/>
        <w:ind w:left="0" w:firstLine="0"/>
        <w:jc w:val="center"/>
        <w:rPr>
          <w:rFonts w:hint="eastAsia" w:hAnsi="宋体" w:cs="宋体"/>
          <w:b/>
          <w:bCs/>
          <w:sz w:val="36"/>
          <w:szCs w:val="24"/>
        </w:rPr>
      </w:pPr>
      <w:r>
        <w:rPr>
          <w:rFonts w:hint="eastAsia" w:hAnsi="宋体" w:cs="宋体"/>
          <w:b/>
          <w:bCs/>
          <w:sz w:val="36"/>
          <w:szCs w:val="24"/>
        </w:rPr>
        <w:t>（格式自拟）</w:t>
      </w: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p>
    <w:p>
      <w:pPr>
        <w:pStyle w:val="43"/>
        <w:jc w:val="left"/>
        <w:rPr>
          <w:rFonts w:hint="eastAsia" w:ascii="宋体" w:hAnsi="宋体" w:cs="宋体"/>
        </w:rPr>
      </w:pPr>
      <w:r>
        <w:rPr>
          <w:rFonts w:hint="eastAsia" w:ascii="宋体" w:hAnsi="宋体" w:cs="宋体"/>
        </w:rPr>
        <w:t>应急处理方案</w:t>
      </w:r>
    </w:p>
    <w:p>
      <w:pPr>
        <w:pStyle w:val="256"/>
        <w:tabs>
          <w:tab w:val="left" w:pos="951"/>
        </w:tabs>
        <w:adjustRightInd w:val="0"/>
        <w:snapToGrid w:val="0"/>
        <w:spacing w:line="360" w:lineRule="auto"/>
        <w:rPr>
          <w:rFonts w:hint="eastAsia"/>
          <w:sz w:val="24"/>
          <w:szCs w:val="24"/>
          <w:lang w:eastAsia="zh-CN"/>
        </w:rPr>
      </w:pPr>
    </w:p>
    <w:p>
      <w:pPr>
        <w:pStyle w:val="256"/>
        <w:tabs>
          <w:tab w:val="left" w:pos="951"/>
        </w:tabs>
        <w:adjustRightInd w:val="0"/>
        <w:snapToGrid w:val="0"/>
        <w:spacing w:line="360" w:lineRule="auto"/>
        <w:rPr>
          <w:rFonts w:hint="eastAsia"/>
          <w:sz w:val="24"/>
          <w:szCs w:val="24"/>
          <w:lang w:eastAsia="zh-CN"/>
        </w:rPr>
      </w:pPr>
      <w:r>
        <w:rPr>
          <w:rFonts w:hint="eastAsia"/>
          <w:sz w:val="24"/>
          <w:szCs w:val="24"/>
          <w:lang w:eastAsia="zh-CN"/>
        </w:rPr>
        <w:t>单位名称:</w:t>
      </w:r>
      <w:r>
        <w:rPr>
          <w:rFonts w:hint="eastAsia"/>
          <w:sz w:val="24"/>
          <w:szCs w:val="24"/>
          <w:u w:val="single"/>
          <w:lang w:eastAsia="zh-CN"/>
        </w:rPr>
        <w:t xml:space="preserve">                          </w:t>
      </w:r>
      <w:r>
        <w:rPr>
          <w:rFonts w:hint="eastAsia"/>
          <w:sz w:val="24"/>
          <w:szCs w:val="24"/>
          <w:lang w:eastAsia="zh-CN"/>
        </w:rPr>
        <w:t xml:space="preserve">                                </w:t>
      </w:r>
    </w:p>
    <w:p>
      <w:pPr>
        <w:pStyle w:val="256"/>
        <w:tabs>
          <w:tab w:val="left" w:pos="951"/>
        </w:tabs>
        <w:adjustRightInd w:val="0"/>
        <w:snapToGrid w:val="0"/>
        <w:spacing w:line="360" w:lineRule="auto"/>
        <w:rPr>
          <w:rFonts w:hint="eastAsia"/>
          <w:sz w:val="24"/>
          <w:szCs w:val="24"/>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lang w:eastAsia="zh-CN"/>
        </w:rPr>
        <w:t xml:space="preserve">                            </w:t>
      </w:r>
    </w:p>
    <w:p>
      <w:pPr>
        <w:pStyle w:val="37"/>
        <w:ind w:left="0" w:firstLine="0"/>
        <w:jc w:val="both"/>
        <w:rPr>
          <w:rFonts w:hint="eastAsia" w:hAnsi="宋体" w:cs="宋体"/>
          <w:szCs w:val="24"/>
        </w:rPr>
      </w:pPr>
      <w:r>
        <w:rPr>
          <w:rFonts w:hint="eastAsia" w:hAnsi="宋体" w:cs="宋体"/>
          <w:szCs w:val="24"/>
        </w:rPr>
        <w:t>项目编号：</w:t>
      </w:r>
      <w:r>
        <w:rPr>
          <w:rFonts w:hint="eastAsia" w:hAnsi="宋体" w:cs="宋体"/>
          <w:szCs w:val="24"/>
          <w:u w:val="single"/>
        </w:rPr>
        <w:t xml:space="preserve">                         </w:t>
      </w:r>
    </w:p>
    <w:p>
      <w:pPr>
        <w:pStyle w:val="37"/>
        <w:ind w:left="0" w:firstLine="0"/>
        <w:jc w:val="both"/>
        <w:rPr>
          <w:rFonts w:hint="eastAsia" w:hAnsi="宋体" w:cs="宋体"/>
          <w:szCs w:val="24"/>
        </w:rPr>
      </w:pPr>
    </w:p>
    <w:p>
      <w:pPr>
        <w:pStyle w:val="37"/>
        <w:ind w:left="0" w:firstLine="0"/>
        <w:jc w:val="both"/>
        <w:rPr>
          <w:rFonts w:hint="eastAsia" w:hAnsi="宋体" w:cs="宋体"/>
          <w:szCs w:val="24"/>
        </w:rPr>
      </w:pPr>
    </w:p>
    <w:p>
      <w:pPr>
        <w:pStyle w:val="37"/>
        <w:ind w:left="0" w:firstLine="0"/>
        <w:jc w:val="center"/>
        <w:rPr>
          <w:rFonts w:hint="eastAsia" w:hAnsi="宋体" w:cs="宋体"/>
          <w:b/>
          <w:bCs/>
          <w:sz w:val="36"/>
          <w:szCs w:val="24"/>
        </w:rPr>
      </w:pPr>
    </w:p>
    <w:p>
      <w:pPr>
        <w:pStyle w:val="37"/>
        <w:ind w:left="0" w:firstLine="0"/>
        <w:jc w:val="center"/>
        <w:rPr>
          <w:rFonts w:hint="eastAsia" w:hAnsi="宋体" w:cs="宋体"/>
          <w:b/>
          <w:bCs/>
          <w:sz w:val="36"/>
          <w:szCs w:val="24"/>
        </w:rPr>
      </w:pPr>
    </w:p>
    <w:p>
      <w:pPr>
        <w:pStyle w:val="37"/>
        <w:ind w:left="0" w:firstLine="0"/>
        <w:jc w:val="center"/>
        <w:rPr>
          <w:rFonts w:hint="eastAsia" w:hAnsi="宋体" w:cs="宋体"/>
          <w:b/>
          <w:bCs/>
          <w:sz w:val="36"/>
          <w:szCs w:val="24"/>
        </w:rPr>
      </w:pPr>
      <w:r>
        <w:rPr>
          <w:rFonts w:hint="eastAsia" w:hAnsi="宋体" w:cs="宋体"/>
          <w:b/>
          <w:bCs/>
          <w:sz w:val="36"/>
          <w:szCs w:val="24"/>
        </w:rPr>
        <w:t>（格式自拟）</w:t>
      </w:r>
    </w:p>
    <w:p>
      <w:pPr>
        <w:pStyle w:val="7"/>
        <w:spacing w:before="0" w:after="0" w:line="480" w:lineRule="auto"/>
        <w:rPr>
          <w:rFonts w:hint="eastAsia" w:hAnsi="宋体" w:cs="宋体"/>
          <w:szCs w:val="24"/>
        </w:rPr>
      </w:pPr>
      <w:r>
        <w:rPr>
          <w:rFonts w:hint="eastAsia" w:hAnsi="宋体" w:cs="宋体"/>
        </w:rPr>
        <w:br w:type="page"/>
      </w:r>
      <w:r>
        <w:rPr>
          <w:rStyle w:val="84"/>
          <w:rFonts w:hint="eastAsia" w:hAnsi="宋体" w:cs="宋体"/>
          <w:b/>
          <w:u w:val="none"/>
        </w:rPr>
        <w:t>供应商基本情况表</w:t>
      </w:r>
    </w:p>
    <w:p>
      <w:pPr>
        <w:autoSpaceDE w:val="0"/>
        <w:autoSpaceDN w:val="0"/>
        <w:adjustRightInd w:val="0"/>
        <w:spacing w:line="360" w:lineRule="auto"/>
        <w:ind w:right="105" w:rightChars="50" w:firstLine="602" w:firstLineChars="200"/>
        <w:jc w:val="center"/>
        <w:rPr>
          <w:rFonts w:hint="eastAsia" w:ascii="宋体" w:hAnsi="宋体" w:cs="宋体"/>
          <w:b/>
          <w:kern w:val="0"/>
          <w:sz w:val="30"/>
          <w:szCs w:val="30"/>
          <w:lang w:val="zh-CN"/>
        </w:rPr>
      </w:pPr>
      <w:bookmarkStart w:id="688" w:name="_Toc387414793"/>
      <w:r>
        <w:rPr>
          <w:rFonts w:hint="eastAsia" w:ascii="宋体" w:hAnsi="宋体" w:cs="宋体"/>
          <w:b/>
          <w:kern w:val="0"/>
          <w:sz w:val="30"/>
          <w:szCs w:val="30"/>
          <w:lang w:val="zh-CN"/>
        </w:rPr>
        <w:t>供应商基本情况表</w:t>
      </w:r>
      <w:bookmarkEnd w:id="688"/>
    </w:p>
    <w:p>
      <w:pPr>
        <w:spacing w:line="360" w:lineRule="auto"/>
        <w:rPr>
          <w:rFonts w:hint="eastAsia" w:ascii="宋体" w:hAnsi="宋体" w:cs="宋体"/>
          <w:sz w:val="24"/>
        </w:rPr>
      </w:pPr>
      <w:r>
        <w:rPr>
          <w:rFonts w:hint="eastAsia" w:ascii="宋体" w:hAnsi="宋体" w:cs="宋体"/>
          <w:sz w:val="24"/>
          <w:u w:val="single"/>
        </w:rPr>
        <w:t>（必须包括以下内容，可以扩充；）</w:t>
      </w:r>
    </w:p>
    <w:tbl>
      <w:tblPr>
        <w:tblStyle w:val="46"/>
        <w:tblW w:w="0" w:type="auto"/>
        <w:jc w:val="center"/>
        <w:tblLayout w:type="fixed"/>
        <w:tblCellMar>
          <w:top w:w="0" w:type="dxa"/>
          <w:left w:w="108" w:type="dxa"/>
          <w:bottom w:w="0" w:type="dxa"/>
          <w:right w:w="108" w:type="dxa"/>
        </w:tblCellMar>
      </w:tblPr>
      <w:tblGrid>
        <w:gridCol w:w="996"/>
        <w:gridCol w:w="3388"/>
        <w:gridCol w:w="4410"/>
      </w:tblGrid>
      <w:tr>
        <w:tblPrEx>
          <w:tblCellMar>
            <w:top w:w="0" w:type="dxa"/>
            <w:left w:w="108" w:type="dxa"/>
            <w:bottom w:w="0" w:type="dxa"/>
            <w:right w:w="108" w:type="dxa"/>
          </w:tblCellMar>
        </w:tblPrEx>
        <w:trPr>
          <w:trHeight w:val="649" w:hRule="atLeast"/>
          <w:jc w:val="center"/>
        </w:trPr>
        <w:tc>
          <w:tcPr>
            <w:tcW w:w="4384" w:type="dxa"/>
            <w:gridSpan w:val="2"/>
            <w:tcBorders>
              <w:top w:val="single" w:color="auto" w:sz="8" w:space="0"/>
              <w:left w:val="single" w:color="auto" w:sz="8" w:space="0"/>
              <w:bottom w:val="nil"/>
              <w:right w:val="nil"/>
            </w:tcBorders>
            <w:noWrap w:val="0"/>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供应商名称</w:t>
            </w:r>
          </w:p>
        </w:tc>
        <w:tc>
          <w:tcPr>
            <w:tcW w:w="4410" w:type="dxa"/>
            <w:tcBorders>
              <w:top w:val="single" w:color="auto" w:sz="8" w:space="0"/>
              <w:left w:val="single" w:color="auto" w:sz="8" w:space="0"/>
              <w:bottom w:val="nil"/>
              <w:right w:val="single" w:color="auto" w:sz="8"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559" w:hRule="atLeast"/>
          <w:jc w:val="center"/>
        </w:trPr>
        <w:tc>
          <w:tcPr>
            <w:tcW w:w="996" w:type="dxa"/>
            <w:vMerge w:val="restart"/>
            <w:tcBorders>
              <w:top w:val="single" w:color="auto" w:sz="8" w:space="0"/>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供应商    基本情况</w:t>
            </w:r>
          </w:p>
        </w:tc>
        <w:tc>
          <w:tcPr>
            <w:tcW w:w="3388" w:type="dxa"/>
            <w:tcBorders>
              <w:top w:val="single" w:color="auto" w:sz="8" w:space="0"/>
              <w:left w:val="nil"/>
              <w:bottom w:val="single" w:color="auto" w:sz="4" w:space="0"/>
              <w:right w:val="nil"/>
            </w:tcBorders>
            <w:noWrap w:val="0"/>
            <w:vAlign w:val="center"/>
          </w:tcPr>
          <w:p>
            <w:pPr>
              <w:widowControl/>
              <w:spacing w:line="360" w:lineRule="auto"/>
              <w:rPr>
                <w:rFonts w:hint="eastAsia" w:ascii="宋体" w:hAnsi="宋体" w:cs="宋体"/>
                <w:kern w:val="0"/>
                <w:sz w:val="24"/>
              </w:rPr>
            </w:pPr>
            <w:r>
              <w:rPr>
                <w:rFonts w:hint="eastAsia" w:ascii="宋体" w:hAnsi="宋体" w:cs="宋体"/>
                <w:kern w:val="0"/>
                <w:sz w:val="24"/>
              </w:rPr>
              <w:t>成立时间</w:t>
            </w:r>
          </w:p>
        </w:tc>
        <w:tc>
          <w:tcPr>
            <w:tcW w:w="4410" w:type="dxa"/>
            <w:tcBorders>
              <w:top w:val="single" w:color="auto" w:sz="8" w:space="0"/>
              <w:left w:val="single" w:color="auto" w:sz="8" w:space="0"/>
              <w:bottom w:val="single" w:color="auto" w:sz="4" w:space="0"/>
              <w:right w:val="single" w:color="auto" w:sz="8"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605" w:hRule="atLeast"/>
          <w:jc w:val="center"/>
        </w:trPr>
        <w:tc>
          <w:tcPr>
            <w:tcW w:w="996" w:type="dxa"/>
            <w:vMerge w:val="continue"/>
            <w:tcBorders>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p>
        </w:tc>
        <w:tc>
          <w:tcPr>
            <w:tcW w:w="3388" w:type="dxa"/>
            <w:tcBorders>
              <w:top w:val="nil"/>
              <w:left w:val="nil"/>
              <w:bottom w:val="single" w:color="auto" w:sz="4" w:space="0"/>
              <w:right w:val="nil"/>
            </w:tcBorders>
            <w:noWrap w:val="0"/>
            <w:vAlign w:val="center"/>
          </w:tcPr>
          <w:p>
            <w:pPr>
              <w:widowControl/>
              <w:spacing w:line="360" w:lineRule="auto"/>
              <w:rPr>
                <w:rFonts w:hint="eastAsia" w:ascii="宋体" w:hAnsi="宋体" w:cs="宋体"/>
                <w:kern w:val="0"/>
                <w:sz w:val="24"/>
              </w:rPr>
            </w:pPr>
            <w:r>
              <w:rPr>
                <w:rFonts w:hint="eastAsia" w:ascii="宋体" w:hAnsi="宋体" w:cs="宋体"/>
                <w:kern w:val="0"/>
                <w:sz w:val="24"/>
              </w:rPr>
              <w:t>注册地点</w:t>
            </w:r>
          </w:p>
        </w:tc>
        <w:tc>
          <w:tcPr>
            <w:tcW w:w="4410" w:type="dxa"/>
            <w:tcBorders>
              <w:top w:val="nil"/>
              <w:left w:val="single" w:color="auto" w:sz="8" w:space="0"/>
              <w:bottom w:val="single" w:color="auto" w:sz="4" w:space="0"/>
              <w:right w:val="single" w:color="auto" w:sz="8"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613" w:hRule="atLeast"/>
          <w:jc w:val="center"/>
        </w:trPr>
        <w:tc>
          <w:tcPr>
            <w:tcW w:w="996" w:type="dxa"/>
            <w:vMerge w:val="continue"/>
            <w:tcBorders>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p>
        </w:tc>
        <w:tc>
          <w:tcPr>
            <w:tcW w:w="3388" w:type="dxa"/>
            <w:tcBorders>
              <w:top w:val="nil"/>
              <w:left w:val="nil"/>
              <w:bottom w:val="single" w:color="auto" w:sz="4" w:space="0"/>
              <w:right w:val="nil"/>
            </w:tcBorders>
            <w:noWrap w:val="0"/>
            <w:vAlign w:val="center"/>
          </w:tcPr>
          <w:p>
            <w:pPr>
              <w:widowControl/>
              <w:spacing w:line="360" w:lineRule="auto"/>
              <w:rPr>
                <w:rFonts w:hint="eastAsia" w:ascii="宋体" w:hAnsi="宋体" w:cs="宋体"/>
                <w:kern w:val="0"/>
                <w:sz w:val="24"/>
              </w:rPr>
            </w:pPr>
            <w:r>
              <w:rPr>
                <w:rFonts w:hint="eastAsia" w:ascii="宋体" w:hAnsi="宋体" w:cs="宋体"/>
                <w:kern w:val="0"/>
                <w:sz w:val="24"/>
              </w:rPr>
              <w:t>注册资金</w:t>
            </w:r>
          </w:p>
        </w:tc>
        <w:tc>
          <w:tcPr>
            <w:tcW w:w="4410" w:type="dxa"/>
            <w:tcBorders>
              <w:top w:val="nil"/>
              <w:left w:val="single" w:color="auto" w:sz="8" w:space="0"/>
              <w:bottom w:val="single" w:color="auto" w:sz="4" w:space="0"/>
              <w:right w:val="single" w:color="auto" w:sz="8"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996" w:type="dxa"/>
            <w:vMerge w:val="continue"/>
            <w:tcBorders>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p>
        </w:tc>
        <w:tc>
          <w:tcPr>
            <w:tcW w:w="3388" w:type="dxa"/>
            <w:tcBorders>
              <w:top w:val="nil"/>
              <w:left w:val="nil"/>
              <w:bottom w:val="single" w:color="auto" w:sz="4" w:space="0"/>
              <w:right w:val="nil"/>
            </w:tcBorders>
            <w:noWrap w:val="0"/>
            <w:vAlign w:val="center"/>
          </w:tcPr>
          <w:p>
            <w:pPr>
              <w:widowControl/>
              <w:spacing w:line="360" w:lineRule="auto"/>
              <w:rPr>
                <w:rFonts w:hint="eastAsia" w:ascii="宋体" w:hAnsi="宋体" w:cs="宋体"/>
                <w:kern w:val="0"/>
                <w:sz w:val="24"/>
              </w:rPr>
            </w:pPr>
            <w:r>
              <w:rPr>
                <w:rFonts w:hint="eastAsia" w:ascii="宋体" w:hAnsi="宋体" w:cs="宋体"/>
                <w:kern w:val="0"/>
                <w:sz w:val="24"/>
              </w:rPr>
              <w:t>股份构成</w:t>
            </w:r>
          </w:p>
        </w:tc>
        <w:tc>
          <w:tcPr>
            <w:tcW w:w="4410" w:type="dxa"/>
            <w:tcBorders>
              <w:top w:val="nil"/>
              <w:left w:val="single" w:color="auto" w:sz="8" w:space="0"/>
              <w:bottom w:val="single" w:color="auto" w:sz="4" w:space="0"/>
              <w:right w:val="single" w:color="auto" w:sz="8"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614" w:hRule="atLeast"/>
          <w:jc w:val="center"/>
        </w:trPr>
        <w:tc>
          <w:tcPr>
            <w:tcW w:w="996" w:type="dxa"/>
            <w:vMerge w:val="continue"/>
            <w:tcBorders>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p>
        </w:tc>
        <w:tc>
          <w:tcPr>
            <w:tcW w:w="3388" w:type="dxa"/>
            <w:tcBorders>
              <w:top w:val="nil"/>
              <w:left w:val="nil"/>
              <w:bottom w:val="single" w:color="auto" w:sz="4" w:space="0"/>
              <w:right w:val="nil"/>
            </w:tcBorders>
            <w:noWrap w:val="0"/>
            <w:vAlign w:val="center"/>
          </w:tcPr>
          <w:p>
            <w:pPr>
              <w:widowControl/>
              <w:spacing w:line="360" w:lineRule="auto"/>
              <w:rPr>
                <w:rFonts w:hint="eastAsia" w:ascii="宋体" w:hAnsi="宋体" w:cs="宋体"/>
                <w:kern w:val="0"/>
                <w:sz w:val="24"/>
              </w:rPr>
            </w:pPr>
            <w:r>
              <w:rPr>
                <w:rFonts w:hint="eastAsia" w:ascii="宋体" w:hAnsi="宋体" w:cs="宋体"/>
                <w:kern w:val="0"/>
                <w:sz w:val="24"/>
              </w:rPr>
              <w:t>经营范围</w:t>
            </w:r>
          </w:p>
        </w:tc>
        <w:tc>
          <w:tcPr>
            <w:tcW w:w="4410" w:type="dxa"/>
            <w:tcBorders>
              <w:top w:val="nil"/>
              <w:left w:val="single" w:color="auto" w:sz="8" w:space="0"/>
              <w:bottom w:val="single" w:color="auto" w:sz="4" w:space="0"/>
              <w:right w:val="single" w:color="auto" w:sz="8"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608" w:hRule="atLeast"/>
          <w:jc w:val="center"/>
        </w:trPr>
        <w:tc>
          <w:tcPr>
            <w:tcW w:w="996" w:type="dxa"/>
            <w:vMerge w:val="continue"/>
            <w:tcBorders>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p>
        </w:tc>
        <w:tc>
          <w:tcPr>
            <w:tcW w:w="3388" w:type="dxa"/>
            <w:tcBorders>
              <w:top w:val="nil"/>
              <w:left w:val="nil"/>
              <w:bottom w:val="single" w:color="auto" w:sz="4" w:space="0"/>
              <w:right w:val="nil"/>
            </w:tcBorders>
            <w:noWrap w:val="0"/>
            <w:vAlign w:val="center"/>
          </w:tcPr>
          <w:p>
            <w:pPr>
              <w:widowControl/>
              <w:spacing w:line="360" w:lineRule="auto"/>
              <w:rPr>
                <w:rFonts w:hint="eastAsia" w:ascii="宋体" w:hAnsi="宋体" w:cs="宋体"/>
                <w:kern w:val="0"/>
                <w:sz w:val="24"/>
              </w:rPr>
            </w:pPr>
            <w:r>
              <w:rPr>
                <w:rFonts w:hint="eastAsia" w:ascii="宋体" w:hAnsi="宋体" w:cs="宋体"/>
                <w:kern w:val="0"/>
                <w:sz w:val="24"/>
              </w:rPr>
              <w:t>资质认证</w:t>
            </w:r>
          </w:p>
        </w:tc>
        <w:tc>
          <w:tcPr>
            <w:tcW w:w="4410" w:type="dxa"/>
            <w:tcBorders>
              <w:top w:val="nil"/>
              <w:left w:val="single" w:color="auto" w:sz="8" w:space="0"/>
              <w:bottom w:val="single" w:color="auto" w:sz="4" w:space="0"/>
              <w:right w:val="single" w:color="auto" w:sz="8"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616" w:hRule="atLeast"/>
          <w:jc w:val="center"/>
        </w:trPr>
        <w:tc>
          <w:tcPr>
            <w:tcW w:w="996" w:type="dxa"/>
            <w:vMerge w:val="continue"/>
            <w:tcBorders>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p>
        </w:tc>
        <w:tc>
          <w:tcPr>
            <w:tcW w:w="3388" w:type="dxa"/>
            <w:tcBorders>
              <w:top w:val="nil"/>
              <w:left w:val="nil"/>
              <w:bottom w:val="single" w:color="auto" w:sz="4" w:space="0"/>
              <w:right w:val="nil"/>
            </w:tcBorders>
            <w:noWrap w:val="0"/>
            <w:vAlign w:val="center"/>
          </w:tcPr>
          <w:p>
            <w:pPr>
              <w:widowControl/>
              <w:spacing w:line="360" w:lineRule="auto"/>
              <w:rPr>
                <w:rFonts w:hint="eastAsia" w:ascii="宋体" w:hAnsi="宋体" w:cs="宋体"/>
                <w:kern w:val="0"/>
                <w:sz w:val="24"/>
              </w:rPr>
            </w:pPr>
            <w:r>
              <w:rPr>
                <w:rFonts w:hint="eastAsia" w:ascii="宋体" w:hAnsi="宋体" w:cs="宋体"/>
                <w:kern w:val="0"/>
                <w:sz w:val="24"/>
              </w:rPr>
              <w:t>员工总人数及学历分布情况</w:t>
            </w:r>
          </w:p>
        </w:tc>
        <w:tc>
          <w:tcPr>
            <w:tcW w:w="4410" w:type="dxa"/>
            <w:tcBorders>
              <w:top w:val="nil"/>
              <w:left w:val="single" w:color="auto" w:sz="8" w:space="0"/>
              <w:bottom w:val="single" w:color="auto" w:sz="4" w:space="0"/>
              <w:right w:val="single" w:color="auto" w:sz="8"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764" w:hRule="atLeast"/>
          <w:jc w:val="center"/>
        </w:trPr>
        <w:tc>
          <w:tcPr>
            <w:tcW w:w="996" w:type="dxa"/>
            <w:vMerge w:val="continue"/>
            <w:tcBorders>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p>
        </w:tc>
        <w:tc>
          <w:tcPr>
            <w:tcW w:w="3388" w:type="dxa"/>
            <w:tcBorders>
              <w:top w:val="nil"/>
              <w:left w:val="nil"/>
              <w:bottom w:val="single" w:color="auto" w:sz="4" w:space="0"/>
              <w:right w:val="nil"/>
            </w:tcBorders>
            <w:noWrap w:val="0"/>
            <w:vAlign w:val="center"/>
          </w:tcPr>
          <w:p>
            <w:pPr>
              <w:widowControl/>
              <w:spacing w:line="360" w:lineRule="auto"/>
              <w:rPr>
                <w:rFonts w:hint="eastAsia" w:ascii="宋体" w:hAnsi="宋体" w:cs="宋体"/>
                <w:kern w:val="0"/>
                <w:sz w:val="24"/>
              </w:rPr>
            </w:pPr>
            <w:r>
              <w:rPr>
                <w:rFonts w:hint="eastAsia" w:ascii="宋体" w:hAnsi="宋体" w:cs="宋体"/>
                <w:kern w:val="0"/>
                <w:sz w:val="24"/>
              </w:rPr>
              <w:t>人员分布情况</w:t>
            </w:r>
          </w:p>
        </w:tc>
        <w:tc>
          <w:tcPr>
            <w:tcW w:w="4410" w:type="dxa"/>
            <w:tcBorders>
              <w:top w:val="nil"/>
              <w:left w:val="single" w:color="auto" w:sz="8" w:space="0"/>
              <w:bottom w:val="single" w:color="auto" w:sz="4" w:space="0"/>
              <w:right w:val="single" w:color="auto" w:sz="8"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772" w:hRule="atLeast"/>
          <w:jc w:val="center"/>
        </w:trPr>
        <w:tc>
          <w:tcPr>
            <w:tcW w:w="996" w:type="dxa"/>
            <w:vMerge w:val="continue"/>
            <w:tcBorders>
              <w:left w:val="single" w:color="auto" w:sz="8" w:space="0"/>
              <w:bottom w:val="single" w:color="000000"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p>
        </w:tc>
        <w:tc>
          <w:tcPr>
            <w:tcW w:w="3388"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kern w:val="0"/>
                <w:sz w:val="24"/>
              </w:rPr>
            </w:pPr>
            <w:r>
              <w:rPr>
                <w:rFonts w:hint="eastAsia" w:ascii="宋体" w:hAnsi="宋体" w:cs="宋体"/>
                <w:kern w:val="0"/>
                <w:sz w:val="24"/>
              </w:rPr>
              <w:t>最近三年业绩简介</w:t>
            </w:r>
          </w:p>
        </w:tc>
        <w:tc>
          <w:tcPr>
            <w:tcW w:w="44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p>
        </w:tc>
      </w:tr>
      <w:tr>
        <w:tblPrEx>
          <w:tblCellMar>
            <w:top w:w="0" w:type="dxa"/>
            <w:left w:w="108" w:type="dxa"/>
            <w:bottom w:w="0" w:type="dxa"/>
            <w:right w:w="108" w:type="dxa"/>
          </w:tblCellMar>
        </w:tblPrEx>
        <w:trPr>
          <w:trHeight w:val="700" w:hRule="atLeast"/>
          <w:jc w:val="center"/>
        </w:trPr>
        <w:tc>
          <w:tcPr>
            <w:tcW w:w="996" w:type="dxa"/>
            <w:vMerge w:val="restart"/>
            <w:tcBorders>
              <w:top w:val="nil"/>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近</w:t>
            </w:r>
          </w:p>
          <w:p>
            <w:pPr>
              <w:widowControl/>
              <w:spacing w:line="360" w:lineRule="auto"/>
              <w:jc w:val="center"/>
              <w:rPr>
                <w:rFonts w:hint="eastAsia" w:ascii="宋体" w:hAnsi="宋体" w:cs="宋体"/>
                <w:b/>
                <w:bCs/>
                <w:kern w:val="0"/>
                <w:sz w:val="24"/>
              </w:rPr>
            </w:pPr>
            <w:r>
              <w:rPr>
                <w:rFonts w:hint="eastAsia" w:ascii="宋体" w:hAnsi="宋体" w:cs="宋体"/>
                <w:b/>
                <w:bCs/>
                <w:kern w:val="0"/>
                <w:sz w:val="24"/>
              </w:rPr>
              <w:t>3年的    经营情况</w:t>
            </w:r>
          </w:p>
        </w:tc>
        <w:tc>
          <w:tcPr>
            <w:tcW w:w="338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Cs/>
                <w:kern w:val="0"/>
                <w:sz w:val="24"/>
              </w:rPr>
            </w:pPr>
            <w:r>
              <w:rPr>
                <w:rFonts w:hint="eastAsia" w:ascii="宋体" w:hAnsi="宋体" w:cs="宋体"/>
                <w:bCs/>
                <w:kern w:val="0"/>
                <w:sz w:val="24"/>
              </w:rPr>
              <w:t>202</w:t>
            </w:r>
            <w:r>
              <w:rPr>
                <w:rFonts w:hint="eastAsia" w:ascii="宋体" w:hAnsi="宋体" w:cs="宋体"/>
                <w:bCs/>
                <w:kern w:val="0"/>
                <w:sz w:val="24"/>
                <w:lang w:val="en-US" w:eastAsia="zh-CN"/>
              </w:rPr>
              <w:t>3</w:t>
            </w:r>
            <w:r>
              <w:rPr>
                <w:rFonts w:hint="eastAsia" w:ascii="宋体" w:hAnsi="宋体" w:cs="宋体"/>
                <w:bCs/>
                <w:kern w:val="0"/>
                <w:sz w:val="24"/>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p>
          <w:p>
            <w:pPr>
              <w:widowControl/>
              <w:spacing w:line="360" w:lineRule="auto"/>
              <w:rPr>
                <w:rFonts w:hint="eastAsia" w:ascii="宋体" w:hAnsi="宋体" w:cs="宋体"/>
                <w:kern w:val="0"/>
                <w:szCs w:val="21"/>
              </w:rPr>
            </w:pPr>
          </w:p>
        </w:tc>
      </w:tr>
      <w:tr>
        <w:tblPrEx>
          <w:tblCellMar>
            <w:top w:w="0" w:type="dxa"/>
            <w:left w:w="108" w:type="dxa"/>
            <w:bottom w:w="0" w:type="dxa"/>
            <w:right w:w="108" w:type="dxa"/>
          </w:tblCellMar>
        </w:tblPrEx>
        <w:trPr>
          <w:trHeight w:val="870" w:hRule="atLeast"/>
          <w:jc w:val="center"/>
        </w:trPr>
        <w:tc>
          <w:tcPr>
            <w:tcW w:w="996" w:type="dxa"/>
            <w:vMerge w:val="continue"/>
            <w:tcBorders>
              <w:left w:val="single" w:color="auto" w:sz="8"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338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Cs/>
                <w:kern w:val="0"/>
                <w:sz w:val="24"/>
              </w:rPr>
            </w:pPr>
            <w:r>
              <w:rPr>
                <w:rFonts w:hint="eastAsia" w:ascii="宋体" w:hAnsi="宋体" w:cs="宋体"/>
                <w:bCs/>
                <w:kern w:val="0"/>
                <w:sz w:val="24"/>
              </w:rPr>
              <w:t>202</w:t>
            </w:r>
            <w:r>
              <w:rPr>
                <w:rFonts w:hint="eastAsia" w:ascii="宋体" w:hAnsi="宋体" w:cs="宋体"/>
                <w:bCs/>
                <w:kern w:val="0"/>
                <w:sz w:val="24"/>
                <w:lang w:val="en-US" w:eastAsia="zh-CN"/>
              </w:rPr>
              <w:t>2</w:t>
            </w:r>
            <w:r>
              <w:rPr>
                <w:rFonts w:hint="eastAsia" w:ascii="宋体" w:hAnsi="宋体" w:cs="宋体"/>
                <w:bCs/>
                <w:kern w:val="0"/>
                <w:sz w:val="24"/>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kern w:val="0"/>
                <w:szCs w:val="21"/>
              </w:rPr>
            </w:pPr>
          </w:p>
        </w:tc>
      </w:tr>
      <w:tr>
        <w:tblPrEx>
          <w:tblCellMar>
            <w:top w:w="0" w:type="dxa"/>
            <w:left w:w="108" w:type="dxa"/>
            <w:bottom w:w="0" w:type="dxa"/>
            <w:right w:w="108" w:type="dxa"/>
          </w:tblCellMar>
        </w:tblPrEx>
        <w:trPr>
          <w:trHeight w:val="764" w:hRule="atLeast"/>
          <w:jc w:val="center"/>
        </w:trPr>
        <w:tc>
          <w:tcPr>
            <w:tcW w:w="996" w:type="dxa"/>
            <w:vMerge w:val="continue"/>
            <w:tcBorders>
              <w:left w:val="single" w:color="auto" w:sz="8" w:space="0"/>
              <w:bottom w:val="single" w:color="000000" w:sz="8"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338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Cs/>
                <w:kern w:val="0"/>
                <w:sz w:val="24"/>
              </w:rPr>
            </w:pPr>
            <w:r>
              <w:rPr>
                <w:rFonts w:hint="eastAsia" w:ascii="宋体" w:hAnsi="宋体" w:cs="宋体"/>
                <w:bCs/>
                <w:kern w:val="0"/>
                <w:sz w:val="24"/>
              </w:rPr>
              <w:t>20</w:t>
            </w:r>
            <w:r>
              <w:rPr>
                <w:rFonts w:hint="eastAsia" w:ascii="宋体" w:hAnsi="宋体" w:cs="宋体"/>
                <w:bCs/>
                <w:kern w:val="0"/>
                <w:sz w:val="24"/>
                <w:lang w:val="en-US" w:eastAsia="zh-CN"/>
              </w:rPr>
              <w:t>21</w:t>
            </w:r>
            <w:r>
              <w:rPr>
                <w:rFonts w:hint="eastAsia" w:ascii="宋体" w:hAnsi="宋体" w:cs="宋体"/>
                <w:bCs/>
                <w:kern w:val="0"/>
                <w:sz w:val="24"/>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kern w:val="0"/>
                <w:szCs w:val="21"/>
              </w:rPr>
            </w:pPr>
          </w:p>
        </w:tc>
      </w:tr>
    </w:tbl>
    <w:p>
      <w:pPr>
        <w:spacing w:line="360" w:lineRule="auto"/>
        <w:rPr>
          <w:rFonts w:hint="eastAsia" w:ascii="宋体" w:hAnsi="宋体" w:cs="宋体"/>
          <w:sz w:val="24"/>
          <w:szCs w:val="22"/>
        </w:rPr>
      </w:pPr>
      <w:r>
        <w:rPr>
          <w:rFonts w:hint="eastAsia" w:ascii="宋体" w:hAnsi="宋体" w:cs="宋体"/>
        </w:rPr>
        <w:br w:type="page"/>
      </w:r>
      <w:r>
        <w:rPr>
          <w:rStyle w:val="84"/>
          <w:rFonts w:hint="eastAsia" w:hAnsi="宋体" w:cs="宋体"/>
        </w:rPr>
        <w:t>磋商保证金证明材料（加盖单位公章）</w:t>
      </w:r>
    </w:p>
    <w:p>
      <w:pPr>
        <w:pStyle w:val="7"/>
        <w:spacing w:before="0" w:after="0" w:line="480" w:lineRule="auto"/>
        <w:rPr>
          <w:rFonts w:hint="eastAsia" w:hAnsi="宋体" w:cs="宋体"/>
          <w:szCs w:val="24"/>
        </w:rPr>
      </w:pPr>
    </w:p>
    <w:p>
      <w:pPr>
        <w:spacing w:line="360" w:lineRule="auto"/>
        <w:rPr>
          <w:rFonts w:hint="eastAsia" w:ascii="宋体" w:hAnsi="宋体" w:cs="宋体"/>
          <w:kern w:val="0"/>
          <w:sz w:val="24"/>
        </w:rPr>
      </w:pPr>
      <w:r>
        <w:rPr>
          <w:rFonts w:hint="eastAsia" w:ascii="宋体" w:hAnsi="宋体" w:cs="宋体"/>
          <w:sz w:val="24"/>
          <w:szCs w:val="22"/>
        </w:rPr>
        <w:br w:type="page"/>
      </w:r>
      <w:r>
        <w:rPr>
          <w:rStyle w:val="84"/>
          <w:rFonts w:hint="eastAsia" w:hAnsi="宋体" w:cs="宋体"/>
        </w:rPr>
        <w:t>信用查询</w:t>
      </w:r>
    </w:p>
    <w:p>
      <w:pPr>
        <w:spacing w:line="360" w:lineRule="auto"/>
        <w:ind w:firstLine="482" w:firstLineChars="200"/>
        <w:rPr>
          <w:rFonts w:hint="eastAsia" w:ascii="宋体" w:hAnsi="宋体" w:cs="宋体"/>
          <w:b/>
          <w:sz w:val="24"/>
        </w:rPr>
      </w:pPr>
      <w:r>
        <w:rPr>
          <w:rFonts w:hint="eastAsia" w:ascii="宋体" w:hAnsi="宋体" w:cs="宋体"/>
          <w:b/>
          <w:sz w:val="24"/>
        </w:rPr>
        <w:t>通过“信用中国”网站（www.creditchina.gov.cn）和中国政府采购网（www.ccgp.gov.cn）查询信用记录（截止时间点为提交首次响应文件截止之日），（截图复印件加盖供应商公章）被列入失信被执行人、重大税收违法案件当事人名单或政府采购严重违法失信行为记录名单的供应商，没有资格参加本项目的采购活动</w:t>
      </w:r>
    </w:p>
    <w:p>
      <w:pPr>
        <w:spacing w:line="360" w:lineRule="auto"/>
        <w:rPr>
          <w:rFonts w:hint="eastAsia" w:ascii="宋体" w:hAnsi="宋体" w:cs="宋体"/>
          <w:sz w:val="24"/>
          <w:u w:val="single"/>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5280" w:firstLineChars="2200"/>
        <w:rPr>
          <w:rFonts w:hint="eastAsia" w:ascii="宋体" w:hAnsi="宋体" w:cs="宋体"/>
          <w:sz w:val="24"/>
        </w:rPr>
      </w:pPr>
    </w:p>
    <w:p>
      <w:pPr>
        <w:spacing w:line="360" w:lineRule="auto"/>
        <w:ind w:firstLine="6385" w:firstLineChars="2650"/>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说明：</w:t>
      </w:r>
    </w:p>
    <w:p>
      <w:pPr>
        <w:spacing w:line="360" w:lineRule="auto"/>
        <w:ind w:firstLine="480" w:firstLineChars="20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信用信息查询渠道：信用中国网站（www.creditchina.gov.cn）和中国政府采购网-政府采购严重违法失信行为信息记录（www.ccgp.gov.cn/cr/list）；</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2、信用信息查询截止时点：同响应截止时间（文件提交截止时间）；</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3、信用信息查询记录和证据留存的具体方式：网站查询截图打印稿形式与其他采购文件一并保存；</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sz w:val="24"/>
        </w:rPr>
        <w:t>4、信用信息的使用规则：对列入失信被执行人、重大税收违法案件当事人名单、政府采购严重违法失信行为记录名单及其他不符合《中华人民共和国政府采购法》第二十</w:t>
      </w:r>
      <w:r>
        <w:rPr>
          <w:rFonts w:hint="eastAsia" w:ascii="宋体" w:hAnsi="宋体" w:eastAsia="宋体" w:cs="宋体"/>
          <w:kern w:val="0"/>
          <w:sz w:val="24"/>
        </w:rPr>
        <w:t>二条规定条件的供应商，将拒绝其磋商；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r>
        <w:rPr>
          <w:rFonts w:hint="eastAsia" w:ascii="宋体" w:hAnsi="宋体" w:eastAsia="宋体" w:cs="宋体"/>
          <w:kern w:val="0"/>
          <w:sz w:val="24"/>
          <w:lang w:eastAsia="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5、最终评定结果以采购代理机构开启现场查询为准；</w:t>
      </w:r>
    </w:p>
    <w:p>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6、个体工商户或自然人无需提供信用中国网站查询截图。</w:t>
      </w:r>
    </w:p>
    <w:p>
      <w:pPr>
        <w:spacing w:line="360" w:lineRule="auto"/>
        <w:jc w:val="left"/>
        <w:rPr>
          <w:rFonts w:hint="eastAsia"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信用中国网站（</w:t>
      </w:r>
      <w:r>
        <w:rPr>
          <w:rFonts w:hint="eastAsia" w:ascii="宋体" w:hAnsi="宋体" w:cs="宋体"/>
          <w:kern w:val="0"/>
          <w:sz w:val="24"/>
        </w:rPr>
        <w:t>www.creditchina.gov.cn</w:t>
      </w:r>
      <w:r>
        <w:rPr>
          <w:rFonts w:hint="eastAsia" w:ascii="宋体" w:hAnsi="宋体" w:cs="宋体"/>
          <w:b/>
          <w:kern w:val="0"/>
          <w:sz w:val="24"/>
        </w:rPr>
        <w:t>）查询截图（加盖公章）；</w:t>
      </w: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b/>
          <w:kern w:val="0"/>
          <w:sz w:val="24"/>
        </w:rPr>
      </w:pPr>
    </w:p>
    <w:p>
      <w:pPr>
        <w:spacing w:line="360" w:lineRule="auto"/>
        <w:jc w:val="left"/>
        <w:rPr>
          <w:rFonts w:hint="eastAsia" w:ascii="宋体" w:hAnsi="宋体" w:cs="宋体"/>
          <w:kern w:val="0"/>
        </w:rPr>
      </w:pPr>
      <w:r>
        <w:rPr>
          <w:rFonts w:hint="eastAsia" w:ascii="宋体" w:hAnsi="宋体" w:cs="宋体"/>
          <w:b/>
          <w:kern w:val="0"/>
          <w:sz w:val="24"/>
        </w:rPr>
        <w:t>中国政府采购网-政府采购严重违法失信行为信息记录（www.ccgp.gov.cn/cr/list）查询截图（加盖公章）。</w:t>
      </w: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7"/>
        <w:spacing w:before="0" w:after="0" w:line="480" w:lineRule="auto"/>
        <w:rPr>
          <w:rFonts w:hint="eastAsia" w:hAnsi="宋体" w:cs="宋体"/>
          <w:szCs w:val="24"/>
        </w:rPr>
      </w:pPr>
    </w:p>
    <w:p>
      <w:pPr>
        <w:pStyle w:val="21"/>
        <w:rPr>
          <w:rFonts w:hint="eastAsia" w:cs="宋体"/>
        </w:rPr>
      </w:pPr>
    </w:p>
    <w:p>
      <w:pPr>
        <w:pStyle w:val="5"/>
        <w:jc w:val="left"/>
        <w:rPr>
          <w:rFonts w:hint="eastAsia" w:hAnsi="宋体" w:cs="宋体"/>
        </w:rPr>
      </w:pPr>
      <w:r>
        <w:rPr>
          <w:rFonts w:hint="eastAsia" w:hAnsi="宋体" w:cs="宋体"/>
        </w:rPr>
        <w:t>响应承诺函</w:t>
      </w:r>
    </w:p>
    <w:p>
      <w:pPr>
        <w:spacing w:line="360" w:lineRule="auto"/>
        <w:rPr>
          <w:rFonts w:hint="eastAsia" w:ascii="宋体" w:hAnsi="宋体" w:cs="宋体"/>
          <w:b/>
          <w:sz w:val="24"/>
        </w:rPr>
      </w:pPr>
      <w:r>
        <w:rPr>
          <w:rFonts w:hint="eastAsia" w:ascii="宋体" w:hAnsi="宋体" w:cs="宋体"/>
          <w:sz w:val="24"/>
        </w:rPr>
        <w:t>致：</w:t>
      </w:r>
      <w:r>
        <w:rPr>
          <w:rFonts w:hint="eastAsia" w:ascii="宋体" w:hAnsi="宋体" w:cs="宋体"/>
          <w:sz w:val="24"/>
          <w:u w:val="single"/>
        </w:rPr>
        <w:t>新疆榕泰项目管理咨询有限公司</w:t>
      </w:r>
    </w:p>
    <w:p>
      <w:pPr>
        <w:spacing w:line="360" w:lineRule="auto"/>
        <w:ind w:firstLine="480" w:firstLineChars="200"/>
        <w:rPr>
          <w:rFonts w:hint="eastAsia" w:ascii="宋体" w:hAnsi="宋体" w:cs="宋体"/>
          <w:sz w:val="24"/>
        </w:rPr>
      </w:pPr>
      <w:r>
        <w:rPr>
          <w:rFonts w:hint="eastAsia" w:ascii="宋体" w:hAnsi="宋体" w:cs="宋体"/>
          <w:sz w:val="24"/>
        </w:rPr>
        <w:t>我方郑重承诺：</w:t>
      </w:r>
    </w:p>
    <w:p>
      <w:pPr>
        <w:spacing w:line="360" w:lineRule="auto"/>
        <w:ind w:firstLine="480" w:firstLineChars="200"/>
        <w:rPr>
          <w:rFonts w:hint="eastAsia" w:ascii="宋体" w:hAnsi="宋体" w:cs="宋体"/>
          <w:sz w:val="24"/>
        </w:rPr>
      </w:pPr>
      <w:r>
        <w:rPr>
          <w:rFonts w:hint="eastAsia" w:ascii="宋体" w:hAnsi="宋体" w:cs="宋体"/>
          <w:sz w:val="24"/>
        </w:rPr>
        <w:t>1.我方</w:t>
      </w:r>
      <w:r>
        <w:rPr>
          <w:rFonts w:hint="eastAsia" w:ascii="宋体" w:hAnsi="宋体" w:cs="宋体"/>
          <w:sz w:val="24"/>
          <w:u w:val="single"/>
        </w:rPr>
        <w:t>（以/不以）</w:t>
      </w:r>
      <w:r>
        <w:rPr>
          <w:rFonts w:hint="eastAsia" w:ascii="宋体" w:hAnsi="宋体" w:cs="宋体"/>
          <w:sz w:val="24"/>
        </w:rPr>
        <w:t>联合体方式参与磋商。</w:t>
      </w:r>
    </w:p>
    <w:p>
      <w:pPr>
        <w:spacing w:line="360" w:lineRule="auto"/>
        <w:ind w:firstLine="480" w:firstLineChars="200"/>
        <w:rPr>
          <w:rFonts w:hint="eastAsia" w:ascii="宋体" w:hAnsi="宋体" w:cs="宋体"/>
          <w:sz w:val="24"/>
        </w:rPr>
      </w:pPr>
      <w:r>
        <w:rPr>
          <w:rFonts w:hint="eastAsia" w:ascii="宋体" w:hAnsi="宋体" w:cs="宋体"/>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hint="eastAsia" w:ascii="宋体" w:hAnsi="宋体" w:cs="宋体"/>
          <w:sz w:val="24"/>
          <w:u w:val="single"/>
        </w:rPr>
        <w:t>（业主单位名称）</w:t>
      </w:r>
      <w:r>
        <w:rPr>
          <w:rFonts w:hint="eastAsia" w:ascii="宋体" w:hAnsi="宋体" w:cs="宋体"/>
          <w:sz w:val="24"/>
        </w:rPr>
        <w:t>政府采购活动的处理，并承担由此带来的一切法律后果。</w:t>
      </w:r>
    </w:p>
    <w:p>
      <w:pPr>
        <w:pStyle w:val="21"/>
        <w:spacing w:line="360" w:lineRule="auto"/>
        <w:rPr>
          <w:rFonts w:hint="eastAsia" w:cs="宋体"/>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jc w:val="right"/>
        <w:rPr>
          <w:rFonts w:hint="eastAsia" w:ascii="宋体" w:hAnsi="宋体" w:cs="宋体"/>
          <w:sz w:val="24"/>
        </w:rPr>
      </w:pPr>
      <w:r>
        <w:rPr>
          <w:rFonts w:hint="eastAsia" w:ascii="宋体" w:hAnsi="宋体" w:cs="宋体"/>
          <w:sz w:val="24"/>
        </w:rPr>
        <w:t>供应商名称(盖章)：</w:t>
      </w:r>
    </w:p>
    <w:p>
      <w:pPr>
        <w:pStyle w:val="21"/>
        <w:spacing w:line="360" w:lineRule="auto"/>
        <w:rPr>
          <w:rFonts w:hint="eastAsia" w:cs="宋体"/>
        </w:rPr>
      </w:pPr>
    </w:p>
    <w:p>
      <w:pPr>
        <w:spacing w:line="360" w:lineRule="auto"/>
        <w:jc w:val="right"/>
        <w:rPr>
          <w:rFonts w:hint="eastAsia" w:ascii="宋体" w:hAnsi="宋体" w:cs="宋体"/>
          <w:sz w:val="24"/>
        </w:rPr>
      </w:pPr>
      <w:r>
        <w:rPr>
          <w:rFonts w:hint="eastAsia" w:ascii="宋体" w:hAnsi="宋体" w:cs="宋体"/>
          <w:sz w:val="24"/>
        </w:rPr>
        <w:t>供应商授权代表</w:t>
      </w:r>
      <w:r>
        <w:rPr>
          <w:rFonts w:hint="eastAsia" w:ascii="宋体" w:hAnsi="宋体" w:cs="宋体"/>
          <w:sz w:val="24"/>
          <w:shd w:val="clear" w:color="auto" w:fill="FFFFFF"/>
        </w:rPr>
        <w:t>签字或盖章</w:t>
      </w:r>
      <w:r>
        <w:rPr>
          <w:rFonts w:hint="eastAsia" w:ascii="宋体" w:hAnsi="宋体" w:cs="宋体"/>
          <w:sz w:val="24"/>
        </w:rPr>
        <w:t>：</w:t>
      </w:r>
    </w:p>
    <w:p>
      <w:pPr>
        <w:spacing w:line="360" w:lineRule="auto"/>
        <w:jc w:val="center"/>
        <w:rPr>
          <w:rFonts w:hint="eastAsia" w:ascii="宋体" w:hAnsi="宋体" w:cs="宋体"/>
          <w:sz w:val="24"/>
        </w:rPr>
      </w:pPr>
      <w:r>
        <w:rPr>
          <w:rFonts w:hint="eastAsia" w:ascii="宋体" w:hAnsi="宋体" w:cs="宋体"/>
          <w:sz w:val="24"/>
        </w:rPr>
        <w:t xml:space="preserve">                                                             </w:t>
      </w:r>
    </w:p>
    <w:p>
      <w:pPr>
        <w:spacing w:line="360" w:lineRule="auto"/>
        <w:jc w:val="center"/>
        <w:rPr>
          <w:rFonts w:hint="eastAsia" w:ascii="宋体" w:hAnsi="宋体" w:cs="宋体"/>
          <w:sz w:val="36"/>
          <w:szCs w:val="36"/>
        </w:rPr>
      </w:pPr>
      <w:r>
        <w:rPr>
          <w:rFonts w:hint="eastAsia" w:ascii="宋体" w:hAnsi="宋体" w:cs="宋体"/>
          <w:sz w:val="24"/>
        </w:rPr>
        <w:t xml:space="preserve">                                                                     日期：</w:t>
      </w:r>
    </w:p>
    <w:p>
      <w:pPr>
        <w:pStyle w:val="7"/>
        <w:spacing w:before="0" w:after="0" w:line="480" w:lineRule="auto"/>
        <w:rPr>
          <w:rFonts w:hint="eastAsia" w:hAnsi="宋体" w:cs="宋体"/>
          <w:sz w:val="36"/>
          <w:szCs w:val="36"/>
        </w:rPr>
      </w:pPr>
    </w:p>
    <w:p>
      <w:pPr>
        <w:pStyle w:val="7"/>
        <w:spacing w:before="0" w:after="0" w:line="480" w:lineRule="auto"/>
        <w:rPr>
          <w:rFonts w:hint="eastAsia" w:hAnsi="宋体" w:cs="宋体"/>
          <w:sz w:val="36"/>
          <w:szCs w:val="36"/>
        </w:rPr>
      </w:pPr>
    </w:p>
    <w:p>
      <w:pPr>
        <w:pStyle w:val="7"/>
        <w:spacing w:before="0" w:after="0" w:line="480" w:lineRule="auto"/>
        <w:rPr>
          <w:rFonts w:hint="eastAsia" w:hAnsi="宋体" w:cs="宋体"/>
          <w:sz w:val="36"/>
          <w:szCs w:val="36"/>
        </w:rPr>
      </w:pPr>
    </w:p>
    <w:p>
      <w:pPr>
        <w:pStyle w:val="7"/>
        <w:spacing w:before="0" w:after="0" w:line="480" w:lineRule="auto"/>
        <w:rPr>
          <w:rFonts w:hint="eastAsia" w:hAnsi="宋体" w:cs="宋体"/>
          <w:sz w:val="36"/>
          <w:szCs w:val="36"/>
        </w:rPr>
      </w:pPr>
    </w:p>
    <w:p>
      <w:pPr>
        <w:pStyle w:val="21"/>
        <w:rPr>
          <w:rFonts w:hint="eastAsia" w:cs="宋体"/>
        </w:rPr>
      </w:pPr>
    </w:p>
    <w:p>
      <w:pPr>
        <w:pStyle w:val="37"/>
        <w:ind w:left="0" w:firstLine="0"/>
        <w:rPr>
          <w:rFonts w:hint="eastAsia" w:hAnsi="宋体" w:cs="宋体"/>
        </w:rPr>
      </w:pPr>
    </w:p>
    <w:p>
      <w:pPr>
        <w:pStyle w:val="43"/>
        <w:jc w:val="left"/>
        <w:rPr>
          <w:rFonts w:hint="eastAsia" w:ascii="宋体" w:hAnsi="宋体" w:cs="宋体"/>
        </w:rPr>
      </w:pPr>
      <w:r>
        <w:rPr>
          <w:rFonts w:hint="eastAsia" w:ascii="宋体" w:hAnsi="宋体" w:cs="宋体"/>
        </w:rPr>
        <w:t>供应商认为有必要提供的其它文件</w:t>
      </w:r>
    </w:p>
    <w:p>
      <w:pPr>
        <w:pStyle w:val="37"/>
        <w:rPr>
          <w:rFonts w:hint="eastAsia" w:hAnsi="宋体" w:cs="宋体"/>
        </w:rPr>
      </w:pPr>
    </w:p>
    <w:p>
      <w:pPr>
        <w:pStyle w:val="37"/>
        <w:rPr>
          <w:rFonts w:hint="eastAsia" w:hAnsi="宋体" w:cs="宋体"/>
        </w:rPr>
      </w:pPr>
    </w:p>
    <w:p>
      <w:pPr>
        <w:pStyle w:val="37"/>
        <w:rPr>
          <w:rFonts w:hint="eastAsia" w:hAnsi="宋体" w:cs="宋体"/>
        </w:rPr>
      </w:pPr>
    </w:p>
    <w:p>
      <w:pPr>
        <w:pStyle w:val="37"/>
        <w:rPr>
          <w:rFonts w:hint="eastAsia" w:hAnsi="宋体" w:cs="宋体"/>
        </w:rPr>
      </w:pPr>
    </w:p>
    <w:p>
      <w:pPr>
        <w:pStyle w:val="37"/>
        <w:rPr>
          <w:rFonts w:hint="eastAsia" w:hAnsi="宋体" w:cs="宋体"/>
        </w:rPr>
      </w:pPr>
    </w:p>
    <w:p>
      <w:pPr>
        <w:pStyle w:val="37"/>
        <w:rPr>
          <w:rFonts w:hint="eastAsia" w:hAnsi="宋体" w:cs="宋体"/>
        </w:rPr>
      </w:pPr>
    </w:p>
    <w:p>
      <w:pPr>
        <w:pStyle w:val="37"/>
        <w:rPr>
          <w:rFonts w:hint="eastAsia" w:hAnsi="宋体" w:cs="宋体"/>
        </w:rPr>
      </w:pPr>
    </w:p>
    <w:p>
      <w:pPr>
        <w:pStyle w:val="37"/>
        <w:rPr>
          <w:rFonts w:hint="eastAsia" w:hAnsi="宋体" w:cs="宋体"/>
        </w:rPr>
      </w:pPr>
    </w:p>
    <w:p>
      <w:pPr>
        <w:pStyle w:val="37"/>
        <w:rPr>
          <w:rFonts w:hint="eastAsia" w:hAnsi="宋体" w:cs="宋体"/>
        </w:rPr>
      </w:pPr>
    </w:p>
    <w:p>
      <w:pPr>
        <w:pStyle w:val="37"/>
        <w:ind w:left="0" w:firstLine="0"/>
        <w:rPr>
          <w:rFonts w:hint="eastAsia" w:hAnsi="宋体" w:cs="宋体"/>
        </w:rPr>
      </w:pPr>
    </w:p>
    <w:p>
      <w:pPr>
        <w:pStyle w:val="37"/>
        <w:ind w:left="0" w:firstLine="0"/>
        <w:jc w:val="center"/>
        <w:rPr>
          <w:rFonts w:hint="eastAsia" w:hAnsi="宋体" w:cs="宋体"/>
          <w:b/>
          <w:bCs/>
          <w:sz w:val="36"/>
          <w:szCs w:val="24"/>
        </w:rPr>
      </w:pPr>
      <w:r>
        <w:rPr>
          <w:rFonts w:hint="eastAsia" w:hAnsi="宋体" w:cs="宋体"/>
          <w:b/>
          <w:bCs/>
          <w:sz w:val="36"/>
          <w:szCs w:val="24"/>
        </w:rPr>
        <w:t>（格式自拟）</w:t>
      </w: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Helvetica">
    <w:altName w:val="Arial"/>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0zdssBAACcAwAADgAAAGRycy9lMm9Eb2MueG1srVNLjtswDN0XmDsI&#10;2k/kBEE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Lqii4psdzgwM+/f53//Dv//Unm&#10;xXKZFOo8lJh47zE19h9cj3sz+QGdiXjfBJO+SIlgHPU9XfSVfSQiPVotVqsCQwJj0wXx2cNzHyB+&#10;lM6QZFQ04ACzrvz4GeKQOqWkatbdKa3zELV94kDM5GGp96HHZMV+14+Edq4+IZ8OZ19Ri6tOif5k&#10;Udq0JpMRJmM3GQcf1L7Ne5Tqgb89RGwi95YqDLBjYRxaZjcuWNqKx/ec9fBTb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T9M3bLAQAAnAMAAA4AAAAAAAAAAQAgAAAAHgEAAGRycy9lMm9E&#10;b2MueG1sUEsFBgAAAAAGAAYAWQEAAFs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vCowMsBAACcAwAADgAAAGRycy9lMm9Eb2MueG1srVPNjtMwEL4j8Q6W&#10;79Rpx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7wqMDLAQAAnAMAAA4AAAAAAAAAAQAgAAAAHgEAAGRycy9lMm9E&#10;b2MueG1sUEsFBgAAAAAGAAYAWQEAAFs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84"/>
      <w:rPr>
        <w:rFonts w:hint="eastAsia" w:ascii="Calibri" w:hAnsi="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B0wMsBAACcAwAADgAAAGRycy9lMm9Eb2MueG1srVNLjtswDN0X6B0E&#10;7SdygkE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eUWG5w4Offv85//p3//iTz&#10;4nqZFOo8lJh47zE19h9cj3sz+QGdiXjfBJO+SIlgHPU9XfSVfSQiPVotVqsCQwJj0wXx2cNzHyB+&#10;lM6QZFQ04ACzrvz4GeKQOqWkatbdKa3zELV94kDM5GGp96HHZMV+14+Edq4+IZ8OZ19Ri6tOif5k&#10;Udq0JpMRJmM3GQcf1L7Ne5Tqgb89RGwi95YqDLBjYRxaZjcuWNqKx/ec9fBTb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HgdMDLAQAAnAMAAA4AAAAAAAAAAQAgAAAAHgEAAGRycy9lMm9E&#10;b2MueG1sUEsFBgAAAAAGAAYAWQEAAFs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3047365</wp:posOffset>
              </wp:positionH>
              <wp:positionV relativeFrom="paragraph">
                <wp:posOffset>-252095</wp:posOffset>
              </wp:positionV>
              <wp:extent cx="140970" cy="21272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0970" cy="212725"/>
                      </a:xfrm>
                      <a:prstGeom prst="rect">
                        <a:avLst/>
                      </a:prstGeom>
                      <a:noFill/>
                      <a:ln>
                        <a:noFill/>
                      </a:ln>
                    </wps:spPr>
                    <wps:txbx>
                      <w:txbxContent>
                        <w:p>
                          <w:pPr>
                            <w:pStyle w:val="31"/>
                            <w:rPr>
                              <w:rFonts w:hint="eastAsia"/>
                              <w:sz w:val="21"/>
                              <w:szCs w:val="22"/>
                            </w:rPr>
                          </w:pPr>
                        </w:p>
                      </w:txbxContent>
                    </wps:txbx>
                    <wps:bodyPr wrap="square" lIns="0" tIns="0" rIns="0" bIns="0" upright="0"/>
                  </wps:wsp>
                </a:graphicData>
              </a:graphic>
            </wp:anchor>
          </w:drawing>
        </mc:Choice>
        <mc:Fallback>
          <w:pict>
            <v:shape id="文本框 1026" o:spid="_x0000_s1026" o:spt="202" type="#_x0000_t202" style="position:absolute;left:0pt;margin-left:239.95pt;margin-top:-19.85pt;height:16.75pt;width:11.1pt;mso-position-horizontal-relative:margin;z-index:251662336;mso-width-relative:page;mso-height-relative:page;" filled="f" stroked="f" coordsize="21600,21600" o:gfxdata="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Jh8xNoAAAAKAQAADwAAAAAAAAABACAAAAAiAAAAZHJzL2Rv&#10;d25yZXYueG1sUEsBAhQAFAAAAAgAh07iQMMEhZDGAQAAggMAAA4AAAAAAAAAAQAgAAAAKQEAAGRy&#10;cy9lMm9Eb2MueG1sUEsFBgAAAAAGAAYAWQEAAGEFAAAAAA==&#10;">
              <v:fill on="f" focussize="0,0"/>
              <v:stroke on="f"/>
              <v:imagedata o:title=""/>
              <o:lock v:ext="edit" aspectratio="f"/>
              <v:textbox inset="0mm,0mm,0mm,0mm">
                <w:txbxContent>
                  <w:p>
                    <w:pPr>
                      <w:pStyle w:val="31"/>
                      <w:rPr>
                        <w:rFonts w:hint="eastAsia"/>
                        <w:sz w:val="21"/>
                        <w:szCs w:val="22"/>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w:pict>
        <v:shape id="PowerPlusWaterMarkObject68620" o:spid="_x0000_s1056" o:spt="136" type="#_x0000_t136" style="position:absolute;left:0pt;height:40.25pt;width:724.7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26214f" focussize="0,0"/>
          <v:stroke on="f"/>
          <v:imagedata o:title=""/>
          <o:lock v:ext="edit" aspectratio="t"/>
          <v:textpath on="t" fitshape="t" fitpath="t" trim="t" xscale="f" string="新 疆 榕 泰 项 目 管 理 咨 询 有 限 公 司" style="font-family:楷体;font-size:40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sz w:val="18"/>
      </w:rPr>
      <w:pict>
        <v:shape id="_x0000_s1057" o:spid="_x0000_s1057" o:spt="136" type="#_x0000_t136" style="position:absolute;left:0pt;height:40.25pt;width:724.7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26214f" focussize="0,0"/>
          <v:stroke on="f"/>
          <v:imagedata o:title=""/>
          <o:lock v:ext="edit" aspectratio="t"/>
          <v:textpath on="t" fitshape="t" fitpath="t" trim="t" xscale="f" string="新 疆 榕 泰 项 目 管 理 咨 询 有 限 公 司" style="font-family:楷体;font-size:40pt;v-same-letter-heights:f;v-text-align:center;"/>
        </v:shape>
      </w:pict>
    </w:r>
    <w:r>
      <w:drawing>
        <wp:inline distT="0" distB="0" distL="114300" distR="114300">
          <wp:extent cx="2651760" cy="224790"/>
          <wp:effectExtent l="0" t="0" r="15240" b="38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stretch>
                    <a:fillRect/>
                  </a:stretch>
                </pic:blipFill>
                <pic:spPr>
                  <a:xfrm>
                    <a:off x="0" y="0"/>
                    <a:ext cx="2651760" cy="2247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sz w:val="18"/>
      </w:rPr>
      <w:pict>
        <v:shape id="_x0000_s1058" o:spid="_x0000_s1058" o:spt="136" type="#_x0000_t136" style="position:absolute;left:0pt;height:40.25pt;width:724.7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26214f" focussize="0,0"/>
          <v:stroke on="f"/>
          <v:imagedata o:title=""/>
          <o:lock v:ext="edit" aspectratio="t"/>
          <v:textpath on="t" fitshape="t" fitpath="t" trim="t" xscale="f" string="新 疆 榕 泰 项 目 管 理 咨 询 有 限 公 司" style="font-family:楷体;font-size:40pt;v-same-letter-heights:f;v-text-align:center;"/>
        </v:shape>
      </w:pict>
    </w:r>
    <w:r>
      <w:drawing>
        <wp:inline distT="0" distB="0" distL="114300" distR="114300">
          <wp:extent cx="2651760" cy="224790"/>
          <wp:effectExtent l="0" t="0" r="15240"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651760" cy="22479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2D6E8"/>
    <w:multiLevelType w:val="singleLevel"/>
    <w:tmpl w:val="BE12D6E8"/>
    <w:lvl w:ilvl="0" w:tentative="0">
      <w:start w:val="1"/>
      <w:numFmt w:val="decimal"/>
      <w:lvlText w:val="%1."/>
      <w:lvlJc w:val="left"/>
      <w:pPr>
        <w:ind w:left="425" w:hanging="425"/>
      </w:pPr>
      <w:rPr>
        <w:rFonts w:hint="default"/>
      </w:rPr>
    </w:lvl>
  </w:abstractNum>
  <w:abstractNum w:abstractNumId="1">
    <w:nsid w:val="BFDC3707"/>
    <w:multiLevelType w:val="singleLevel"/>
    <w:tmpl w:val="BFDC3707"/>
    <w:lvl w:ilvl="0" w:tentative="0">
      <w:start w:val="1"/>
      <w:numFmt w:val="decimal"/>
      <w:lvlText w:val="%1."/>
      <w:lvlJc w:val="left"/>
      <w:pPr>
        <w:ind w:left="425" w:hanging="425"/>
      </w:pPr>
      <w:rPr>
        <w:rFonts w:hint="default"/>
      </w:rPr>
    </w:lvl>
  </w:abstractNum>
  <w:abstractNum w:abstractNumId="2">
    <w:nsid w:val="E8A7C034"/>
    <w:multiLevelType w:val="singleLevel"/>
    <w:tmpl w:val="E8A7C034"/>
    <w:lvl w:ilvl="0" w:tentative="0">
      <w:start w:val="1"/>
      <w:numFmt w:val="decimal"/>
      <w:lvlText w:val="%1."/>
      <w:lvlJc w:val="left"/>
      <w:pPr>
        <w:ind w:left="425" w:hanging="425"/>
      </w:pPr>
      <w:rPr>
        <w:rFonts w:hint="default"/>
      </w:rPr>
    </w:lvl>
  </w:abstractNum>
  <w:abstractNum w:abstractNumId="3">
    <w:nsid w:val="EF132A0B"/>
    <w:multiLevelType w:val="singleLevel"/>
    <w:tmpl w:val="EF132A0B"/>
    <w:lvl w:ilvl="0" w:tentative="0">
      <w:start w:val="1"/>
      <w:numFmt w:val="decimal"/>
      <w:suff w:val="space"/>
      <w:lvlText w:val="（%1）"/>
      <w:lvlJc w:val="left"/>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11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19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1"/>
    <w:multiLevelType w:val="multilevel"/>
    <w:tmpl w:val="00000011"/>
    <w:lvl w:ilvl="0" w:tentative="0">
      <w:start w:val="2"/>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3"/>
    <w:multiLevelType w:val="singleLevel"/>
    <w:tmpl w:val="00000013"/>
    <w:lvl w:ilvl="0" w:tentative="0">
      <w:start w:val="1"/>
      <w:numFmt w:val="decimal"/>
      <w:pStyle w:val="164"/>
      <w:lvlText w:val="%1."/>
      <w:lvlJc w:val="left"/>
      <w:pPr>
        <w:tabs>
          <w:tab w:val="left" w:pos="360"/>
        </w:tabs>
        <w:ind w:left="360" w:hanging="360"/>
      </w:pPr>
      <w:rPr>
        <w:rFonts w:hint="default"/>
      </w:rPr>
    </w:lvl>
  </w:abstractNum>
  <w:abstractNum w:abstractNumId="9">
    <w:nsid w:val="00000026"/>
    <w:multiLevelType w:val="multilevel"/>
    <w:tmpl w:val="00000026"/>
    <w:lvl w:ilvl="0" w:tentative="0">
      <w:start w:val="1"/>
      <w:numFmt w:val="decimal"/>
      <w:pStyle w:val="11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0">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1">
    <w:nsid w:val="0000002F"/>
    <w:multiLevelType w:val="multilevel"/>
    <w:tmpl w:val="0000002F"/>
    <w:lvl w:ilvl="0" w:tentative="0">
      <w:start w:val="1"/>
      <w:numFmt w:val="decimal"/>
      <w:pStyle w:val="11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230849"/>
    <w:multiLevelType w:val="multilevel"/>
    <w:tmpl w:val="0E230849"/>
    <w:lvl w:ilvl="0" w:tentative="0">
      <w:start w:val="1"/>
      <w:numFmt w:val="decimal"/>
      <w:pStyle w:val="219"/>
      <w:lvlText w:val="%1"/>
      <w:lvlJc w:val="left"/>
      <w:pPr>
        <w:ind w:left="680" w:hanging="680"/>
      </w:pPr>
      <w:rPr>
        <w:rFonts w:hint="eastAsia" w:ascii="宋体" w:hAnsi="宋体" w:eastAsia="宋体"/>
      </w:rPr>
    </w:lvl>
    <w:lvl w:ilvl="1" w:tentative="0">
      <w:start w:val="1"/>
      <w:numFmt w:val="decimal"/>
      <w:pStyle w:val="220"/>
      <w:lvlText w:val="%1.%2"/>
      <w:lvlJc w:val="left"/>
      <w:pPr>
        <w:ind w:left="851" w:hanging="851"/>
      </w:pPr>
      <w:rPr>
        <w:rFonts w:hint="eastAsia" w:ascii="宋体" w:hAnsi="宋体" w:eastAsia="宋体"/>
        <w:color w:val="auto"/>
      </w:rPr>
    </w:lvl>
    <w:lvl w:ilvl="2" w:tentative="0">
      <w:start w:val="1"/>
      <w:numFmt w:val="decimal"/>
      <w:pStyle w:val="22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265"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18CD015"/>
    <w:multiLevelType w:val="singleLevel"/>
    <w:tmpl w:val="118CD015"/>
    <w:lvl w:ilvl="0" w:tentative="0">
      <w:start w:val="2"/>
      <w:numFmt w:val="decimal"/>
      <w:suff w:val="nothing"/>
      <w:lvlText w:val="%1、"/>
      <w:lvlJc w:val="left"/>
    </w:lvl>
  </w:abstractNum>
  <w:abstractNum w:abstractNumId="15">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52E96BBF"/>
    <w:multiLevelType w:val="singleLevel"/>
    <w:tmpl w:val="52E96BBF"/>
    <w:lvl w:ilvl="0" w:tentative="0">
      <w:start w:val="1"/>
      <w:numFmt w:val="chineseCounting"/>
      <w:suff w:val="nothing"/>
      <w:lvlText w:val="%1、"/>
      <w:lvlJc w:val="left"/>
      <w:rPr>
        <w:rFonts w:hint="eastAsia"/>
      </w:rPr>
    </w:lvl>
  </w:abstractNum>
  <w:abstractNum w:abstractNumId="17">
    <w:nsid w:val="61A0A524"/>
    <w:multiLevelType w:val="singleLevel"/>
    <w:tmpl w:val="61A0A524"/>
    <w:lvl w:ilvl="0" w:tentative="0">
      <w:start w:val="1"/>
      <w:numFmt w:val="decimal"/>
      <w:lvlText w:val="%1."/>
      <w:lvlJc w:val="left"/>
      <w:pPr>
        <w:ind w:left="425" w:hanging="425"/>
      </w:pPr>
      <w:rPr>
        <w:rFonts w:hint="default"/>
      </w:rPr>
    </w:lvl>
  </w:abstractNum>
  <w:num w:numId="1">
    <w:abstractNumId w:val="9"/>
  </w:num>
  <w:num w:numId="2">
    <w:abstractNumId w:val="11"/>
  </w:num>
  <w:num w:numId="3">
    <w:abstractNumId w:val="5"/>
  </w:num>
  <w:num w:numId="4">
    <w:abstractNumId w:val="10"/>
  </w:num>
  <w:num w:numId="5">
    <w:abstractNumId w:val="8"/>
  </w:num>
  <w:num w:numId="6">
    <w:abstractNumId w:val="6"/>
  </w:num>
  <w:num w:numId="7">
    <w:abstractNumId w:val="12"/>
  </w:num>
  <w:num w:numId="8">
    <w:abstractNumId w:val="17"/>
  </w:num>
  <w:num w:numId="9">
    <w:abstractNumId w:val="4"/>
  </w:num>
  <w:num w:numId="10">
    <w:abstractNumId w:val="13"/>
  </w:num>
  <w:num w:numId="11">
    <w:abstractNumId w:val="0"/>
  </w:num>
  <w:num w:numId="12">
    <w:abstractNumId w:val="1"/>
  </w:num>
  <w:num w:numId="13">
    <w:abstractNumId w:val="2"/>
  </w:num>
  <w:num w:numId="14">
    <w:abstractNumId w:val="16"/>
  </w:num>
  <w:num w:numId="15">
    <w:abstractNumId w:val="3"/>
  </w:num>
  <w:num w:numId="16">
    <w:abstractNumId w:val="1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Q4ZGI0MzM5MjFhOThlZDQyOTFlNzJiNDc4MTZkMz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67A"/>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60B"/>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897"/>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8D"/>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00"/>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BFD"/>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44B"/>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2F34"/>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3C2"/>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4F"/>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984"/>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ACC"/>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29E"/>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05"/>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6E"/>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0E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534"/>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4C"/>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A7"/>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6C5"/>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071"/>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AB2"/>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1B9"/>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918"/>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2C2"/>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D1A"/>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CD"/>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9C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4E"/>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084"/>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30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43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E20"/>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31238B"/>
    <w:rsid w:val="01934780"/>
    <w:rsid w:val="01EA0118"/>
    <w:rsid w:val="025D42FF"/>
    <w:rsid w:val="02727A38"/>
    <w:rsid w:val="02A359FF"/>
    <w:rsid w:val="02B95A8F"/>
    <w:rsid w:val="03304250"/>
    <w:rsid w:val="03345FA9"/>
    <w:rsid w:val="034864DC"/>
    <w:rsid w:val="03D66FB9"/>
    <w:rsid w:val="03D853F3"/>
    <w:rsid w:val="03F37758"/>
    <w:rsid w:val="04711F8D"/>
    <w:rsid w:val="04871575"/>
    <w:rsid w:val="04EB1213"/>
    <w:rsid w:val="052971A9"/>
    <w:rsid w:val="056F1206"/>
    <w:rsid w:val="057523EE"/>
    <w:rsid w:val="05950818"/>
    <w:rsid w:val="05A212BC"/>
    <w:rsid w:val="05EF21A1"/>
    <w:rsid w:val="06300693"/>
    <w:rsid w:val="065C6D37"/>
    <w:rsid w:val="06ED211B"/>
    <w:rsid w:val="073E6F3C"/>
    <w:rsid w:val="074B354F"/>
    <w:rsid w:val="07671DE6"/>
    <w:rsid w:val="077A3F1B"/>
    <w:rsid w:val="079F3753"/>
    <w:rsid w:val="08CC14C3"/>
    <w:rsid w:val="09C92525"/>
    <w:rsid w:val="0A560A40"/>
    <w:rsid w:val="0AF31BD8"/>
    <w:rsid w:val="0B6006D8"/>
    <w:rsid w:val="0B660C1A"/>
    <w:rsid w:val="0BBF43C3"/>
    <w:rsid w:val="0D675F2A"/>
    <w:rsid w:val="0D8B628D"/>
    <w:rsid w:val="0DA71B84"/>
    <w:rsid w:val="0DBF5B46"/>
    <w:rsid w:val="0DD269C6"/>
    <w:rsid w:val="0E262B99"/>
    <w:rsid w:val="0E61625F"/>
    <w:rsid w:val="0EF600FC"/>
    <w:rsid w:val="0EF97BEC"/>
    <w:rsid w:val="0F1802A8"/>
    <w:rsid w:val="0F314A1E"/>
    <w:rsid w:val="0F5A68DD"/>
    <w:rsid w:val="0F7A2ADB"/>
    <w:rsid w:val="0FA34691"/>
    <w:rsid w:val="0FA37617"/>
    <w:rsid w:val="0FEE34C9"/>
    <w:rsid w:val="10265230"/>
    <w:rsid w:val="10851CC3"/>
    <w:rsid w:val="109B7680"/>
    <w:rsid w:val="10B76CFF"/>
    <w:rsid w:val="10E059FF"/>
    <w:rsid w:val="10E8616A"/>
    <w:rsid w:val="110D1FD6"/>
    <w:rsid w:val="118E427B"/>
    <w:rsid w:val="11937538"/>
    <w:rsid w:val="11D1508B"/>
    <w:rsid w:val="11E76422"/>
    <w:rsid w:val="12167800"/>
    <w:rsid w:val="126C6ACA"/>
    <w:rsid w:val="12A11178"/>
    <w:rsid w:val="12C61A5B"/>
    <w:rsid w:val="12CC1BCE"/>
    <w:rsid w:val="12F17327"/>
    <w:rsid w:val="142E6621"/>
    <w:rsid w:val="14951E1C"/>
    <w:rsid w:val="151B5207"/>
    <w:rsid w:val="15470689"/>
    <w:rsid w:val="15595889"/>
    <w:rsid w:val="155D6C41"/>
    <w:rsid w:val="15706E10"/>
    <w:rsid w:val="15DE160E"/>
    <w:rsid w:val="163849E3"/>
    <w:rsid w:val="177656E7"/>
    <w:rsid w:val="1792281C"/>
    <w:rsid w:val="17AD2722"/>
    <w:rsid w:val="17D31922"/>
    <w:rsid w:val="17F93E0B"/>
    <w:rsid w:val="184C5231"/>
    <w:rsid w:val="18722968"/>
    <w:rsid w:val="18807ED1"/>
    <w:rsid w:val="18952734"/>
    <w:rsid w:val="18D339FB"/>
    <w:rsid w:val="1945415A"/>
    <w:rsid w:val="1957359D"/>
    <w:rsid w:val="1A3B74F2"/>
    <w:rsid w:val="1AC61628"/>
    <w:rsid w:val="1AC74533"/>
    <w:rsid w:val="1B7F5872"/>
    <w:rsid w:val="1BA71835"/>
    <w:rsid w:val="1BD0331E"/>
    <w:rsid w:val="1C455CA5"/>
    <w:rsid w:val="1C901B90"/>
    <w:rsid w:val="1CB30815"/>
    <w:rsid w:val="1CB60562"/>
    <w:rsid w:val="1CF4028C"/>
    <w:rsid w:val="1D2C69D2"/>
    <w:rsid w:val="1D6811E5"/>
    <w:rsid w:val="1DDE14F4"/>
    <w:rsid w:val="1EA071D5"/>
    <w:rsid w:val="1EB10AF3"/>
    <w:rsid w:val="1F085561"/>
    <w:rsid w:val="1F297183"/>
    <w:rsid w:val="1FA50D41"/>
    <w:rsid w:val="20337402"/>
    <w:rsid w:val="204126B7"/>
    <w:rsid w:val="207B4905"/>
    <w:rsid w:val="218C36EB"/>
    <w:rsid w:val="21CC6943"/>
    <w:rsid w:val="21DF2C72"/>
    <w:rsid w:val="21ED2171"/>
    <w:rsid w:val="21FD7B9B"/>
    <w:rsid w:val="22051CB4"/>
    <w:rsid w:val="220A23E4"/>
    <w:rsid w:val="22D46D71"/>
    <w:rsid w:val="23143728"/>
    <w:rsid w:val="235C0774"/>
    <w:rsid w:val="23674E48"/>
    <w:rsid w:val="239E00B4"/>
    <w:rsid w:val="24885011"/>
    <w:rsid w:val="24D6624B"/>
    <w:rsid w:val="24E54469"/>
    <w:rsid w:val="251370A8"/>
    <w:rsid w:val="251E74A4"/>
    <w:rsid w:val="25A8248F"/>
    <w:rsid w:val="25EE7E9B"/>
    <w:rsid w:val="260332A3"/>
    <w:rsid w:val="26107BAB"/>
    <w:rsid w:val="26F321A7"/>
    <w:rsid w:val="271413F4"/>
    <w:rsid w:val="27625D54"/>
    <w:rsid w:val="27843CE5"/>
    <w:rsid w:val="27CD69E5"/>
    <w:rsid w:val="27CE012D"/>
    <w:rsid w:val="282615FA"/>
    <w:rsid w:val="28E807B9"/>
    <w:rsid w:val="294154BA"/>
    <w:rsid w:val="29B47773"/>
    <w:rsid w:val="29B665A4"/>
    <w:rsid w:val="29CB584F"/>
    <w:rsid w:val="2A006E2E"/>
    <w:rsid w:val="2A044006"/>
    <w:rsid w:val="2A114BCF"/>
    <w:rsid w:val="2A174B9C"/>
    <w:rsid w:val="2A78174C"/>
    <w:rsid w:val="2AAD4638"/>
    <w:rsid w:val="2AC43A89"/>
    <w:rsid w:val="2C001A2F"/>
    <w:rsid w:val="2C503824"/>
    <w:rsid w:val="2C6D48CC"/>
    <w:rsid w:val="2CAE1B2E"/>
    <w:rsid w:val="2CB371D5"/>
    <w:rsid w:val="2D5F4A83"/>
    <w:rsid w:val="2D6509ED"/>
    <w:rsid w:val="2DDA0153"/>
    <w:rsid w:val="2E2C5491"/>
    <w:rsid w:val="2E3746C0"/>
    <w:rsid w:val="2E4A0041"/>
    <w:rsid w:val="2E9449E5"/>
    <w:rsid w:val="2E9D5753"/>
    <w:rsid w:val="2F00302A"/>
    <w:rsid w:val="2F326AD7"/>
    <w:rsid w:val="2F6E5959"/>
    <w:rsid w:val="2FAF59F5"/>
    <w:rsid w:val="30F027A5"/>
    <w:rsid w:val="30F42A91"/>
    <w:rsid w:val="30F96868"/>
    <w:rsid w:val="31130F28"/>
    <w:rsid w:val="311471CC"/>
    <w:rsid w:val="31442AF1"/>
    <w:rsid w:val="31815CA9"/>
    <w:rsid w:val="32651CC3"/>
    <w:rsid w:val="32AE5FF2"/>
    <w:rsid w:val="32EB653A"/>
    <w:rsid w:val="334C6FEE"/>
    <w:rsid w:val="33AF20C1"/>
    <w:rsid w:val="343D5FB7"/>
    <w:rsid w:val="348C55CC"/>
    <w:rsid w:val="34B14EB6"/>
    <w:rsid w:val="34C8672D"/>
    <w:rsid w:val="34D10AD8"/>
    <w:rsid w:val="35695031"/>
    <w:rsid w:val="365D757C"/>
    <w:rsid w:val="36A27A4D"/>
    <w:rsid w:val="37EF7C5B"/>
    <w:rsid w:val="38030ED0"/>
    <w:rsid w:val="389E5B66"/>
    <w:rsid w:val="38F674B4"/>
    <w:rsid w:val="39266A6B"/>
    <w:rsid w:val="39433C88"/>
    <w:rsid w:val="394E7302"/>
    <w:rsid w:val="397640E7"/>
    <w:rsid w:val="39C96289"/>
    <w:rsid w:val="39DF3CFF"/>
    <w:rsid w:val="3A230DBA"/>
    <w:rsid w:val="3A4B0F3E"/>
    <w:rsid w:val="3A5E021F"/>
    <w:rsid w:val="3AF550E9"/>
    <w:rsid w:val="3B2B1259"/>
    <w:rsid w:val="3B2B6946"/>
    <w:rsid w:val="3B564B69"/>
    <w:rsid w:val="3BC92571"/>
    <w:rsid w:val="3BCB6780"/>
    <w:rsid w:val="3C597482"/>
    <w:rsid w:val="3C5D193C"/>
    <w:rsid w:val="3CB90837"/>
    <w:rsid w:val="3D097B26"/>
    <w:rsid w:val="3D37771D"/>
    <w:rsid w:val="3D89020A"/>
    <w:rsid w:val="3DAC07FB"/>
    <w:rsid w:val="3E5C76CC"/>
    <w:rsid w:val="3EEA6B75"/>
    <w:rsid w:val="3FF5F3AE"/>
    <w:rsid w:val="40152021"/>
    <w:rsid w:val="40774C91"/>
    <w:rsid w:val="40A13ABC"/>
    <w:rsid w:val="40C17CBA"/>
    <w:rsid w:val="410D2F00"/>
    <w:rsid w:val="416D0C17"/>
    <w:rsid w:val="41804A4C"/>
    <w:rsid w:val="418E1DAE"/>
    <w:rsid w:val="42055BF8"/>
    <w:rsid w:val="421C309F"/>
    <w:rsid w:val="42262405"/>
    <w:rsid w:val="42B63FDE"/>
    <w:rsid w:val="42BE056C"/>
    <w:rsid w:val="42CD0A98"/>
    <w:rsid w:val="42D02F32"/>
    <w:rsid w:val="431A0C09"/>
    <w:rsid w:val="43C653C8"/>
    <w:rsid w:val="440028DC"/>
    <w:rsid w:val="446F7ED8"/>
    <w:rsid w:val="44F452E4"/>
    <w:rsid w:val="45F67359"/>
    <w:rsid w:val="46161889"/>
    <w:rsid w:val="46401CF6"/>
    <w:rsid w:val="468E6891"/>
    <w:rsid w:val="47477083"/>
    <w:rsid w:val="480E2158"/>
    <w:rsid w:val="494D7D27"/>
    <w:rsid w:val="49DE3BD5"/>
    <w:rsid w:val="4A006071"/>
    <w:rsid w:val="4A0C7222"/>
    <w:rsid w:val="4A3B6D9A"/>
    <w:rsid w:val="4A8E0C17"/>
    <w:rsid w:val="4AB078ED"/>
    <w:rsid w:val="4B65373A"/>
    <w:rsid w:val="4B8A77CD"/>
    <w:rsid w:val="4C4579F1"/>
    <w:rsid w:val="4C587D22"/>
    <w:rsid w:val="4D00163A"/>
    <w:rsid w:val="4D00364C"/>
    <w:rsid w:val="4D714816"/>
    <w:rsid w:val="4D9746F3"/>
    <w:rsid w:val="4DB72B71"/>
    <w:rsid w:val="4E664330"/>
    <w:rsid w:val="4E726C24"/>
    <w:rsid w:val="4E9058D0"/>
    <w:rsid w:val="4E995402"/>
    <w:rsid w:val="4EC75451"/>
    <w:rsid w:val="4ECE46BD"/>
    <w:rsid w:val="4F0F5BE3"/>
    <w:rsid w:val="4F3A0EE3"/>
    <w:rsid w:val="4F3E001E"/>
    <w:rsid w:val="4FAC7D88"/>
    <w:rsid w:val="4FB63763"/>
    <w:rsid w:val="4FC45CA9"/>
    <w:rsid w:val="4FD87C31"/>
    <w:rsid w:val="5006788E"/>
    <w:rsid w:val="501F7399"/>
    <w:rsid w:val="50305BBE"/>
    <w:rsid w:val="50544866"/>
    <w:rsid w:val="51131EB3"/>
    <w:rsid w:val="51B1103D"/>
    <w:rsid w:val="52422029"/>
    <w:rsid w:val="526E48F5"/>
    <w:rsid w:val="52B65801"/>
    <w:rsid w:val="5370667B"/>
    <w:rsid w:val="53C26F1E"/>
    <w:rsid w:val="545D1B76"/>
    <w:rsid w:val="5470139E"/>
    <w:rsid w:val="549411CD"/>
    <w:rsid w:val="54AA19D8"/>
    <w:rsid w:val="54F168E2"/>
    <w:rsid w:val="55040901"/>
    <w:rsid w:val="55284354"/>
    <w:rsid w:val="55665D0A"/>
    <w:rsid w:val="55D41E21"/>
    <w:rsid w:val="55DF24F9"/>
    <w:rsid w:val="55F200C9"/>
    <w:rsid w:val="566A6A2A"/>
    <w:rsid w:val="56720534"/>
    <w:rsid w:val="56BD29A5"/>
    <w:rsid w:val="56DC154B"/>
    <w:rsid w:val="56DF05DE"/>
    <w:rsid w:val="56F34AC1"/>
    <w:rsid w:val="57BA3FF5"/>
    <w:rsid w:val="57FC6189"/>
    <w:rsid w:val="58521350"/>
    <w:rsid w:val="588F64BB"/>
    <w:rsid w:val="58C33ADD"/>
    <w:rsid w:val="59091092"/>
    <w:rsid w:val="59271E53"/>
    <w:rsid w:val="59545ADB"/>
    <w:rsid w:val="59843F30"/>
    <w:rsid w:val="59DE2601"/>
    <w:rsid w:val="5A042D4D"/>
    <w:rsid w:val="5A80689F"/>
    <w:rsid w:val="5A9F3499"/>
    <w:rsid w:val="5AAD29AA"/>
    <w:rsid w:val="5ABB762F"/>
    <w:rsid w:val="5AC922BF"/>
    <w:rsid w:val="5ADE19FF"/>
    <w:rsid w:val="5AFD613C"/>
    <w:rsid w:val="5B0225D0"/>
    <w:rsid w:val="5B162FDD"/>
    <w:rsid w:val="5D22012B"/>
    <w:rsid w:val="5DC37D5A"/>
    <w:rsid w:val="5E6C6E63"/>
    <w:rsid w:val="5E932236"/>
    <w:rsid w:val="5EBA5CD1"/>
    <w:rsid w:val="5EE2547B"/>
    <w:rsid w:val="5F073306"/>
    <w:rsid w:val="5F5F73B9"/>
    <w:rsid w:val="5F7A7C22"/>
    <w:rsid w:val="5F9B19DA"/>
    <w:rsid w:val="5FB27C2A"/>
    <w:rsid w:val="5FBB251B"/>
    <w:rsid w:val="6020564F"/>
    <w:rsid w:val="602D0A71"/>
    <w:rsid w:val="60AC4340"/>
    <w:rsid w:val="60D61108"/>
    <w:rsid w:val="61001593"/>
    <w:rsid w:val="61B55A2C"/>
    <w:rsid w:val="62E94565"/>
    <w:rsid w:val="62EE3F20"/>
    <w:rsid w:val="62F14356"/>
    <w:rsid w:val="635F07DD"/>
    <w:rsid w:val="63BE5393"/>
    <w:rsid w:val="647C5B23"/>
    <w:rsid w:val="64AA1972"/>
    <w:rsid w:val="659C6FE1"/>
    <w:rsid w:val="65A17F37"/>
    <w:rsid w:val="65C71020"/>
    <w:rsid w:val="660F6502"/>
    <w:rsid w:val="66611474"/>
    <w:rsid w:val="66A123D5"/>
    <w:rsid w:val="674319E9"/>
    <w:rsid w:val="674F4017"/>
    <w:rsid w:val="67AD5934"/>
    <w:rsid w:val="6803671D"/>
    <w:rsid w:val="68264723"/>
    <w:rsid w:val="6838144E"/>
    <w:rsid w:val="68AA7398"/>
    <w:rsid w:val="68CB7D0D"/>
    <w:rsid w:val="695D4B7C"/>
    <w:rsid w:val="69E75EE2"/>
    <w:rsid w:val="6A184DD1"/>
    <w:rsid w:val="6A272714"/>
    <w:rsid w:val="6A343291"/>
    <w:rsid w:val="6A967637"/>
    <w:rsid w:val="6A9B4B7D"/>
    <w:rsid w:val="6B207439"/>
    <w:rsid w:val="6BF80185"/>
    <w:rsid w:val="6C7F3ECA"/>
    <w:rsid w:val="6C8722EA"/>
    <w:rsid w:val="6CAE18D9"/>
    <w:rsid w:val="6CF43042"/>
    <w:rsid w:val="6D1C44F0"/>
    <w:rsid w:val="6D2A75C4"/>
    <w:rsid w:val="6E05302D"/>
    <w:rsid w:val="6E1D39B2"/>
    <w:rsid w:val="6E657628"/>
    <w:rsid w:val="6E7D0075"/>
    <w:rsid w:val="6E7F315A"/>
    <w:rsid w:val="6E941836"/>
    <w:rsid w:val="6F6456EB"/>
    <w:rsid w:val="70740A8E"/>
    <w:rsid w:val="70A209D2"/>
    <w:rsid w:val="70F24EA2"/>
    <w:rsid w:val="72050D50"/>
    <w:rsid w:val="724539F8"/>
    <w:rsid w:val="73254D48"/>
    <w:rsid w:val="73CC6CA8"/>
    <w:rsid w:val="73EB3AF6"/>
    <w:rsid w:val="742C597A"/>
    <w:rsid w:val="75261CFB"/>
    <w:rsid w:val="7628728D"/>
    <w:rsid w:val="76643AE7"/>
    <w:rsid w:val="76816989"/>
    <w:rsid w:val="76EE6A9B"/>
    <w:rsid w:val="77E86CA3"/>
    <w:rsid w:val="77ED43AE"/>
    <w:rsid w:val="77FA10CB"/>
    <w:rsid w:val="781D5DA5"/>
    <w:rsid w:val="788369FF"/>
    <w:rsid w:val="795615F9"/>
    <w:rsid w:val="79DE627C"/>
    <w:rsid w:val="7B5A4C9D"/>
    <w:rsid w:val="7C5C5262"/>
    <w:rsid w:val="7CA26617"/>
    <w:rsid w:val="7D11554A"/>
    <w:rsid w:val="7DB72B86"/>
    <w:rsid w:val="7DE12863"/>
    <w:rsid w:val="7EB4381B"/>
    <w:rsid w:val="7EF82F53"/>
    <w:rsid w:val="7F605589"/>
    <w:rsid w:val="7F623E3B"/>
    <w:rsid w:val="7F7E3C99"/>
    <w:rsid w:val="DF7AD8D6"/>
    <w:rsid w:val="F3EFE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6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3"/>
    <w:link w:val="83"/>
    <w:qFormat/>
    <w:uiPriority w:val="0"/>
    <w:pPr>
      <w:spacing w:after="120" w:line="480" w:lineRule="exact"/>
      <w:ind w:left="420" w:leftChars="200" w:firstLine="420" w:firstLineChars="200"/>
    </w:pPr>
    <w:rPr>
      <w:szCs w:val="20"/>
    </w:rPr>
  </w:style>
  <w:style w:type="paragraph" w:styleId="3">
    <w:name w:val="Body Text Indent"/>
    <w:basedOn w:val="1"/>
    <w:next w:val="4"/>
    <w:link w:val="72"/>
    <w:qFormat/>
    <w:uiPriority w:val="0"/>
    <w:pPr>
      <w:spacing w:line="360" w:lineRule="auto"/>
      <w:ind w:firstLine="570"/>
    </w:pPr>
    <w:rPr>
      <w:sz w:val="24"/>
    </w:rPr>
  </w:style>
  <w:style w:type="paragraph" w:customStyle="1" w:styleId="4">
    <w:name w:val="TOC Heading1"/>
    <w:next w:val="1"/>
    <w:qFormat/>
    <w:uiPriority w:val="0"/>
    <w:pPr>
      <w:wordWrap w:val="0"/>
    </w:pPr>
    <w:rPr>
      <w:rFonts w:ascii="宋体" w:hAnsi="宋体" w:eastAsia="Calibri" w:cs="Times New Roman"/>
      <w:sz w:val="32"/>
      <w:lang w:val="en-US" w:eastAsia="zh-CN" w:bidi="ar-SA"/>
    </w:rPr>
  </w:style>
  <w:style w:type="paragraph" w:styleId="14">
    <w:name w:val="toc 7"/>
    <w:basedOn w:val="1"/>
    <w:next w:val="1"/>
    <w:qFormat/>
    <w:uiPriority w:val="0"/>
    <w:pPr>
      <w:ind w:left="2520" w:leftChars="1200"/>
    </w:pPr>
  </w:style>
  <w:style w:type="paragraph" w:styleId="15">
    <w:name w:val="Normal Indent"/>
    <w:basedOn w:val="1"/>
    <w:next w:val="16"/>
    <w:link w:val="68"/>
    <w:qFormat/>
    <w:uiPriority w:val="0"/>
    <w:pPr>
      <w:autoSpaceDE w:val="0"/>
      <w:autoSpaceDN w:val="0"/>
      <w:adjustRightInd w:val="0"/>
      <w:ind w:firstLine="420"/>
      <w:jc w:val="left"/>
    </w:pPr>
    <w:rPr>
      <w:rFonts w:ascii="宋体"/>
      <w:sz w:val="24"/>
    </w:rPr>
  </w:style>
  <w:style w:type="paragraph" w:styleId="16">
    <w:name w:val="toa heading"/>
    <w:basedOn w:val="1"/>
    <w:next w:val="1"/>
    <w:qFormat/>
    <w:uiPriority w:val="0"/>
    <w:pPr>
      <w:spacing w:before="120"/>
    </w:pPr>
    <w:rPr>
      <w:rFonts w:ascii="Cambria" w:hAnsi="Cambria"/>
      <w:sz w:val="24"/>
    </w:rPr>
  </w:style>
  <w:style w:type="paragraph" w:styleId="17">
    <w:name w:val="caption"/>
    <w:basedOn w:val="1"/>
    <w:next w:val="1"/>
    <w:qFormat/>
    <w:uiPriority w:val="0"/>
    <w:pPr>
      <w:spacing w:line="480" w:lineRule="auto"/>
    </w:pPr>
    <w:rPr>
      <w:rFonts w:ascii="华文中宋" w:hAnsi="华文中宋" w:eastAsia="华文中宋"/>
      <w:sz w:val="36"/>
      <w:szCs w:val="20"/>
    </w:rPr>
  </w:style>
  <w:style w:type="paragraph" w:styleId="18">
    <w:name w:val="Document Map"/>
    <w:basedOn w:val="1"/>
    <w:link w:val="69"/>
    <w:qFormat/>
    <w:uiPriority w:val="0"/>
    <w:pPr>
      <w:shd w:val="clear" w:color="auto" w:fill="000080"/>
    </w:pPr>
  </w:style>
  <w:style w:type="paragraph" w:styleId="19">
    <w:name w:val="annotation text"/>
    <w:basedOn w:val="1"/>
    <w:link w:val="70"/>
    <w:qFormat/>
    <w:uiPriority w:val="99"/>
    <w:pPr>
      <w:jc w:val="left"/>
    </w:pPr>
  </w:style>
  <w:style w:type="paragraph" w:styleId="20">
    <w:name w:val="Body Text 3"/>
    <w:basedOn w:val="1"/>
    <w:link w:val="71"/>
    <w:qFormat/>
    <w:uiPriority w:val="0"/>
    <w:pPr>
      <w:spacing w:after="120"/>
    </w:pPr>
    <w:rPr>
      <w:sz w:val="16"/>
      <w:szCs w:val="16"/>
    </w:rPr>
  </w:style>
  <w:style w:type="paragraph" w:styleId="21">
    <w:name w:val="Body Text"/>
    <w:basedOn w:val="1"/>
    <w:link w:val="58"/>
    <w:qFormat/>
    <w:uiPriority w:val="0"/>
    <w:pPr>
      <w:tabs>
        <w:tab w:val="left" w:pos="567"/>
      </w:tabs>
      <w:spacing w:before="120" w:line="22" w:lineRule="atLeast"/>
    </w:pPr>
    <w:rPr>
      <w:rFonts w:ascii="宋体" w:hAnsi="宋体"/>
      <w:sz w:val="24"/>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widowControl/>
      <w:ind w:left="480" w:right="-341" w:firstLine="513"/>
    </w:pPr>
    <w:rPr>
      <w:kern w:val="0"/>
      <w:sz w:val="24"/>
      <w:szCs w:val="20"/>
    </w:rPr>
  </w:style>
  <w:style w:type="paragraph" w:styleId="24">
    <w:name w:val="toc 5"/>
    <w:basedOn w:val="1"/>
    <w:next w:val="1"/>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link w:val="73"/>
    <w:qFormat/>
    <w:uiPriority w:val="0"/>
    <w:rPr>
      <w:rFonts w:hint="eastAsia" w:ascii="宋体" w:hAnsi="Courier New"/>
      <w:szCs w:val="20"/>
    </w:rPr>
  </w:style>
  <w:style w:type="paragraph" w:styleId="27">
    <w:name w:val="toc 8"/>
    <w:basedOn w:val="1"/>
    <w:next w:val="1"/>
    <w:qFormat/>
    <w:uiPriority w:val="0"/>
    <w:pPr>
      <w:ind w:left="2940" w:leftChars="1400"/>
    </w:pPr>
  </w:style>
  <w:style w:type="paragraph" w:styleId="28">
    <w:name w:val="Date"/>
    <w:basedOn w:val="1"/>
    <w:next w:val="1"/>
    <w:link w:val="74"/>
    <w:qFormat/>
    <w:uiPriority w:val="0"/>
    <w:pPr>
      <w:ind w:left="100" w:leftChars="2500"/>
    </w:pPr>
    <w:rPr>
      <w:rFonts w:ascii="仿宋_GB2312" w:hAnsi="宋体" w:eastAsia="仿宋_GB2312"/>
      <w:color w:val="000000"/>
      <w:sz w:val="24"/>
    </w:rPr>
  </w:style>
  <w:style w:type="paragraph" w:styleId="29">
    <w:name w:val="Body Text Indent 2"/>
    <w:basedOn w:val="1"/>
    <w:link w:val="75"/>
    <w:qFormat/>
    <w:uiPriority w:val="0"/>
    <w:pPr>
      <w:ind w:firstLine="480" w:firstLineChars="200"/>
    </w:pPr>
    <w:rPr>
      <w:rFonts w:ascii="仿宋_GB2312" w:eastAsia="仿宋_GB2312"/>
      <w:sz w:val="24"/>
    </w:rPr>
  </w:style>
  <w:style w:type="paragraph" w:styleId="30">
    <w:name w:val="Balloon Text"/>
    <w:basedOn w:val="1"/>
    <w:link w:val="76"/>
    <w:qFormat/>
    <w:uiPriority w:val="0"/>
    <w:rPr>
      <w:sz w:val="18"/>
      <w:szCs w:val="18"/>
    </w:rPr>
  </w:style>
  <w:style w:type="paragraph" w:styleId="31">
    <w:name w:val="footer"/>
    <w:basedOn w:val="1"/>
    <w:link w:val="7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0"/>
    <w:pPr>
      <w:ind w:left="1260" w:leftChars="600"/>
    </w:pPr>
  </w:style>
  <w:style w:type="paragraph" w:styleId="35">
    <w:name w:val="footnote text"/>
    <w:basedOn w:val="1"/>
    <w:next w:val="21"/>
    <w:unhideWhenUsed/>
    <w:qFormat/>
    <w:uiPriority w:val="99"/>
    <w:pPr>
      <w:snapToGrid w:val="0"/>
      <w:jc w:val="left"/>
    </w:pPr>
    <w:rPr>
      <w:sz w:val="18"/>
      <w:szCs w:val="18"/>
    </w:rPr>
  </w:style>
  <w:style w:type="paragraph" w:styleId="36">
    <w:name w:val="toc 6"/>
    <w:basedOn w:val="1"/>
    <w:next w:val="1"/>
    <w:qFormat/>
    <w:uiPriority w:val="0"/>
    <w:pPr>
      <w:ind w:left="2100" w:leftChars="1000"/>
    </w:pPr>
  </w:style>
  <w:style w:type="paragraph" w:styleId="37">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0"/>
    <w:pPr>
      <w:ind w:left="3360" w:leftChars="1600"/>
    </w:pPr>
  </w:style>
  <w:style w:type="paragraph" w:styleId="40">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next w:val="1"/>
    <w:link w:val="81"/>
    <w:qFormat/>
    <w:uiPriority w:val="0"/>
    <w:pPr>
      <w:jc w:val="center"/>
      <w:outlineLvl w:val="0"/>
    </w:pPr>
    <w:rPr>
      <w:b/>
      <w:sz w:val="32"/>
      <w:szCs w:val="20"/>
    </w:rPr>
  </w:style>
  <w:style w:type="paragraph" w:styleId="44">
    <w:name w:val="annotation subject"/>
    <w:basedOn w:val="19"/>
    <w:next w:val="19"/>
    <w:link w:val="82"/>
    <w:qFormat/>
    <w:uiPriority w:val="0"/>
    <w:rPr>
      <w:b/>
      <w:bCs/>
    </w:rPr>
  </w:style>
  <w:style w:type="paragraph" w:styleId="45">
    <w:name w:val="Body Text First Indent"/>
    <w:basedOn w:val="21"/>
    <w:next w:val="1"/>
    <w:qFormat/>
    <w:uiPriority w:val="0"/>
    <w:pPr>
      <w:spacing w:after="120"/>
      <w:ind w:firstLine="420" w:firstLineChars="100"/>
    </w:pPr>
    <w:rPr>
      <w:sz w:val="3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character" w:styleId="57">
    <w:name w:val="HTML Sample"/>
    <w:unhideWhenUsed/>
    <w:qFormat/>
    <w:uiPriority w:val="99"/>
    <w:rPr>
      <w:rFonts w:ascii="宋体" w:hAnsi="宋体" w:eastAsia="宋体" w:cs="宋体"/>
    </w:rPr>
  </w:style>
  <w:style w:type="character" w:customStyle="1" w:styleId="58">
    <w:name w:val="正文文本 字符"/>
    <w:link w:val="21"/>
    <w:qFormat/>
    <w:uiPriority w:val="0"/>
    <w:rPr>
      <w:rFonts w:ascii="宋体" w:hAnsi="宋体"/>
      <w:kern w:val="2"/>
      <w:sz w:val="24"/>
      <w:szCs w:val="24"/>
    </w:rPr>
  </w:style>
  <w:style w:type="character" w:customStyle="1" w:styleId="59">
    <w:name w:val=" Char Char25"/>
    <w:link w:val="5"/>
    <w:qFormat/>
    <w:locked/>
    <w:uiPriority w:val="0"/>
    <w:rPr>
      <w:rFonts w:eastAsia="宋体"/>
      <w:b/>
      <w:bCs/>
      <w:kern w:val="44"/>
      <w:sz w:val="32"/>
      <w:szCs w:val="44"/>
      <w:lang w:val="en-US" w:eastAsia="zh-CN" w:bidi="ar-SA"/>
    </w:rPr>
  </w:style>
  <w:style w:type="character" w:customStyle="1" w:styleId="60">
    <w:name w:val="标题 2 字符"/>
    <w:link w:val="6"/>
    <w:qFormat/>
    <w:uiPriority w:val="0"/>
    <w:rPr>
      <w:rFonts w:ascii="Arial" w:hAnsi="Arial" w:eastAsia="黑体"/>
      <w:b/>
      <w:sz w:val="30"/>
      <w:lang w:val="en-US" w:eastAsia="zh-CN" w:bidi="ar-SA"/>
    </w:rPr>
  </w:style>
  <w:style w:type="character" w:customStyle="1" w:styleId="61">
    <w:name w:val="标题 3 字符"/>
    <w:link w:val="7"/>
    <w:qFormat/>
    <w:uiPriority w:val="0"/>
    <w:rPr>
      <w:rFonts w:ascii="宋体" w:eastAsia="宋体"/>
      <w:b/>
      <w:sz w:val="24"/>
      <w:u w:val="single"/>
      <w:lang w:val="en-US" w:eastAsia="zh-CN" w:bidi="ar-SA"/>
    </w:rPr>
  </w:style>
  <w:style w:type="character" w:customStyle="1" w:styleId="62">
    <w:name w:val="标题 4 字符"/>
    <w:link w:val="8"/>
    <w:qFormat/>
    <w:uiPriority w:val="0"/>
    <w:rPr>
      <w:rFonts w:ascii="Arial" w:hAnsi="Arial" w:eastAsia="黑体"/>
      <w:b/>
      <w:sz w:val="28"/>
    </w:rPr>
  </w:style>
  <w:style w:type="character" w:customStyle="1" w:styleId="63">
    <w:name w:val="标题 5 字符"/>
    <w:link w:val="9"/>
    <w:qFormat/>
    <w:uiPriority w:val="0"/>
    <w:rPr>
      <w:b/>
      <w:sz w:val="28"/>
    </w:rPr>
  </w:style>
  <w:style w:type="character" w:customStyle="1" w:styleId="64">
    <w:name w:val="标题 6 字符"/>
    <w:link w:val="10"/>
    <w:qFormat/>
    <w:uiPriority w:val="0"/>
    <w:rPr>
      <w:rFonts w:ascii="Arial" w:hAnsi="Arial" w:eastAsia="黑体"/>
      <w:b/>
      <w:sz w:val="24"/>
    </w:rPr>
  </w:style>
  <w:style w:type="character" w:customStyle="1" w:styleId="65">
    <w:name w:val="标题 7 字符"/>
    <w:link w:val="11"/>
    <w:qFormat/>
    <w:uiPriority w:val="0"/>
    <w:rPr>
      <w:b/>
      <w:sz w:val="24"/>
    </w:rPr>
  </w:style>
  <w:style w:type="character" w:customStyle="1" w:styleId="66">
    <w:name w:val="标题 8 字符"/>
    <w:link w:val="12"/>
    <w:qFormat/>
    <w:uiPriority w:val="0"/>
    <w:rPr>
      <w:rFonts w:ascii="Arial" w:hAnsi="Arial" w:eastAsia="黑体"/>
      <w:sz w:val="24"/>
    </w:rPr>
  </w:style>
  <w:style w:type="character" w:customStyle="1" w:styleId="67">
    <w:name w:val="标题 9 字符"/>
    <w:link w:val="13"/>
    <w:qFormat/>
    <w:uiPriority w:val="0"/>
    <w:rPr>
      <w:rFonts w:ascii="Arial" w:hAnsi="Arial" w:eastAsia="黑体"/>
      <w:sz w:val="21"/>
    </w:rPr>
  </w:style>
  <w:style w:type="character" w:customStyle="1" w:styleId="68">
    <w:name w:val="正文缩进 字符"/>
    <w:link w:val="15"/>
    <w:qFormat/>
    <w:uiPriority w:val="0"/>
    <w:rPr>
      <w:rFonts w:ascii="宋体" w:eastAsia="宋体"/>
      <w:kern w:val="2"/>
      <w:sz w:val="24"/>
      <w:szCs w:val="24"/>
      <w:lang w:val="en-US" w:eastAsia="zh-CN" w:bidi="ar-SA"/>
    </w:rPr>
  </w:style>
  <w:style w:type="character" w:customStyle="1" w:styleId="69">
    <w:name w:val="文档结构图 字符"/>
    <w:link w:val="18"/>
    <w:qFormat/>
    <w:uiPriority w:val="0"/>
    <w:rPr>
      <w:kern w:val="2"/>
      <w:sz w:val="21"/>
      <w:szCs w:val="24"/>
      <w:shd w:val="clear" w:color="auto" w:fill="000080"/>
    </w:rPr>
  </w:style>
  <w:style w:type="character" w:customStyle="1" w:styleId="70">
    <w:name w:val="批注文字 字符1"/>
    <w:link w:val="19"/>
    <w:qFormat/>
    <w:uiPriority w:val="99"/>
    <w:rPr>
      <w:kern w:val="2"/>
      <w:sz w:val="21"/>
      <w:szCs w:val="24"/>
    </w:rPr>
  </w:style>
  <w:style w:type="character" w:customStyle="1" w:styleId="71">
    <w:name w:val="正文文本 3 字符"/>
    <w:link w:val="20"/>
    <w:qFormat/>
    <w:uiPriority w:val="0"/>
    <w:rPr>
      <w:kern w:val="2"/>
      <w:sz w:val="16"/>
      <w:szCs w:val="16"/>
    </w:rPr>
  </w:style>
  <w:style w:type="character" w:customStyle="1" w:styleId="72">
    <w:name w:val="正文文本缩进 字符"/>
    <w:link w:val="3"/>
    <w:qFormat/>
    <w:uiPriority w:val="0"/>
    <w:rPr>
      <w:rFonts w:eastAsia="宋体"/>
      <w:kern w:val="2"/>
      <w:sz w:val="24"/>
      <w:szCs w:val="24"/>
      <w:lang w:val="en-US" w:eastAsia="zh-CN" w:bidi="ar-SA"/>
    </w:rPr>
  </w:style>
  <w:style w:type="character" w:customStyle="1" w:styleId="73">
    <w:name w:val="纯文本 字符2"/>
    <w:link w:val="26"/>
    <w:qFormat/>
    <w:uiPriority w:val="0"/>
    <w:rPr>
      <w:rFonts w:hint="eastAsia" w:ascii="宋体" w:hAnsi="Courier New" w:eastAsia="宋体" w:cs="宋体"/>
      <w:kern w:val="2"/>
      <w:sz w:val="21"/>
    </w:rPr>
  </w:style>
  <w:style w:type="character" w:customStyle="1" w:styleId="74">
    <w:name w:val="日期 字符"/>
    <w:link w:val="28"/>
    <w:qFormat/>
    <w:uiPriority w:val="0"/>
    <w:rPr>
      <w:rFonts w:ascii="仿宋_GB2312" w:hAnsi="宋体" w:eastAsia="仿宋_GB2312"/>
      <w:color w:val="000000"/>
      <w:kern w:val="2"/>
      <w:sz w:val="24"/>
      <w:szCs w:val="24"/>
    </w:rPr>
  </w:style>
  <w:style w:type="character" w:customStyle="1" w:styleId="75">
    <w:name w:val="正文文本缩进 2 字符"/>
    <w:link w:val="29"/>
    <w:qFormat/>
    <w:uiPriority w:val="0"/>
    <w:rPr>
      <w:rFonts w:ascii="仿宋_GB2312" w:eastAsia="仿宋_GB2312"/>
      <w:kern w:val="2"/>
      <w:sz w:val="24"/>
      <w:szCs w:val="24"/>
    </w:rPr>
  </w:style>
  <w:style w:type="character" w:customStyle="1" w:styleId="76">
    <w:name w:val="批注框文本 字符"/>
    <w:link w:val="30"/>
    <w:qFormat/>
    <w:uiPriority w:val="0"/>
    <w:rPr>
      <w:kern w:val="2"/>
      <w:sz w:val="18"/>
      <w:szCs w:val="18"/>
    </w:rPr>
  </w:style>
  <w:style w:type="character" w:customStyle="1" w:styleId="77">
    <w:name w:val="页脚 字符"/>
    <w:link w:val="31"/>
    <w:qFormat/>
    <w:uiPriority w:val="99"/>
    <w:rPr>
      <w:rFonts w:ascii="宋体" w:eastAsia="宋体"/>
      <w:sz w:val="18"/>
      <w:lang w:val="en-US" w:eastAsia="zh-CN" w:bidi="ar-SA"/>
    </w:rPr>
  </w:style>
  <w:style w:type="character" w:customStyle="1" w:styleId="78">
    <w:name w:val="页眉 字符"/>
    <w:link w:val="32"/>
    <w:qFormat/>
    <w:uiPriority w:val="99"/>
    <w:rPr>
      <w:rFonts w:eastAsia="宋体"/>
      <w:kern w:val="2"/>
      <w:sz w:val="18"/>
      <w:szCs w:val="18"/>
      <w:lang w:val="en-US" w:eastAsia="zh-CN" w:bidi="ar-SA"/>
    </w:rPr>
  </w:style>
  <w:style w:type="character" w:customStyle="1" w:styleId="79">
    <w:name w:val="正文文本缩进 3 字符"/>
    <w:link w:val="37"/>
    <w:qFormat/>
    <w:uiPriority w:val="0"/>
    <w:rPr>
      <w:rFonts w:ascii="宋体"/>
      <w:sz w:val="24"/>
    </w:rPr>
  </w:style>
  <w:style w:type="character" w:customStyle="1" w:styleId="80">
    <w:name w:val="HTML 预设格式 字符"/>
    <w:link w:val="40"/>
    <w:qFormat/>
    <w:uiPriority w:val="0"/>
    <w:rPr>
      <w:rFonts w:ascii="宋体" w:hAnsi="宋体" w:cs="宋体"/>
      <w:sz w:val="24"/>
      <w:szCs w:val="24"/>
    </w:rPr>
  </w:style>
  <w:style w:type="character" w:customStyle="1" w:styleId="81">
    <w:name w:val="标题 字符"/>
    <w:link w:val="43"/>
    <w:qFormat/>
    <w:uiPriority w:val="0"/>
    <w:rPr>
      <w:b/>
      <w:kern w:val="2"/>
      <w:sz w:val="32"/>
    </w:rPr>
  </w:style>
  <w:style w:type="character" w:customStyle="1" w:styleId="82">
    <w:name w:val="批注主题 字符"/>
    <w:link w:val="44"/>
    <w:qFormat/>
    <w:uiPriority w:val="0"/>
    <w:rPr>
      <w:rFonts w:ascii="Times New Roman" w:hAnsi="Times New Roman" w:eastAsia="宋体" w:cs="Times New Roman"/>
      <w:b/>
      <w:bCs/>
      <w:kern w:val="2"/>
      <w:sz w:val="21"/>
      <w:szCs w:val="24"/>
      <w:lang w:val="en-US" w:eastAsia="zh-CN" w:bidi="ar-SA"/>
    </w:rPr>
  </w:style>
  <w:style w:type="character" w:customStyle="1" w:styleId="83">
    <w:name w:val="正文文本首行缩进 2 字符"/>
    <w:link w:val="2"/>
    <w:qFormat/>
    <w:uiPriority w:val="0"/>
    <w:rPr>
      <w:rFonts w:eastAsia="宋体"/>
      <w:kern w:val="2"/>
      <w:sz w:val="24"/>
      <w:szCs w:val="24"/>
      <w:lang w:val="en-US" w:eastAsia="zh-CN" w:bidi="ar-SA"/>
    </w:rPr>
  </w:style>
  <w:style w:type="character" w:customStyle="1" w:styleId="84">
    <w:name w:val="标题 1 字符"/>
    <w:link w:val="5"/>
    <w:qFormat/>
    <w:uiPriority w:val="0"/>
    <w:rPr>
      <w:rFonts w:ascii="宋体"/>
      <w:b/>
      <w:kern w:val="44"/>
      <w:sz w:val="32"/>
    </w:rPr>
  </w:style>
  <w:style w:type="paragraph" w:customStyle="1" w:styleId="85">
    <w:name w:val="首行缩进"/>
    <w:basedOn w:val="1"/>
    <w:qFormat/>
    <w:uiPriority w:val="0"/>
    <w:pPr>
      <w:ind w:firstLine="480"/>
    </w:pPr>
  </w:style>
  <w:style w:type="character" w:customStyle="1" w:styleId="86">
    <w:name w:val="批注文字 字符"/>
    <w:qFormat/>
    <w:uiPriority w:val="99"/>
    <w:rPr>
      <w:rFonts w:ascii="Times New Roman" w:hAnsi="Times New Roman" w:eastAsia="宋体" w:cs="Times New Roman"/>
      <w:sz w:val="24"/>
      <w:lang w:val="en-US" w:eastAsia="zh-CN" w:bidi="ar-SA"/>
    </w:rPr>
  </w:style>
  <w:style w:type="paragraph" w:customStyle="1" w:styleId="87">
    <w:name w:val="正文缩进1"/>
    <w:basedOn w:val="1"/>
    <w:link w:val="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88">
    <w:name w:val="正文缩进 Char Char"/>
    <w:link w:val="87"/>
    <w:qFormat/>
    <w:uiPriority w:val="0"/>
    <w:rPr>
      <w:rFonts w:ascii="宋体" w:eastAsia="宋体"/>
      <w:snapToGrid w:val="0"/>
      <w:color w:val="000000"/>
      <w:kern w:val="28"/>
      <w:sz w:val="28"/>
      <w:lang w:bidi="ar-SA"/>
    </w:rPr>
  </w:style>
  <w:style w:type="paragraph" w:customStyle="1" w:styleId="89">
    <w:name w:val="BodyText1I2"/>
    <w:basedOn w:val="90"/>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90">
    <w:name w:val="BodyTextIndent"/>
    <w:basedOn w:val="1"/>
    <w:next w:val="91"/>
    <w:qFormat/>
    <w:uiPriority w:val="0"/>
    <w:pPr>
      <w:spacing w:line="360" w:lineRule="auto"/>
      <w:ind w:firstLine="480"/>
      <w:jc w:val="left"/>
      <w:textAlignment w:val="baseline"/>
    </w:pPr>
    <w:rPr>
      <w:rFonts w:ascii="宋体" w:hAnsi="宋体"/>
      <w:kern w:val="0"/>
      <w:sz w:val="24"/>
    </w:rPr>
  </w:style>
  <w:style w:type="paragraph" w:customStyle="1" w:styleId="91">
    <w:name w:val="EnvelopeReturn"/>
    <w:basedOn w:val="1"/>
    <w:qFormat/>
    <w:uiPriority w:val="0"/>
    <w:pPr>
      <w:snapToGrid w:val="0"/>
      <w:textAlignment w:val="baseline"/>
    </w:pPr>
    <w:rPr>
      <w:rFonts w:ascii="Arial" w:hAnsi="Arial"/>
    </w:rPr>
  </w:style>
  <w:style w:type="character" w:customStyle="1" w:styleId="92">
    <w:name w:val="c21"/>
    <w:qFormat/>
    <w:uiPriority w:val="0"/>
    <w:rPr>
      <w:rFonts w:hint="default" w:ascii="ˎ̥" w:hAnsi="ˎ̥"/>
      <w:color w:val="000000"/>
      <w:sz w:val="20"/>
      <w:szCs w:val="20"/>
      <w:u w:val="none"/>
    </w:rPr>
  </w:style>
  <w:style w:type="character" w:customStyle="1" w:styleId="93">
    <w:name w:val="title4"/>
    <w:qFormat/>
    <w:uiPriority w:val="0"/>
    <w:rPr>
      <w:b/>
      <w:bCs/>
      <w:color w:val="1D87B3"/>
      <w:sz w:val="15"/>
      <w:szCs w:val="15"/>
    </w:rPr>
  </w:style>
  <w:style w:type="character" w:customStyle="1" w:styleId="94">
    <w:name w:val="标题 2 Char Char"/>
    <w:qFormat/>
    <w:uiPriority w:val="0"/>
    <w:rPr>
      <w:rFonts w:ascii="Arial" w:hAnsi="Arial" w:eastAsia="黑体"/>
      <w:b/>
      <w:bCs/>
      <w:kern w:val="2"/>
      <w:sz w:val="32"/>
      <w:szCs w:val="32"/>
      <w:lang w:val="en-US" w:eastAsia="zh-CN" w:bidi="ar-SA"/>
    </w:rPr>
  </w:style>
  <w:style w:type="character" w:customStyle="1" w:styleId="95">
    <w:name w:val="black1"/>
    <w:qFormat/>
    <w:uiPriority w:val="0"/>
    <w:rPr>
      <w:color w:val="000000"/>
    </w:rPr>
  </w:style>
  <w:style w:type="character" w:customStyle="1" w:styleId="96">
    <w:name w:val="street-address"/>
    <w:qFormat/>
    <w:uiPriority w:val="0"/>
  </w:style>
  <w:style w:type="character" w:customStyle="1" w:styleId="97">
    <w:name w:val="locality"/>
    <w:qFormat/>
    <w:uiPriority w:val="0"/>
  </w:style>
  <w:style w:type="character" w:customStyle="1" w:styleId="98">
    <w:name w:val="正文文本缩进 Char1"/>
    <w:link w:val="99"/>
    <w:qFormat/>
    <w:uiPriority w:val="0"/>
    <w:rPr>
      <w:rFonts w:ascii="宋体" w:hAnsi="宋体" w:eastAsia="宋体"/>
      <w:sz w:val="24"/>
      <w:szCs w:val="24"/>
      <w:lang w:bidi="ar-SA"/>
    </w:rPr>
  </w:style>
  <w:style w:type="paragraph" w:customStyle="1" w:styleId="99">
    <w:name w:val="正文文本缩进1"/>
    <w:basedOn w:val="1"/>
    <w:link w:val="98"/>
    <w:qFormat/>
    <w:uiPriority w:val="0"/>
    <w:pPr>
      <w:spacing w:line="480" w:lineRule="exact"/>
      <w:ind w:firstLine="480" w:firstLineChars="200"/>
    </w:pPr>
    <w:rPr>
      <w:rFonts w:ascii="宋体" w:hAnsi="宋体"/>
      <w:kern w:val="0"/>
      <w:sz w:val="24"/>
    </w:rPr>
  </w:style>
  <w:style w:type="character" w:customStyle="1" w:styleId="100">
    <w:name w:val="Char Char11"/>
    <w:qFormat/>
    <w:uiPriority w:val="0"/>
    <w:rPr>
      <w:rFonts w:ascii="宋体" w:eastAsia="宋体"/>
      <w:b/>
      <w:sz w:val="24"/>
      <w:u w:val="single"/>
      <w:lang w:val="en-US" w:eastAsia="zh-CN" w:bidi="ar-SA"/>
    </w:rPr>
  </w:style>
  <w:style w:type="character" w:customStyle="1" w:styleId="101">
    <w:name w:val="txt"/>
    <w:qFormat/>
    <w:uiPriority w:val="0"/>
  </w:style>
  <w:style w:type="character" w:customStyle="1" w:styleId="102">
    <w:name w:val="普通文字1 Char1"/>
    <w:qFormat/>
    <w:uiPriority w:val="0"/>
    <w:rPr>
      <w:rFonts w:ascii="宋体" w:hAnsi="Courier New" w:eastAsia="宋体"/>
      <w:kern w:val="2"/>
      <w:sz w:val="21"/>
      <w:lang w:val="en-US" w:eastAsia="zh-CN" w:bidi="ar-SA"/>
    </w:rPr>
  </w:style>
  <w:style w:type="character" w:customStyle="1" w:styleId="103">
    <w:name w:val="chanpin1"/>
    <w:qFormat/>
    <w:uiPriority w:val="0"/>
    <w:rPr>
      <w:rFonts w:hint="default" w:ascii="ˎ̥" w:hAnsi="ˎ̥"/>
      <w:color w:val="000000"/>
      <w:sz w:val="20"/>
      <w:szCs w:val="20"/>
      <w:u w:val="none"/>
    </w:rPr>
  </w:style>
  <w:style w:type="character" w:customStyle="1" w:styleId="104">
    <w:name w:val="列表段落 字符"/>
    <w:link w:val="105"/>
    <w:qFormat/>
    <w:uiPriority w:val="34"/>
    <w:rPr>
      <w:rFonts w:ascii="Calibri" w:hAnsi="Calibri" w:eastAsia="宋体"/>
      <w:kern w:val="2"/>
      <w:sz w:val="21"/>
      <w:szCs w:val="22"/>
      <w:lang w:val="en-US" w:eastAsia="zh-CN" w:bidi="ar-SA"/>
    </w:rPr>
  </w:style>
  <w:style w:type="paragraph" w:styleId="105">
    <w:name w:val="List Paragraph"/>
    <w:basedOn w:val="1"/>
    <w:link w:val="104"/>
    <w:qFormat/>
    <w:uiPriority w:val="34"/>
    <w:pPr>
      <w:ind w:firstLine="420" w:firstLineChars="200"/>
    </w:pPr>
    <w:rPr>
      <w:rFonts w:ascii="Calibri" w:hAnsi="Calibri"/>
      <w:szCs w:val="22"/>
    </w:rPr>
  </w:style>
  <w:style w:type="character" w:customStyle="1" w:styleId="106">
    <w:name w:val="标题 3 Char Char"/>
    <w:qFormat/>
    <w:uiPriority w:val="0"/>
    <w:rPr>
      <w:rFonts w:eastAsia="宋体"/>
      <w:b/>
      <w:bCs/>
      <w:kern w:val="2"/>
      <w:sz w:val="32"/>
      <w:szCs w:val="32"/>
      <w:lang w:val="en-US" w:eastAsia="zh-CN" w:bidi="ar-SA"/>
    </w:rPr>
  </w:style>
  <w:style w:type="character" w:customStyle="1" w:styleId="107">
    <w:name w:val="段1 Char"/>
    <w:qFormat/>
    <w:uiPriority w:val="0"/>
    <w:rPr>
      <w:rFonts w:ascii="宋体" w:eastAsia="宋体"/>
      <w:sz w:val="24"/>
      <w:lang w:val="en-US" w:eastAsia="zh-CN" w:bidi="ar-SA"/>
    </w:rPr>
  </w:style>
  <w:style w:type="character" w:customStyle="1" w:styleId="108">
    <w:name w:val="chanpin拷贝"/>
    <w:qFormat/>
    <w:uiPriority w:val="0"/>
  </w:style>
  <w:style w:type="character" w:customStyle="1" w:styleId="109">
    <w:name w:val="纯文本 Char1"/>
    <w:qFormat/>
    <w:uiPriority w:val="0"/>
    <w:rPr>
      <w:rFonts w:ascii="宋体" w:hAnsi="Courier New" w:eastAsia="宋体"/>
      <w:kern w:val="2"/>
      <w:sz w:val="21"/>
      <w:lang w:val="en-US" w:eastAsia="zh-CN" w:bidi="ar-SA"/>
    </w:rPr>
  </w:style>
  <w:style w:type="character" w:customStyle="1" w:styleId="110">
    <w:name w:val="apple-style-span"/>
    <w:qFormat/>
    <w:uiPriority w:val="0"/>
    <w:rPr>
      <w:rFonts w:cs="Times New Roman"/>
    </w:rPr>
  </w:style>
  <w:style w:type="paragraph" w:customStyle="1" w:styleId="111">
    <w:name w:val="二级条标题"/>
    <w:basedOn w:val="11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2">
    <w:name w:val="一级条标题"/>
    <w:basedOn w:val="113"/>
    <w:next w:val="1"/>
    <w:qFormat/>
    <w:uiPriority w:val="0"/>
    <w:pPr>
      <w:numPr>
        <w:ilvl w:val="1"/>
      </w:numPr>
      <w:tabs>
        <w:tab w:val="left" w:pos="360"/>
        <w:tab w:val="left" w:pos="840"/>
      </w:tabs>
      <w:ind w:left="0" w:hanging="840"/>
      <w:outlineLvl w:val="1"/>
    </w:pPr>
  </w:style>
  <w:style w:type="paragraph" w:customStyle="1" w:styleId="11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5">
    <w:name w:val="字元 字元"/>
    <w:basedOn w:val="1"/>
    <w:qFormat/>
    <w:uiPriority w:val="0"/>
    <w:rPr>
      <w:rFonts w:ascii="Tahoma" w:hAnsi="Tahoma"/>
      <w:sz w:val="24"/>
      <w:szCs w:val="20"/>
    </w:rPr>
  </w:style>
  <w:style w:type="paragraph" w:customStyle="1" w:styleId="116">
    <w:name w:val="Char3 Char Char Char"/>
    <w:basedOn w:val="1"/>
    <w:qFormat/>
    <w:uiPriority w:val="0"/>
    <w:rPr>
      <w:rFonts w:ascii="Tahoma" w:hAnsi="Tahoma"/>
      <w:sz w:val="24"/>
      <w:szCs w:val="20"/>
    </w:rPr>
  </w:style>
  <w:style w:type="paragraph" w:customStyle="1" w:styleId="11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8">
    <w:name w:val="项目编号2"/>
    <w:basedOn w:val="119"/>
    <w:qFormat/>
    <w:uiPriority w:val="0"/>
    <w:pPr>
      <w:numPr>
        <w:numId w:val="2"/>
      </w:numPr>
    </w:pPr>
  </w:style>
  <w:style w:type="paragraph" w:customStyle="1" w:styleId="11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20">
    <w:name w:val="图中文字"/>
    <w:basedOn w:val="1"/>
    <w:qFormat/>
    <w:uiPriority w:val="0"/>
    <w:pPr>
      <w:adjustRightInd w:val="0"/>
      <w:snapToGrid w:val="0"/>
      <w:spacing w:line="0" w:lineRule="atLeast"/>
      <w:jc w:val="center"/>
    </w:pPr>
    <w:rPr>
      <w:sz w:val="24"/>
      <w:szCs w:val="20"/>
    </w:rPr>
  </w:style>
  <w:style w:type="paragraph" w:customStyle="1" w:styleId="12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3">
    <w:name w:val="Char2"/>
    <w:basedOn w:val="1"/>
    <w:qFormat/>
    <w:uiPriority w:val="0"/>
    <w:rPr>
      <w:rFonts w:ascii="Tahoma" w:hAnsi="Tahoma"/>
      <w:sz w:val="24"/>
      <w:szCs w:val="20"/>
    </w:rPr>
  </w:style>
  <w:style w:type="paragraph" w:customStyle="1" w:styleId="12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3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7">
    <w:name w:val="font8"/>
    <w:basedOn w:val="1"/>
    <w:qFormat/>
    <w:uiPriority w:val="0"/>
    <w:pPr>
      <w:widowControl/>
      <w:spacing w:before="100" w:beforeAutospacing="1" w:after="100" w:afterAutospacing="1"/>
      <w:jc w:val="left"/>
    </w:pPr>
    <w:rPr>
      <w:kern w:val="0"/>
      <w:sz w:val="36"/>
      <w:szCs w:val="36"/>
    </w:rPr>
  </w:style>
  <w:style w:type="paragraph" w:customStyle="1" w:styleId="138">
    <w:name w:val="Char"/>
    <w:basedOn w:val="1"/>
    <w:qFormat/>
    <w:uiPriority w:val="0"/>
    <w:pPr>
      <w:tabs>
        <w:tab w:val="left" w:pos="360"/>
      </w:tabs>
    </w:pPr>
    <w:rPr>
      <w:sz w:val="24"/>
    </w:rPr>
  </w:style>
  <w:style w:type="paragraph" w:customStyle="1" w:styleId="13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4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Char1"/>
    <w:basedOn w:val="18"/>
    <w:qFormat/>
    <w:uiPriority w:val="0"/>
    <w:rPr>
      <w:rFonts w:ascii="Tahoma" w:hAnsi="Tahoma"/>
      <w:sz w:val="24"/>
    </w:rPr>
  </w:style>
  <w:style w:type="paragraph" w:customStyle="1" w:styleId="1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7">
    <w:name w:val="Char1 Char Char Char1"/>
    <w:basedOn w:val="1"/>
    <w:qFormat/>
    <w:uiPriority w:val="0"/>
    <w:rPr>
      <w:rFonts w:ascii="Tahoma" w:hAnsi="Tahoma" w:cs="仿宋_GB2312"/>
      <w:sz w:val="24"/>
      <w:szCs w:val="28"/>
    </w:rPr>
  </w:style>
  <w:style w:type="paragraph" w:customStyle="1" w:styleId="148">
    <w:name w:val="四级条标题"/>
    <w:basedOn w:val="149"/>
    <w:next w:val="1"/>
    <w:qFormat/>
    <w:uiPriority w:val="0"/>
    <w:pPr>
      <w:numPr>
        <w:ilvl w:val="4"/>
      </w:numPr>
      <w:tabs>
        <w:tab w:val="left" w:pos="360"/>
        <w:tab w:val="left" w:pos="840"/>
      </w:tabs>
      <w:ind w:left="0" w:hanging="840"/>
      <w:outlineLvl w:val="4"/>
    </w:pPr>
  </w:style>
  <w:style w:type="paragraph" w:customStyle="1" w:styleId="149">
    <w:name w:val="三级条标题"/>
    <w:basedOn w:val="111"/>
    <w:next w:val="1"/>
    <w:qFormat/>
    <w:uiPriority w:val="0"/>
    <w:pPr>
      <w:numPr>
        <w:ilvl w:val="3"/>
        <w:numId w:val="1"/>
      </w:numPr>
      <w:ind w:left="0" w:hanging="840"/>
      <w:outlineLvl w:val="3"/>
    </w:pPr>
  </w:style>
  <w:style w:type="paragraph" w:customStyle="1" w:styleId="15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1">
    <w:name w:val="样式 标题 2 + 宋体 五号 行距: 单倍行距"/>
    <w:basedOn w:val="6"/>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2">
    <w:name w:val="List Paragraph1"/>
    <w:basedOn w:val="1"/>
    <w:qFormat/>
    <w:uiPriority w:val="0"/>
    <w:pPr>
      <w:ind w:firstLine="420" w:firstLineChars="200"/>
    </w:pPr>
    <w:rPr>
      <w:rFonts w:ascii="Calibri" w:hAnsi="Calibri"/>
      <w:szCs w:val="22"/>
    </w:rPr>
  </w:style>
  <w:style w:type="paragraph" w:customStyle="1" w:styleId="153">
    <w:name w:val="项目符号1"/>
    <w:basedOn w:val="154"/>
    <w:qFormat/>
    <w:uiPriority w:val="0"/>
    <w:pPr>
      <w:ind w:left="-25" w:firstLine="0"/>
    </w:pPr>
  </w:style>
  <w:style w:type="paragraph" w:customStyle="1" w:styleId="154">
    <w:name w:val="正文文本样式"/>
    <w:basedOn w:val="1"/>
    <w:qFormat/>
    <w:uiPriority w:val="0"/>
    <w:pPr>
      <w:spacing w:line="360" w:lineRule="auto"/>
      <w:ind w:firstLine="482"/>
    </w:pPr>
    <w:rPr>
      <w:rFonts w:cs="宋体"/>
      <w:sz w:val="24"/>
      <w:szCs w:val="20"/>
    </w:rPr>
  </w:style>
  <w:style w:type="paragraph" w:customStyle="1" w:styleId="1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五级条标题"/>
    <w:basedOn w:val="148"/>
    <w:next w:val="1"/>
    <w:qFormat/>
    <w:uiPriority w:val="0"/>
    <w:pPr>
      <w:numPr>
        <w:ilvl w:val="5"/>
      </w:numPr>
      <w:ind w:left="0" w:hanging="840"/>
      <w:outlineLvl w:val="5"/>
    </w:pPr>
  </w:style>
  <w:style w:type="paragraph" w:customStyle="1" w:styleId="15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9">
    <w:name w:val="文档正文"/>
    <w:basedOn w:val="1"/>
    <w:qFormat/>
    <w:uiPriority w:val="0"/>
    <w:pPr>
      <w:snapToGrid w:val="0"/>
      <w:spacing w:before="120" w:after="120" w:line="180" w:lineRule="auto"/>
    </w:pPr>
    <w:rPr>
      <w:rFonts w:ascii="Arial" w:hAnsi="Arial"/>
      <w:szCs w:val="20"/>
    </w:rPr>
  </w:style>
  <w:style w:type="paragraph" w:customStyle="1" w:styleId="16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2">
    <w:name w:val="Char Char Char1 Char"/>
    <w:basedOn w:val="1"/>
    <w:qFormat/>
    <w:uiPriority w:val="0"/>
    <w:rPr>
      <w:rFonts w:ascii="Tahoma" w:hAnsi="Tahoma"/>
      <w:sz w:val="24"/>
      <w:szCs w:val="20"/>
    </w:rPr>
  </w:style>
  <w:style w:type="paragraph" w:customStyle="1" w:styleId="16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4">
    <w:name w:val="1名"/>
    <w:basedOn w:val="1"/>
    <w:qFormat/>
    <w:uiPriority w:val="0"/>
    <w:pPr>
      <w:numPr>
        <w:ilvl w:val="0"/>
        <w:numId w:val="5"/>
      </w:numPr>
      <w:spacing w:before="120"/>
    </w:pPr>
    <w:rPr>
      <w:rFonts w:ascii="宋体"/>
      <w:sz w:val="28"/>
      <w:szCs w:val="20"/>
    </w:rPr>
  </w:style>
  <w:style w:type="paragraph" w:customStyle="1" w:styleId="16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6">
    <w:name w:val="Char Char Char1 Char1"/>
    <w:basedOn w:val="1"/>
    <w:qFormat/>
    <w:uiPriority w:val="0"/>
    <w:rPr>
      <w:rFonts w:ascii="Tahoma" w:hAnsi="Tahoma"/>
      <w:sz w:val="24"/>
      <w:szCs w:val="20"/>
    </w:rPr>
  </w:style>
  <w:style w:type="paragraph" w:customStyle="1" w:styleId="167">
    <w:name w:val="Char Char Char Char Char Char Char Char Char Char"/>
    <w:basedOn w:val="1"/>
    <w:qFormat/>
    <w:uiPriority w:val="0"/>
  </w:style>
  <w:style w:type="paragraph" w:customStyle="1" w:styleId="16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Char1"/>
    <w:basedOn w:val="1"/>
    <w:qFormat/>
    <w:uiPriority w:val="0"/>
    <w:pPr>
      <w:tabs>
        <w:tab w:val="left" w:pos="360"/>
      </w:tabs>
    </w:pPr>
    <w:rPr>
      <w:sz w:val="24"/>
    </w:rPr>
  </w:style>
  <w:style w:type="paragraph" w:customStyle="1" w:styleId="17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3">
    <w:name w:val="默认段落字体 Para Char Char Char Char"/>
    <w:basedOn w:val="1"/>
    <w:qFormat/>
    <w:uiPriority w:val="0"/>
    <w:rPr>
      <w:rFonts w:ascii="Arial" w:hAnsi="Arial" w:cs="Arial"/>
      <w:szCs w:val="21"/>
    </w:rPr>
  </w:style>
  <w:style w:type="paragraph" w:customStyle="1" w:styleId="17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7">
    <w:name w:val="Char Char Char"/>
    <w:basedOn w:val="1"/>
    <w:qFormat/>
    <w:uiPriority w:val="0"/>
    <w:rPr>
      <w:rFonts w:ascii="Tahoma" w:hAnsi="Tahoma"/>
      <w:sz w:val="24"/>
      <w:szCs w:val="20"/>
    </w:rPr>
  </w:style>
  <w:style w:type="paragraph" w:customStyle="1" w:styleId="17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9">
    <w:name w:val="缺省文本"/>
    <w:basedOn w:val="1"/>
    <w:qFormat/>
    <w:uiPriority w:val="0"/>
    <w:pPr>
      <w:autoSpaceDE w:val="0"/>
      <w:autoSpaceDN w:val="0"/>
      <w:adjustRightInd w:val="0"/>
      <w:jc w:val="left"/>
    </w:pPr>
    <w:rPr>
      <w:kern w:val="0"/>
      <w:sz w:val="24"/>
    </w:rPr>
  </w:style>
  <w:style w:type="paragraph" w:customStyle="1" w:styleId="180">
    <w:name w:val="Char Char Char1"/>
    <w:basedOn w:val="1"/>
    <w:qFormat/>
    <w:uiPriority w:val="0"/>
    <w:rPr>
      <w:rFonts w:ascii="Tahoma" w:hAnsi="Tahoma"/>
      <w:sz w:val="24"/>
      <w:szCs w:val="20"/>
    </w:rPr>
  </w:style>
  <w:style w:type="paragraph" w:customStyle="1" w:styleId="18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3">
    <w:name w:val="样式2"/>
    <w:basedOn w:val="42"/>
    <w:qFormat/>
    <w:uiPriority w:val="0"/>
    <w:pPr>
      <w:spacing w:line="360" w:lineRule="auto"/>
      <w:jc w:val="center"/>
    </w:pPr>
    <w:rPr>
      <w:sz w:val="24"/>
    </w:rPr>
  </w:style>
  <w:style w:type="paragraph" w:customStyle="1" w:styleId="1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6">
    <w:name w:val="正文 + 楷体_GB2312"/>
    <w:basedOn w:val="1"/>
    <w:qFormat/>
    <w:uiPriority w:val="0"/>
    <w:pPr>
      <w:widowControl/>
      <w:jc w:val="left"/>
    </w:pPr>
    <w:rPr>
      <w:rFonts w:ascii="楷体_GB2312" w:eastAsia="楷体_GB2312" w:cs="Arial"/>
      <w:kern w:val="0"/>
      <w:sz w:val="24"/>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8">
    <w:name w:val="1 Char Char Char Char"/>
    <w:basedOn w:val="1"/>
    <w:qFormat/>
    <w:uiPriority w:val="0"/>
    <w:rPr>
      <w:rFonts w:ascii="Tahoma" w:hAnsi="Tahoma"/>
      <w:sz w:val="24"/>
      <w:szCs w:val="20"/>
    </w:rPr>
  </w:style>
  <w:style w:type="paragraph" w:customStyle="1" w:styleId="18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0">
    <w:name w:val="列出段落1"/>
    <w:basedOn w:val="1"/>
    <w:qFormat/>
    <w:uiPriority w:val="0"/>
    <w:pPr>
      <w:ind w:firstLine="420" w:firstLineChars="200"/>
    </w:pPr>
    <w:rPr>
      <w:rFonts w:ascii="Calibri" w:hAnsi="Calibri"/>
      <w:szCs w:val="22"/>
    </w:rPr>
  </w:style>
  <w:style w:type="paragraph" w:customStyle="1" w:styleId="19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字元 字元1"/>
    <w:basedOn w:val="1"/>
    <w:qFormat/>
    <w:uiPriority w:val="0"/>
    <w:rPr>
      <w:rFonts w:ascii="Tahoma" w:hAnsi="Tahoma"/>
      <w:sz w:val="24"/>
      <w:szCs w:val="20"/>
    </w:rPr>
  </w:style>
  <w:style w:type="paragraph" w:customStyle="1" w:styleId="193">
    <w:name w:val="_Style 160"/>
    <w:qFormat/>
    <w:uiPriority w:val="0"/>
    <w:rPr>
      <w:rFonts w:ascii="Times New Roman" w:hAnsi="Times New Roman" w:eastAsia="宋体" w:cs="Times New Roman"/>
      <w:kern w:val="2"/>
      <w:sz w:val="21"/>
      <w:szCs w:val="24"/>
      <w:lang w:val="en-US" w:eastAsia="zh-CN" w:bidi="ar-SA"/>
    </w:rPr>
  </w:style>
  <w:style w:type="paragraph" w:customStyle="1" w:styleId="194">
    <w:name w:val="项目编号3"/>
    <w:basedOn w:val="154"/>
    <w:qFormat/>
    <w:uiPriority w:val="0"/>
    <w:pPr>
      <w:numPr>
        <w:ilvl w:val="0"/>
        <w:numId w:val="6"/>
      </w:numPr>
    </w:pPr>
  </w:style>
  <w:style w:type="paragraph" w:customStyle="1" w:styleId="195">
    <w:name w:val="Char21"/>
    <w:basedOn w:val="1"/>
    <w:qFormat/>
    <w:uiPriority w:val="0"/>
    <w:rPr>
      <w:rFonts w:ascii="Tahoma" w:hAnsi="Tahoma"/>
      <w:sz w:val="24"/>
      <w:szCs w:val="20"/>
    </w:rPr>
  </w:style>
  <w:style w:type="paragraph" w:customStyle="1" w:styleId="196">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97">
    <w:name w:val="Char Char Char Char Char Char Char Char Char Char1"/>
    <w:basedOn w:val="1"/>
    <w:qFormat/>
    <w:uiPriority w:val="0"/>
    <w:rPr>
      <w:rFonts w:ascii="宋体" w:hAnsi="宋体" w:cs="Courier New"/>
      <w:sz w:val="32"/>
      <w:szCs w:val="32"/>
    </w:rPr>
  </w:style>
  <w:style w:type="paragraph" w:customStyle="1" w:styleId="198">
    <w:name w:val="正文文本样式 加粗"/>
    <w:basedOn w:val="154"/>
    <w:qFormat/>
    <w:uiPriority w:val="0"/>
    <w:rPr>
      <w:b/>
    </w:rPr>
  </w:style>
  <w:style w:type="paragraph" w:customStyle="1" w:styleId="199">
    <w:name w:val="Char2 Char Char Char Char Char Char"/>
    <w:basedOn w:val="1"/>
    <w:qFormat/>
    <w:uiPriority w:val="0"/>
    <w:pPr>
      <w:widowControl/>
      <w:spacing w:line="400" w:lineRule="exact"/>
      <w:jc w:val="center"/>
    </w:pPr>
  </w:style>
  <w:style w:type="paragraph" w:customStyle="1" w:styleId="200">
    <w:name w:val="Char Char4"/>
    <w:basedOn w:val="1"/>
    <w:qFormat/>
    <w:uiPriority w:val="0"/>
    <w:pPr>
      <w:widowControl/>
      <w:spacing w:line="400" w:lineRule="exact"/>
      <w:jc w:val="center"/>
    </w:pPr>
  </w:style>
  <w:style w:type="paragraph" w:customStyle="1" w:styleId="201">
    <w:name w:val="Char3 Char Char Char1"/>
    <w:basedOn w:val="1"/>
    <w:qFormat/>
    <w:uiPriority w:val="0"/>
    <w:rPr>
      <w:rFonts w:ascii="Tahoma" w:hAnsi="Tahoma"/>
      <w:sz w:val="24"/>
      <w:szCs w:val="20"/>
    </w:rPr>
  </w:style>
  <w:style w:type="paragraph" w:styleId="20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4">
    <w:name w:val="中等深浅网格 1 - 强调文字颜色 2 Char"/>
    <w:link w:val="205"/>
    <w:qFormat/>
    <w:uiPriority w:val="0"/>
    <w:rPr>
      <w:kern w:val="2"/>
      <w:sz w:val="21"/>
      <w:szCs w:val="24"/>
      <w:lang w:val="zh-CN" w:eastAsia="zh-CN"/>
    </w:rPr>
  </w:style>
  <w:style w:type="paragraph" w:customStyle="1" w:styleId="205">
    <w:name w:val="1"/>
    <w:link w:val="204"/>
    <w:qFormat/>
    <w:uiPriority w:val="0"/>
    <w:rPr>
      <w:rFonts w:ascii="Times New Roman" w:hAnsi="Times New Roman" w:eastAsia="宋体" w:cs="Times New Roman"/>
      <w:kern w:val="2"/>
      <w:sz w:val="21"/>
      <w:szCs w:val="24"/>
      <w:lang w:val="zh-CN" w:eastAsia="zh-CN" w:bidi="ar-SA"/>
    </w:rPr>
  </w:style>
  <w:style w:type="paragraph" w:customStyle="1" w:styleId="206">
    <w:name w:val="图文"/>
    <w:basedOn w:val="1"/>
    <w:qFormat/>
    <w:uiPriority w:val="0"/>
    <w:pPr>
      <w:adjustRightInd w:val="0"/>
      <w:snapToGrid w:val="0"/>
      <w:spacing w:after="50" w:line="360" w:lineRule="auto"/>
    </w:pPr>
    <w:rPr>
      <w:sz w:val="24"/>
    </w:rPr>
  </w:style>
  <w:style w:type="paragraph" w:customStyle="1" w:styleId="20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8">
    <w:name w:val="正文表格"/>
    <w:basedOn w:val="1"/>
    <w:link w:val="209"/>
    <w:qFormat/>
    <w:uiPriority w:val="0"/>
    <w:pPr>
      <w:adjustRightInd w:val="0"/>
      <w:snapToGrid w:val="0"/>
      <w:jc w:val="left"/>
    </w:pPr>
    <w:rPr>
      <w:rFonts w:ascii="宋体" w:hAnsi="宋体"/>
      <w:color w:val="000000"/>
      <w:szCs w:val="21"/>
    </w:rPr>
  </w:style>
  <w:style w:type="character" w:customStyle="1" w:styleId="209">
    <w:name w:val="正文表格 Char"/>
    <w:link w:val="208"/>
    <w:qFormat/>
    <w:uiPriority w:val="0"/>
    <w:rPr>
      <w:rFonts w:ascii="宋体" w:hAnsi="宋体"/>
      <w:color w:val="000000"/>
      <w:kern w:val="2"/>
      <w:sz w:val="21"/>
      <w:szCs w:val="21"/>
    </w:rPr>
  </w:style>
  <w:style w:type="paragraph" w:customStyle="1" w:styleId="210">
    <w:name w:val="正文重点"/>
    <w:basedOn w:val="1"/>
    <w:link w:val="211"/>
    <w:qFormat/>
    <w:uiPriority w:val="0"/>
    <w:pPr>
      <w:adjustRightInd w:val="0"/>
      <w:spacing w:line="360" w:lineRule="auto"/>
      <w:ind w:firstLine="482" w:firstLineChars="200"/>
      <w:jc w:val="left"/>
      <w:textAlignment w:val="baseline"/>
    </w:pPr>
    <w:rPr>
      <w:b/>
      <w:kern w:val="0"/>
      <w:sz w:val="24"/>
      <w:szCs w:val="20"/>
    </w:rPr>
  </w:style>
  <w:style w:type="character" w:customStyle="1" w:styleId="211">
    <w:name w:val="正文重点 Char"/>
    <w:link w:val="210"/>
    <w:qFormat/>
    <w:uiPriority w:val="0"/>
    <w:rPr>
      <w:b/>
      <w:sz w:val="24"/>
    </w:rPr>
  </w:style>
  <w:style w:type="paragraph" w:customStyle="1" w:styleId="212">
    <w:name w:val="标题1-附件"/>
    <w:basedOn w:val="5"/>
    <w:qFormat/>
    <w:uiPriority w:val="0"/>
    <w:pPr>
      <w:jc w:val="left"/>
    </w:pPr>
    <w:rPr>
      <w:sz w:val="24"/>
      <w:szCs w:val="24"/>
    </w:rPr>
  </w:style>
  <w:style w:type="paragraph" w:customStyle="1" w:styleId="213">
    <w:name w:val="正文小标题"/>
    <w:basedOn w:val="1"/>
    <w:next w:val="15"/>
    <w:link w:val="21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4">
    <w:name w:val="正文小标题 Char"/>
    <w:link w:val="213"/>
    <w:qFormat/>
    <w:uiPriority w:val="0"/>
    <w:rPr>
      <w:rFonts w:ascii="宋体" w:hAnsi="宋体"/>
      <w:b/>
      <w:i/>
      <w:color w:val="FF0000"/>
      <w:kern w:val="2"/>
      <w:sz w:val="24"/>
    </w:rPr>
  </w:style>
  <w:style w:type="paragraph" w:customStyle="1" w:styleId="215">
    <w:name w:val="正文大标题"/>
    <w:basedOn w:val="213"/>
    <w:next w:val="15"/>
    <w:link w:val="216"/>
    <w:qFormat/>
    <w:uiPriority w:val="0"/>
    <w:pPr>
      <w:jc w:val="center"/>
    </w:pPr>
    <w:rPr>
      <w:i w:val="0"/>
      <w:color w:val="000000"/>
      <w:sz w:val="28"/>
      <w:szCs w:val="21"/>
    </w:rPr>
  </w:style>
  <w:style w:type="character" w:customStyle="1" w:styleId="216">
    <w:name w:val="正文大标题 Char"/>
    <w:link w:val="215"/>
    <w:qFormat/>
    <w:uiPriority w:val="0"/>
    <w:rPr>
      <w:rFonts w:ascii="宋体" w:hAnsi="宋体"/>
      <w:b/>
      <w:color w:val="000000"/>
      <w:kern w:val="2"/>
      <w:sz w:val="28"/>
      <w:szCs w:val="21"/>
    </w:rPr>
  </w:style>
  <w:style w:type="paragraph" w:customStyle="1" w:styleId="217">
    <w:name w:val="注释"/>
    <w:basedOn w:val="1"/>
    <w:link w:val="218"/>
    <w:qFormat/>
    <w:uiPriority w:val="0"/>
    <w:pPr>
      <w:adjustRightInd w:val="0"/>
      <w:snapToGrid w:val="0"/>
      <w:ind w:left="420" w:hanging="420" w:hangingChars="200"/>
      <w:jc w:val="left"/>
    </w:pPr>
    <w:rPr>
      <w:rFonts w:ascii="宋体" w:hAnsi="宋体"/>
      <w:szCs w:val="21"/>
    </w:rPr>
  </w:style>
  <w:style w:type="character" w:customStyle="1" w:styleId="218">
    <w:name w:val="注释 Char"/>
    <w:link w:val="217"/>
    <w:qFormat/>
    <w:uiPriority w:val="0"/>
    <w:rPr>
      <w:rFonts w:ascii="宋体" w:hAnsi="宋体"/>
      <w:kern w:val="2"/>
      <w:sz w:val="21"/>
      <w:szCs w:val="21"/>
    </w:rPr>
  </w:style>
  <w:style w:type="paragraph" w:customStyle="1" w:styleId="21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2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2">
    <w:name w:val="纯文本 字符"/>
    <w:qFormat/>
    <w:uiPriority w:val="99"/>
    <w:rPr>
      <w:rFonts w:ascii="宋体" w:hAnsi="Courier New" w:eastAsia="宋体" w:cs="Times New Roman"/>
      <w:kern w:val="2"/>
      <w:sz w:val="21"/>
      <w:szCs w:val="21"/>
      <w:lang w:val="en-US" w:eastAsia="zh-CN" w:bidi="ar-SA"/>
    </w:rPr>
  </w:style>
  <w:style w:type="paragraph" w:customStyle="1" w:styleId="223">
    <w:name w:val="表格1"/>
    <w:basedOn w:val="1"/>
    <w:qFormat/>
    <w:uiPriority w:val="0"/>
    <w:pPr>
      <w:ind w:firstLine="480" w:firstLineChars="200"/>
      <w:jc w:val="center"/>
    </w:pPr>
    <w:rPr>
      <w:sz w:val="24"/>
      <w:szCs w:val="20"/>
    </w:rPr>
  </w:style>
  <w:style w:type="character" w:customStyle="1" w:styleId="224">
    <w:name w:val="纯文本 字符1"/>
    <w:qFormat/>
    <w:uiPriority w:val="0"/>
    <w:rPr>
      <w:rFonts w:ascii="宋体" w:hAnsi="Courier New"/>
    </w:rPr>
  </w:style>
  <w:style w:type="character" w:customStyle="1" w:styleId="225">
    <w:name w:val="bjh-p"/>
    <w:qFormat/>
    <w:uiPriority w:val="0"/>
  </w:style>
  <w:style w:type="paragraph" w:customStyle="1" w:styleId="22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7">
    <w:name w:val="正文格式 Char"/>
    <w:link w:val="228"/>
    <w:qFormat/>
    <w:locked/>
    <w:uiPriority w:val="0"/>
    <w:rPr>
      <w:rFonts w:ascii="宋体" w:hAnsi="宋体"/>
      <w:sz w:val="24"/>
      <w:szCs w:val="24"/>
      <w:lang w:val="en-GB"/>
    </w:rPr>
  </w:style>
  <w:style w:type="paragraph" w:customStyle="1" w:styleId="228">
    <w:name w:val="正文格式"/>
    <w:basedOn w:val="1"/>
    <w:link w:val="227"/>
    <w:qFormat/>
    <w:uiPriority w:val="0"/>
    <w:pPr>
      <w:spacing w:beforeLines="50" w:line="360" w:lineRule="auto"/>
      <w:ind w:firstLine="480" w:firstLineChars="200"/>
    </w:pPr>
    <w:rPr>
      <w:rFonts w:ascii="宋体" w:hAnsi="宋体"/>
      <w:kern w:val="0"/>
      <w:sz w:val="24"/>
      <w:lang w:val="en-GB"/>
    </w:rPr>
  </w:style>
  <w:style w:type="character" w:customStyle="1" w:styleId="229">
    <w:name w:val="标题 3 Char"/>
    <w:qFormat/>
    <w:uiPriority w:val="0"/>
    <w:rPr>
      <w:rFonts w:ascii="宋体" w:eastAsia="宋体"/>
      <w:b/>
      <w:sz w:val="24"/>
      <w:u w:val="single"/>
      <w:lang w:val="en-US" w:eastAsia="zh-CN" w:bidi="ar-SA"/>
    </w:rPr>
  </w:style>
  <w:style w:type="character" w:customStyle="1" w:styleId="230">
    <w:name w:val="正文缩进 Char"/>
    <w:qFormat/>
    <w:uiPriority w:val="0"/>
    <w:rPr>
      <w:rFonts w:ascii="宋体" w:eastAsia="宋体"/>
      <w:kern w:val="2"/>
      <w:sz w:val="24"/>
      <w:szCs w:val="24"/>
      <w:lang w:val="en-US" w:eastAsia="zh-CN" w:bidi="ar-SA"/>
    </w:rPr>
  </w:style>
  <w:style w:type="character" w:customStyle="1" w:styleId="231">
    <w:name w:val="Char Char111"/>
    <w:qFormat/>
    <w:uiPriority w:val="0"/>
    <w:rPr>
      <w:rFonts w:ascii="宋体" w:eastAsia="宋体"/>
      <w:b/>
      <w:sz w:val="24"/>
      <w:u w:val="single"/>
      <w:lang w:val="en-US" w:eastAsia="zh-CN" w:bidi="ar-SA"/>
    </w:rPr>
  </w:style>
  <w:style w:type="character" w:customStyle="1" w:styleId="232">
    <w:name w:val="正文文本缩进 Char"/>
    <w:qFormat/>
    <w:uiPriority w:val="0"/>
    <w:rPr>
      <w:rFonts w:eastAsia="宋体"/>
      <w:kern w:val="2"/>
      <w:sz w:val="24"/>
      <w:szCs w:val="24"/>
      <w:lang w:val="en-US" w:eastAsia="zh-CN" w:bidi="ar-SA"/>
    </w:rPr>
  </w:style>
  <w:style w:type="character" w:customStyle="1" w:styleId="233">
    <w:name w:val="列出段落 Char"/>
    <w:qFormat/>
    <w:uiPriority w:val="0"/>
    <w:rPr>
      <w:rFonts w:ascii="Calibri" w:hAnsi="Calibri" w:eastAsia="宋体"/>
      <w:kern w:val="2"/>
      <w:sz w:val="21"/>
      <w:szCs w:val="22"/>
      <w:lang w:val="en-US" w:eastAsia="zh-CN" w:bidi="ar-SA"/>
    </w:rPr>
  </w:style>
  <w:style w:type="character" w:customStyle="1" w:styleId="234">
    <w:name w:val="页眉 Char"/>
    <w:qFormat/>
    <w:uiPriority w:val="0"/>
    <w:rPr>
      <w:rFonts w:eastAsia="宋体"/>
      <w:kern w:val="2"/>
      <w:sz w:val="18"/>
      <w:szCs w:val="18"/>
      <w:lang w:val="en-US" w:eastAsia="zh-CN" w:bidi="ar-SA"/>
    </w:rPr>
  </w:style>
  <w:style w:type="character" w:customStyle="1" w:styleId="235">
    <w:name w:val="标题 2 Char"/>
    <w:qFormat/>
    <w:uiPriority w:val="0"/>
    <w:rPr>
      <w:rFonts w:ascii="Arial" w:hAnsi="Arial" w:eastAsia="黑体"/>
      <w:b/>
      <w:sz w:val="30"/>
      <w:lang w:val="en-US" w:eastAsia="zh-CN" w:bidi="ar-SA"/>
    </w:rPr>
  </w:style>
  <w:style w:type="paragraph" w:customStyle="1" w:styleId="236">
    <w:name w:val="字元 字元2"/>
    <w:basedOn w:val="1"/>
    <w:qFormat/>
    <w:uiPriority w:val="0"/>
    <w:rPr>
      <w:rFonts w:ascii="Tahoma" w:hAnsi="Tahoma"/>
      <w:sz w:val="24"/>
      <w:szCs w:val="20"/>
    </w:rPr>
  </w:style>
  <w:style w:type="paragraph" w:customStyle="1" w:styleId="237">
    <w:name w:val="Char3 Char Char Char2"/>
    <w:basedOn w:val="1"/>
    <w:qFormat/>
    <w:uiPriority w:val="0"/>
    <w:rPr>
      <w:rFonts w:ascii="Tahoma" w:hAnsi="Tahoma"/>
      <w:sz w:val="24"/>
      <w:szCs w:val="20"/>
    </w:rPr>
  </w:style>
  <w:style w:type="paragraph" w:customStyle="1" w:styleId="238">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9">
    <w:name w:val="Char3"/>
    <w:basedOn w:val="1"/>
    <w:qFormat/>
    <w:uiPriority w:val="0"/>
    <w:pPr>
      <w:tabs>
        <w:tab w:val="left" w:pos="360"/>
      </w:tabs>
    </w:pPr>
    <w:rPr>
      <w:sz w:val="24"/>
    </w:rPr>
  </w:style>
  <w:style w:type="paragraph" w:customStyle="1" w:styleId="24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列出段落2"/>
    <w:basedOn w:val="1"/>
    <w:qFormat/>
    <w:uiPriority w:val="0"/>
    <w:pPr>
      <w:ind w:firstLine="420" w:firstLineChars="200"/>
    </w:pPr>
    <w:rPr>
      <w:rFonts w:ascii="Calibri" w:hAnsi="Calibri"/>
      <w:szCs w:val="22"/>
    </w:rPr>
  </w:style>
  <w:style w:type="paragraph" w:customStyle="1" w:styleId="243">
    <w:name w:val="Char Char Char1 Char2"/>
    <w:basedOn w:val="1"/>
    <w:qFormat/>
    <w:uiPriority w:val="0"/>
    <w:rPr>
      <w:rFonts w:ascii="Tahoma" w:hAnsi="Tahoma"/>
      <w:sz w:val="24"/>
      <w:szCs w:val="20"/>
    </w:rPr>
  </w:style>
  <w:style w:type="paragraph" w:customStyle="1" w:styleId="244">
    <w:name w:val="Char Char Char2"/>
    <w:basedOn w:val="1"/>
    <w:qFormat/>
    <w:uiPriority w:val="0"/>
    <w:rPr>
      <w:rFonts w:ascii="Tahoma" w:hAnsi="Tahoma"/>
      <w:sz w:val="24"/>
      <w:szCs w:val="20"/>
    </w:rPr>
  </w:style>
  <w:style w:type="paragraph" w:customStyle="1" w:styleId="24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7">
    <w:name w:val="Revision"/>
    <w:qFormat/>
    <w:uiPriority w:val="0"/>
    <w:rPr>
      <w:rFonts w:ascii="Times New Roman" w:hAnsi="Times New Roman" w:eastAsia="宋体" w:cs="Times New Roman"/>
      <w:kern w:val="2"/>
      <w:sz w:val="21"/>
      <w:szCs w:val="24"/>
      <w:lang w:val="en-US" w:eastAsia="zh-CN" w:bidi="ar-SA"/>
    </w:rPr>
  </w:style>
  <w:style w:type="paragraph" w:customStyle="1" w:styleId="248">
    <w:name w:val="Char22"/>
    <w:basedOn w:val="1"/>
    <w:qFormat/>
    <w:uiPriority w:val="0"/>
    <w:rPr>
      <w:rFonts w:ascii="Tahoma" w:hAnsi="Tahoma"/>
      <w:sz w:val="24"/>
      <w:szCs w:val="20"/>
    </w:rPr>
  </w:style>
  <w:style w:type="paragraph" w:customStyle="1" w:styleId="249">
    <w:name w:val="Char Char Char Char Char Char Char Char Char Char2"/>
    <w:basedOn w:val="1"/>
    <w:qFormat/>
    <w:uiPriority w:val="0"/>
    <w:rPr>
      <w:rFonts w:ascii="宋体" w:hAnsi="宋体" w:cs="Courier New"/>
      <w:sz w:val="32"/>
      <w:szCs w:val="32"/>
    </w:rPr>
  </w:style>
  <w:style w:type="paragraph" w:customStyle="1" w:styleId="250">
    <w:name w:val="Char2 Char Char Char Char Char Char1"/>
    <w:basedOn w:val="1"/>
    <w:qFormat/>
    <w:uiPriority w:val="0"/>
    <w:pPr>
      <w:widowControl/>
      <w:spacing w:line="400" w:lineRule="exact"/>
      <w:jc w:val="center"/>
    </w:pPr>
  </w:style>
  <w:style w:type="character" w:customStyle="1" w:styleId="251">
    <w:name w:val="页脚 Char"/>
    <w:qFormat/>
    <w:uiPriority w:val="0"/>
    <w:rPr>
      <w:rFonts w:ascii="宋体" w:eastAsia="宋体"/>
      <w:sz w:val="18"/>
      <w:lang w:val="en-US" w:eastAsia="zh-CN" w:bidi="ar-SA"/>
    </w:rPr>
  </w:style>
  <w:style w:type="paragraph" w:customStyle="1" w:styleId="252">
    <w:name w:val="Char Char41"/>
    <w:basedOn w:val="1"/>
    <w:qFormat/>
    <w:uiPriority w:val="0"/>
    <w:pPr>
      <w:widowControl/>
      <w:spacing w:line="400" w:lineRule="exact"/>
      <w:jc w:val="center"/>
    </w:pPr>
  </w:style>
  <w:style w:type="character" w:customStyle="1" w:styleId="253">
    <w:name w:val="批注文字 Char"/>
    <w:qFormat/>
    <w:uiPriority w:val="99"/>
    <w:rPr>
      <w:kern w:val="2"/>
      <w:sz w:val="21"/>
      <w:szCs w:val="24"/>
    </w:rPr>
  </w:style>
  <w:style w:type="character" w:customStyle="1" w:styleId="254">
    <w:name w:val="标题 Char"/>
    <w:qFormat/>
    <w:uiPriority w:val="0"/>
    <w:rPr>
      <w:b/>
      <w:kern w:val="2"/>
      <w:sz w:val="32"/>
    </w:rPr>
  </w:style>
  <w:style w:type="paragraph" w:customStyle="1" w:styleId="255">
    <w:name w:val="图例"/>
    <w:basedOn w:val="1"/>
    <w:qFormat/>
    <w:uiPriority w:val="0"/>
    <w:pPr>
      <w:spacing w:before="120" w:after="120" w:line="360" w:lineRule="auto"/>
      <w:jc w:val="center"/>
    </w:pPr>
    <w:rPr>
      <w:rFonts w:eastAsia="仿宋_GB2312"/>
      <w:b/>
      <w:sz w:val="24"/>
      <w:szCs w:val="20"/>
    </w:rPr>
  </w:style>
  <w:style w:type="paragraph" w:customStyle="1" w:styleId="25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7">
    <w:name w:val="Table Normal"/>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character" w:customStyle="1" w:styleId="258">
    <w:name w:val="font261"/>
    <w:qFormat/>
    <w:uiPriority w:val="0"/>
    <w:rPr>
      <w:rFonts w:hint="default" w:ascii="Tahoma" w:hAnsi="Tahoma" w:eastAsia="Tahoma" w:cs="Tahoma"/>
      <w:color w:val="000000"/>
      <w:sz w:val="20"/>
      <w:szCs w:val="20"/>
      <w:u w:val="none"/>
    </w:rPr>
  </w:style>
  <w:style w:type="character" w:customStyle="1" w:styleId="259">
    <w:name w:val="font51"/>
    <w:qFormat/>
    <w:uiPriority w:val="0"/>
    <w:rPr>
      <w:rFonts w:hint="default" w:ascii="Tahoma" w:hAnsi="Tahoma" w:eastAsia="Tahoma" w:cs="Tahoma"/>
      <w:b/>
      <w:color w:val="000000"/>
      <w:sz w:val="20"/>
      <w:szCs w:val="20"/>
      <w:u w:val="none"/>
    </w:rPr>
  </w:style>
  <w:style w:type="character" w:customStyle="1" w:styleId="260">
    <w:name w:val="font131"/>
    <w:qFormat/>
    <w:uiPriority w:val="0"/>
    <w:rPr>
      <w:rFonts w:hint="eastAsia" w:ascii="宋体" w:hAnsi="宋体" w:eastAsia="宋体" w:cs="宋体"/>
      <w:b/>
      <w:color w:val="000000"/>
      <w:sz w:val="20"/>
      <w:szCs w:val="20"/>
      <w:u w:val="none"/>
    </w:rPr>
  </w:style>
  <w:style w:type="character" w:customStyle="1" w:styleId="261">
    <w:name w:val="bookmark-item"/>
    <w:basedOn w:val="49"/>
    <w:qFormat/>
    <w:uiPriority w:val="0"/>
  </w:style>
  <w:style w:type="paragraph" w:customStyle="1" w:styleId="262">
    <w:name w:val="sub"/>
    <w:basedOn w:val="1"/>
    <w:qFormat/>
    <w:uiPriority w:val="0"/>
    <w:pPr>
      <w:widowControl/>
      <w:spacing w:before="100" w:beforeAutospacing="1" w:after="100" w:afterAutospacing="1"/>
      <w:jc w:val="left"/>
    </w:pPr>
    <w:rPr>
      <w:rFonts w:ascii="宋体" w:hAnsi="宋体" w:cs="宋体"/>
      <w:kern w:val="0"/>
      <w:sz w:val="24"/>
    </w:rPr>
  </w:style>
  <w:style w:type="character" w:customStyle="1" w:styleId="263">
    <w:name w:val="font41"/>
    <w:basedOn w:val="49"/>
    <w:qFormat/>
    <w:uiPriority w:val="0"/>
    <w:rPr>
      <w:rFonts w:ascii="Helvetica" w:hAnsi="Helvetica" w:eastAsia="Helvetica" w:cs="Helvetica"/>
      <w:color w:val="333333"/>
      <w:sz w:val="18"/>
      <w:szCs w:val="18"/>
      <w:u w:val="none"/>
    </w:rPr>
  </w:style>
  <w:style w:type="character" w:customStyle="1" w:styleId="264">
    <w:name w:val="font61"/>
    <w:basedOn w:val="49"/>
    <w:qFormat/>
    <w:uiPriority w:val="0"/>
    <w:rPr>
      <w:rFonts w:hint="eastAsia" w:ascii="宋体" w:hAnsi="宋体" w:eastAsia="宋体" w:cs="宋体"/>
      <w:color w:val="000000"/>
      <w:sz w:val="18"/>
      <w:szCs w:val="18"/>
      <w:u w:val="none"/>
    </w:rPr>
  </w:style>
  <w:style w:type="character" w:customStyle="1" w:styleId="265">
    <w:name w:val="font71"/>
    <w:basedOn w:val="49"/>
    <w:qFormat/>
    <w:uiPriority w:val="0"/>
    <w:rPr>
      <w:rFonts w:hint="default" w:ascii="Helvetica" w:hAnsi="Helvetica" w:eastAsia="Helvetica" w:cs="Helvetica"/>
      <w:color w:val="000000"/>
      <w:sz w:val="18"/>
      <w:szCs w:val="18"/>
      <w:u w:val="none"/>
    </w:rPr>
  </w:style>
  <w:style w:type="character" w:customStyle="1" w:styleId="266">
    <w:name w:val="font31"/>
    <w:basedOn w:val="49"/>
    <w:qFormat/>
    <w:uiPriority w:val="0"/>
    <w:rPr>
      <w:rFonts w:hint="eastAsia" w:ascii="宋体" w:hAnsi="宋体" w:eastAsia="宋体" w:cs="宋体"/>
      <w:color w:val="000000"/>
      <w:sz w:val="18"/>
      <w:szCs w:val="18"/>
      <w:u w:val="none"/>
    </w:rPr>
  </w:style>
  <w:style w:type="character" w:customStyle="1" w:styleId="267">
    <w:name w:val="font91"/>
    <w:basedOn w:val="49"/>
    <w:qFormat/>
    <w:uiPriority w:val="0"/>
    <w:rPr>
      <w:rFonts w:hint="eastAsia" w:ascii="宋体" w:hAnsi="宋体" w:eastAsia="宋体" w:cs="宋体"/>
      <w:color w:val="000000"/>
      <w:sz w:val="18"/>
      <w:szCs w:val="18"/>
      <w:u w:val="none"/>
    </w:rPr>
  </w:style>
  <w:style w:type="character" w:customStyle="1" w:styleId="268">
    <w:name w:val="font01"/>
    <w:basedOn w:val="49"/>
    <w:qFormat/>
    <w:uiPriority w:val="0"/>
    <w:rPr>
      <w:rFonts w:hint="eastAsia" w:ascii="宋体" w:hAnsi="宋体" w:eastAsia="宋体" w:cs="宋体"/>
      <w:color w:val="000000"/>
      <w:sz w:val="22"/>
      <w:szCs w:val="22"/>
      <w:u w:val="none"/>
    </w:rPr>
  </w:style>
  <w:style w:type="character" w:customStyle="1" w:styleId="269">
    <w:name w:val="font101"/>
    <w:basedOn w:val="49"/>
    <w:qFormat/>
    <w:uiPriority w:val="0"/>
    <w:rPr>
      <w:rFonts w:hint="eastAsia" w:ascii="宋体" w:hAnsi="宋体" w:eastAsia="宋体" w:cs="宋体"/>
      <w:color w:val="000000"/>
      <w:sz w:val="20"/>
      <w:szCs w:val="20"/>
      <w:u w:val="none"/>
    </w:rPr>
  </w:style>
  <w:style w:type="character" w:customStyle="1" w:styleId="270">
    <w:name w:val="font112"/>
    <w:basedOn w:val="49"/>
    <w:qFormat/>
    <w:uiPriority w:val="0"/>
    <w:rPr>
      <w:rFonts w:hint="eastAsia" w:ascii="宋体" w:hAnsi="宋体" w:eastAsia="宋体" w:cs="宋体"/>
      <w:color w:val="000000"/>
      <w:sz w:val="20"/>
      <w:szCs w:val="20"/>
      <w:u w:val="none"/>
    </w:rPr>
  </w:style>
  <w:style w:type="character" w:customStyle="1" w:styleId="271">
    <w:name w:val="font81"/>
    <w:basedOn w:val="49"/>
    <w:qFormat/>
    <w:uiPriority w:val="0"/>
    <w:rPr>
      <w:rFonts w:hint="eastAsia" w:ascii="宋体" w:hAnsi="宋体" w:eastAsia="宋体" w:cs="宋体"/>
      <w:color w:val="000000"/>
      <w:sz w:val="24"/>
      <w:szCs w:val="24"/>
      <w:u w:val="none"/>
    </w:rPr>
  </w:style>
  <w:style w:type="character" w:customStyle="1" w:styleId="272">
    <w:name w:val="font121"/>
    <w:basedOn w:val="49"/>
    <w:qFormat/>
    <w:uiPriority w:val="0"/>
    <w:rPr>
      <w:rFonts w:hint="eastAsia" w:ascii="宋体" w:hAnsi="宋体" w:eastAsia="宋体" w:cs="宋体"/>
      <w:color w:val="FF0000"/>
      <w:sz w:val="24"/>
      <w:szCs w:val="24"/>
      <w:u w:val="none"/>
    </w:rPr>
  </w:style>
  <w:style w:type="character" w:customStyle="1" w:styleId="273">
    <w:name w:val="font141"/>
    <w:basedOn w:val="4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56"/>
    <customShpInfo spid="_x0000_s1057"/>
    <customShpInfo spid="_x0000_s105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88</Pages>
  <Words>53656</Words>
  <Characters>58964</Characters>
  <Lines>1</Lines>
  <Paragraphs>1</Paragraphs>
  <TotalTime>0</TotalTime>
  <ScaleCrop>false</ScaleCrop>
  <LinksUpToDate>false</LinksUpToDate>
  <CharactersWithSpaces>61215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C</cp:lastModifiedBy>
  <cp:lastPrinted>2023-02-08T10:19:00Z</cp:lastPrinted>
  <dcterms:modified xsi:type="dcterms:W3CDTF">2024-06-14T11:19:52Z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8916B54EE33748AD819E5864AC7EB2C3_13</vt:lpwstr>
  </property>
</Properties>
</file>