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FC09A6">
      <w:pPr>
        <w:spacing w:line="319" w:lineRule="auto"/>
        <w:rPr>
          <w:rFonts w:ascii="微软雅黑" w:hAnsi="微软雅黑" w:eastAsia="微软雅黑" w:cs="微软雅黑"/>
          <w:sz w:val="28"/>
          <w:szCs w:val="28"/>
        </w:rPr>
      </w:pPr>
      <w:r>
        <w:rPr>
          <w:rFonts w:hint="default" w:ascii="Times New Roman" w:hAnsi="Times New Roman" w:eastAsia="宋体" w:cs="Times New Roman"/>
          <w:color w:val="auto"/>
          <w:highlight w:val="none"/>
        </w:rPr>
        <w:drawing>
          <wp:inline distT="0" distB="0" distL="114300" distR="114300">
            <wp:extent cx="1238250" cy="1238250"/>
            <wp:effectExtent l="0" t="0" r="0" b="0"/>
            <wp:docPr id="19" name="图片 1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logo)"/>
                    <pic:cNvPicPr>
                      <a:picLocks noChangeAspect="1"/>
                    </pic:cNvPicPr>
                  </pic:nvPicPr>
                  <pic:blipFill>
                    <a:blip r:embed="rId9"/>
                    <a:stretch>
                      <a:fillRect/>
                    </a:stretch>
                  </pic:blipFill>
                  <pic:spPr>
                    <a:xfrm>
                      <a:off x="0" y="0"/>
                      <a:ext cx="1238250" cy="1238250"/>
                    </a:xfrm>
                    <a:prstGeom prst="rect">
                      <a:avLst/>
                    </a:prstGeom>
                  </pic:spPr>
                </pic:pic>
              </a:graphicData>
            </a:graphic>
          </wp:inline>
        </w:drawing>
      </w:r>
    </w:p>
    <w:p w14:paraId="2DEB789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center"/>
        <w:textAlignment w:val="baseline"/>
        <w:outlineLvl w:val="9"/>
      </w:pPr>
      <w:r>
        <w:rPr>
          <w:rFonts w:hint="eastAsia" w:cs="Times New Roman"/>
          <w:b/>
          <w:bCs w:val="0"/>
          <w:color w:val="auto"/>
          <w:sz w:val="44"/>
          <w:szCs w:val="44"/>
          <w:highlight w:val="none"/>
          <w:lang w:eastAsia="zh-CN"/>
        </w:rPr>
        <w:t>乌鲁木齐市水磨沟区某单位大厅装修工程</w:t>
      </w:r>
    </w:p>
    <w:p w14:paraId="743C23DF">
      <w:pPr>
        <w:bidi w:val="0"/>
      </w:pPr>
    </w:p>
    <w:p w14:paraId="5F0EEF87">
      <w:pPr>
        <w:keepNext w:val="0"/>
        <w:keepLines w:val="0"/>
        <w:pageBreakBefore w:val="0"/>
        <w:widowControl/>
        <w:wordWrap/>
        <w:overflowPunct/>
        <w:topLinePunct w:val="0"/>
        <w:bidi w:val="0"/>
        <w:adjustRightInd w:val="0"/>
        <w:snapToGrid w:val="0"/>
        <w:spacing w:line="360" w:lineRule="auto"/>
        <w:ind w:left="0" w:leftChars="0" w:firstLine="0" w:firstLineChars="0"/>
        <w:jc w:val="center"/>
        <w:outlineLvl w:val="9"/>
        <w:rPr>
          <w:rFonts w:hint="default" w:ascii="Times New Roman" w:hAnsi="Times New Roman" w:eastAsia="微软雅黑" w:cs="Times New Roman"/>
          <w:b/>
          <w:bCs/>
          <w:spacing w:val="-13"/>
          <w:sz w:val="28"/>
          <w:szCs w:val="28"/>
          <w:lang w:val="en-US" w:eastAsia="zh-CN"/>
        </w:rPr>
      </w:pPr>
      <w:r>
        <w:rPr>
          <w:rFonts w:hint="default" w:ascii="Times New Roman" w:hAnsi="Times New Roman" w:eastAsia="宋体" w:cs="Times New Roman"/>
          <w:b/>
          <w:bCs/>
          <w:spacing w:val="-13"/>
          <w:sz w:val="32"/>
          <w:szCs w:val="32"/>
          <w:lang w:eastAsia="zh-CN"/>
        </w:rPr>
        <w:t>项目</w:t>
      </w:r>
      <w:r>
        <w:rPr>
          <w:rFonts w:hint="default" w:ascii="Times New Roman" w:hAnsi="Times New Roman" w:eastAsia="宋体" w:cs="Times New Roman"/>
          <w:b/>
          <w:bCs/>
          <w:spacing w:val="-13"/>
          <w:sz w:val="32"/>
          <w:szCs w:val="32"/>
        </w:rPr>
        <w:t>编号：</w:t>
      </w:r>
      <w:r>
        <w:rPr>
          <w:rFonts w:hint="default" w:ascii="Times New Roman" w:hAnsi="Times New Roman" w:eastAsia="宋体" w:cs="Times New Roman"/>
          <w:b/>
          <w:bCs/>
          <w:spacing w:val="-13"/>
          <w:sz w:val="32"/>
          <w:szCs w:val="32"/>
          <w:lang w:val="en-US" w:eastAsia="zh-CN"/>
        </w:rPr>
        <w:t>XJQY-CS241225</w:t>
      </w:r>
    </w:p>
    <w:p w14:paraId="4D5712B4">
      <w:pPr>
        <w:bidi w:val="0"/>
        <w:rPr>
          <w:rFonts w:hint="default"/>
          <w:lang w:val="en-US" w:eastAsia="zh-CN"/>
        </w:rPr>
      </w:pPr>
    </w:p>
    <w:p w14:paraId="28B3AF51">
      <w:pPr>
        <w:keepNext w:val="0"/>
        <w:keepLines w:val="0"/>
        <w:pageBreakBefore w:val="0"/>
        <w:widowControl/>
        <w:wordWrap/>
        <w:overflowPunct/>
        <w:topLinePunct w:val="0"/>
        <w:bidi w:val="0"/>
        <w:adjustRightInd w:val="0"/>
        <w:snapToGrid w:val="0"/>
        <w:spacing w:line="360" w:lineRule="auto"/>
        <w:ind w:left="0" w:leftChars="0" w:firstLine="0" w:firstLineChars="0"/>
        <w:jc w:val="center"/>
        <w:rPr>
          <w:rFonts w:hint="default" w:ascii="微软雅黑" w:hAnsi="微软雅黑" w:eastAsia="微软雅黑" w:cs="微软雅黑"/>
          <w:b/>
          <w:bCs/>
          <w:spacing w:val="-13"/>
          <w:sz w:val="28"/>
          <w:szCs w:val="28"/>
          <w:lang w:val="en-US" w:eastAsia="zh-CN"/>
        </w:rPr>
      </w:pPr>
    </w:p>
    <w:p w14:paraId="75335FF1">
      <w:pPr>
        <w:bidi w:val="0"/>
      </w:pPr>
    </w:p>
    <w:p w14:paraId="2BF84A94">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outlineLvl w:val="9"/>
        <w:rPr>
          <w:rFonts w:hint="default" w:ascii="Times New Roman" w:hAnsi="Times New Roman" w:eastAsia="宋体" w:cs="Times New Roman"/>
          <w:b/>
          <w:bCs w:val="0"/>
          <w:color w:val="auto"/>
          <w:highlight w:val="none"/>
        </w:rPr>
      </w:pPr>
      <w:r>
        <w:rPr>
          <w:rFonts w:hint="default" w:ascii="Times New Roman" w:hAnsi="Times New Roman" w:eastAsia="宋体" w:cs="Times New Roman"/>
          <w:b/>
          <w:bCs w:val="0"/>
          <w:color w:val="auto"/>
          <w:sz w:val="72"/>
          <w:szCs w:val="72"/>
          <w:highlight w:val="none"/>
          <w:lang w:eastAsia="zh-CN"/>
        </w:rPr>
        <w:t>竞争性</w:t>
      </w:r>
      <w:r>
        <w:rPr>
          <w:rFonts w:hint="default" w:ascii="Times New Roman" w:hAnsi="Times New Roman" w:eastAsia="宋体" w:cs="Times New Roman"/>
          <w:b/>
          <w:bCs w:val="0"/>
          <w:color w:val="auto"/>
          <w:sz w:val="72"/>
          <w:szCs w:val="72"/>
          <w:highlight w:val="none"/>
        </w:rPr>
        <w:t>磋商文件</w:t>
      </w:r>
    </w:p>
    <w:p w14:paraId="0B590C50">
      <w:pPr>
        <w:keepNext w:val="0"/>
        <w:keepLines w:val="0"/>
        <w:pageBreakBefore w:val="0"/>
        <w:widowControl/>
        <w:wordWrap/>
        <w:overflowPunct/>
        <w:topLinePunct w:val="0"/>
        <w:bidi w:val="0"/>
        <w:adjustRightInd w:val="0"/>
        <w:snapToGrid w:val="0"/>
        <w:spacing w:line="360" w:lineRule="auto"/>
      </w:pPr>
    </w:p>
    <w:p w14:paraId="141F19C4">
      <w:pPr>
        <w:bidi w:val="0"/>
      </w:pPr>
    </w:p>
    <w:p w14:paraId="502985ED">
      <w:pPr>
        <w:bidi w:val="0"/>
      </w:pPr>
    </w:p>
    <w:p w14:paraId="33E0DF5F">
      <w:pPr>
        <w:bidi w:val="0"/>
      </w:pPr>
    </w:p>
    <w:p w14:paraId="14AB4617">
      <w:pPr>
        <w:bidi w:val="0"/>
      </w:pPr>
    </w:p>
    <w:p w14:paraId="74B7FBA0">
      <w:pPr>
        <w:bidi w:val="0"/>
      </w:pPr>
    </w:p>
    <w:p w14:paraId="12B9ADBE">
      <w:pPr>
        <w:keepNext w:val="0"/>
        <w:keepLines w:val="0"/>
        <w:pageBreakBefore w:val="0"/>
        <w:widowControl/>
        <w:wordWrap/>
        <w:overflowPunct/>
        <w:topLinePunct w:val="0"/>
        <w:bidi w:val="0"/>
        <w:adjustRightInd w:val="0"/>
        <w:snapToGrid w:val="0"/>
        <w:spacing w:line="360" w:lineRule="auto"/>
      </w:pPr>
    </w:p>
    <w:p w14:paraId="3689D2B3">
      <w:pPr>
        <w:keepNext w:val="0"/>
        <w:keepLines w:val="0"/>
        <w:pageBreakBefore w:val="0"/>
        <w:widowControl/>
        <w:wordWrap/>
        <w:overflowPunct/>
        <w:topLinePunct w:val="0"/>
        <w:bidi w:val="0"/>
        <w:adjustRightInd w:val="0"/>
        <w:snapToGrid w:val="0"/>
        <w:spacing w:line="360" w:lineRule="auto"/>
      </w:pPr>
    </w:p>
    <w:p w14:paraId="193B6EDB">
      <w:pPr>
        <w:bidi w:val="0"/>
      </w:pPr>
    </w:p>
    <w:p w14:paraId="6685A4F8">
      <w:pPr>
        <w:keepNext w:val="0"/>
        <w:keepLines w:val="0"/>
        <w:pageBreakBefore w:val="0"/>
        <w:widowControl/>
        <w:wordWrap/>
        <w:overflowPunct/>
        <w:topLinePunct w:val="0"/>
        <w:bidi w:val="0"/>
        <w:adjustRightInd w:val="0"/>
        <w:snapToGrid w:val="0"/>
        <w:spacing w:line="360" w:lineRule="auto"/>
      </w:pPr>
    </w:p>
    <w:p w14:paraId="4D9FA6BC">
      <w:pPr>
        <w:keepNext w:val="0"/>
        <w:keepLines w:val="0"/>
        <w:pageBreakBefore w:val="0"/>
        <w:widowControl/>
        <w:wordWrap/>
        <w:overflowPunct/>
        <w:topLinePunct w:val="0"/>
        <w:bidi w:val="0"/>
        <w:adjustRightInd w:val="0"/>
        <w:snapToGrid w:val="0"/>
        <w:spacing w:before="104" w:line="360" w:lineRule="auto"/>
        <w:ind w:left="0" w:leftChars="0" w:right="1043" w:firstLine="0" w:firstLineChars="0"/>
        <w:jc w:val="center"/>
        <w:outlineLvl w:val="9"/>
        <w:rPr>
          <w:rFonts w:hint="eastAsia" w:ascii="宋体" w:hAnsi="宋体" w:eastAsia="宋体" w:cs="宋体"/>
          <w:b/>
          <w:bCs/>
          <w:spacing w:val="-3"/>
          <w:sz w:val="32"/>
          <w:szCs w:val="32"/>
          <w:lang w:eastAsia="zh-CN"/>
        </w:rPr>
      </w:pPr>
      <w:r>
        <w:rPr>
          <w:rFonts w:ascii="宋体" w:hAnsi="宋体" w:eastAsia="宋体" w:cs="宋体"/>
          <w:b/>
          <w:bCs/>
          <w:spacing w:val="-3"/>
          <w:sz w:val="32"/>
          <w:szCs w:val="32"/>
        </w:rPr>
        <w:t>采</w:t>
      </w:r>
      <w:r>
        <w:rPr>
          <w:rFonts w:hint="eastAsia" w:ascii="宋体" w:hAnsi="宋体" w:cs="宋体"/>
          <w:b/>
          <w:bCs/>
          <w:spacing w:val="-3"/>
          <w:sz w:val="32"/>
          <w:szCs w:val="32"/>
          <w:lang w:val="en-US" w:eastAsia="zh-CN"/>
        </w:rPr>
        <w:t xml:space="preserve"> </w:t>
      </w:r>
      <w:r>
        <w:rPr>
          <w:rFonts w:ascii="宋体" w:hAnsi="宋体" w:eastAsia="宋体" w:cs="宋体"/>
          <w:b/>
          <w:bCs/>
          <w:spacing w:val="-3"/>
          <w:sz w:val="32"/>
          <w:szCs w:val="32"/>
        </w:rPr>
        <w:t>购</w:t>
      </w:r>
      <w:r>
        <w:rPr>
          <w:rFonts w:hint="eastAsia" w:ascii="宋体" w:hAnsi="宋体" w:cs="宋体"/>
          <w:b/>
          <w:bCs/>
          <w:spacing w:val="-3"/>
          <w:sz w:val="32"/>
          <w:szCs w:val="32"/>
          <w:lang w:val="en-US" w:eastAsia="zh-CN"/>
        </w:rPr>
        <w:t xml:space="preserve"> </w:t>
      </w:r>
      <w:r>
        <w:rPr>
          <w:rFonts w:ascii="宋体" w:hAnsi="宋体" w:eastAsia="宋体" w:cs="宋体"/>
          <w:b/>
          <w:bCs/>
          <w:spacing w:val="-3"/>
          <w:sz w:val="32"/>
          <w:szCs w:val="32"/>
        </w:rPr>
        <w:t>人：</w:t>
      </w:r>
      <w:r>
        <w:rPr>
          <w:rFonts w:hint="eastAsia" w:ascii="宋体" w:hAnsi="宋体" w:cs="宋体"/>
          <w:b/>
          <w:bCs/>
          <w:spacing w:val="-3"/>
          <w:sz w:val="32"/>
          <w:szCs w:val="32"/>
          <w:lang w:eastAsia="zh-CN"/>
        </w:rPr>
        <w:t>乌鲁木齐市公安局水磨沟区分局</w:t>
      </w:r>
    </w:p>
    <w:p w14:paraId="4B2ECD90">
      <w:pPr>
        <w:keepNext w:val="0"/>
        <w:keepLines w:val="0"/>
        <w:pageBreakBefore w:val="0"/>
        <w:widowControl/>
        <w:wordWrap/>
        <w:overflowPunct/>
        <w:topLinePunct w:val="0"/>
        <w:bidi w:val="0"/>
        <w:adjustRightInd w:val="0"/>
        <w:snapToGrid w:val="0"/>
        <w:spacing w:before="104" w:line="360" w:lineRule="auto"/>
        <w:ind w:left="0" w:leftChars="0" w:right="1043" w:firstLine="0" w:firstLineChars="0"/>
        <w:jc w:val="center"/>
        <w:outlineLvl w:val="9"/>
        <w:rPr>
          <w:rFonts w:hint="eastAsia" w:ascii="宋体" w:hAnsi="宋体" w:eastAsia="宋体" w:cs="宋体"/>
          <w:sz w:val="32"/>
          <w:szCs w:val="32"/>
          <w:lang w:eastAsia="zh-CN"/>
        </w:rPr>
      </w:pPr>
      <w:r>
        <w:rPr>
          <w:rFonts w:ascii="宋体" w:hAnsi="宋体" w:eastAsia="宋体" w:cs="宋体"/>
          <w:b/>
          <w:bCs/>
          <w:spacing w:val="-3"/>
          <w:sz w:val="32"/>
          <w:szCs w:val="32"/>
        </w:rPr>
        <w:t>代理机构：</w:t>
      </w:r>
      <w:r>
        <w:rPr>
          <w:rFonts w:hint="eastAsia" w:ascii="宋体" w:hAnsi="宋体" w:cs="宋体"/>
          <w:b/>
          <w:bCs/>
          <w:spacing w:val="-3"/>
          <w:sz w:val="32"/>
          <w:szCs w:val="32"/>
          <w:lang w:eastAsia="zh-CN"/>
        </w:rPr>
        <w:t>新疆全益项目管理咨询有限公司</w:t>
      </w:r>
    </w:p>
    <w:p w14:paraId="4C9AC63D">
      <w:pPr>
        <w:bidi w:val="0"/>
        <w:jc w:val="center"/>
        <w:rPr>
          <w:rFonts w:ascii="宋体" w:hAnsi="宋体" w:eastAsia="宋体" w:cs="宋体"/>
          <w:szCs w:val="32"/>
        </w:rPr>
      </w:pPr>
      <w:r>
        <w:rPr>
          <w:b/>
          <w:bCs/>
          <w:sz w:val="32"/>
          <w:szCs w:val="32"/>
        </w:rPr>
        <w:t>2024年11月</w:t>
      </w:r>
    </w:p>
    <w:p w14:paraId="3F91B32A">
      <w:pPr>
        <w:spacing w:line="247" w:lineRule="auto"/>
        <w:ind w:left="0" w:leftChars="0" w:firstLine="0" w:firstLineChars="0"/>
      </w:pPr>
    </w:p>
    <w:p w14:paraId="6E76CE91">
      <w:pPr>
        <w:spacing w:line="247" w:lineRule="auto"/>
        <w:ind w:left="0" w:leftChars="0" w:firstLine="0" w:firstLineChars="0"/>
      </w:pPr>
    </w:p>
    <w:sdt>
      <w:sdtPr>
        <w:rPr>
          <w:rFonts w:ascii="宋体" w:hAnsi="宋体" w:eastAsia="宋体" w:cs="Arial"/>
          <w:snapToGrid w:val="0"/>
          <w:color w:val="000000"/>
          <w:kern w:val="0"/>
          <w:sz w:val="21"/>
          <w:szCs w:val="21"/>
          <w:lang w:val="en-US" w:eastAsia="en-US" w:bidi="ar-SA"/>
        </w:rPr>
        <w:id w:val="147475658"/>
        <w15:color w:val="DBDBDB"/>
        <w:docPartObj>
          <w:docPartGallery w:val="Table of Contents"/>
          <w:docPartUnique/>
        </w:docPartObj>
      </w:sdtPr>
      <w:sdtEndPr>
        <w:rPr>
          <w:rFonts w:ascii="宋体" w:hAnsi="宋体" w:eastAsia="宋体" w:cs="宋体"/>
          <w:b/>
          <w:bCs/>
          <w:snapToGrid w:val="0"/>
          <w:color w:val="000000"/>
          <w:spacing w:val="-3"/>
          <w:kern w:val="0"/>
          <w:sz w:val="21"/>
          <w:szCs w:val="28"/>
          <w:lang w:val="en-US" w:eastAsia="en-US" w:bidi="ar-SA"/>
        </w:rPr>
      </w:sdtEndPr>
      <w:sdtContent>
        <w:p w14:paraId="240A5E37">
          <w:pPr>
            <w:spacing w:before="0" w:beforeLines="0" w:after="0" w:afterLines="0" w:line="240" w:lineRule="auto"/>
            <w:ind w:left="0" w:leftChars="0" w:right="0" w:rightChars="0" w:firstLine="0" w:firstLineChars="0"/>
            <w:jc w:val="center"/>
          </w:pPr>
          <w:r>
            <w:rPr>
              <w:rFonts w:ascii="宋体" w:hAnsi="宋体" w:eastAsia="宋体"/>
              <w:b/>
              <w:bCs/>
              <w:sz w:val="28"/>
              <w:szCs w:val="36"/>
            </w:rPr>
            <w:t>目</w:t>
          </w:r>
          <w:r>
            <w:rPr>
              <w:rFonts w:hint="eastAsia" w:ascii="宋体" w:hAnsi="宋体"/>
              <w:b/>
              <w:bCs/>
              <w:sz w:val="28"/>
              <w:szCs w:val="36"/>
              <w:lang w:val="en-US" w:eastAsia="zh-CN"/>
            </w:rPr>
            <w:t xml:space="preserve"> </w:t>
          </w:r>
          <w:r>
            <w:rPr>
              <w:rFonts w:ascii="宋体" w:hAnsi="宋体" w:eastAsia="宋体"/>
              <w:b/>
              <w:bCs/>
              <w:sz w:val="28"/>
              <w:szCs w:val="36"/>
            </w:rPr>
            <w:t>录</w:t>
          </w:r>
        </w:p>
        <w:p w14:paraId="3DFF559C">
          <w:pPr>
            <w:pStyle w:val="6"/>
            <w:tabs>
              <w:tab w:val="right" w:leader="dot" w:pos="9072"/>
            </w:tabs>
          </w:pPr>
          <w:r>
            <w:rPr>
              <w:rFonts w:ascii="宋体" w:hAnsi="宋体" w:eastAsia="宋体" w:cs="宋体"/>
              <w:b/>
              <w:bCs/>
              <w:spacing w:val="-3"/>
              <w:sz w:val="28"/>
              <w:szCs w:val="28"/>
            </w:rPr>
            <w:fldChar w:fldCharType="begin"/>
          </w:r>
          <w:r>
            <w:rPr>
              <w:rFonts w:ascii="宋体" w:hAnsi="宋体" w:eastAsia="宋体" w:cs="宋体"/>
              <w:b/>
              <w:bCs/>
              <w:spacing w:val="-3"/>
              <w:sz w:val="28"/>
              <w:szCs w:val="28"/>
            </w:rPr>
            <w:instrText xml:space="preserve">TOC \o "1-2" \h \u </w:instrText>
          </w:r>
          <w:r>
            <w:rPr>
              <w:rFonts w:ascii="宋体" w:hAnsi="宋体" w:eastAsia="宋体" w:cs="宋体"/>
              <w:b/>
              <w:bCs/>
              <w:spacing w:val="-3"/>
              <w:sz w:val="28"/>
              <w:szCs w:val="28"/>
            </w:rPr>
            <w:fldChar w:fldCharType="separate"/>
          </w: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_Toc7988 </w:instrText>
          </w:r>
          <w:r>
            <w:rPr>
              <w:rFonts w:ascii="宋体" w:hAnsi="宋体" w:eastAsia="宋体" w:cs="宋体"/>
              <w:bCs/>
              <w:spacing w:val="-3"/>
              <w:szCs w:val="28"/>
            </w:rPr>
            <w:fldChar w:fldCharType="separate"/>
          </w:r>
          <w:r>
            <w:t>第一章</w:t>
          </w:r>
          <w:r>
            <w:rPr>
              <w:rFonts w:hint="eastAsia"/>
              <w:lang w:val="en-US" w:eastAsia="zh-CN"/>
            </w:rPr>
            <w:t xml:space="preserve">  </w:t>
          </w:r>
          <w:r>
            <w:t>磋商邀请</w:t>
          </w:r>
          <w:r>
            <w:tab/>
          </w:r>
          <w:r>
            <w:fldChar w:fldCharType="begin"/>
          </w:r>
          <w:r>
            <w:instrText xml:space="preserve"> PAGEREF _Toc7988 \h </w:instrText>
          </w:r>
          <w:r>
            <w:fldChar w:fldCharType="separate"/>
          </w:r>
          <w:r>
            <w:t>1</w:t>
          </w:r>
          <w:r>
            <w:fldChar w:fldCharType="end"/>
          </w:r>
          <w:r>
            <w:rPr>
              <w:rFonts w:ascii="宋体" w:hAnsi="宋体" w:eastAsia="宋体" w:cs="宋体"/>
              <w:bCs/>
              <w:spacing w:val="-3"/>
              <w:szCs w:val="28"/>
            </w:rPr>
            <w:fldChar w:fldCharType="end"/>
          </w:r>
        </w:p>
        <w:p w14:paraId="727F2BCD">
          <w:pPr>
            <w:pStyle w:val="6"/>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_Toc21133 </w:instrText>
          </w:r>
          <w:r>
            <w:rPr>
              <w:rFonts w:ascii="宋体" w:hAnsi="宋体" w:eastAsia="宋体" w:cs="宋体"/>
              <w:bCs/>
              <w:spacing w:val="-3"/>
              <w:szCs w:val="28"/>
            </w:rPr>
            <w:fldChar w:fldCharType="separate"/>
          </w:r>
          <w:r>
            <w:t>第二章</w:t>
          </w:r>
          <w:r>
            <w:rPr>
              <w:rFonts w:hint="eastAsia"/>
              <w:lang w:val="en-US" w:eastAsia="zh-CN"/>
            </w:rPr>
            <w:t xml:space="preserve">  </w:t>
          </w:r>
          <w:r>
            <w:t>供应商须知</w:t>
          </w:r>
          <w:r>
            <w:tab/>
          </w:r>
          <w:r>
            <w:fldChar w:fldCharType="begin"/>
          </w:r>
          <w:r>
            <w:instrText xml:space="preserve"> PAGEREF _Toc21133 \h </w:instrText>
          </w:r>
          <w:r>
            <w:fldChar w:fldCharType="separate"/>
          </w:r>
          <w:r>
            <w:t>4</w:t>
          </w:r>
          <w:r>
            <w:fldChar w:fldCharType="end"/>
          </w:r>
          <w:r>
            <w:rPr>
              <w:rFonts w:ascii="宋体" w:hAnsi="宋体" w:eastAsia="宋体" w:cs="宋体"/>
              <w:bCs/>
              <w:spacing w:val="-3"/>
              <w:szCs w:val="28"/>
            </w:rPr>
            <w:fldChar w:fldCharType="end"/>
          </w:r>
        </w:p>
        <w:p w14:paraId="1E82C8DD">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_Toc31352 </w:instrText>
          </w:r>
          <w:r>
            <w:rPr>
              <w:rFonts w:ascii="宋体" w:hAnsi="宋体" w:eastAsia="宋体" w:cs="宋体"/>
              <w:bCs/>
              <w:spacing w:val="-3"/>
              <w:szCs w:val="28"/>
            </w:rPr>
            <w:fldChar w:fldCharType="separate"/>
          </w:r>
          <w:r>
            <w:t>一、供应商须知前附表</w:t>
          </w:r>
          <w:r>
            <w:tab/>
          </w:r>
          <w:r>
            <w:fldChar w:fldCharType="begin"/>
          </w:r>
          <w:r>
            <w:instrText xml:space="preserve"> PAGEREF _Toc31352 \h </w:instrText>
          </w:r>
          <w:r>
            <w:fldChar w:fldCharType="separate"/>
          </w:r>
          <w:r>
            <w:t>4</w:t>
          </w:r>
          <w:r>
            <w:fldChar w:fldCharType="end"/>
          </w:r>
          <w:r>
            <w:rPr>
              <w:rFonts w:ascii="宋体" w:hAnsi="宋体" w:eastAsia="宋体" w:cs="宋体"/>
              <w:bCs/>
              <w:spacing w:val="-3"/>
              <w:szCs w:val="28"/>
            </w:rPr>
            <w:fldChar w:fldCharType="end"/>
          </w:r>
        </w:p>
        <w:p w14:paraId="601CF252">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_Toc22725 </w:instrText>
          </w:r>
          <w:r>
            <w:rPr>
              <w:rFonts w:ascii="宋体" w:hAnsi="宋体" w:eastAsia="宋体" w:cs="宋体"/>
              <w:bCs/>
              <w:spacing w:val="-3"/>
              <w:szCs w:val="28"/>
            </w:rPr>
            <w:fldChar w:fldCharType="separate"/>
          </w:r>
          <w:r>
            <w:t>二、总则</w:t>
          </w:r>
          <w:r>
            <w:tab/>
          </w:r>
          <w:r>
            <w:fldChar w:fldCharType="begin"/>
          </w:r>
          <w:r>
            <w:instrText xml:space="preserve"> PAGEREF _Toc22725 \h </w:instrText>
          </w:r>
          <w:r>
            <w:fldChar w:fldCharType="separate"/>
          </w:r>
          <w:r>
            <w:t>13</w:t>
          </w:r>
          <w:r>
            <w:fldChar w:fldCharType="end"/>
          </w:r>
          <w:r>
            <w:rPr>
              <w:rFonts w:ascii="宋体" w:hAnsi="宋体" w:eastAsia="宋体" w:cs="宋体"/>
              <w:bCs/>
              <w:spacing w:val="-3"/>
              <w:szCs w:val="28"/>
            </w:rPr>
            <w:fldChar w:fldCharType="end"/>
          </w:r>
        </w:p>
        <w:p w14:paraId="4E6F124C">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_Toc10213 </w:instrText>
          </w:r>
          <w:r>
            <w:rPr>
              <w:rFonts w:ascii="宋体" w:hAnsi="宋体" w:eastAsia="宋体" w:cs="宋体"/>
              <w:bCs/>
              <w:spacing w:val="-3"/>
              <w:szCs w:val="28"/>
            </w:rPr>
            <w:fldChar w:fldCharType="separate"/>
          </w:r>
          <w:r>
            <w:rPr>
              <w:rFonts w:hint="eastAsia"/>
              <w:lang w:eastAsia="zh-CN"/>
            </w:rPr>
            <w:t>三、磋商文件</w:t>
          </w:r>
          <w:r>
            <w:tab/>
          </w:r>
          <w:r>
            <w:fldChar w:fldCharType="begin"/>
          </w:r>
          <w:r>
            <w:instrText xml:space="preserve"> PAGEREF _Toc10213 \h </w:instrText>
          </w:r>
          <w:r>
            <w:fldChar w:fldCharType="separate"/>
          </w:r>
          <w:r>
            <w:t>15</w:t>
          </w:r>
          <w:r>
            <w:fldChar w:fldCharType="end"/>
          </w:r>
          <w:r>
            <w:rPr>
              <w:rFonts w:ascii="宋体" w:hAnsi="宋体" w:eastAsia="宋体" w:cs="宋体"/>
              <w:bCs/>
              <w:spacing w:val="-3"/>
              <w:szCs w:val="28"/>
            </w:rPr>
            <w:fldChar w:fldCharType="end"/>
          </w:r>
        </w:p>
        <w:p w14:paraId="52B5D6AA">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_Toc30684 </w:instrText>
          </w:r>
          <w:r>
            <w:rPr>
              <w:rFonts w:ascii="宋体" w:hAnsi="宋体" w:eastAsia="宋体" w:cs="宋体"/>
              <w:bCs/>
              <w:spacing w:val="-3"/>
              <w:szCs w:val="28"/>
            </w:rPr>
            <w:fldChar w:fldCharType="separate"/>
          </w:r>
          <w:r>
            <w:t>四、响应文件</w:t>
          </w:r>
          <w:r>
            <w:tab/>
          </w:r>
          <w:r>
            <w:fldChar w:fldCharType="begin"/>
          </w:r>
          <w:r>
            <w:instrText xml:space="preserve"> PAGEREF _Toc30684 \h </w:instrText>
          </w:r>
          <w:r>
            <w:fldChar w:fldCharType="separate"/>
          </w:r>
          <w:r>
            <w:t>17</w:t>
          </w:r>
          <w:r>
            <w:fldChar w:fldCharType="end"/>
          </w:r>
          <w:r>
            <w:rPr>
              <w:rFonts w:ascii="宋体" w:hAnsi="宋体" w:eastAsia="宋体" w:cs="宋体"/>
              <w:bCs/>
              <w:spacing w:val="-3"/>
              <w:szCs w:val="28"/>
            </w:rPr>
            <w:fldChar w:fldCharType="end"/>
          </w:r>
        </w:p>
        <w:p w14:paraId="4F6C2716">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_Toc7584 </w:instrText>
          </w:r>
          <w:r>
            <w:rPr>
              <w:rFonts w:ascii="宋体" w:hAnsi="宋体" w:eastAsia="宋体" w:cs="宋体"/>
              <w:bCs/>
              <w:spacing w:val="-3"/>
              <w:szCs w:val="28"/>
            </w:rPr>
            <w:fldChar w:fldCharType="separate"/>
          </w:r>
          <w:r>
            <w:t>五、开标和成交</w:t>
          </w:r>
          <w:r>
            <w:tab/>
          </w:r>
          <w:r>
            <w:fldChar w:fldCharType="begin"/>
          </w:r>
          <w:r>
            <w:instrText xml:space="preserve"> PAGEREF _Toc7584 \h </w:instrText>
          </w:r>
          <w:r>
            <w:fldChar w:fldCharType="separate"/>
          </w:r>
          <w:r>
            <w:t>22</w:t>
          </w:r>
          <w:r>
            <w:fldChar w:fldCharType="end"/>
          </w:r>
          <w:r>
            <w:rPr>
              <w:rFonts w:ascii="宋体" w:hAnsi="宋体" w:eastAsia="宋体" w:cs="宋体"/>
              <w:bCs/>
              <w:spacing w:val="-3"/>
              <w:szCs w:val="28"/>
            </w:rPr>
            <w:fldChar w:fldCharType="end"/>
          </w:r>
        </w:p>
        <w:p w14:paraId="329C5C24">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_Toc16969 </w:instrText>
          </w:r>
          <w:r>
            <w:rPr>
              <w:rFonts w:ascii="宋体" w:hAnsi="宋体" w:eastAsia="宋体" w:cs="宋体"/>
              <w:bCs/>
              <w:spacing w:val="-3"/>
              <w:szCs w:val="28"/>
            </w:rPr>
            <w:fldChar w:fldCharType="separate"/>
          </w:r>
          <w:r>
            <w:t>六、签订及履行合同和验收</w:t>
          </w:r>
          <w:r>
            <w:tab/>
          </w:r>
          <w:r>
            <w:fldChar w:fldCharType="begin"/>
          </w:r>
          <w:r>
            <w:instrText xml:space="preserve"> PAGEREF _Toc16969 \h </w:instrText>
          </w:r>
          <w:r>
            <w:fldChar w:fldCharType="separate"/>
          </w:r>
          <w:r>
            <w:t>23</w:t>
          </w:r>
          <w:r>
            <w:fldChar w:fldCharType="end"/>
          </w:r>
          <w:r>
            <w:rPr>
              <w:rFonts w:ascii="宋体" w:hAnsi="宋体" w:eastAsia="宋体" w:cs="宋体"/>
              <w:bCs/>
              <w:spacing w:val="-3"/>
              <w:szCs w:val="28"/>
            </w:rPr>
            <w:fldChar w:fldCharType="end"/>
          </w:r>
        </w:p>
        <w:p w14:paraId="0A8CF1EC">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_Toc19871 </w:instrText>
          </w:r>
          <w:r>
            <w:rPr>
              <w:rFonts w:ascii="宋体" w:hAnsi="宋体" w:eastAsia="宋体" w:cs="宋体"/>
              <w:bCs/>
              <w:spacing w:val="-3"/>
              <w:szCs w:val="28"/>
            </w:rPr>
            <w:fldChar w:fldCharType="separate"/>
          </w:r>
          <w:r>
            <w:t>七、投标纪律要求</w:t>
          </w:r>
          <w:r>
            <w:tab/>
          </w:r>
          <w:r>
            <w:fldChar w:fldCharType="begin"/>
          </w:r>
          <w:r>
            <w:instrText xml:space="preserve"> PAGEREF _Toc19871 \h </w:instrText>
          </w:r>
          <w:r>
            <w:fldChar w:fldCharType="separate"/>
          </w:r>
          <w:r>
            <w:t>24</w:t>
          </w:r>
          <w:r>
            <w:fldChar w:fldCharType="end"/>
          </w:r>
          <w:r>
            <w:rPr>
              <w:rFonts w:ascii="宋体" w:hAnsi="宋体" w:eastAsia="宋体" w:cs="宋体"/>
              <w:bCs/>
              <w:spacing w:val="-3"/>
              <w:szCs w:val="28"/>
            </w:rPr>
            <w:fldChar w:fldCharType="end"/>
          </w:r>
        </w:p>
        <w:p w14:paraId="6C25AC29">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_Toc19995 </w:instrText>
          </w:r>
          <w:r>
            <w:rPr>
              <w:rFonts w:ascii="宋体" w:hAnsi="宋体" w:eastAsia="宋体" w:cs="宋体"/>
              <w:bCs/>
              <w:spacing w:val="-3"/>
              <w:szCs w:val="28"/>
            </w:rPr>
            <w:fldChar w:fldCharType="separate"/>
          </w:r>
          <w:r>
            <w:t>八、合同价款支付</w:t>
          </w:r>
          <w:r>
            <w:tab/>
          </w:r>
          <w:r>
            <w:fldChar w:fldCharType="begin"/>
          </w:r>
          <w:r>
            <w:instrText xml:space="preserve"> PAGEREF _Toc19995 \h </w:instrText>
          </w:r>
          <w:r>
            <w:fldChar w:fldCharType="separate"/>
          </w:r>
          <w:r>
            <w:t>25</w:t>
          </w:r>
          <w:r>
            <w:fldChar w:fldCharType="end"/>
          </w:r>
          <w:r>
            <w:rPr>
              <w:rFonts w:ascii="宋体" w:hAnsi="宋体" w:eastAsia="宋体" w:cs="宋体"/>
              <w:bCs/>
              <w:spacing w:val="-3"/>
              <w:szCs w:val="28"/>
            </w:rPr>
            <w:fldChar w:fldCharType="end"/>
          </w:r>
        </w:p>
        <w:p w14:paraId="5DB882FB">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_Toc31199 </w:instrText>
          </w:r>
          <w:r>
            <w:rPr>
              <w:rFonts w:ascii="宋体" w:hAnsi="宋体" w:eastAsia="宋体" w:cs="宋体"/>
              <w:bCs/>
              <w:spacing w:val="-3"/>
              <w:szCs w:val="28"/>
            </w:rPr>
            <w:fldChar w:fldCharType="separate"/>
          </w:r>
          <w:r>
            <w:t>九、质疑和投诉</w:t>
          </w:r>
          <w:r>
            <w:tab/>
          </w:r>
          <w:r>
            <w:fldChar w:fldCharType="begin"/>
          </w:r>
          <w:r>
            <w:instrText xml:space="preserve"> PAGEREF _Toc31199 \h </w:instrText>
          </w:r>
          <w:r>
            <w:fldChar w:fldCharType="separate"/>
          </w:r>
          <w:r>
            <w:t>25</w:t>
          </w:r>
          <w:r>
            <w:fldChar w:fldCharType="end"/>
          </w:r>
          <w:r>
            <w:rPr>
              <w:rFonts w:ascii="宋体" w:hAnsi="宋体" w:eastAsia="宋体" w:cs="宋体"/>
              <w:bCs/>
              <w:spacing w:val="-3"/>
              <w:szCs w:val="28"/>
            </w:rPr>
            <w:fldChar w:fldCharType="end"/>
          </w:r>
        </w:p>
        <w:p w14:paraId="24693543">
          <w:pPr>
            <w:pStyle w:val="6"/>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_Toc28893 </w:instrText>
          </w:r>
          <w:r>
            <w:rPr>
              <w:rFonts w:ascii="宋体" w:hAnsi="宋体" w:eastAsia="宋体" w:cs="宋体"/>
              <w:bCs/>
              <w:spacing w:val="-3"/>
              <w:szCs w:val="28"/>
            </w:rPr>
            <w:fldChar w:fldCharType="separate"/>
          </w:r>
          <w:r>
            <w:t>第三章</w:t>
          </w:r>
          <w:r>
            <w:rPr>
              <w:rFonts w:hint="eastAsia"/>
              <w:lang w:val="en-US" w:eastAsia="zh-CN"/>
            </w:rPr>
            <w:t xml:space="preserve">  </w:t>
          </w:r>
          <w:r>
            <w:t>响应文件格式</w:t>
          </w:r>
          <w:r>
            <w:tab/>
          </w:r>
          <w:r>
            <w:fldChar w:fldCharType="begin"/>
          </w:r>
          <w:r>
            <w:instrText xml:space="preserve"> PAGEREF _Toc28893 \h </w:instrText>
          </w:r>
          <w:r>
            <w:fldChar w:fldCharType="separate"/>
          </w:r>
          <w:r>
            <w:t>30</w:t>
          </w:r>
          <w:r>
            <w:fldChar w:fldCharType="end"/>
          </w:r>
          <w:r>
            <w:rPr>
              <w:rFonts w:ascii="宋体" w:hAnsi="宋体" w:eastAsia="宋体" w:cs="宋体"/>
              <w:bCs/>
              <w:spacing w:val="-3"/>
              <w:szCs w:val="28"/>
            </w:rPr>
            <w:fldChar w:fldCharType="end"/>
          </w:r>
        </w:p>
        <w:p w14:paraId="4C396512">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_Toc22328 </w:instrText>
          </w:r>
          <w:r>
            <w:rPr>
              <w:rFonts w:ascii="宋体" w:hAnsi="宋体" w:eastAsia="宋体" w:cs="宋体"/>
              <w:bCs/>
              <w:spacing w:val="-3"/>
              <w:szCs w:val="28"/>
            </w:rPr>
            <w:fldChar w:fldCharType="separate"/>
          </w:r>
          <w:r>
            <w:t>一、投标函</w:t>
          </w:r>
          <w:r>
            <w:tab/>
          </w:r>
          <w:r>
            <w:fldChar w:fldCharType="begin"/>
          </w:r>
          <w:r>
            <w:instrText xml:space="preserve"> PAGEREF _Toc22328 \h </w:instrText>
          </w:r>
          <w:r>
            <w:fldChar w:fldCharType="separate"/>
          </w:r>
          <w:r>
            <w:t>32</w:t>
          </w:r>
          <w:r>
            <w:fldChar w:fldCharType="end"/>
          </w:r>
          <w:r>
            <w:rPr>
              <w:rFonts w:ascii="宋体" w:hAnsi="宋体" w:eastAsia="宋体" w:cs="宋体"/>
              <w:bCs/>
              <w:spacing w:val="-3"/>
              <w:szCs w:val="28"/>
            </w:rPr>
            <w:fldChar w:fldCharType="end"/>
          </w:r>
        </w:p>
        <w:p w14:paraId="6BD1904B">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_Toc21398 </w:instrText>
          </w:r>
          <w:r>
            <w:rPr>
              <w:rFonts w:ascii="宋体" w:hAnsi="宋体" w:eastAsia="宋体" w:cs="宋体"/>
              <w:bCs/>
              <w:spacing w:val="-3"/>
              <w:szCs w:val="28"/>
            </w:rPr>
            <w:fldChar w:fldCharType="separate"/>
          </w:r>
          <w:r>
            <w:t>二、身份证明书及授权书</w:t>
          </w:r>
          <w:r>
            <w:tab/>
          </w:r>
          <w:r>
            <w:fldChar w:fldCharType="begin"/>
          </w:r>
          <w:r>
            <w:instrText xml:space="preserve"> PAGEREF _Toc21398 \h </w:instrText>
          </w:r>
          <w:r>
            <w:fldChar w:fldCharType="separate"/>
          </w:r>
          <w:r>
            <w:t>34</w:t>
          </w:r>
          <w:r>
            <w:fldChar w:fldCharType="end"/>
          </w:r>
          <w:r>
            <w:rPr>
              <w:rFonts w:ascii="宋体" w:hAnsi="宋体" w:eastAsia="宋体" w:cs="宋体"/>
              <w:bCs/>
              <w:spacing w:val="-3"/>
              <w:szCs w:val="28"/>
            </w:rPr>
            <w:fldChar w:fldCharType="end"/>
          </w:r>
        </w:p>
        <w:p w14:paraId="53133F8F">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_Toc23517 </w:instrText>
          </w:r>
          <w:r>
            <w:rPr>
              <w:rFonts w:ascii="宋体" w:hAnsi="宋体" w:eastAsia="宋体" w:cs="宋体"/>
              <w:bCs/>
              <w:spacing w:val="-3"/>
              <w:szCs w:val="28"/>
            </w:rPr>
            <w:fldChar w:fldCharType="separate"/>
          </w:r>
          <w:r>
            <w:t>三、报价一览表</w:t>
          </w:r>
          <w:r>
            <w:tab/>
          </w:r>
          <w:r>
            <w:fldChar w:fldCharType="begin"/>
          </w:r>
          <w:r>
            <w:instrText xml:space="preserve"> PAGEREF _Toc23517 \h </w:instrText>
          </w:r>
          <w:r>
            <w:fldChar w:fldCharType="separate"/>
          </w:r>
          <w:r>
            <w:t>36</w:t>
          </w:r>
          <w:r>
            <w:fldChar w:fldCharType="end"/>
          </w:r>
          <w:r>
            <w:rPr>
              <w:rFonts w:ascii="宋体" w:hAnsi="宋体" w:eastAsia="宋体" w:cs="宋体"/>
              <w:bCs/>
              <w:spacing w:val="-3"/>
              <w:szCs w:val="28"/>
            </w:rPr>
            <w:fldChar w:fldCharType="end"/>
          </w:r>
        </w:p>
        <w:p w14:paraId="508C20AC">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_Toc26578 </w:instrText>
          </w:r>
          <w:r>
            <w:rPr>
              <w:rFonts w:ascii="宋体" w:hAnsi="宋体" w:eastAsia="宋体" w:cs="宋体"/>
              <w:bCs/>
              <w:spacing w:val="-3"/>
              <w:szCs w:val="28"/>
            </w:rPr>
            <w:fldChar w:fldCharType="separate"/>
          </w:r>
          <w:r>
            <w:t>四、供应商基本情况表</w:t>
          </w:r>
          <w:r>
            <w:tab/>
          </w:r>
          <w:r>
            <w:fldChar w:fldCharType="begin"/>
          </w:r>
          <w:r>
            <w:instrText xml:space="preserve"> PAGEREF _Toc26578 \h </w:instrText>
          </w:r>
          <w:r>
            <w:fldChar w:fldCharType="separate"/>
          </w:r>
          <w:r>
            <w:t>37</w:t>
          </w:r>
          <w:r>
            <w:fldChar w:fldCharType="end"/>
          </w:r>
          <w:r>
            <w:rPr>
              <w:rFonts w:ascii="宋体" w:hAnsi="宋体" w:eastAsia="宋体" w:cs="宋体"/>
              <w:bCs/>
              <w:spacing w:val="-3"/>
              <w:szCs w:val="28"/>
            </w:rPr>
            <w:fldChar w:fldCharType="end"/>
          </w:r>
        </w:p>
        <w:p w14:paraId="128C0BCA">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_Toc16074 </w:instrText>
          </w:r>
          <w:r>
            <w:rPr>
              <w:rFonts w:ascii="宋体" w:hAnsi="宋体" w:eastAsia="宋体" w:cs="宋体"/>
              <w:bCs/>
              <w:spacing w:val="-3"/>
              <w:szCs w:val="28"/>
            </w:rPr>
            <w:fldChar w:fldCharType="separate"/>
          </w:r>
          <w:r>
            <w:t>五、供应商类似项目业绩一览表</w:t>
          </w:r>
          <w:r>
            <w:tab/>
          </w:r>
          <w:r>
            <w:fldChar w:fldCharType="begin"/>
          </w:r>
          <w:r>
            <w:instrText xml:space="preserve"> PAGEREF _Toc16074 \h </w:instrText>
          </w:r>
          <w:r>
            <w:fldChar w:fldCharType="separate"/>
          </w:r>
          <w:r>
            <w:t>38</w:t>
          </w:r>
          <w:r>
            <w:fldChar w:fldCharType="end"/>
          </w:r>
          <w:r>
            <w:rPr>
              <w:rFonts w:ascii="宋体" w:hAnsi="宋体" w:eastAsia="宋体" w:cs="宋体"/>
              <w:bCs/>
              <w:spacing w:val="-3"/>
              <w:szCs w:val="28"/>
            </w:rPr>
            <w:fldChar w:fldCharType="end"/>
          </w:r>
        </w:p>
        <w:p w14:paraId="4259EF34">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_Toc19918 </w:instrText>
          </w:r>
          <w:r>
            <w:rPr>
              <w:rFonts w:ascii="宋体" w:hAnsi="宋体" w:eastAsia="宋体" w:cs="宋体"/>
              <w:bCs/>
              <w:spacing w:val="-3"/>
              <w:szCs w:val="28"/>
            </w:rPr>
            <w:fldChar w:fldCharType="separate"/>
          </w:r>
          <w:r>
            <w:t>六、供应商本项目管理及其他人员情况表</w:t>
          </w:r>
          <w:r>
            <w:tab/>
          </w:r>
          <w:r>
            <w:fldChar w:fldCharType="begin"/>
          </w:r>
          <w:r>
            <w:instrText xml:space="preserve"> PAGEREF _Toc19918 \h </w:instrText>
          </w:r>
          <w:r>
            <w:fldChar w:fldCharType="separate"/>
          </w:r>
          <w:r>
            <w:t>39</w:t>
          </w:r>
          <w:r>
            <w:fldChar w:fldCharType="end"/>
          </w:r>
          <w:r>
            <w:rPr>
              <w:rFonts w:ascii="宋体" w:hAnsi="宋体" w:eastAsia="宋体" w:cs="宋体"/>
              <w:bCs/>
              <w:spacing w:val="-3"/>
              <w:szCs w:val="28"/>
            </w:rPr>
            <w:fldChar w:fldCharType="end"/>
          </w:r>
        </w:p>
        <w:p w14:paraId="3F385542">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_Toc6060 </w:instrText>
          </w:r>
          <w:r>
            <w:rPr>
              <w:rFonts w:ascii="宋体" w:hAnsi="宋体" w:eastAsia="宋体" w:cs="宋体"/>
              <w:bCs/>
              <w:spacing w:val="-3"/>
              <w:szCs w:val="28"/>
            </w:rPr>
            <w:fldChar w:fldCharType="separate"/>
          </w:r>
          <w:r>
            <w:t>七、供应商资格证明文件及供应商认为需要提供的</w:t>
          </w:r>
          <w:r>
            <w:tab/>
          </w:r>
          <w:r>
            <w:fldChar w:fldCharType="begin"/>
          </w:r>
          <w:r>
            <w:instrText xml:space="preserve"> PAGEREF _Toc6060 \h </w:instrText>
          </w:r>
          <w:r>
            <w:fldChar w:fldCharType="separate"/>
          </w:r>
          <w:r>
            <w:t>41</w:t>
          </w:r>
          <w:r>
            <w:fldChar w:fldCharType="end"/>
          </w:r>
          <w:r>
            <w:rPr>
              <w:rFonts w:ascii="宋体" w:hAnsi="宋体" w:eastAsia="宋体" w:cs="宋体"/>
              <w:bCs/>
              <w:spacing w:val="-3"/>
              <w:szCs w:val="28"/>
            </w:rPr>
            <w:fldChar w:fldCharType="end"/>
          </w:r>
        </w:p>
        <w:p w14:paraId="43F95401">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_Toc32070 </w:instrText>
          </w:r>
          <w:r>
            <w:rPr>
              <w:rFonts w:ascii="宋体" w:hAnsi="宋体" w:eastAsia="宋体" w:cs="宋体"/>
              <w:bCs/>
              <w:spacing w:val="-3"/>
              <w:szCs w:val="28"/>
            </w:rPr>
            <w:fldChar w:fldCharType="separate"/>
          </w:r>
          <w:r>
            <w:t>八、保证金缴纳银行回执</w:t>
          </w:r>
          <w:r>
            <w:tab/>
          </w:r>
          <w:r>
            <w:fldChar w:fldCharType="begin"/>
          </w:r>
          <w:r>
            <w:instrText xml:space="preserve"> PAGEREF _Toc32070 \h </w:instrText>
          </w:r>
          <w:r>
            <w:fldChar w:fldCharType="separate"/>
          </w:r>
          <w:r>
            <w:t>42</w:t>
          </w:r>
          <w:r>
            <w:fldChar w:fldCharType="end"/>
          </w:r>
          <w:r>
            <w:rPr>
              <w:rFonts w:ascii="宋体" w:hAnsi="宋体" w:eastAsia="宋体" w:cs="宋体"/>
              <w:bCs/>
              <w:spacing w:val="-3"/>
              <w:szCs w:val="28"/>
            </w:rPr>
            <w:fldChar w:fldCharType="end"/>
          </w:r>
        </w:p>
        <w:p w14:paraId="76031BB6">
          <w:pPr>
            <w:pStyle w:val="6"/>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_Toc19209 </w:instrText>
          </w:r>
          <w:r>
            <w:rPr>
              <w:rFonts w:ascii="宋体" w:hAnsi="宋体" w:eastAsia="宋体" w:cs="宋体"/>
              <w:bCs/>
              <w:spacing w:val="-3"/>
              <w:szCs w:val="28"/>
            </w:rPr>
            <w:fldChar w:fldCharType="separate"/>
          </w:r>
          <w:r>
            <w:rPr>
              <w:rFonts w:ascii="宋体" w:hAnsi="宋体" w:eastAsia="宋体" w:cs="宋体"/>
              <w:bCs/>
              <w:spacing w:val="-3"/>
              <w:szCs w:val="28"/>
            </w:rPr>
            <w:t>第四章</w:t>
          </w:r>
          <w:r>
            <w:rPr>
              <w:rFonts w:hint="eastAsia" w:ascii="宋体" w:hAnsi="宋体" w:eastAsia="宋体" w:cs="宋体"/>
              <w:bCs/>
              <w:spacing w:val="-3"/>
              <w:szCs w:val="28"/>
              <w:lang w:val="en-US" w:eastAsia="zh-CN"/>
            </w:rPr>
            <w:t xml:space="preserve">  </w:t>
          </w:r>
          <w:r>
            <w:rPr>
              <w:rFonts w:ascii="宋体" w:hAnsi="宋体" w:eastAsia="宋体" w:cs="宋体"/>
              <w:bCs/>
              <w:spacing w:val="-3"/>
              <w:szCs w:val="28"/>
            </w:rPr>
            <w:t>供应商的资格要求</w:t>
          </w:r>
          <w:r>
            <w:tab/>
          </w:r>
          <w:r>
            <w:fldChar w:fldCharType="begin"/>
          </w:r>
          <w:r>
            <w:instrText xml:space="preserve"> PAGEREF _Toc19209 \h </w:instrText>
          </w:r>
          <w:r>
            <w:fldChar w:fldCharType="separate"/>
          </w:r>
          <w:r>
            <w:t>50</w:t>
          </w:r>
          <w:r>
            <w:fldChar w:fldCharType="end"/>
          </w:r>
          <w:r>
            <w:rPr>
              <w:rFonts w:ascii="宋体" w:hAnsi="宋体" w:eastAsia="宋体" w:cs="宋体"/>
              <w:bCs/>
              <w:spacing w:val="-3"/>
              <w:szCs w:val="28"/>
            </w:rPr>
            <w:fldChar w:fldCharType="end"/>
          </w:r>
        </w:p>
        <w:p w14:paraId="4409DC4D">
          <w:pPr>
            <w:pStyle w:val="6"/>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_Toc19833 </w:instrText>
          </w:r>
          <w:r>
            <w:rPr>
              <w:rFonts w:ascii="宋体" w:hAnsi="宋体" w:eastAsia="宋体" w:cs="宋体"/>
              <w:bCs/>
              <w:spacing w:val="-3"/>
              <w:szCs w:val="28"/>
            </w:rPr>
            <w:fldChar w:fldCharType="separate"/>
          </w:r>
          <w:r>
            <w:t>第五章</w:t>
          </w:r>
          <w:r>
            <w:rPr>
              <w:rFonts w:hint="eastAsia"/>
              <w:lang w:val="en-US" w:eastAsia="zh-CN"/>
            </w:rPr>
            <w:t xml:space="preserve">  </w:t>
          </w:r>
          <w:r>
            <w:t>采购项目采购需求</w:t>
          </w:r>
          <w:r>
            <w:tab/>
          </w:r>
          <w:r>
            <w:fldChar w:fldCharType="begin"/>
          </w:r>
          <w:r>
            <w:instrText xml:space="preserve"> PAGEREF _Toc19833 \h </w:instrText>
          </w:r>
          <w:r>
            <w:fldChar w:fldCharType="separate"/>
          </w:r>
          <w:r>
            <w:t>51</w:t>
          </w:r>
          <w:r>
            <w:fldChar w:fldCharType="end"/>
          </w:r>
          <w:r>
            <w:rPr>
              <w:rFonts w:ascii="宋体" w:hAnsi="宋体" w:eastAsia="宋体" w:cs="宋体"/>
              <w:bCs/>
              <w:spacing w:val="-3"/>
              <w:szCs w:val="28"/>
            </w:rPr>
            <w:fldChar w:fldCharType="end"/>
          </w:r>
        </w:p>
        <w:p w14:paraId="2D0BDC60">
          <w:pPr>
            <w:pStyle w:val="6"/>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_Toc3253 </w:instrText>
          </w:r>
          <w:r>
            <w:rPr>
              <w:rFonts w:ascii="宋体" w:hAnsi="宋体" w:eastAsia="宋体" w:cs="宋体"/>
              <w:bCs/>
              <w:spacing w:val="-3"/>
              <w:szCs w:val="28"/>
            </w:rPr>
            <w:fldChar w:fldCharType="separate"/>
          </w:r>
          <w:r>
            <w:t>第六章</w:t>
          </w:r>
          <w:r>
            <w:rPr>
              <w:rFonts w:hint="eastAsia"/>
              <w:lang w:val="en-US" w:eastAsia="zh-CN"/>
            </w:rPr>
            <w:t xml:space="preserve">  </w:t>
          </w:r>
          <w:r>
            <w:t>评标办法</w:t>
          </w:r>
          <w:r>
            <w:tab/>
          </w:r>
          <w:r>
            <w:fldChar w:fldCharType="begin"/>
          </w:r>
          <w:r>
            <w:instrText xml:space="preserve"> PAGEREF _Toc3253 \h </w:instrText>
          </w:r>
          <w:r>
            <w:fldChar w:fldCharType="separate"/>
          </w:r>
          <w:r>
            <w:t>52</w:t>
          </w:r>
          <w:r>
            <w:fldChar w:fldCharType="end"/>
          </w:r>
          <w:r>
            <w:rPr>
              <w:rFonts w:ascii="宋体" w:hAnsi="宋体" w:eastAsia="宋体" w:cs="宋体"/>
              <w:bCs/>
              <w:spacing w:val="-3"/>
              <w:szCs w:val="28"/>
            </w:rPr>
            <w:fldChar w:fldCharType="end"/>
          </w:r>
        </w:p>
        <w:p w14:paraId="7564992D">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_Toc7756 </w:instrText>
          </w:r>
          <w:r>
            <w:rPr>
              <w:rFonts w:ascii="宋体" w:hAnsi="宋体" w:eastAsia="宋体" w:cs="宋体"/>
              <w:bCs/>
              <w:spacing w:val="-3"/>
              <w:szCs w:val="28"/>
            </w:rPr>
            <w:fldChar w:fldCharType="separate"/>
          </w:r>
          <w:r>
            <w:rPr>
              <w:bCs/>
              <w:szCs w:val="28"/>
            </w:rPr>
            <w:t>商务部分完备性及符合性审查</w:t>
          </w:r>
          <w:r>
            <w:tab/>
          </w:r>
          <w:r>
            <w:fldChar w:fldCharType="begin"/>
          </w:r>
          <w:r>
            <w:instrText xml:space="preserve"> PAGEREF _Toc7756 \h </w:instrText>
          </w:r>
          <w:r>
            <w:fldChar w:fldCharType="separate"/>
          </w:r>
          <w:r>
            <w:t>54</w:t>
          </w:r>
          <w:r>
            <w:fldChar w:fldCharType="end"/>
          </w:r>
          <w:r>
            <w:rPr>
              <w:rFonts w:ascii="宋体" w:hAnsi="宋体" w:eastAsia="宋体" w:cs="宋体"/>
              <w:bCs/>
              <w:spacing w:val="-3"/>
              <w:szCs w:val="28"/>
            </w:rPr>
            <w:fldChar w:fldCharType="end"/>
          </w:r>
        </w:p>
        <w:p w14:paraId="50076460">
          <w:pPr>
            <w:pStyle w:val="6"/>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_Toc21203 </w:instrText>
          </w:r>
          <w:r>
            <w:rPr>
              <w:rFonts w:ascii="宋体" w:hAnsi="宋体" w:eastAsia="宋体" w:cs="宋体"/>
              <w:bCs/>
              <w:spacing w:val="-3"/>
              <w:szCs w:val="28"/>
            </w:rPr>
            <w:fldChar w:fldCharType="separate"/>
          </w:r>
          <w:r>
            <w:t>第七章</w:t>
          </w:r>
          <w:r>
            <w:rPr>
              <w:rFonts w:hint="eastAsia"/>
              <w:lang w:val="en-US" w:eastAsia="zh-CN"/>
            </w:rPr>
            <w:t xml:space="preserve">  </w:t>
          </w:r>
          <w:r>
            <w:t>合同主要条款</w:t>
          </w:r>
          <w:r>
            <w:tab/>
          </w:r>
          <w:r>
            <w:fldChar w:fldCharType="begin"/>
          </w:r>
          <w:r>
            <w:instrText xml:space="preserve"> PAGEREF _Toc21203 \h </w:instrText>
          </w:r>
          <w:r>
            <w:fldChar w:fldCharType="separate"/>
          </w:r>
          <w:r>
            <w:t>62</w:t>
          </w:r>
          <w:r>
            <w:fldChar w:fldCharType="end"/>
          </w:r>
          <w:r>
            <w:rPr>
              <w:rFonts w:ascii="宋体" w:hAnsi="宋体" w:eastAsia="宋体" w:cs="宋体"/>
              <w:bCs/>
              <w:spacing w:val="-3"/>
              <w:szCs w:val="28"/>
            </w:rPr>
            <w:fldChar w:fldCharType="end"/>
          </w:r>
        </w:p>
        <w:p w14:paraId="44A90453">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_Toc13257 </w:instrText>
          </w:r>
          <w:r>
            <w:rPr>
              <w:rFonts w:ascii="宋体" w:hAnsi="宋体" w:eastAsia="宋体" w:cs="宋体"/>
              <w:bCs/>
              <w:spacing w:val="-3"/>
              <w:szCs w:val="28"/>
            </w:rPr>
            <w:fldChar w:fldCharType="separate"/>
          </w:r>
          <w:r>
            <w:t>第一部分</w:t>
          </w:r>
          <w:r>
            <w:rPr>
              <w:rFonts w:hint="eastAsia"/>
              <w:lang w:val="en-US" w:eastAsia="zh-CN"/>
            </w:rPr>
            <w:t xml:space="preserve">  </w:t>
          </w:r>
          <w:r>
            <w:t>合同协议书</w:t>
          </w:r>
          <w:r>
            <w:tab/>
          </w:r>
          <w:r>
            <w:fldChar w:fldCharType="begin"/>
          </w:r>
          <w:r>
            <w:instrText xml:space="preserve"> PAGEREF _Toc13257 \h </w:instrText>
          </w:r>
          <w:r>
            <w:fldChar w:fldCharType="separate"/>
          </w:r>
          <w:r>
            <w:t>63</w:t>
          </w:r>
          <w:r>
            <w:fldChar w:fldCharType="end"/>
          </w:r>
          <w:r>
            <w:rPr>
              <w:rFonts w:ascii="宋体" w:hAnsi="宋体" w:eastAsia="宋体" w:cs="宋体"/>
              <w:bCs/>
              <w:spacing w:val="-3"/>
              <w:szCs w:val="28"/>
            </w:rPr>
            <w:fldChar w:fldCharType="end"/>
          </w:r>
        </w:p>
        <w:p w14:paraId="5D59783B">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_Toc9714 </w:instrText>
          </w:r>
          <w:r>
            <w:rPr>
              <w:rFonts w:ascii="宋体" w:hAnsi="宋体" w:eastAsia="宋体" w:cs="宋体"/>
              <w:bCs/>
              <w:spacing w:val="-3"/>
              <w:szCs w:val="28"/>
            </w:rPr>
            <w:fldChar w:fldCharType="separate"/>
          </w:r>
          <w:r>
            <w:t>第二部分</w:t>
          </w:r>
          <w:r>
            <w:rPr>
              <w:rFonts w:hint="eastAsia"/>
              <w:lang w:val="en-US" w:eastAsia="zh-CN"/>
            </w:rPr>
            <w:t xml:space="preserve">  </w:t>
          </w:r>
          <w:r>
            <w:t>通用合同条款</w:t>
          </w:r>
          <w:r>
            <w:tab/>
          </w:r>
          <w:r>
            <w:fldChar w:fldCharType="begin"/>
          </w:r>
          <w:r>
            <w:instrText xml:space="preserve"> PAGEREF _Toc9714 \h </w:instrText>
          </w:r>
          <w:r>
            <w:fldChar w:fldCharType="separate"/>
          </w:r>
          <w:r>
            <w:t>66</w:t>
          </w:r>
          <w:r>
            <w:fldChar w:fldCharType="end"/>
          </w:r>
          <w:r>
            <w:rPr>
              <w:rFonts w:ascii="宋体" w:hAnsi="宋体" w:eastAsia="宋体" w:cs="宋体"/>
              <w:bCs/>
              <w:spacing w:val="-3"/>
              <w:szCs w:val="28"/>
            </w:rPr>
            <w:fldChar w:fldCharType="end"/>
          </w:r>
        </w:p>
        <w:p w14:paraId="0B4577F1">
          <w:pPr>
            <w:pStyle w:val="7"/>
            <w:tabs>
              <w:tab w:val="right" w:leader="dot" w:pos="9072"/>
            </w:tabs>
          </w:pPr>
          <w:r>
            <w:rPr>
              <w:rFonts w:ascii="宋体" w:hAnsi="宋体" w:eastAsia="宋体" w:cs="宋体"/>
              <w:bCs/>
              <w:spacing w:val="-3"/>
              <w:szCs w:val="28"/>
            </w:rPr>
            <w:fldChar w:fldCharType="begin"/>
          </w:r>
          <w:r>
            <w:rPr>
              <w:rFonts w:ascii="宋体" w:hAnsi="宋体" w:eastAsia="宋体" w:cs="宋体"/>
              <w:bCs/>
              <w:spacing w:val="-3"/>
              <w:szCs w:val="28"/>
            </w:rPr>
            <w:instrText xml:space="preserve"> HYPERLINK \l _Toc7751 </w:instrText>
          </w:r>
          <w:r>
            <w:rPr>
              <w:rFonts w:ascii="宋体" w:hAnsi="宋体" w:eastAsia="宋体" w:cs="宋体"/>
              <w:bCs/>
              <w:spacing w:val="-3"/>
              <w:szCs w:val="28"/>
            </w:rPr>
            <w:fldChar w:fldCharType="separate"/>
          </w:r>
          <w:r>
            <w:t>第三部分</w:t>
          </w:r>
          <w:r>
            <w:rPr>
              <w:rFonts w:hint="eastAsia"/>
              <w:lang w:val="en-US" w:eastAsia="zh-CN"/>
            </w:rPr>
            <w:t xml:space="preserve">  </w:t>
          </w:r>
          <w:r>
            <w:t>专用合同条款</w:t>
          </w:r>
          <w:r>
            <w:tab/>
          </w:r>
          <w:r>
            <w:fldChar w:fldCharType="begin"/>
          </w:r>
          <w:r>
            <w:instrText xml:space="preserve"> PAGEREF _Toc7751 \h </w:instrText>
          </w:r>
          <w:r>
            <w:fldChar w:fldCharType="separate"/>
          </w:r>
          <w:r>
            <w:t>67</w:t>
          </w:r>
          <w:r>
            <w:fldChar w:fldCharType="end"/>
          </w:r>
          <w:r>
            <w:rPr>
              <w:rFonts w:ascii="宋体" w:hAnsi="宋体" w:eastAsia="宋体" w:cs="宋体"/>
              <w:bCs/>
              <w:spacing w:val="-3"/>
              <w:szCs w:val="28"/>
            </w:rPr>
            <w:fldChar w:fldCharType="end"/>
          </w:r>
        </w:p>
        <w:p w14:paraId="3937AD89">
          <w:pPr>
            <w:spacing w:before="91" w:line="219" w:lineRule="auto"/>
            <w:ind w:left="3358"/>
            <w:outlineLvl w:val="9"/>
            <w:rPr>
              <w:rFonts w:ascii="宋体" w:hAnsi="宋体" w:eastAsia="宋体" w:cs="宋体"/>
              <w:b/>
              <w:bCs/>
              <w:snapToGrid w:val="0"/>
              <w:color w:val="000000"/>
              <w:spacing w:val="-3"/>
              <w:kern w:val="0"/>
              <w:sz w:val="21"/>
              <w:szCs w:val="28"/>
              <w:lang w:val="en-US" w:eastAsia="en-US" w:bidi="ar-SA"/>
            </w:rPr>
          </w:pPr>
          <w:r>
            <w:rPr>
              <w:rFonts w:ascii="宋体" w:hAnsi="宋体" w:eastAsia="宋体" w:cs="宋体"/>
              <w:bCs/>
              <w:spacing w:val="-3"/>
              <w:szCs w:val="28"/>
            </w:rPr>
            <w:fldChar w:fldCharType="end"/>
          </w:r>
        </w:p>
      </w:sdtContent>
    </w:sdt>
    <w:p w14:paraId="49EE3CEC">
      <w:pPr>
        <w:pStyle w:val="2"/>
        <w:bidi w:val="0"/>
        <w:sectPr>
          <w:headerReference r:id="rId5" w:type="default"/>
          <w:footerReference r:id="rId6" w:type="default"/>
          <w:pgSz w:w="11906" w:h="16839"/>
          <w:pgMar w:top="1417" w:right="1417" w:bottom="1417" w:left="1417" w:header="0" w:footer="992" w:gutter="0"/>
          <w:cols w:space="720" w:num="1"/>
        </w:sectPr>
      </w:pPr>
      <w:bookmarkStart w:id="0" w:name="_Toc7988"/>
    </w:p>
    <w:p w14:paraId="2E9B2D99">
      <w:pPr>
        <w:pStyle w:val="2"/>
        <w:bidi w:val="0"/>
      </w:pPr>
      <w:r>
        <w:t>第一章</w:t>
      </w:r>
      <w:r>
        <w:rPr>
          <w:rFonts w:hint="eastAsia"/>
          <w:lang w:val="en-US" w:eastAsia="zh-CN"/>
        </w:rPr>
        <w:t xml:space="preserve">  </w:t>
      </w:r>
      <w:r>
        <w:t>磋商邀请</w:t>
      </w:r>
      <w:bookmarkEnd w:id="0"/>
    </w:p>
    <w:p w14:paraId="5D385848">
      <w:pPr>
        <w:jc w:val="center"/>
      </w:pPr>
      <w:r>
        <w:rPr>
          <w:rFonts w:hint="eastAsia" w:cs="Times New Roman"/>
          <w:b/>
          <w:color w:val="auto"/>
          <w:kern w:val="0"/>
          <w:sz w:val="28"/>
          <w:szCs w:val="28"/>
          <w:highlight w:val="none"/>
          <w:lang w:eastAsia="zh-CN"/>
        </w:rPr>
        <w:t>乌鲁木齐市水磨沟区某单位大厅装修工程</w:t>
      </w:r>
      <w:r>
        <w:rPr>
          <w:rFonts w:hint="default" w:ascii="Times New Roman" w:hAnsi="Times New Roman" w:eastAsia="宋体" w:cs="Times New Roman"/>
          <w:b/>
          <w:color w:val="auto"/>
          <w:kern w:val="0"/>
          <w:sz w:val="28"/>
          <w:szCs w:val="28"/>
          <w:highlight w:val="none"/>
          <w:lang w:eastAsia="zh-CN"/>
        </w:rPr>
        <w:t>竞争性</w:t>
      </w:r>
      <w:r>
        <w:rPr>
          <w:rFonts w:hint="default" w:ascii="Times New Roman" w:hAnsi="Times New Roman" w:eastAsia="宋体" w:cs="Times New Roman"/>
          <w:b/>
          <w:color w:val="auto"/>
          <w:kern w:val="0"/>
          <w:sz w:val="28"/>
          <w:szCs w:val="28"/>
          <w:highlight w:val="none"/>
        </w:rPr>
        <w:t>磋商公告</w:t>
      </w:r>
    </w:p>
    <w:p w14:paraId="1047FFB1">
      <w:pPr>
        <w:bidi w:val="0"/>
        <w:rPr>
          <w:b/>
          <w:bCs/>
        </w:rPr>
      </w:pPr>
      <w:r>
        <w:rPr>
          <w:rFonts w:hint="eastAsia" w:ascii="黑体" w:hAnsi="黑体" w:eastAsia="黑体" w:cs="黑体"/>
          <w:b/>
          <w:bCs/>
        </w:rPr>
        <w:t>项目概况</w:t>
      </w:r>
    </w:p>
    <w:p w14:paraId="67DB2511">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pPr>
      <w:r>
        <w:rPr>
          <w:rFonts w:hint="eastAsia"/>
          <w:lang w:eastAsia="zh-CN"/>
        </w:rPr>
        <w:t>乌鲁木齐市水磨沟区某单位大厅装修工程</w:t>
      </w:r>
      <w:r>
        <w:t>采购项目的潜在供应商应在新疆政府采购网(http://www.ccgp-xinjiang.gov.cn)政采云线上平台获取竞争性磋商文件，并于202</w:t>
      </w:r>
      <w:r>
        <w:rPr>
          <w:rFonts w:hint="eastAsia"/>
          <w:lang w:val="en-US" w:eastAsia="zh-CN"/>
        </w:rPr>
        <w:t>5</w:t>
      </w:r>
      <w:r>
        <w:t>年</w:t>
      </w:r>
      <w:r>
        <w:rPr>
          <w:rFonts w:hint="eastAsia"/>
          <w:lang w:val="en-US" w:eastAsia="zh-CN"/>
        </w:rPr>
        <w:t>01</w:t>
      </w:r>
      <w:r>
        <w:t>月</w:t>
      </w:r>
      <w:r>
        <w:rPr>
          <w:rFonts w:hint="eastAsia"/>
          <w:lang w:val="en-US" w:eastAsia="zh-CN"/>
        </w:rPr>
        <w:t>07</w:t>
      </w:r>
      <w:r>
        <w:t>日11:00（北京时间）前递交响应文件。</w:t>
      </w:r>
    </w:p>
    <w:p w14:paraId="2464B77A">
      <w:pPr>
        <w:bidi w:val="0"/>
      </w:pPr>
      <w:r>
        <w:rPr>
          <w:rFonts w:hint="eastAsia" w:ascii="黑体" w:hAnsi="黑体" w:eastAsia="黑体" w:cs="黑体"/>
          <w:b/>
          <w:bCs/>
        </w:rPr>
        <w:t>一、项目基本情况</w:t>
      </w:r>
    </w:p>
    <w:p w14:paraId="68E82220">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ascii="Times New Roman" w:hAnsi="Times New Roman" w:eastAsia="宋体" w:cs="Times New Roman"/>
        </w:rPr>
      </w:pPr>
      <w:r>
        <w:rPr>
          <w:rFonts w:ascii="Times New Roman" w:hAnsi="Times New Roman" w:eastAsia="宋体" w:cs="Times New Roman"/>
        </w:rPr>
        <w:t>项目编号：</w:t>
      </w:r>
      <w:r>
        <w:rPr>
          <w:rFonts w:hint="default" w:ascii="Times New Roman" w:hAnsi="Times New Roman" w:eastAsia="宋体" w:cs="Times New Roman"/>
          <w:lang w:val="en-US" w:eastAsia="zh-CN"/>
        </w:rPr>
        <w:t>XJQY-CS241225</w:t>
      </w:r>
    </w:p>
    <w:p w14:paraId="55513751">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ascii="Times New Roman" w:hAnsi="Times New Roman" w:eastAsia="宋体" w:cs="Times New Roman"/>
        </w:rPr>
      </w:pPr>
      <w:r>
        <w:rPr>
          <w:rFonts w:ascii="Times New Roman" w:hAnsi="Times New Roman" w:eastAsia="宋体" w:cs="Times New Roman"/>
        </w:rPr>
        <w:t>项目名称：</w:t>
      </w:r>
      <w:r>
        <w:rPr>
          <w:rFonts w:hint="eastAsia"/>
          <w:highlight w:val="none"/>
          <w:lang w:eastAsia="zh-CN"/>
        </w:rPr>
        <w:t>乌鲁木齐市水磨沟区某单位大厅装修工程</w:t>
      </w:r>
    </w:p>
    <w:p w14:paraId="00090D86">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ascii="Times New Roman" w:hAnsi="Times New Roman" w:eastAsia="宋体" w:cs="Times New Roman"/>
        </w:rPr>
      </w:pPr>
      <w:r>
        <w:rPr>
          <w:rFonts w:ascii="Times New Roman" w:hAnsi="Times New Roman" w:eastAsia="宋体" w:cs="Times New Roman"/>
        </w:rPr>
        <w:t>采购方式：竞争性磋商</w:t>
      </w:r>
    </w:p>
    <w:p w14:paraId="319945D9">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hint="eastAsia" w:ascii="Times New Roman" w:hAnsi="Times New Roman" w:eastAsia="宋体" w:cs="Times New Roman"/>
          <w:lang w:eastAsia="zh-CN"/>
        </w:rPr>
      </w:pPr>
      <w:r>
        <w:rPr>
          <w:rFonts w:ascii="Times New Roman" w:hAnsi="Times New Roman" w:eastAsia="宋体" w:cs="Times New Roman"/>
        </w:rPr>
        <w:t>预算金额（元）：</w:t>
      </w:r>
      <w:r>
        <w:rPr>
          <w:rFonts w:hint="eastAsia" w:ascii="Times New Roman" w:hAnsi="Times New Roman" w:eastAsia="宋体" w:cs="Times New Roman"/>
          <w:lang w:val="en-US" w:eastAsia="zh-CN"/>
        </w:rPr>
        <w:t>500000</w:t>
      </w:r>
      <w:r>
        <w:rPr>
          <w:rFonts w:ascii="Times New Roman" w:hAnsi="Times New Roman" w:eastAsia="宋体" w:cs="Times New Roman"/>
        </w:rPr>
        <w:t>.00元</w:t>
      </w:r>
    </w:p>
    <w:p w14:paraId="1A1DAAC1">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hint="eastAsia" w:ascii="Times New Roman" w:hAnsi="Times New Roman" w:eastAsia="宋体" w:cs="Times New Roman"/>
          <w:lang w:eastAsia="zh-CN"/>
        </w:rPr>
      </w:pPr>
      <w:r>
        <w:rPr>
          <w:rFonts w:ascii="Times New Roman" w:hAnsi="Times New Roman" w:eastAsia="宋体" w:cs="Times New Roman"/>
        </w:rPr>
        <w:t>最高限价（元）：</w:t>
      </w:r>
      <w:r>
        <w:rPr>
          <w:rFonts w:hint="eastAsia" w:ascii="Times New Roman" w:hAnsi="Times New Roman" w:eastAsia="宋体" w:cs="Times New Roman"/>
          <w:highlight w:val="none"/>
        </w:rPr>
        <w:t>499846.98</w:t>
      </w:r>
      <w:r>
        <w:rPr>
          <w:rFonts w:ascii="Times New Roman" w:hAnsi="Times New Roman" w:eastAsia="宋体" w:cs="Times New Roman"/>
          <w:highlight w:val="none"/>
        </w:rPr>
        <w:t>元</w:t>
      </w:r>
    </w:p>
    <w:p w14:paraId="649A96EE">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ascii="Times New Roman" w:hAnsi="Times New Roman" w:eastAsia="宋体" w:cs="Times New Roman"/>
        </w:rPr>
      </w:pPr>
      <w:r>
        <w:rPr>
          <w:rFonts w:ascii="Times New Roman" w:hAnsi="Times New Roman" w:eastAsia="宋体" w:cs="Times New Roman"/>
        </w:rPr>
        <w:t>采购需求：</w:t>
      </w:r>
    </w:p>
    <w:p w14:paraId="09156357">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hint="eastAsia" w:ascii="Times New Roman" w:hAnsi="Times New Roman" w:eastAsia="宋体" w:cs="Times New Roman"/>
          <w:lang w:val="en-US" w:eastAsia="zh-CN"/>
        </w:rPr>
      </w:pPr>
      <w:r>
        <w:rPr>
          <w:rFonts w:ascii="Times New Roman" w:hAnsi="Times New Roman" w:eastAsia="宋体" w:cs="Times New Roman"/>
        </w:rPr>
        <w:t>标项名称</w:t>
      </w:r>
      <w:r>
        <w:rPr>
          <w:rFonts w:hint="eastAsia" w:ascii="Times New Roman" w:hAnsi="Times New Roman" w:eastAsia="宋体" w:cs="Times New Roman"/>
          <w:lang w:eastAsia="zh-CN"/>
        </w:rPr>
        <w:t>：</w:t>
      </w:r>
      <w:r>
        <w:rPr>
          <w:rFonts w:hint="eastAsia"/>
          <w:lang w:eastAsia="zh-CN"/>
        </w:rPr>
        <w:t>乌鲁木齐市水磨沟区某单位大厅装修工程</w:t>
      </w:r>
    </w:p>
    <w:p w14:paraId="57AC5B95">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hint="default" w:ascii="Times New Roman" w:hAnsi="Times New Roman" w:eastAsia="宋体" w:cs="Times New Roman"/>
          <w:lang w:val="en-US" w:eastAsia="zh-CN"/>
        </w:rPr>
      </w:pPr>
      <w:r>
        <w:rPr>
          <w:rFonts w:ascii="Times New Roman" w:hAnsi="Times New Roman" w:eastAsia="宋体" w:cs="Times New Roman"/>
        </w:rPr>
        <w:t>数量</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1</w:t>
      </w:r>
    </w:p>
    <w:p w14:paraId="77792FEB">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ascii="Times New Roman" w:hAnsi="Times New Roman" w:eastAsia="宋体" w:cs="Times New Roman"/>
        </w:rPr>
      </w:pPr>
      <w:r>
        <w:rPr>
          <w:rFonts w:ascii="Times New Roman" w:hAnsi="Times New Roman" w:eastAsia="宋体" w:cs="Times New Roman"/>
        </w:rPr>
        <w:t>预算金额（元）：</w:t>
      </w:r>
      <w:r>
        <w:rPr>
          <w:rFonts w:hint="eastAsia" w:ascii="Times New Roman" w:hAnsi="Times New Roman" w:eastAsia="宋体" w:cs="Times New Roman"/>
          <w:lang w:val="en-US" w:eastAsia="zh-CN"/>
        </w:rPr>
        <w:t>500000</w:t>
      </w:r>
      <w:r>
        <w:rPr>
          <w:rFonts w:ascii="Times New Roman" w:hAnsi="Times New Roman" w:eastAsia="宋体" w:cs="Times New Roman"/>
        </w:rPr>
        <w:t>.00元</w:t>
      </w:r>
    </w:p>
    <w:p w14:paraId="00B40C67">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ascii="Times New Roman" w:hAnsi="Times New Roman" w:eastAsia="宋体" w:cs="Times New Roman"/>
        </w:rPr>
      </w:pPr>
      <w:r>
        <w:rPr>
          <w:rFonts w:ascii="Times New Roman" w:hAnsi="Times New Roman" w:eastAsia="宋体" w:cs="Times New Roman"/>
        </w:rPr>
        <w:t>简要规格描述或项目基本概况介绍、用途：</w:t>
      </w:r>
      <w:r>
        <w:rPr>
          <w:rFonts w:hint="eastAsia"/>
          <w:lang w:eastAsia="zh-CN"/>
        </w:rPr>
        <w:t>大厅装修包括拆除、建筑与装饰、电气设备安装等工程量清单范围内的全部工作内容。</w:t>
      </w:r>
    </w:p>
    <w:p w14:paraId="628598A0">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ascii="Times New Roman" w:hAnsi="Times New Roman" w:eastAsia="宋体" w:cs="Times New Roman"/>
        </w:rPr>
      </w:pPr>
      <w:r>
        <w:rPr>
          <w:rFonts w:ascii="Times New Roman" w:hAnsi="Times New Roman" w:eastAsia="宋体" w:cs="Times New Roman"/>
        </w:rPr>
        <w:t>备注：</w:t>
      </w:r>
    </w:p>
    <w:p w14:paraId="7EA4370C">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hint="eastAsia" w:ascii="Times New Roman" w:hAnsi="Times New Roman" w:eastAsia="宋体" w:cs="Times New Roman"/>
          <w:lang w:eastAsia="zh-CN"/>
        </w:rPr>
      </w:pPr>
      <w:r>
        <w:rPr>
          <w:rFonts w:ascii="Times New Roman" w:hAnsi="Times New Roman" w:eastAsia="宋体" w:cs="Times New Roman"/>
        </w:rPr>
        <w:t>合同履约期限</w:t>
      </w:r>
      <w:r>
        <w:rPr>
          <w:rFonts w:hint="eastAsia" w:ascii="Times New Roman" w:hAnsi="Times New Roman" w:eastAsia="宋体" w:cs="Times New Roman"/>
          <w:lang w:eastAsia="zh-CN"/>
        </w:rPr>
        <w:t>：</w:t>
      </w:r>
      <w:r>
        <w:rPr>
          <w:rFonts w:hint="default" w:ascii="Times New Roman" w:hAnsi="Times New Roman" w:eastAsia="宋体" w:cs="Times New Roman"/>
          <w:color w:val="auto"/>
          <w:kern w:val="0"/>
          <w:sz w:val="24"/>
          <w:szCs w:val="24"/>
          <w:highlight w:val="none"/>
        </w:rPr>
        <w:t>自合同签订之日起</w:t>
      </w:r>
      <w:r>
        <w:rPr>
          <w:rFonts w:hint="eastAsia" w:ascii="Times New Roman" w:hAnsi="Times New Roman" w:eastAsia="宋体" w:cs="Times New Roman"/>
          <w:color w:val="auto"/>
          <w:kern w:val="0"/>
          <w:sz w:val="24"/>
          <w:szCs w:val="24"/>
          <w:highlight w:val="none"/>
          <w:lang w:val="en-US" w:eastAsia="zh-CN"/>
        </w:rPr>
        <w:t>15</w:t>
      </w:r>
      <w:r>
        <w:rPr>
          <w:rFonts w:hint="default" w:ascii="Times New Roman" w:hAnsi="Times New Roman" w:eastAsia="宋体" w:cs="Times New Roman"/>
          <w:color w:val="auto"/>
          <w:kern w:val="0"/>
          <w:sz w:val="24"/>
          <w:szCs w:val="24"/>
          <w:highlight w:val="none"/>
        </w:rPr>
        <w:t>日</w:t>
      </w:r>
      <w:r>
        <w:rPr>
          <w:rFonts w:hint="eastAsia" w:ascii="Times New Roman" w:hAnsi="Times New Roman" w:eastAsia="宋体" w:cs="Times New Roman"/>
          <w:color w:val="auto"/>
          <w:kern w:val="0"/>
          <w:sz w:val="24"/>
          <w:szCs w:val="24"/>
          <w:highlight w:val="none"/>
          <w:lang w:eastAsia="zh-CN"/>
        </w:rPr>
        <w:t>内完成全部施工内容。</w:t>
      </w:r>
    </w:p>
    <w:p w14:paraId="2ED869C1">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pPr>
      <w:r>
        <w:rPr>
          <w:rFonts w:ascii="Times New Roman" w:hAnsi="Times New Roman" w:eastAsia="宋体" w:cs="Times New Roman"/>
        </w:rPr>
        <w:t>本项目不接受联合体投标。</w:t>
      </w:r>
    </w:p>
    <w:p w14:paraId="0D8D6736">
      <w:pPr>
        <w:bidi w:val="0"/>
      </w:pPr>
      <w:r>
        <w:rPr>
          <w:rFonts w:hint="eastAsia" w:ascii="黑体" w:hAnsi="黑体" w:eastAsia="黑体" w:cs="黑体"/>
          <w:b/>
          <w:bCs/>
        </w:rPr>
        <w:t>二、申请人的资格要求：</w:t>
      </w:r>
    </w:p>
    <w:p w14:paraId="5B118CBA">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ascii="Times New Roman" w:hAnsi="Times New Roman" w:eastAsia="宋体" w:cs="Times New Roman"/>
        </w:rPr>
      </w:pPr>
      <w:r>
        <w:rPr>
          <w:rFonts w:ascii="Times New Roman" w:hAnsi="Times New Roman" w:eastAsia="宋体" w:cs="Times New Roman"/>
        </w:rPr>
        <w:t>1.满足《中华人民共和国政府采购法》第二十二条规定；</w:t>
      </w:r>
    </w:p>
    <w:p w14:paraId="72657BB5">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hint="eastAsia" w:ascii="Times New Roman" w:hAnsi="Times New Roman" w:eastAsia="宋体" w:cs="Times New Roman"/>
          <w:lang w:eastAsia="zh-CN"/>
        </w:rPr>
      </w:pPr>
      <w:r>
        <w:rPr>
          <w:rFonts w:ascii="Times New Roman" w:hAnsi="Times New Roman" w:eastAsia="宋体" w:cs="Times New Roman"/>
        </w:rPr>
        <w:t>2.落实政府采购政策需满足的资格要求：本项目专门面向中小企业；</w:t>
      </w:r>
    </w:p>
    <w:p w14:paraId="7F1615AD">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ascii="Times New Roman" w:hAnsi="Times New Roman" w:eastAsia="宋体" w:cs="Times New Roman"/>
        </w:rPr>
      </w:pPr>
      <w:r>
        <w:rPr>
          <w:rFonts w:ascii="Times New Roman" w:hAnsi="Times New Roman" w:eastAsia="宋体" w:cs="Times New Roman"/>
        </w:rPr>
        <w:t>3.本项目的特定资格要求：</w:t>
      </w:r>
    </w:p>
    <w:p w14:paraId="03A7A7E7">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ascii="Times New Roman" w:hAnsi="Times New Roman" w:eastAsia="宋体" w:cs="Times New Roman"/>
        </w:rPr>
      </w:pPr>
      <w:r>
        <w:rPr>
          <w:rFonts w:ascii="Times New Roman" w:hAnsi="Times New Roman" w:eastAsia="宋体" w:cs="Times New Roman"/>
        </w:rPr>
        <w:t>（1）资质要求：</w:t>
      </w:r>
      <w:r>
        <w:t>具有建设行政主管部门核发的</w:t>
      </w:r>
      <w:r>
        <w:rPr>
          <w:rFonts w:ascii="Times New Roman" w:hAnsi="Times New Roman" w:eastAsia="宋体" w:cs="Times New Roman"/>
        </w:rPr>
        <w:t>建筑工程施工总承包</w:t>
      </w:r>
      <w:r>
        <w:rPr>
          <w:rFonts w:hint="eastAsia" w:cs="Times New Roman"/>
          <w:lang w:eastAsia="zh-CN"/>
        </w:rPr>
        <w:t>三</w:t>
      </w:r>
      <w:r>
        <w:rPr>
          <w:rFonts w:ascii="Times New Roman" w:hAnsi="Times New Roman" w:eastAsia="宋体" w:cs="Times New Roman"/>
        </w:rPr>
        <w:t>级（含）及以上资质或建筑装修装饰工程专业承包</w:t>
      </w:r>
      <w:r>
        <w:rPr>
          <w:rFonts w:hint="eastAsia" w:cs="Times New Roman"/>
          <w:lang w:eastAsia="zh-CN"/>
        </w:rPr>
        <w:t>二</w:t>
      </w:r>
      <w:r>
        <w:rPr>
          <w:rFonts w:ascii="Times New Roman" w:hAnsi="Times New Roman" w:eastAsia="宋体" w:cs="Times New Roman"/>
        </w:rPr>
        <w:t>级（含）及以上资质，且证书合格、有效；</w:t>
      </w:r>
    </w:p>
    <w:p w14:paraId="7EF7518F">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ascii="Times New Roman" w:hAnsi="Times New Roman" w:eastAsia="宋体" w:cs="Times New Roman"/>
        </w:rPr>
      </w:pPr>
      <w:r>
        <w:rPr>
          <w:rFonts w:ascii="Times New Roman" w:hAnsi="Times New Roman" w:eastAsia="宋体" w:cs="Times New Roman"/>
        </w:rPr>
        <w:t>（2）具有建设行政主管部门核发的安全生产许可证，且证书合格、有效；</w:t>
      </w:r>
    </w:p>
    <w:p w14:paraId="3AB7781C">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pPr>
      <w:r>
        <w:rPr>
          <w:rFonts w:ascii="Times New Roman" w:hAnsi="Times New Roman" w:eastAsia="宋体" w:cs="Times New Roman"/>
        </w:rPr>
        <w:t>（3）项目负责人的资格要求：二级注册建造师（</w:t>
      </w:r>
      <w:r>
        <w:rPr>
          <w:rFonts w:hint="eastAsia" w:ascii="Times New Roman" w:hAnsi="Times New Roman" w:eastAsia="宋体" w:cs="Times New Roman"/>
          <w:lang w:eastAsia="zh-CN"/>
        </w:rPr>
        <w:t>建筑</w:t>
      </w:r>
      <w:r>
        <w:rPr>
          <w:rFonts w:ascii="Times New Roman" w:hAnsi="Times New Roman" w:eastAsia="宋体" w:cs="Times New Roman"/>
        </w:rPr>
        <w:t>工程</w:t>
      </w:r>
      <w:r>
        <w:rPr>
          <w:rFonts w:hint="eastAsia" w:ascii="Times New Roman" w:hAnsi="Times New Roman" w:eastAsia="宋体" w:cs="Times New Roman"/>
          <w:lang w:eastAsia="zh-CN"/>
        </w:rPr>
        <w:t>专业</w:t>
      </w:r>
      <w:r>
        <w:rPr>
          <w:rFonts w:ascii="Times New Roman" w:hAnsi="Times New Roman" w:eastAsia="宋体" w:cs="Times New Roman"/>
        </w:rPr>
        <w:t>），本单位注册，不接受临时注册；</w:t>
      </w:r>
    </w:p>
    <w:p w14:paraId="7B421794">
      <w:pPr>
        <w:bidi w:val="0"/>
      </w:pPr>
      <w:r>
        <w:rPr>
          <w:rFonts w:hint="eastAsia" w:ascii="黑体" w:hAnsi="黑体" w:eastAsia="黑体" w:cs="黑体"/>
          <w:b/>
          <w:bCs/>
        </w:rPr>
        <w:t>三、获取</w:t>
      </w:r>
      <w:r>
        <w:rPr>
          <w:rFonts w:hint="eastAsia" w:ascii="黑体" w:hAnsi="黑体" w:eastAsia="黑体" w:cs="黑体"/>
          <w:b/>
          <w:bCs/>
          <w:lang w:eastAsia="zh-CN"/>
        </w:rPr>
        <w:t>采购</w:t>
      </w:r>
      <w:r>
        <w:rPr>
          <w:rFonts w:hint="eastAsia" w:ascii="黑体" w:hAnsi="黑体" w:eastAsia="黑体" w:cs="黑体"/>
          <w:b/>
          <w:bCs/>
        </w:rPr>
        <w:t>文件</w:t>
      </w:r>
    </w:p>
    <w:p w14:paraId="1861B995">
      <w:pPr>
        <w:bidi w:val="0"/>
      </w:pPr>
      <w:r>
        <w:t>时间：</w:t>
      </w:r>
      <w:r>
        <w:rPr>
          <w:highlight w:val="none"/>
        </w:rPr>
        <w:t>2024年</w:t>
      </w:r>
      <w:r>
        <w:rPr>
          <w:rFonts w:hint="eastAsia"/>
          <w:highlight w:val="none"/>
          <w:lang w:val="en-US" w:eastAsia="zh-CN"/>
        </w:rPr>
        <w:t>12</w:t>
      </w:r>
      <w:r>
        <w:rPr>
          <w:highlight w:val="none"/>
        </w:rPr>
        <w:t>月</w:t>
      </w:r>
      <w:r>
        <w:rPr>
          <w:rFonts w:hint="eastAsia"/>
          <w:highlight w:val="none"/>
          <w:lang w:val="en-US" w:eastAsia="zh-CN"/>
        </w:rPr>
        <w:t>27</w:t>
      </w:r>
      <w:r>
        <w:rPr>
          <w:highlight w:val="none"/>
        </w:rPr>
        <w:t>日至202</w:t>
      </w:r>
      <w:r>
        <w:rPr>
          <w:rFonts w:hint="eastAsia"/>
          <w:highlight w:val="none"/>
          <w:lang w:val="en-US" w:eastAsia="zh-CN"/>
        </w:rPr>
        <w:t>5</w:t>
      </w:r>
      <w:r>
        <w:rPr>
          <w:highlight w:val="none"/>
        </w:rPr>
        <w:t>年</w:t>
      </w:r>
      <w:r>
        <w:rPr>
          <w:rFonts w:hint="eastAsia"/>
          <w:highlight w:val="none"/>
          <w:lang w:val="en-US" w:eastAsia="zh-CN"/>
        </w:rPr>
        <w:t>01</w:t>
      </w:r>
      <w:r>
        <w:rPr>
          <w:highlight w:val="none"/>
        </w:rPr>
        <w:t>月</w:t>
      </w:r>
      <w:r>
        <w:rPr>
          <w:rFonts w:hint="eastAsia"/>
          <w:highlight w:val="none"/>
          <w:lang w:val="en-US" w:eastAsia="zh-CN"/>
        </w:rPr>
        <w:t>03</w:t>
      </w:r>
      <w:r>
        <w:rPr>
          <w:highlight w:val="none"/>
        </w:rPr>
        <w:t>日</w:t>
      </w:r>
      <w:r>
        <w:t>，每天上午</w:t>
      </w:r>
      <w:r>
        <w:rPr>
          <w:rFonts w:hint="eastAsia"/>
          <w:lang w:val="en-US" w:eastAsia="zh-CN"/>
        </w:rPr>
        <w:t>00</w:t>
      </w:r>
      <w:r>
        <w:t>:</w:t>
      </w:r>
      <w:r>
        <w:rPr>
          <w:rFonts w:hint="eastAsia"/>
          <w:lang w:val="en-US" w:eastAsia="zh-CN"/>
        </w:rPr>
        <w:t>00</w:t>
      </w:r>
      <w:r>
        <w:t>至1</w:t>
      </w:r>
      <w:r>
        <w:rPr>
          <w:rFonts w:hint="eastAsia"/>
          <w:lang w:val="en-US" w:eastAsia="zh-CN"/>
        </w:rPr>
        <w:t>2</w:t>
      </w:r>
      <w:r>
        <w:t>:</w:t>
      </w:r>
      <w:r>
        <w:rPr>
          <w:rFonts w:hint="eastAsia"/>
          <w:lang w:val="en-US" w:eastAsia="zh-CN"/>
        </w:rPr>
        <w:t>0</w:t>
      </w:r>
      <w:r>
        <w:t>0，下午</w:t>
      </w:r>
      <w:r>
        <w:rPr>
          <w:rFonts w:hint="eastAsia"/>
          <w:lang w:val="en-US" w:eastAsia="zh-CN"/>
        </w:rPr>
        <w:t>12</w:t>
      </w:r>
      <w:r>
        <w:t>:</w:t>
      </w:r>
      <w:r>
        <w:rPr>
          <w:rFonts w:hint="eastAsia"/>
          <w:lang w:val="en-US" w:eastAsia="zh-CN"/>
        </w:rPr>
        <w:t>00</w:t>
      </w:r>
      <w:r>
        <w:t>至</w:t>
      </w:r>
      <w:r>
        <w:rPr>
          <w:rFonts w:hint="eastAsia"/>
          <w:lang w:val="en-US" w:eastAsia="zh-CN"/>
        </w:rPr>
        <w:t>23</w:t>
      </w:r>
      <w:r>
        <w:t>:</w:t>
      </w:r>
      <w:r>
        <w:rPr>
          <w:rFonts w:hint="eastAsia"/>
          <w:lang w:val="en-US" w:eastAsia="zh-CN"/>
        </w:rPr>
        <w:t>59</w:t>
      </w:r>
      <w:r>
        <w:t>（北京时间，法定节假日除外）</w:t>
      </w:r>
    </w:p>
    <w:p w14:paraId="4885B736">
      <w:pPr>
        <w:bidi w:val="0"/>
      </w:pPr>
      <w:r>
        <w:t>地点：政采云平台线上获取(https://www.zcygov.cn/)</w:t>
      </w:r>
    </w:p>
    <w:p w14:paraId="394F2546">
      <w:pPr>
        <w:bidi w:val="0"/>
      </w:pPr>
      <w:r>
        <w:t>方式：线上获取</w:t>
      </w:r>
    </w:p>
    <w:p w14:paraId="5C28FD28">
      <w:pPr>
        <w:bidi w:val="0"/>
      </w:pPr>
      <w:r>
        <w:t>售价（元）：0.00元</w:t>
      </w:r>
    </w:p>
    <w:p w14:paraId="680AA888">
      <w:pPr>
        <w:bidi w:val="0"/>
        <w:rPr>
          <w:rFonts w:hint="eastAsia" w:eastAsia="宋体"/>
          <w:lang w:eastAsia="zh-CN"/>
        </w:rPr>
      </w:pPr>
      <w:r>
        <w:t>获取方式：线上获取磋商文件。供应商登陆政采云账户（网址：</w:t>
      </w:r>
      <w:r>
        <w:fldChar w:fldCharType="begin"/>
      </w:r>
      <w:r>
        <w:instrText xml:space="preserve"> HYPERLINK "https://www.zcygov.cn/" </w:instrText>
      </w:r>
      <w:r>
        <w:fldChar w:fldCharType="separate"/>
      </w:r>
      <w:r>
        <w:t>https://www.zcygov.cn/</w:t>
      </w:r>
      <w:r>
        <w:fldChar w:fldCharType="end"/>
      </w:r>
      <w:r>
        <w:t>）,在线申请获取磋商文件（登录政府采购云平台→采购项目→获取采购文件→申请，审核通过后可下载磋商文件，如有操作性问题，可咨询政采云在线客服，电话：95763）</w:t>
      </w:r>
      <w:r>
        <w:rPr>
          <w:rFonts w:hint="eastAsia"/>
          <w:lang w:eastAsia="zh-CN"/>
        </w:rPr>
        <w:t>。</w:t>
      </w:r>
    </w:p>
    <w:p w14:paraId="313AECA9">
      <w:pPr>
        <w:bidi w:val="0"/>
        <w:ind w:firstLine="480"/>
        <w:rPr>
          <w:rFonts w:ascii="黑体" w:hAnsi="宋体" w:eastAsia="黑体" w:cs="黑体"/>
          <w:i w:val="0"/>
          <w:iCs w:val="0"/>
          <w:caps w:val="0"/>
          <w:color w:val="000000"/>
          <w:spacing w:val="0"/>
          <w:sz w:val="27"/>
          <w:szCs w:val="27"/>
        </w:rPr>
      </w:pPr>
      <w:r>
        <w:rPr>
          <w:rFonts w:hint="eastAsia" w:ascii="黑体" w:hAnsi="黑体" w:eastAsia="黑体" w:cs="黑体"/>
          <w:b/>
          <w:bCs/>
        </w:rPr>
        <w:t>四、响应文件提交</w:t>
      </w:r>
      <w:r>
        <w:rPr>
          <w:rFonts w:ascii="黑体" w:hAnsi="宋体" w:eastAsia="黑体" w:cs="黑体"/>
          <w:i w:val="0"/>
          <w:iCs w:val="0"/>
          <w:caps w:val="0"/>
          <w:color w:val="000000"/>
          <w:spacing w:val="0"/>
          <w:sz w:val="27"/>
          <w:szCs w:val="27"/>
        </w:rPr>
        <w:t> </w:t>
      </w:r>
    </w:p>
    <w:p w14:paraId="52C0FA62">
      <w:pPr>
        <w:bidi w:val="0"/>
      </w:pPr>
      <w:r>
        <w:t>截止时间：</w:t>
      </w:r>
      <w:r>
        <w:rPr>
          <w:rFonts w:hint="eastAsia"/>
          <w:highlight w:val="none"/>
          <w:u w:val="none"/>
        </w:rPr>
        <w:t>202</w:t>
      </w:r>
      <w:r>
        <w:rPr>
          <w:rFonts w:hint="eastAsia"/>
          <w:highlight w:val="none"/>
          <w:u w:val="none"/>
          <w:lang w:val="en-US" w:eastAsia="zh-CN"/>
        </w:rPr>
        <w:t>5</w:t>
      </w:r>
      <w:r>
        <w:rPr>
          <w:rFonts w:hint="eastAsia"/>
          <w:highlight w:val="none"/>
          <w:u w:val="none"/>
        </w:rPr>
        <w:t>年</w:t>
      </w:r>
      <w:r>
        <w:rPr>
          <w:rFonts w:hint="eastAsia"/>
          <w:highlight w:val="none"/>
          <w:u w:val="none"/>
          <w:lang w:val="en-US" w:eastAsia="zh-CN"/>
        </w:rPr>
        <w:t>01</w:t>
      </w:r>
      <w:r>
        <w:rPr>
          <w:rFonts w:hint="eastAsia"/>
          <w:highlight w:val="none"/>
          <w:u w:val="none"/>
        </w:rPr>
        <w:t>月0</w:t>
      </w:r>
      <w:r>
        <w:rPr>
          <w:rFonts w:hint="eastAsia"/>
          <w:highlight w:val="none"/>
          <w:u w:val="none"/>
          <w:lang w:val="en-US" w:eastAsia="zh-CN"/>
        </w:rPr>
        <w:t>7</w:t>
      </w:r>
      <w:r>
        <w:rPr>
          <w:rFonts w:hint="eastAsia"/>
          <w:highlight w:val="none"/>
          <w:u w:val="none"/>
        </w:rPr>
        <w:t>日 11:00</w:t>
      </w:r>
      <w:r>
        <w:rPr>
          <w:rFonts w:hint="eastAsia"/>
          <w:highlight w:val="none"/>
        </w:rPr>
        <w:t>（北京时间）</w:t>
      </w:r>
    </w:p>
    <w:p w14:paraId="5426A38B">
      <w:pPr>
        <w:bidi w:val="0"/>
      </w:pPr>
      <w:r>
        <w:rPr>
          <w:rFonts w:hint="eastAsia"/>
        </w:rPr>
        <w:t>地点：请登录政采云投标客户端投标</w:t>
      </w:r>
    </w:p>
    <w:p w14:paraId="7F699974">
      <w:pPr>
        <w:bidi w:val="0"/>
        <w:rPr>
          <w:rFonts w:hint="eastAsia" w:ascii="黑体" w:hAnsi="黑体" w:eastAsia="黑体" w:cs="黑体"/>
          <w:b/>
          <w:bCs/>
        </w:rPr>
      </w:pPr>
      <w:r>
        <w:rPr>
          <w:rFonts w:hint="eastAsia" w:ascii="黑体" w:hAnsi="黑体" w:eastAsia="黑体" w:cs="黑体"/>
          <w:b/>
          <w:bCs/>
          <w:lang w:eastAsia="zh-CN"/>
        </w:rPr>
        <w:t>五</w:t>
      </w:r>
      <w:r>
        <w:rPr>
          <w:rFonts w:hint="eastAsia" w:ascii="黑体" w:hAnsi="黑体" w:eastAsia="黑体" w:cs="黑体"/>
          <w:b/>
          <w:bCs/>
        </w:rPr>
        <w:t>、响应文件开启</w:t>
      </w:r>
    </w:p>
    <w:p w14:paraId="786BDF08">
      <w:pPr>
        <w:bidi w:val="0"/>
        <w:ind w:firstLine="480"/>
        <w:rPr>
          <w:rFonts w:ascii="Times New Roman" w:hAnsi="Times New Roman" w:eastAsia="宋体" w:cs="Times New Roman"/>
        </w:rPr>
      </w:pPr>
      <w:r>
        <w:rPr>
          <w:rFonts w:hint="eastAsia" w:ascii="Times New Roman" w:hAnsi="Times New Roman" w:eastAsia="宋体" w:cs="Times New Roman"/>
        </w:rPr>
        <w:t>开启时间：202</w:t>
      </w:r>
      <w:r>
        <w:rPr>
          <w:rFonts w:hint="eastAsia" w:ascii="Times New Roman" w:hAnsi="Times New Roman" w:eastAsia="宋体" w:cs="Times New Roman"/>
          <w:lang w:val="en-US" w:eastAsia="zh-CN"/>
        </w:rPr>
        <w:t>5</w:t>
      </w:r>
      <w:r>
        <w:rPr>
          <w:rFonts w:hint="eastAsia" w:ascii="Times New Roman" w:hAnsi="Times New Roman" w:eastAsia="宋体" w:cs="Times New Roman"/>
        </w:rPr>
        <w:t>年</w:t>
      </w:r>
      <w:r>
        <w:rPr>
          <w:rFonts w:hint="eastAsia" w:ascii="Times New Roman" w:hAnsi="Times New Roman" w:eastAsia="宋体" w:cs="Times New Roman"/>
          <w:lang w:val="en-US" w:eastAsia="zh-CN"/>
        </w:rPr>
        <w:t>01</w:t>
      </w:r>
      <w:r>
        <w:rPr>
          <w:rFonts w:hint="eastAsia" w:ascii="Times New Roman" w:hAnsi="Times New Roman" w:eastAsia="宋体" w:cs="Times New Roman"/>
        </w:rPr>
        <w:t>月0</w:t>
      </w:r>
      <w:r>
        <w:rPr>
          <w:rFonts w:hint="eastAsia" w:ascii="Times New Roman" w:hAnsi="Times New Roman" w:eastAsia="宋体" w:cs="Times New Roman"/>
          <w:lang w:val="en-US" w:eastAsia="zh-CN"/>
        </w:rPr>
        <w:t>7</w:t>
      </w:r>
      <w:r>
        <w:rPr>
          <w:rFonts w:hint="eastAsia" w:ascii="Times New Roman" w:hAnsi="Times New Roman" w:eastAsia="宋体" w:cs="Times New Roman"/>
        </w:rPr>
        <w:t>日 11:00 （北京时间）</w:t>
      </w:r>
    </w:p>
    <w:p w14:paraId="31E2CFAF">
      <w:pPr>
        <w:bidi w:val="0"/>
        <w:ind w:firstLine="480"/>
        <w:rPr>
          <w:rFonts w:hint="eastAsia" w:ascii="Times New Roman" w:hAnsi="Times New Roman" w:eastAsia="宋体" w:cs="Times New Roman"/>
        </w:rPr>
      </w:pPr>
      <w:r>
        <w:rPr>
          <w:rFonts w:hint="eastAsia" w:ascii="Times New Roman" w:hAnsi="Times New Roman" w:eastAsia="宋体" w:cs="Times New Roman"/>
        </w:rPr>
        <w:t>地点：</w:t>
      </w:r>
      <w:r>
        <w:rPr>
          <w:rFonts w:hint="eastAsia" w:ascii="Times New Roman" w:hAnsi="Times New Roman" w:eastAsia="宋体" w:cs="Times New Roman"/>
          <w:lang w:eastAsia="zh-CN"/>
        </w:rPr>
        <w:t>供应商</w:t>
      </w:r>
      <w:r>
        <w:rPr>
          <w:rFonts w:hint="eastAsia" w:ascii="Times New Roman" w:hAnsi="Times New Roman" w:eastAsia="宋体" w:cs="Times New Roman"/>
        </w:rPr>
        <w:t>登录政采云平台https://www.zcygov.cn/，进入“项目采购-开标评标-右边选择对应项目点击“进入项目”进入开标大厅。</w:t>
      </w:r>
    </w:p>
    <w:p w14:paraId="2EE77BD3">
      <w:pPr>
        <w:bidi w:val="0"/>
      </w:pPr>
      <w:r>
        <w:rPr>
          <w:rFonts w:hint="eastAsia" w:ascii="黑体" w:hAnsi="黑体" w:eastAsia="黑体" w:cs="黑体"/>
          <w:b/>
          <w:bCs/>
          <w:lang w:eastAsia="zh-CN"/>
        </w:rPr>
        <w:t>六</w:t>
      </w:r>
      <w:r>
        <w:rPr>
          <w:rFonts w:hint="eastAsia" w:ascii="黑体" w:hAnsi="黑体" w:eastAsia="黑体" w:cs="黑体"/>
          <w:b/>
          <w:bCs/>
        </w:rPr>
        <w:t>、公告期限</w:t>
      </w:r>
    </w:p>
    <w:p w14:paraId="7F673B0B">
      <w:pPr>
        <w:bidi w:val="0"/>
      </w:pPr>
      <w:r>
        <w:t>自本公告发布之日起3个工作日。</w:t>
      </w:r>
    </w:p>
    <w:p w14:paraId="0CB16126">
      <w:pPr>
        <w:bidi w:val="0"/>
      </w:pPr>
      <w:r>
        <w:rPr>
          <w:rFonts w:hint="eastAsia" w:ascii="黑体" w:hAnsi="黑体" w:eastAsia="黑体" w:cs="黑体"/>
          <w:b/>
          <w:bCs/>
          <w:lang w:eastAsia="zh-CN"/>
        </w:rPr>
        <w:t>七</w:t>
      </w:r>
      <w:r>
        <w:rPr>
          <w:rFonts w:hint="eastAsia" w:ascii="黑体" w:hAnsi="黑体" w:eastAsia="黑体" w:cs="黑体"/>
          <w:b/>
          <w:bCs/>
        </w:rPr>
        <w:t>、其他补充事宜</w:t>
      </w:r>
    </w:p>
    <w:p w14:paraId="317ACF59">
      <w:pPr>
        <w:bidi w:val="0"/>
      </w:pPr>
      <w:r>
        <w:t>1、本项目实行网上投标，采用电子投标文件；</w:t>
      </w:r>
    </w:p>
    <w:p w14:paraId="587636FB">
      <w:pPr>
        <w:bidi w:val="0"/>
      </w:pPr>
      <w:r>
        <w:t>2、各供应商应成为新疆政府采购网正式注册入库供应商，并完成CA数字证书（符合国密标准）申领。因未注册入库、未办理CA数字证书等原因造成无法投标或投标失败等后果由供应商自行承担。有意向参与电子开评标的供应商，可访问新疆数字证书认证中心官方网站（</w:t>
      </w:r>
      <w:r>
        <w:fldChar w:fldCharType="begin"/>
      </w:r>
      <w:r>
        <w:instrText xml:space="preserve"> HYPERLINK "https://www.xjca.com.cn/" </w:instrText>
      </w:r>
      <w:r>
        <w:fldChar w:fldCharType="separate"/>
      </w:r>
      <w:r>
        <w:t>https://www.xjca.com.cn/</w:t>
      </w:r>
      <w:r>
        <w:fldChar w:fldCharType="end"/>
      </w:r>
      <w:r>
        <w:t>）或下载“新疆政务通”APP自行进行申领。如需咨询，请联系新疆CA服务热线0991-2819290；</w:t>
      </w:r>
    </w:p>
    <w:p w14:paraId="6A68D066">
      <w:pPr>
        <w:bidi w:val="0"/>
      </w:pPr>
      <w:r>
        <w:t>3、供应商将政采云电子交易客户端下载、安装完成后，可通过账号密码或CA登录客户端进行投标文件的制作。在使用政采云投标客户端时，建议使用WIN7及以上操作系统。客户端请至新疆政府采购网（</w:t>
      </w:r>
      <w:r>
        <w:fldChar w:fldCharType="begin"/>
      </w:r>
      <w:r>
        <w:instrText xml:space="preserve"> HYPERLINK "http://www.ccgp-xinjiang.gov.cn/" </w:instrText>
      </w:r>
      <w:r>
        <w:fldChar w:fldCharType="separate"/>
      </w:r>
      <w:r>
        <w:t>http://www.ccgp-xinjiang.gov.cn/</w:t>
      </w:r>
      <w:r>
        <w:fldChar w:fldCharType="end"/>
      </w:r>
      <w:r>
        <w:t>）下载专区查看，如有问题可拨打政采云客户服务热线95763进行咨询。如因供应商自身原因导致在规定时间内无法正常解密的（如：浏览器故障、未安装相关驱动、网络故障、</w:t>
      </w:r>
    </w:p>
    <w:p w14:paraId="10F3F157">
      <w:pPr>
        <w:bidi w:val="0"/>
      </w:pPr>
      <w:r>
        <w:t>加密CA与解密CA不一致等），采购中心/代理机构不予异常处理，视为供应商自动弃标。</w:t>
      </w:r>
    </w:p>
    <w:p w14:paraId="51DECF66">
      <w:pPr>
        <w:bidi w:val="0"/>
      </w:pPr>
      <w:r>
        <w:t>4、供应商应当在磋商截止时间前,将生成的“电子加密响应文件”上传递交至“政府采购云平台”,磋商截止时间以后上传递交的响应文件将被“政府采购云平台”拒收。</w:t>
      </w:r>
    </w:p>
    <w:p w14:paraId="04800C63">
      <w:pPr>
        <w:bidi w:val="0"/>
      </w:pPr>
      <w:r>
        <w:t>5、供应商在磋商前须提前配置好电脑浏览器（建议使用360浏览器或谷歌浏览器）,磋商时请使用制作加密电子响应文件的CA锁进行解密及报价确认。本项目响应文件解密时间定为30分钟内,如因自身原因导致无法正常解密,后果由供应商自行承担。</w:t>
      </w:r>
    </w:p>
    <w:p w14:paraId="55A0B312">
      <w:pPr>
        <w:bidi w:val="0"/>
      </w:pPr>
      <w:r>
        <w:t>6、供应商登录政采云平台，在磋商时间后30分钟内用“项目采购-开标评标”功能进行解密响应文件。若供应商在规定时间内（未按时解密的，视为无效磋商。解密与加密响应文件须使用同一个CA。</w:t>
      </w:r>
    </w:p>
    <w:p w14:paraId="5A5AD809">
      <w:pPr>
        <w:bidi w:val="0"/>
      </w:pPr>
      <w:r>
        <w:t>中小企业划分标准依据《工业和信息化部、国家统计局、国家发展和改革委员会、财政部关于印发中小企业划型标准规定的通知》（工信部联企业〔2011〕300号）规定。本项目采购标的对应的中小企业划分标准所属行业为</w:t>
      </w:r>
      <w:r>
        <w:rPr>
          <w:b/>
          <w:bCs/>
          <w:u w:val="single"/>
        </w:rPr>
        <w:t>建筑业</w:t>
      </w:r>
      <w:r>
        <w:t>。</w:t>
      </w:r>
    </w:p>
    <w:p w14:paraId="66815AFD">
      <w:pPr>
        <w:bidi w:val="0"/>
      </w:pPr>
      <w:r>
        <w:rPr>
          <w:rFonts w:hint="eastAsia" w:ascii="黑体" w:hAnsi="黑体" w:eastAsia="黑体" w:cs="黑体"/>
          <w:b/>
          <w:bCs/>
          <w:lang w:eastAsia="zh-CN"/>
        </w:rPr>
        <w:t>八</w:t>
      </w:r>
      <w:r>
        <w:rPr>
          <w:rFonts w:hint="eastAsia" w:ascii="黑体" w:hAnsi="黑体" w:eastAsia="黑体" w:cs="黑体"/>
          <w:b/>
          <w:bCs/>
        </w:rPr>
        <w:t>、对本次采购提出询问，请按以下方式联系</w:t>
      </w:r>
    </w:p>
    <w:p w14:paraId="671FE8C9">
      <w:pPr>
        <w:bidi w:val="0"/>
      </w:pPr>
      <w:r>
        <w:t>1.采购人信息</w:t>
      </w:r>
    </w:p>
    <w:p w14:paraId="4A386C2A">
      <w:pPr>
        <w:bidi w:val="0"/>
        <w:rPr>
          <w:rFonts w:hint="eastAsia"/>
          <w:lang w:eastAsia="zh-CN"/>
        </w:rPr>
      </w:pPr>
      <w:r>
        <w:t>名称：</w:t>
      </w:r>
      <w:r>
        <w:rPr>
          <w:rFonts w:hint="eastAsia"/>
          <w:lang w:eastAsia="zh-CN"/>
        </w:rPr>
        <w:t>乌鲁木齐市公安局水磨沟区分局</w:t>
      </w:r>
    </w:p>
    <w:p w14:paraId="332FEAC6">
      <w:pPr>
        <w:bidi w:val="0"/>
      </w:pPr>
      <w:r>
        <w:t>地址：</w:t>
      </w:r>
      <w:r>
        <w:rPr>
          <w:rFonts w:hint="eastAsia"/>
          <w:lang w:eastAsia="zh-CN"/>
        </w:rPr>
        <w:t>乌鲁木齐市</w:t>
      </w:r>
      <w:r>
        <w:t>水磨沟区七道湾北路春景巷110号</w:t>
      </w:r>
    </w:p>
    <w:p w14:paraId="5A22EF75">
      <w:pPr>
        <w:bidi w:val="0"/>
      </w:pPr>
      <w:r>
        <w:t>联系</w:t>
      </w:r>
      <w:r>
        <w:rPr>
          <w:rFonts w:hint="eastAsia"/>
          <w:lang w:eastAsia="zh-CN"/>
        </w:rPr>
        <w:t>方式</w:t>
      </w:r>
      <w:r>
        <w:t>：</w:t>
      </w:r>
      <w:r>
        <w:rPr>
          <w:highlight w:val="none"/>
        </w:rPr>
        <w:t>0991-4915831</w:t>
      </w:r>
    </w:p>
    <w:p w14:paraId="5AE57352">
      <w:pPr>
        <w:bidi w:val="0"/>
      </w:pPr>
      <w:r>
        <w:t>采购代理机构信息</w:t>
      </w:r>
    </w:p>
    <w:p w14:paraId="0130E81F">
      <w:pPr>
        <w:bidi w:val="0"/>
        <w:rPr>
          <w:rFonts w:hint="eastAsia"/>
          <w:lang w:eastAsia="zh-CN"/>
        </w:rPr>
      </w:pPr>
      <w:r>
        <w:t>名称：</w:t>
      </w:r>
      <w:r>
        <w:rPr>
          <w:rFonts w:hint="eastAsia"/>
          <w:lang w:eastAsia="zh-CN"/>
        </w:rPr>
        <w:t>新疆全益项目管理咨询有限公司</w:t>
      </w:r>
    </w:p>
    <w:p w14:paraId="3E07110C">
      <w:pPr>
        <w:bidi w:val="0"/>
        <w:rPr>
          <w:rFonts w:hint="eastAsia"/>
        </w:rPr>
      </w:pPr>
      <w:r>
        <w:t>地址：</w:t>
      </w:r>
      <w:r>
        <w:rPr>
          <w:rFonts w:hint="eastAsia"/>
        </w:rPr>
        <w:t>乌鲁木齐经济技术开发区(头屯河区)大别山街16号办公楼一层A区194室</w:t>
      </w:r>
    </w:p>
    <w:p w14:paraId="61FFBFA8">
      <w:pPr>
        <w:bidi w:val="0"/>
        <w:rPr>
          <w:rFonts w:hint="eastAsia"/>
          <w:lang w:val="en-US" w:eastAsia="zh-CN"/>
        </w:rPr>
      </w:pPr>
      <w:r>
        <w:t>联系方式：</w:t>
      </w:r>
      <w:r>
        <w:rPr>
          <w:rFonts w:hint="eastAsia"/>
          <w:lang w:val="en-US" w:eastAsia="zh-CN"/>
        </w:rPr>
        <w:t>17799111523</w:t>
      </w:r>
    </w:p>
    <w:p w14:paraId="74E9795A">
      <w:pPr>
        <w:bidi w:val="0"/>
      </w:pPr>
      <w:r>
        <w:t>3.项目联系方式</w:t>
      </w:r>
    </w:p>
    <w:p w14:paraId="402DE000">
      <w:pPr>
        <w:bidi w:val="0"/>
        <w:rPr>
          <w:rFonts w:hint="eastAsia"/>
          <w:lang w:eastAsia="zh-CN"/>
        </w:rPr>
      </w:pPr>
      <w:r>
        <w:t>项目联系人：</w:t>
      </w:r>
      <w:r>
        <w:rPr>
          <w:rFonts w:hint="eastAsia"/>
          <w:lang w:eastAsia="zh-CN"/>
        </w:rPr>
        <w:t>李涛</w:t>
      </w:r>
    </w:p>
    <w:p w14:paraId="75A43BD0">
      <w:pPr>
        <w:bidi w:val="0"/>
        <w:rPr>
          <w:rFonts w:hint="default"/>
          <w:lang w:val="en-US" w:eastAsia="zh-CN"/>
        </w:rPr>
      </w:pPr>
      <w:r>
        <w:t>电话：</w:t>
      </w:r>
      <w:r>
        <w:rPr>
          <w:rFonts w:hint="eastAsia"/>
          <w:lang w:val="en-US" w:eastAsia="zh-CN"/>
        </w:rPr>
        <w:t>17799111523</w:t>
      </w:r>
    </w:p>
    <w:p w14:paraId="230CCD3B">
      <w:pPr>
        <w:spacing w:line="247" w:lineRule="auto"/>
      </w:pPr>
    </w:p>
    <w:p w14:paraId="76E5A647">
      <w:pPr>
        <w:spacing w:line="247" w:lineRule="auto"/>
      </w:pPr>
    </w:p>
    <w:p w14:paraId="68CCA18A">
      <w:pPr>
        <w:spacing w:line="247" w:lineRule="auto"/>
        <w:ind w:left="0" w:leftChars="0" w:firstLine="0" w:firstLineChars="0"/>
      </w:pPr>
    </w:p>
    <w:p w14:paraId="284CA20D">
      <w:pPr>
        <w:pStyle w:val="2"/>
        <w:bidi w:val="0"/>
        <w:jc w:val="center"/>
        <w:rPr>
          <w:rFonts w:ascii="宋体" w:hAnsi="宋体" w:eastAsia="宋体" w:cs="宋体"/>
          <w:szCs w:val="28"/>
        </w:rPr>
      </w:pPr>
      <w:bookmarkStart w:id="1" w:name="_Toc21133"/>
      <w:r>
        <w:t>第二章</w:t>
      </w:r>
      <w:r>
        <w:rPr>
          <w:rFonts w:hint="eastAsia"/>
          <w:lang w:val="en-US" w:eastAsia="zh-CN"/>
        </w:rPr>
        <w:t xml:space="preserve">  </w:t>
      </w:r>
      <w:r>
        <w:t>供应商须知</w:t>
      </w:r>
      <w:bookmarkEnd w:id="1"/>
    </w:p>
    <w:p w14:paraId="42D7A1C8">
      <w:pPr>
        <w:pStyle w:val="3"/>
        <w:bidi w:val="0"/>
      </w:pPr>
      <w:bookmarkStart w:id="2" w:name="_Toc31352"/>
      <w:r>
        <w:t>一、供应商须知前附表</w:t>
      </w:r>
      <w:bookmarkEnd w:id="2"/>
    </w:p>
    <w:p w14:paraId="696AA906">
      <w:pPr>
        <w:spacing w:line="168" w:lineRule="exact"/>
      </w:pPr>
    </w:p>
    <w:tbl>
      <w:tblPr>
        <w:tblStyle w:val="10"/>
        <w:tblW w:w="92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3"/>
        <w:gridCol w:w="1411"/>
        <w:gridCol w:w="7069"/>
      </w:tblGrid>
      <w:tr w14:paraId="4F2915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vAlign w:val="center"/>
          </w:tcPr>
          <w:p w14:paraId="345DF402">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b/>
                <w:bCs/>
              </w:rPr>
            </w:pPr>
            <w:r>
              <w:rPr>
                <w:b/>
                <w:bCs/>
              </w:rPr>
              <w:t>序号</w:t>
            </w:r>
          </w:p>
        </w:tc>
        <w:tc>
          <w:tcPr>
            <w:tcW w:w="1411" w:type="dxa"/>
            <w:vAlign w:val="center"/>
          </w:tcPr>
          <w:p w14:paraId="15C5D4BB">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b/>
                <w:bCs/>
              </w:rPr>
            </w:pPr>
            <w:r>
              <w:rPr>
                <w:b/>
                <w:bCs/>
              </w:rPr>
              <w:t>名称</w:t>
            </w:r>
          </w:p>
        </w:tc>
        <w:tc>
          <w:tcPr>
            <w:tcW w:w="7069" w:type="dxa"/>
            <w:vAlign w:val="center"/>
          </w:tcPr>
          <w:p w14:paraId="594C908C">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outlineLvl w:val="9"/>
              <w:rPr>
                <w:b/>
                <w:bCs/>
                <w:sz w:val="24"/>
                <w:szCs w:val="24"/>
              </w:rPr>
            </w:pPr>
            <w:r>
              <w:rPr>
                <w:b/>
                <w:bCs/>
                <w:sz w:val="24"/>
                <w:szCs w:val="24"/>
              </w:rPr>
              <w:t>内容</w:t>
            </w:r>
          </w:p>
        </w:tc>
      </w:tr>
      <w:tr w14:paraId="092E70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vAlign w:val="center"/>
          </w:tcPr>
          <w:p w14:paraId="3F8B8BD9">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1</w:t>
            </w:r>
          </w:p>
        </w:tc>
        <w:tc>
          <w:tcPr>
            <w:tcW w:w="1411" w:type="dxa"/>
            <w:vAlign w:val="center"/>
          </w:tcPr>
          <w:p w14:paraId="611B72FF">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采购人</w:t>
            </w:r>
          </w:p>
        </w:tc>
        <w:tc>
          <w:tcPr>
            <w:tcW w:w="7069" w:type="dxa"/>
            <w:vAlign w:val="center"/>
          </w:tcPr>
          <w:p w14:paraId="4B73AC9B">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rFonts w:hint="eastAsia" w:eastAsia="宋体"/>
                <w:sz w:val="24"/>
                <w:szCs w:val="24"/>
                <w:lang w:eastAsia="zh-CN"/>
              </w:rPr>
            </w:pPr>
            <w:r>
              <w:rPr>
                <w:sz w:val="24"/>
                <w:szCs w:val="24"/>
              </w:rPr>
              <w:t>名称：</w:t>
            </w:r>
            <w:r>
              <w:rPr>
                <w:rFonts w:hint="eastAsia"/>
                <w:sz w:val="24"/>
                <w:szCs w:val="24"/>
                <w:lang w:eastAsia="zh-CN"/>
              </w:rPr>
              <w:t>乌鲁木齐市公安局水磨沟区分局</w:t>
            </w:r>
          </w:p>
          <w:p w14:paraId="1F678B64">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rFonts w:hint="eastAsia" w:eastAsia="宋体"/>
                <w:sz w:val="24"/>
                <w:szCs w:val="24"/>
                <w:lang w:eastAsia="zh-CN"/>
              </w:rPr>
            </w:pPr>
            <w:r>
              <w:rPr>
                <w:sz w:val="24"/>
                <w:szCs w:val="24"/>
              </w:rPr>
              <w:t>联系人：</w:t>
            </w:r>
            <w:r>
              <w:rPr>
                <w:rFonts w:hint="eastAsia"/>
                <w:sz w:val="24"/>
                <w:szCs w:val="24"/>
                <w:lang w:eastAsia="zh-CN"/>
              </w:rPr>
              <w:t>王博文</w:t>
            </w:r>
          </w:p>
          <w:p w14:paraId="7E770C78">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电话：</w:t>
            </w:r>
            <w:r>
              <w:rPr>
                <w:highlight w:val="none"/>
              </w:rPr>
              <w:t>0991-4915831</w:t>
            </w:r>
          </w:p>
          <w:p w14:paraId="7A7875BC">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地址：</w:t>
            </w:r>
            <w:r>
              <w:rPr>
                <w:rFonts w:hint="eastAsia"/>
                <w:lang w:eastAsia="zh-CN"/>
              </w:rPr>
              <w:t>乌鲁木齐市</w:t>
            </w:r>
            <w:r>
              <w:t>水磨沟区七道湾北路春景巷110号</w:t>
            </w:r>
          </w:p>
        </w:tc>
      </w:tr>
      <w:tr w14:paraId="65A700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vAlign w:val="center"/>
          </w:tcPr>
          <w:p w14:paraId="37625F46">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2</w:t>
            </w:r>
          </w:p>
        </w:tc>
        <w:tc>
          <w:tcPr>
            <w:tcW w:w="1411" w:type="dxa"/>
            <w:vAlign w:val="center"/>
          </w:tcPr>
          <w:p w14:paraId="30242615">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采购代理机构</w:t>
            </w:r>
          </w:p>
        </w:tc>
        <w:tc>
          <w:tcPr>
            <w:tcW w:w="7069" w:type="dxa"/>
            <w:vAlign w:val="center"/>
          </w:tcPr>
          <w:p w14:paraId="7FAB397A">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rFonts w:hint="eastAsia" w:eastAsia="宋体"/>
                <w:sz w:val="24"/>
                <w:szCs w:val="24"/>
                <w:lang w:eastAsia="zh-CN"/>
              </w:rPr>
            </w:pPr>
            <w:r>
              <w:rPr>
                <w:sz w:val="24"/>
                <w:szCs w:val="24"/>
              </w:rPr>
              <w:t>名称：</w:t>
            </w:r>
            <w:r>
              <w:rPr>
                <w:rFonts w:hint="eastAsia"/>
                <w:sz w:val="24"/>
                <w:szCs w:val="24"/>
                <w:lang w:eastAsia="zh-CN"/>
              </w:rPr>
              <w:t>新疆全益项目管理咨询有限公司</w:t>
            </w:r>
          </w:p>
          <w:p w14:paraId="5F5FE05E">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rFonts w:hint="eastAsia" w:eastAsia="宋体"/>
                <w:sz w:val="24"/>
                <w:szCs w:val="24"/>
                <w:lang w:eastAsia="zh-CN"/>
              </w:rPr>
            </w:pPr>
            <w:r>
              <w:rPr>
                <w:sz w:val="24"/>
                <w:szCs w:val="24"/>
              </w:rPr>
              <w:t>联系人：</w:t>
            </w:r>
            <w:r>
              <w:rPr>
                <w:rFonts w:hint="eastAsia"/>
                <w:sz w:val="24"/>
                <w:szCs w:val="24"/>
                <w:lang w:eastAsia="zh-CN"/>
              </w:rPr>
              <w:t>李涛</w:t>
            </w:r>
          </w:p>
          <w:p w14:paraId="78B5F167">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电话：</w:t>
            </w:r>
            <w:r>
              <w:rPr>
                <w:rFonts w:hint="eastAsia"/>
                <w:lang w:val="en-US" w:eastAsia="zh-CN"/>
              </w:rPr>
              <w:t>17799111523</w:t>
            </w:r>
          </w:p>
          <w:p w14:paraId="4F509B57">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地址：</w:t>
            </w:r>
            <w:r>
              <w:rPr>
                <w:rFonts w:hint="eastAsia"/>
              </w:rPr>
              <w:t>乌鲁木齐经济技术开发区(头屯河区)大别山街16号办公楼一层A区194室</w:t>
            </w:r>
          </w:p>
        </w:tc>
      </w:tr>
      <w:tr w14:paraId="1D3692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vAlign w:val="center"/>
          </w:tcPr>
          <w:p w14:paraId="46F7F4B3">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3</w:t>
            </w:r>
          </w:p>
        </w:tc>
        <w:tc>
          <w:tcPr>
            <w:tcW w:w="1411" w:type="dxa"/>
            <w:vAlign w:val="center"/>
          </w:tcPr>
          <w:p w14:paraId="4A58CD69">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项目名称</w:t>
            </w:r>
          </w:p>
        </w:tc>
        <w:tc>
          <w:tcPr>
            <w:tcW w:w="7069" w:type="dxa"/>
            <w:vAlign w:val="center"/>
          </w:tcPr>
          <w:p w14:paraId="16CDF09A">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rFonts w:hint="eastAsia" w:eastAsia="宋体"/>
                <w:sz w:val="24"/>
                <w:szCs w:val="24"/>
                <w:lang w:eastAsia="zh-CN"/>
              </w:rPr>
            </w:pPr>
            <w:r>
              <w:rPr>
                <w:rFonts w:hint="eastAsia"/>
                <w:sz w:val="24"/>
                <w:szCs w:val="24"/>
                <w:lang w:eastAsia="zh-CN"/>
              </w:rPr>
              <w:t>乌鲁木齐市水磨沟区某单位大厅装修工程</w:t>
            </w:r>
          </w:p>
        </w:tc>
      </w:tr>
      <w:tr w14:paraId="2E488B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vAlign w:val="center"/>
          </w:tcPr>
          <w:p w14:paraId="35BFBC7B">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4</w:t>
            </w:r>
          </w:p>
        </w:tc>
        <w:tc>
          <w:tcPr>
            <w:tcW w:w="1411" w:type="dxa"/>
            <w:vAlign w:val="center"/>
          </w:tcPr>
          <w:p w14:paraId="7369EB29">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项目编号</w:t>
            </w:r>
          </w:p>
        </w:tc>
        <w:tc>
          <w:tcPr>
            <w:tcW w:w="7069" w:type="dxa"/>
            <w:vAlign w:val="center"/>
          </w:tcPr>
          <w:p w14:paraId="6458BF15">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rFonts w:hint="default" w:ascii="Times New Roman" w:hAnsi="Times New Roman" w:eastAsia="宋体" w:cs="Times New Roman"/>
                <w:lang w:val="en-US" w:eastAsia="zh-CN"/>
              </w:rPr>
              <w:t>XJQY-CS241225</w:t>
            </w:r>
          </w:p>
        </w:tc>
      </w:tr>
      <w:tr w14:paraId="68FE94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vAlign w:val="center"/>
          </w:tcPr>
          <w:p w14:paraId="48732245">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p>
          <w:p w14:paraId="6FBFF004">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5</w:t>
            </w:r>
          </w:p>
        </w:tc>
        <w:tc>
          <w:tcPr>
            <w:tcW w:w="1411" w:type="dxa"/>
            <w:vAlign w:val="center"/>
          </w:tcPr>
          <w:p w14:paraId="1D13D4EE">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资金来源、预算金额及控制价</w:t>
            </w:r>
          </w:p>
        </w:tc>
        <w:tc>
          <w:tcPr>
            <w:tcW w:w="7069" w:type="dxa"/>
            <w:vAlign w:val="center"/>
          </w:tcPr>
          <w:p w14:paraId="387BCE33">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本项目资金来源为：财政资金</w:t>
            </w:r>
          </w:p>
          <w:p w14:paraId="37835FDD">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预算金额：</w:t>
            </w:r>
            <w:r>
              <w:rPr>
                <w:rFonts w:hint="eastAsia"/>
                <w:sz w:val="24"/>
                <w:szCs w:val="24"/>
                <w:lang w:val="en-US" w:eastAsia="zh-CN"/>
              </w:rPr>
              <w:t>50</w:t>
            </w:r>
            <w:r>
              <w:rPr>
                <w:sz w:val="24"/>
                <w:szCs w:val="24"/>
              </w:rPr>
              <w:t>万元</w:t>
            </w:r>
          </w:p>
          <w:p w14:paraId="3643661B">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最高限价：</w:t>
            </w:r>
            <w:r>
              <w:rPr>
                <w:rFonts w:hint="eastAsia" w:ascii="Times New Roman" w:hAnsi="Times New Roman" w:eastAsia="宋体" w:cs="Times New Roman"/>
                <w:highlight w:val="none"/>
              </w:rPr>
              <w:t>499846.98</w:t>
            </w:r>
            <w:r>
              <w:rPr>
                <w:rFonts w:ascii="Times New Roman" w:hAnsi="Times New Roman" w:eastAsia="宋体" w:cs="Times New Roman"/>
                <w:highlight w:val="none"/>
              </w:rPr>
              <w:t>元</w:t>
            </w:r>
          </w:p>
          <w:p w14:paraId="68A560FA">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投标人投标报价超过项目预算、限价的按无效投标处理。</w:t>
            </w:r>
          </w:p>
        </w:tc>
      </w:tr>
      <w:tr w14:paraId="7E00DA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vAlign w:val="center"/>
          </w:tcPr>
          <w:p w14:paraId="5E87DCE8">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6</w:t>
            </w:r>
          </w:p>
        </w:tc>
        <w:tc>
          <w:tcPr>
            <w:tcW w:w="1411" w:type="dxa"/>
            <w:vAlign w:val="center"/>
          </w:tcPr>
          <w:p w14:paraId="415BB615">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采购范围</w:t>
            </w:r>
          </w:p>
        </w:tc>
        <w:tc>
          <w:tcPr>
            <w:tcW w:w="7069" w:type="dxa"/>
            <w:vAlign w:val="center"/>
          </w:tcPr>
          <w:p w14:paraId="1A1B58E3">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rFonts w:hint="eastAsia"/>
                <w:lang w:eastAsia="zh-CN"/>
              </w:rPr>
              <w:t>大厅装修包括拆除、建筑与装饰、电气设备安装等工程量清单范围内的全部工作内容。</w:t>
            </w:r>
          </w:p>
        </w:tc>
      </w:tr>
      <w:tr w14:paraId="49FE9A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vAlign w:val="center"/>
          </w:tcPr>
          <w:p w14:paraId="47BA27CA">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7</w:t>
            </w:r>
          </w:p>
        </w:tc>
        <w:tc>
          <w:tcPr>
            <w:tcW w:w="1411" w:type="dxa"/>
            <w:vAlign w:val="center"/>
          </w:tcPr>
          <w:p w14:paraId="214287C7">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工期</w:t>
            </w:r>
          </w:p>
        </w:tc>
        <w:tc>
          <w:tcPr>
            <w:tcW w:w="7069" w:type="dxa"/>
            <w:vAlign w:val="center"/>
          </w:tcPr>
          <w:p w14:paraId="39DB6196">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rFonts w:hint="default" w:ascii="Times New Roman" w:hAnsi="Times New Roman" w:eastAsia="宋体" w:cs="Times New Roman"/>
                <w:color w:val="auto"/>
                <w:kern w:val="0"/>
                <w:sz w:val="24"/>
                <w:szCs w:val="24"/>
                <w:highlight w:val="none"/>
              </w:rPr>
              <w:t>自合同签订之日起</w:t>
            </w:r>
            <w:r>
              <w:rPr>
                <w:rFonts w:hint="eastAsia" w:ascii="Times New Roman" w:hAnsi="Times New Roman" w:eastAsia="宋体" w:cs="Times New Roman"/>
                <w:color w:val="auto"/>
                <w:kern w:val="0"/>
                <w:sz w:val="24"/>
                <w:szCs w:val="24"/>
                <w:highlight w:val="none"/>
                <w:lang w:val="en-US" w:eastAsia="zh-CN"/>
              </w:rPr>
              <w:t>15</w:t>
            </w:r>
            <w:r>
              <w:rPr>
                <w:rFonts w:hint="default" w:ascii="Times New Roman" w:hAnsi="Times New Roman" w:eastAsia="宋体" w:cs="Times New Roman"/>
                <w:color w:val="auto"/>
                <w:kern w:val="0"/>
                <w:sz w:val="24"/>
                <w:szCs w:val="24"/>
                <w:highlight w:val="none"/>
              </w:rPr>
              <w:t>日</w:t>
            </w:r>
            <w:r>
              <w:rPr>
                <w:rFonts w:hint="eastAsia" w:ascii="Times New Roman" w:hAnsi="Times New Roman" w:eastAsia="宋体" w:cs="Times New Roman"/>
                <w:color w:val="auto"/>
                <w:kern w:val="0"/>
                <w:sz w:val="24"/>
                <w:szCs w:val="24"/>
                <w:highlight w:val="none"/>
                <w:lang w:eastAsia="zh-CN"/>
              </w:rPr>
              <w:t>内完成全部施工内容</w:t>
            </w:r>
            <w:r>
              <w:rPr>
                <w:sz w:val="24"/>
                <w:szCs w:val="24"/>
                <w:highlight w:val="none"/>
              </w:rPr>
              <w:t>。</w:t>
            </w:r>
          </w:p>
        </w:tc>
      </w:tr>
      <w:tr w14:paraId="2F7531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vAlign w:val="center"/>
          </w:tcPr>
          <w:p w14:paraId="3A3916E6">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8</w:t>
            </w:r>
          </w:p>
        </w:tc>
        <w:tc>
          <w:tcPr>
            <w:tcW w:w="1411" w:type="dxa"/>
            <w:vAlign w:val="center"/>
          </w:tcPr>
          <w:p w14:paraId="2210FF60">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质量标准</w:t>
            </w:r>
          </w:p>
        </w:tc>
        <w:tc>
          <w:tcPr>
            <w:tcW w:w="7069" w:type="dxa"/>
            <w:vAlign w:val="center"/>
          </w:tcPr>
          <w:p w14:paraId="7F58FA7E">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rFonts w:hint="eastAsia"/>
                <w:sz w:val="24"/>
                <w:szCs w:val="24"/>
                <w:lang w:eastAsia="zh-CN"/>
              </w:rPr>
              <w:t>合格，</w:t>
            </w:r>
            <w:r>
              <w:rPr>
                <w:sz w:val="24"/>
                <w:szCs w:val="24"/>
              </w:rPr>
              <w:t>满足现行规范要求。</w:t>
            </w:r>
          </w:p>
        </w:tc>
      </w:tr>
      <w:tr w14:paraId="13F91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vAlign w:val="center"/>
          </w:tcPr>
          <w:p w14:paraId="3B76CF7F">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9</w:t>
            </w:r>
          </w:p>
        </w:tc>
        <w:tc>
          <w:tcPr>
            <w:tcW w:w="1411" w:type="dxa"/>
            <w:vAlign w:val="center"/>
          </w:tcPr>
          <w:p w14:paraId="089E52C1">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项目建设地点</w:t>
            </w:r>
          </w:p>
        </w:tc>
        <w:tc>
          <w:tcPr>
            <w:tcW w:w="7069" w:type="dxa"/>
            <w:vAlign w:val="center"/>
          </w:tcPr>
          <w:p w14:paraId="6A27E2C1">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乌鲁木齐市</w:t>
            </w:r>
            <w:r>
              <w:t>水磨沟区七道湾北路春景巷110号</w:t>
            </w:r>
          </w:p>
        </w:tc>
      </w:tr>
      <w:tr w14:paraId="32CF3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vAlign w:val="center"/>
          </w:tcPr>
          <w:p w14:paraId="0E45BE56">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10</w:t>
            </w:r>
          </w:p>
        </w:tc>
        <w:tc>
          <w:tcPr>
            <w:tcW w:w="1411" w:type="dxa"/>
            <w:vAlign w:val="center"/>
          </w:tcPr>
          <w:p w14:paraId="6CC0DE09">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政府采购政策</w:t>
            </w:r>
          </w:p>
        </w:tc>
        <w:tc>
          <w:tcPr>
            <w:tcW w:w="7069" w:type="dxa"/>
            <w:vAlign w:val="center"/>
          </w:tcPr>
          <w:p w14:paraId="068C9EAF">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专门面向中小企业采购的项目或者采购包，不再执行价格评审优惠的扶持政策。</w:t>
            </w:r>
          </w:p>
        </w:tc>
      </w:tr>
      <w:tr w14:paraId="4CAA48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vAlign w:val="center"/>
          </w:tcPr>
          <w:p w14:paraId="169AA9A4">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11</w:t>
            </w:r>
          </w:p>
        </w:tc>
        <w:tc>
          <w:tcPr>
            <w:tcW w:w="1411" w:type="dxa"/>
            <w:vAlign w:val="center"/>
          </w:tcPr>
          <w:p w14:paraId="20042820">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供应商资格要求</w:t>
            </w:r>
          </w:p>
        </w:tc>
        <w:tc>
          <w:tcPr>
            <w:tcW w:w="7069" w:type="dxa"/>
            <w:vAlign w:val="center"/>
          </w:tcPr>
          <w:p w14:paraId="730B7992">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1.满足《中华人民共和国政府采购法》第二十二条规定；</w:t>
            </w:r>
          </w:p>
          <w:p w14:paraId="64230672">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2.落实政府采购政策需满足的资格要求：本项目专门面向中小企业；</w:t>
            </w:r>
          </w:p>
          <w:p w14:paraId="56FA299B">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3.本项目的特定资格要求：</w:t>
            </w:r>
          </w:p>
          <w:p w14:paraId="7BA29349">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（1）资质要求：</w:t>
            </w:r>
            <w:r>
              <w:t>具有建设行政主管部门核发的</w:t>
            </w:r>
            <w:r>
              <w:rPr>
                <w:rFonts w:ascii="Times New Roman" w:hAnsi="Times New Roman" w:eastAsia="宋体" w:cs="Times New Roman"/>
              </w:rPr>
              <w:t>建筑工程施工总承包</w:t>
            </w:r>
            <w:r>
              <w:rPr>
                <w:rFonts w:hint="eastAsia" w:cs="Times New Roman"/>
                <w:lang w:eastAsia="zh-CN"/>
              </w:rPr>
              <w:t>三</w:t>
            </w:r>
            <w:r>
              <w:rPr>
                <w:rFonts w:ascii="Times New Roman" w:hAnsi="Times New Roman" w:eastAsia="宋体" w:cs="Times New Roman"/>
              </w:rPr>
              <w:t>级（含）及以上资质或建筑装修装饰工程专业承包</w:t>
            </w:r>
            <w:r>
              <w:rPr>
                <w:rFonts w:hint="eastAsia" w:cs="Times New Roman"/>
                <w:lang w:eastAsia="zh-CN"/>
              </w:rPr>
              <w:t>二</w:t>
            </w:r>
            <w:r>
              <w:rPr>
                <w:rFonts w:ascii="Times New Roman" w:hAnsi="Times New Roman" w:eastAsia="宋体" w:cs="Times New Roman"/>
              </w:rPr>
              <w:t>级（含）及以上资质，且证书合格、有效；</w:t>
            </w:r>
          </w:p>
          <w:p w14:paraId="6FC1BE18">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（2）具有建设行政主管部门核发的安全生产许可证，且证书合格、有效；</w:t>
            </w:r>
          </w:p>
          <w:p w14:paraId="04EAD2EA">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（3）项目负责人的资格要求：二级注册建造师（</w:t>
            </w:r>
            <w:r>
              <w:rPr>
                <w:rFonts w:hint="eastAsia"/>
                <w:sz w:val="24"/>
                <w:szCs w:val="24"/>
                <w:lang w:eastAsia="zh-CN"/>
              </w:rPr>
              <w:t>建筑</w:t>
            </w:r>
            <w:r>
              <w:rPr>
                <w:sz w:val="24"/>
                <w:szCs w:val="24"/>
              </w:rPr>
              <w:t>工程</w:t>
            </w:r>
            <w:r>
              <w:rPr>
                <w:rFonts w:hint="eastAsia"/>
                <w:sz w:val="24"/>
                <w:szCs w:val="24"/>
                <w:lang w:eastAsia="zh-CN"/>
              </w:rPr>
              <w:t>专业</w:t>
            </w:r>
            <w:r>
              <w:rPr>
                <w:sz w:val="24"/>
                <w:szCs w:val="24"/>
              </w:rPr>
              <w:t>），本单位注册，不接受临时注册；</w:t>
            </w:r>
          </w:p>
        </w:tc>
      </w:tr>
      <w:tr w14:paraId="7F55BA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vAlign w:val="center"/>
          </w:tcPr>
          <w:p w14:paraId="5FB25327">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p>
          <w:p w14:paraId="270917E5">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12</w:t>
            </w:r>
          </w:p>
        </w:tc>
        <w:tc>
          <w:tcPr>
            <w:tcW w:w="1411" w:type="dxa"/>
            <w:vAlign w:val="center"/>
          </w:tcPr>
          <w:p w14:paraId="38E4BE98">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p>
          <w:p w14:paraId="1C8C9B8F">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信用情况</w:t>
            </w:r>
          </w:p>
        </w:tc>
        <w:tc>
          <w:tcPr>
            <w:tcW w:w="7069" w:type="dxa"/>
            <w:vAlign w:val="center"/>
          </w:tcPr>
          <w:p w14:paraId="0205729C">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信用记录审查：</w:t>
            </w:r>
          </w:p>
          <w:p w14:paraId="29A8E2AB">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outlineLvl w:val="9"/>
              <w:rPr>
                <w:sz w:val="24"/>
                <w:szCs w:val="24"/>
              </w:rPr>
            </w:pPr>
            <w:r>
              <w:rPr>
                <w:sz w:val="24"/>
                <w:szCs w:val="24"/>
              </w:rPr>
              <w:t>根据《财政部关于在政府采购活动中查询及使用信用记录有关问题的通知》（财库〔2016〕125号）规定，投标截止时间后，采购人</w:t>
            </w:r>
            <w:r>
              <w:rPr>
                <w:spacing w:val="-13"/>
              </w:rPr>
              <w:t>或采购代理机构将通过“信用中国”网站</w:t>
            </w:r>
            <w:r>
              <w:rPr>
                <w:spacing w:val="-3"/>
              </w:rPr>
              <w:t>(www.creditchina.gov.cn)、中国政府采购网(</w:t>
            </w:r>
            <w:r>
              <w:rPr>
                <w:spacing w:val="-4"/>
              </w:rPr>
              <w:t>www.ccgp.gov.cn)，对投标人截止到投标截止时间的信用记录进行审查，对列入失信被执行人、重大税收违法案件当事人名单、政府采购严重违法失信行为记录名单及其他不符合《中华人民共和国政府采购法》第二十二</w:t>
            </w:r>
            <w:r>
              <w:rPr>
                <w:spacing w:val="-3"/>
              </w:rPr>
              <w:t>条规定条件的供应商，其投标将被拒绝。</w:t>
            </w:r>
          </w:p>
        </w:tc>
      </w:tr>
      <w:tr w14:paraId="6A510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vAlign w:val="center"/>
          </w:tcPr>
          <w:p w14:paraId="05B78867">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13</w:t>
            </w:r>
          </w:p>
        </w:tc>
        <w:tc>
          <w:tcPr>
            <w:tcW w:w="1411" w:type="dxa"/>
            <w:vAlign w:val="center"/>
          </w:tcPr>
          <w:p w14:paraId="2EE60C10">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资格审查材料</w:t>
            </w:r>
          </w:p>
        </w:tc>
        <w:tc>
          <w:tcPr>
            <w:tcW w:w="7069" w:type="dxa"/>
            <w:vAlign w:val="center"/>
          </w:tcPr>
          <w:p w14:paraId="219961AE">
            <w:pPr>
              <w:keepNext w:val="0"/>
              <w:keepLines w:val="0"/>
              <w:pageBreakBefore w:val="0"/>
              <w:widowControl/>
              <w:kinsoku w:val="0"/>
              <w:wordWrap/>
              <w:overflowPunct/>
              <w:topLinePunct w:val="0"/>
              <w:autoSpaceDE w:val="0"/>
              <w:autoSpaceDN w:val="0"/>
              <w:bidi w:val="0"/>
              <w:adjustRightInd w:val="0"/>
              <w:snapToGrid w:val="0"/>
              <w:spacing w:line="400" w:lineRule="exact"/>
              <w:ind w:left="110" w:right="112" w:firstLine="0" w:firstLineChars="0"/>
              <w:jc w:val="both"/>
              <w:textAlignment w:val="baseline"/>
              <w:outlineLvl w:val="9"/>
            </w:pPr>
            <w:r>
              <w:rPr>
                <w:spacing w:val="-1"/>
              </w:rPr>
              <w:t>1、具有独立承担民事责任的能力；【法人或者其他组织投标需提供营业执照等证明文件，自然人投标需提供自然人的身份证明】</w:t>
            </w:r>
          </w:p>
          <w:p w14:paraId="1AD9D4F7">
            <w:pPr>
              <w:keepNext w:val="0"/>
              <w:keepLines w:val="0"/>
              <w:pageBreakBefore w:val="0"/>
              <w:widowControl/>
              <w:kinsoku w:val="0"/>
              <w:wordWrap/>
              <w:overflowPunct/>
              <w:topLinePunct w:val="0"/>
              <w:autoSpaceDE w:val="0"/>
              <w:autoSpaceDN w:val="0"/>
              <w:bidi w:val="0"/>
              <w:adjustRightInd w:val="0"/>
              <w:snapToGrid w:val="0"/>
              <w:spacing w:line="400" w:lineRule="exact"/>
              <w:ind w:left="113" w:right="101" w:firstLine="0" w:firstLineChars="0"/>
              <w:jc w:val="both"/>
              <w:textAlignment w:val="baseline"/>
              <w:outlineLvl w:val="9"/>
            </w:pPr>
            <w:r>
              <w:t>2、具有良好的商业信誉和健全的财务会计制度；【须提供银行出</w:t>
            </w:r>
            <w:r>
              <w:rPr>
                <w:spacing w:val="-6"/>
              </w:rPr>
              <w:t>具的近1年内资信证明或第三方审计机构出具的财务报告，新成立</w:t>
            </w:r>
            <w:r>
              <w:rPr>
                <w:spacing w:val="-1"/>
              </w:rPr>
              <w:t>企业按注册年份提供财务报表。】</w:t>
            </w:r>
          </w:p>
          <w:p w14:paraId="3241B39C">
            <w:pPr>
              <w:keepNext w:val="0"/>
              <w:keepLines w:val="0"/>
              <w:pageBreakBefore w:val="0"/>
              <w:widowControl/>
              <w:kinsoku w:val="0"/>
              <w:wordWrap/>
              <w:overflowPunct/>
              <w:topLinePunct w:val="0"/>
              <w:autoSpaceDE w:val="0"/>
              <w:autoSpaceDN w:val="0"/>
              <w:bidi w:val="0"/>
              <w:adjustRightInd w:val="0"/>
              <w:snapToGrid w:val="0"/>
              <w:spacing w:line="400" w:lineRule="exact"/>
              <w:ind w:left="110" w:right="113" w:firstLine="0" w:firstLineChars="0"/>
              <w:jc w:val="both"/>
              <w:textAlignment w:val="baseline"/>
              <w:outlineLvl w:val="9"/>
            </w:pPr>
            <w:r>
              <w:rPr>
                <w:spacing w:val="-1"/>
              </w:rPr>
              <w:t>3、具有履行合同所必需的专业技术能力与人员队伍；【须提供承</w:t>
            </w:r>
            <w:r>
              <w:rPr>
                <w:spacing w:val="-3"/>
              </w:rPr>
              <w:t>诺书】</w:t>
            </w:r>
          </w:p>
          <w:p w14:paraId="16EA4877">
            <w:pPr>
              <w:keepNext w:val="0"/>
              <w:keepLines w:val="0"/>
              <w:pageBreakBefore w:val="0"/>
              <w:widowControl/>
              <w:kinsoku w:val="0"/>
              <w:wordWrap/>
              <w:overflowPunct/>
              <w:topLinePunct w:val="0"/>
              <w:autoSpaceDE w:val="0"/>
              <w:autoSpaceDN w:val="0"/>
              <w:bidi w:val="0"/>
              <w:adjustRightInd w:val="0"/>
              <w:snapToGrid w:val="0"/>
              <w:spacing w:line="400" w:lineRule="exact"/>
              <w:ind w:left="109" w:right="101" w:firstLine="0" w:firstLineChars="0"/>
              <w:jc w:val="both"/>
              <w:textAlignment w:val="baseline"/>
              <w:outlineLvl w:val="9"/>
            </w:pPr>
            <w:r>
              <w:t>4、具有依法缴纳税收和社会保障资金的良好记录；【须提供：①</w:t>
            </w:r>
            <w:r>
              <w:rPr>
                <w:spacing w:val="-6"/>
              </w:rPr>
              <w:t>公司近6个月内（任意1个月）已依法缴纳税收的凭据；②公司近</w:t>
            </w:r>
            <w:r>
              <w:rPr>
                <w:spacing w:val="-4"/>
              </w:rPr>
              <w:t>6个月内（任意1个月）已依法缴纳社会保险的凭据。（依法免税或不需要缴纳社会保障资金的供应商，应提供相应证明文件，新成</w:t>
            </w:r>
            <w:r>
              <w:rPr>
                <w:spacing w:val="-2"/>
              </w:rPr>
              <w:t>立企业无需提供。）】</w:t>
            </w:r>
          </w:p>
          <w:p w14:paraId="766FA7C9">
            <w:pPr>
              <w:keepNext w:val="0"/>
              <w:keepLines w:val="0"/>
              <w:pageBreakBefore w:val="0"/>
              <w:widowControl/>
              <w:kinsoku w:val="0"/>
              <w:wordWrap/>
              <w:overflowPunct/>
              <w:topLinePunct w:val="0"/>
              <w:autoSpaceDE w:val="0"/>
              <w:autoSpaceDN w:val="0"/>
              <w:bidi w:val="0"/>
              <w:adjustRightInd w:val="0"/>
              <w:snapToGrid w:val="0"/>
              <w:spacing w:line="400" w:lineRule="exact"/>
              <w:ind w:left="99" w:right="115" w:firstLine="0" w:firstLineChars="0"/>
              <w:jc w:val="both"/>
              <w:textAlignment w:val="baseline"/>
              <w:outlineLvl w:val="9"/>
            </w:pPr>
            <w:r>
              <w:rPr>
                <w:spacing w:val="-1"/>
              </w:rPr>
              <w:t>5、参与投标的单位前三年内，在经营活动中没有重大违法记录；</w:t>
            </w:r>
            <w:r>
              <w:rPr>
                <w:spacing w:val="-4"/>
              </w:rPr>
              <w:t>【需提供书面声明（供应商自行承诺并承担后果，声明不实的，按</w:t>
            </w:r>
            <w:r>
              <w:t>《政府采购法》有关提供虚假材料的有关规定给予处罚。）】</w:t>
            </w:r>
          </w:p>
          <w:p w14:paraId="05414DA4">
            <w:pPr>
              <w:keepNext w:val="0"/>
              <w:keepLines w:val="0"/>
              <w:pageBreakBefore w:val="0"/>
              <w:widowControl/>
              <w:kinsoku w:val="0"/>
              <w:wordWrap/>
              <w:overflowPunct/>
              <w:topLinePunct w:val="0"/>
              <w:autoSpaceDE w:val="0"/>
              <w:autoSpaceDN w:val="0"/>
              <w:bidi w:val="0"/>
              <w:adjustRightInd w:val="0"/>
              <w:snapToGrid w:val="0"/>
              <w:spacing w:line="400" w:lineRule="exact"/>
              <w:ind w:left="112" w:firstLine="0" w:firstLineChars="0"/>
              <w:jc w:val="both"/>
              <w:textAlignment w:val="baseline"/>
              <w:outlineLvl w:val="9"/>
            </w:pPr>
            <w:r>
              <w:rPr>
                <w:spacing w:val="-1"/>
              </w:rPr>
              <w:t>6、法律、行政法规规定的其他条件；【须提供承诺书】</w:t>
            </w:r>
          </w:p>
          <w:p w14:paraId="70D441CC">
            <w:pPr>
              <w:keepNext w:val="0"/>
              <w:keepLines w:val="0"/>
              <w:pageBreakBefore w:val="0"/>
              <w:widowControl/>
              <w:kinsoku w:val="0"/>
              <w:wordWrap/>
              <w:overflowPunct/>
              <w:topLinePunct w:val="0"/>
              <w:autoSpaceDE w:val="0"/>
              <w:autoSpaceDN w:val="0"/>
              <w:bidi w:val="0"/>
              <w:adjustRightInd w:val="0"/>
              <w:snapToGrid w:val="0"/>
              <w:spacing w:line="400" w:lineRule="exact"/>
              <w:ind w:left="120" w:right="115" w:firstLine="0" w:firstLineChars="0"/>
              <w:jc w:val="both"/>
              <w:textAlignment w:val="baseline"/>
              <w:outlineLvl w:val="9"/>
            </w:pPr>
            <w:r>
              <w:rPr>
                <w:spacing w:val="-1"/>
              </w:rPr>
              <w:t>7、</w:t>
            </w:r>
            <w:r>
              <w:t>具有建设行政主管部门核发的</w:t>
            </w:r>
            <w:r>
              <w:rPr>
                <w:rFonts w:ascii="Times New Roman" w:hAnsi="Times New Roman" w:eastAsia="宋体" w:cs="Times New Roman"/>
              </w:rPr>
              <w:t>建筑工程施工总承包</w:t>
            </w:r>
            <w:r>
              <w:rPr>
                <w:rFonts w:hint="eastAsia" w:cs="Times New Roman"/>
                <w:lang w:eastAsia="zh-CN"/>
              </w:rPr>
              <w:t>三</w:t>
            </w:r>
            <w:r>
              <w:rPr>
                <w:rFonts w:ascii="Times New Roman" w:hAnsi="Times New Roman" w:eastAsia="宋体" w:cs="Times New Roman"/>
              </w:rPr>
              <w:t>级（含）及以上资质或建筑装修装饰工程专业承包</w:t>
            </w:r>
            <w:r>
              <w:rPr>
                <w:rFonts w:hint="eastAsia" w:cs="Times New Roman"/>
                <w:lang w:eastAsia="zh-CN"/>
              </w:rPr>
              <w:t>二</w:t>
            </w:r>
            <w:r>
              <w:rPr>
                <w:rFonts w:ascii="Times New Roman" w:hAnsi="Times New Roman" w:eastAsia="宋体" w:cs="Times New Roman"/>
              </w:rPr>
              <w:t>级（含）及以上资质，且证书合格、有效；</w:t>
            </w:r>
            <w:r>
              <w:rPr>
                <w:spacing w:val="-5"/>
              </w:rPr>
              <w:t>【须提供建设行政主管部门核发的</w:t>
            </w:r>
            <w:r>
              <w:rPr>
                <w:spacing w:val="-2"/>
              </w:rPr>
              <w:t>资质等级证书扫描件】</w:t>
            </w:r>
          </w:p>
          <w:p w14:paraId="2103649A">
            <w:pPr>
              <w:keepNext w:val="0"/>
              <w:keepLines w:val="0"/>
              <w:pageBreakBefore w:val="0"/>
              <w:widowControl/>
              <w:kinsoku w:val="0"/>
              <w:wordWrap/>
              <w:overflowPunct/>
              <w:topLinePunct w:val="0"/>
              <w:autoSpaceDE w:val="0"/>
              <w:autoSpaceDN w:val="0"/>
              <w:bidi w:val="0"/>
              <w:adjustRightInd w:val="0"/>
              <w:snapToGrid w:val="0"/>
              <w:spacing w:line="400" w:lineRule="exact"/>
              <w:ind w:left="111" w:firstLine="0" w:firstLineChars="0"/>
              <w:jc w:val="both"/>
              <w:textAlignment w:val="baseline"/>
              <w:outlineLvl w:val="9"/>
            </w:pPr>
            <w:r>
              <w:rPr>
                <w:spacing w:val="-1"/>
              </w:rPr>
              <w:t>8、具有建设行政主管部门核发的安全生产许可证，且证书合</w:t>
            </w:r>
            <w:r>
              <w:rPr>
                <w:spacing w:val="-2"/>
              </w:rPr>
              <w:t>格、</w:t>
            </w:r>
            <w:r>
              <w:rPr>
                <w:spacing w:val="-1"/>
              </w:rPr>
              <w:t>有效；【须提供建设行政主管部门核发的安全生产许可证复印件】</w:t>
            </w:r>
          </w:p>
          <w:p w14:paraId="48A9E0B9">
            <w:pPr>
              <w:keepNext w:val="0"/>
              <w:keepLines w:val="0"/>
              <w:pageBreakBefore w:val="0"/>
              <w:widowControl/>
              <w:kinsoku w:val="0"/>
              <w:wordWrap/>
              <w:overflowPunct/>
              <w:topLinePunct w:val="0"/>
              <w:autoSpaceDE w:val="0"/>
              <w:autoSpaceDN w:val="0"/>
              <w:bidi w:val="0"/>
              <w:adjustRightInd w:val="0"/>
              <w:snapToGrid w:val="0"/>
              <w:spacing w:line="400" w:lineRule="exact"/>
              <w:ind w:left="111" w:right="35" w:firstLine="0" w:firstLineChars="0"/>
              <w:jc w:val="both"/>
              <w:textAlignment w:val="baseline"/>
              <w:outlineLvl w:val="9"/>
            </w:pPr>
            <w:r>
              <w:rPr>
                <w:spacing w:val="-3"/>
              </w:rPr>
              <w:t>9、项目负责人的资格要求：二级注册建造师（</w:t>
            </w:r>
            <w:r>
              <w:rPr>
                <w:rFonts w:hint="eastAsia"/>
                <w:spacing w:val="-3"/>
                <w:lang w:eastAsia="zh-CN"/>
              </w:rPr>
              <w:t>建筑</w:t>
            </w:r>
            <w:r>
              <w:rPr>
                <w:spacing w:val="-3"/>
              </w:rPr>
              <w:t>工程</w:t>
            </w:r>
            <w:r>
              <w:rPr>
                <w:rFonts w:hint="eastAsia"/>
                <w:spacing w:val="-3"/>
                <w:lang w:eastAsia="zh-CN"/>
              </w:rPr>
              <w:t>专业</w:t>
            </w:r>
            <w:r>
              <w:rPr>
                <w:spacing w:val="-43"/>
              </w:rPr>
              <w:t>），</w:t>
            </w:r>
            <w:r>
              <w:rPr>
                <w:spacing w:val="-5"/>
              </w:rPr>
              <w:t>本单位注册，不接受临时注册；【须提供建设行政主管部门核发的</w:t>
            </w:r>
            <w:r>
              <w:rPr>
                <w:spacing w:val="-1"/>
              </w:rPr>
              <w:t>建造师执业资格证书、注册证书扫描件】</w:t>
            </w:r>
          </w:p>
          <w:p w14:paraId="604AECEB">
            <w:pPr>
              <w:keepNext w:val="0"/>
              <w:keepLines w:val="0"/>
              <w:pageBreakBefore w:val="0"/>
              <w:widowControl/>
              <w:kinsoku w:val="0"/>
              <w:wordWrap/>
              <w:overflowPunct/>
              <w:topLinePunct w:val="0"/>
              <w:autoSpaceDE w:val="0"/>
              <w:autoSpaceDN w:val="0"/>
              <w:bidi w:val="0"/>
              <w:adjustRightInd w:val="0"/>
              <w:snapToGrid w:val="0"/>
              <w:spacing w:line="400" w:lineRule="exact"/>
              <w:ind w:left="110" w:right="101" w:firstLine="0" w:firstLineChars="0"/>
              <w:jc w:val="both"/>
              <w:textAlignment w:val="baseline"/>
              <w:outlineLvl w:val="9"/>
            </w:pPr>
            <w:r>
              <w:rPr>
                <w:spacing w:val="-5"/>
              </w:rPr>
              <w:t>10、其他说明：单位负责人为同一人或者存在直接控股、管理关系</w:t>
            </w:r>
            <w:r>
              <w:rPr>
                <w:spacing w:val="-4"/>
              </w:rPr>
              <w:t>的不同供应商，不得参加同一合同项下的政府采购</w:t>
            </w:r>
            <w:r>
              <w:rPr>
                <w:spacing w:val="-5"/>
              </w:rPr>
              <w:t>活动；【须提供</w:t>
            </w:r>
            <w:r>
              <w:rPr>
                <w:spacing w:val="-3"/>
              </w:rPr>
              <w:t>承诺书】</w:t>
            </w:r>
          </w:p>
          <w:p w14:paraId="63C06675">
            <w:pPr>
              <w:keepNext w:val="0"/>
              <w:keepLines w:val="0"/>
              <w:pageBreakBefore w:val="0"/>
              <w:widowControl/>
              <w:kinsoku w:val="0"/>
              <w:wordWrap/>
              <w:overflowPunct/>
              <w:topLinePunct w:val="0"/>
              <w:autoSpaceDE w:val="0"/>
              <w:autoSpaceDN w:val="0"/>
              <w:bidi w:val="0"/>
              <w:adjustRightInd w:val="0"/>
              <w:snapToGrid w:val="0"/>
              <w:spacing w:line="400" w:lineRule="exact"/>
              <w:ind w:left="111" w:right="101" w:firstLine="0" w:firstLineChars="0"/>
              <w:jc w:val="both"/>
              <w:textAlignment w:val="baseline"/>
              <w:outlineLvl w:val="9"/>
            </w:pPr>
            <w:r>
              <w:rPr>
                <w:spacing w:val="-1"/>
              </w:rPr>
              <w:t>11、落实政府采购政策需满足的资格要求：本项目专门面向中小</w:t>
            </w:r>
            <w:r>
              <w:rPr>
                <w:spacing w:val="-4"/>
              </w:rPr>
              <w:t>企业，请根据要求单独上传《中小企业声明函》。格式以采购文件</w:t>
            </w:r>
            <w:r>
              <w:rPr>
                <w:spacing w:val="-8"/>
              </w:rPr>
              <w:t>要求为准。</w:t>
            </w:r>
          </w:p>
        </w:tc>
      </w:tr>
      <w:tr w14:paraId="1E8526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vAlign w:val="center"/>
          </w:tcPr>
          <w:p w14:paraId="053AF31F">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14</w:t>
            </w:r>
          </w:p>
        </w:tc>
        <w:tc>
          <w:tcPr>
            <w:tcW w:w="1411" w:type="dxa"/>
            <w:vAlign w:val="center"/>
          </w:tcPr>
          <w:p w14:paraId="469F143C">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投标保证金</w:t>
            </w:r>
          </w:p>
        </w:tc>
        <w:tc>
          <w:tcPr>
            <w:tcW w:w="7069" w:type="dxa"/>
            <w:vAlign w:val="center"/>
          </w:tcPr>
          <w:p w14:paraId="13E68A3B">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outlineLvl w:val="9"/>
            </w:pPr>
            <w:r>
              <w:rPr>
                <w:rFonts w:hint="eastAsia"/>
                <w:spacing w:val="-2"/>
                <w:lang w:eastAsia="zh-CN"/>
              </w:rPr>
              <w:t>投标保证金金额：</w:t>
            </w:r>
            <w:r>
              <w:rPr>
                <w:rFonts w:hint="eastAsia"/>
                <w:spacing w:val="-2"/>
                <w:u w:val="single"/>
                <w:lang w:eastAsia="zh-CN"/>
              </w:rPr>
              <w:t>人民币</w:t>
            </w:r>
            <w:r>
              <w:rPr>
                <w:rFonts w:hint="eastAsia"/>
                <w:spacing w:val="-2"/>
                <w:u w:val="single"/>
                <w:lang w:val="en-US" w:eastAsia="zh-CN"/>
              </w:rPr>
              <w:t>4000</w:t>
            </w:r>
            <w:r>
              <w:rPr>
                <w:spacing w:val="-2"/>
                <w:u w:val="single"/>
              </w:rPr>
              <w:t>元（大写：</w:t>
            </w:r>
            <w:r>
              <w:rPr>
                <w:rFonts w:hint="eastAsia"/>
                <w:spacing w:val="-2"/>
                <w:u w:val="single"/>
                <w:lang w:eastAsia="zh-CN"/>
              </w:rPr>
              <w:t>肆仟元整</w:t>
            </w:r>
            <w:r>
              <w:rPr>
                <w:spacing w:val="-2"/>
                <w:u w:val="single"/>
              </w:rPr>
              <w:t>）</w:t>
            </w:r>
          </w:p>
          <w:p w14:paraId="09421997">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outlineLvl w:val="9"/>
            </w:pPr>
            <w:r>
              <w:rPr>
                <w:spacing w:val="-5"/>
              </w:rPr>
              <w:t>一、投标保证金缴纳或保函：</w:t>
            </w:r>
          </w:p>
          <w:p w14:paraId="344C5A16">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102" w:firstLine="0" w:firstLineChars="0"/>
              <w:jc w:val="both"/>
              <w:textAlignment w:val="baseline"/>
              <w:outlineLvl w:val="9"/>
              <w:rPr>
                <w:rFonts w:hint="eastAsia" w:eastAsia="宋体"/>
                <w:lang w:eastAsia="zh-CN"/>
              </w:rPr>
            </w:pPr>
            <w:r>
              <w:rPr>
                <w:spacing w:val="-1"/>
              </w:rPr>
              <w:t>1.投标保证金的形式</w:t>
            </w:r>
            <w:r>
              <w:rPr>
                <w:rFonts w:hint="eastAsia"/>
                <w:spacing w:val="-1"/>
                <w:lang w:eastAsia="zh-CN"/>
              </w:rPr>
              <w:t>：</w:t>
            </w:r>
            <w:r>
              <w:rPr>
                <w:spacing w:val="-1"/>
                <w:u w:val="single"/>
              </w:rPr>
              <w:t>银行电汇、电子保函、支票、汇票、本</w:t>
            </w:r>
            <w:r>
              <w:rPr>
                <w:u w:val="single"/>
              </w:rPr>
              <w:t>票</w:t>
            </w:r>
            <w:r>
              <w:rPr>
                <w:rFonts w:hint="eastAsia"/>
                <w:u w:val="single"/>
                <w:lang w:eastAsia="zh-CN"/>
              </w:rPr>
              <w:t>等非现金形式</w:t>
            </w:r>
            <w:r>
              <w:rPr>
                <w:rFonts w:hint="eastAsia"/>
                <w:lang w:eastAsia="zh-CN"/>
              </w:rPr>
              <w:t>；</w:t>
            </w:r>
          </w:p>
          <w:p w14:paraId="1AFE2F86">
            <w:pPr>
              <w:keepNext w:val="0"/>
              <w:keepLines w:val="0"/>
              <w:pageBreakBefore w:val="0"/>
              <w:widowControl/>
              <w:kinsoku w:val="0"/>
              <w:overflowPunct/>
              <w:topLinePunct w:val="0"/>
              <w:autoSpaceDE w:val="0"/>
              <w:autoSpaceDN w:val="0"/>
              <w:bidi w:val="0"/>
              <w:adjustRightInd w:val="0"/>
              <w:snapToGrid w:val="0"/>
              <w:spacing w:line="400" w:lineRule="exact"/>
              <w:ind w:firstLine="0" w:firstLineChars="0"/>
              <w:textAlignment w:val="baseline"/>
              <w:rPr>
                <w:rFonts w:hint="eastAsia" w:eastAsia="宋体"/>
                <w:u w:val="none"/>
                <w:lang w:eastAsia="zh-CN"/>
              </w:rPr>
            </w:pPr>
            <w:r>
              <w:rPr>
                <w:rFonts w:hint="eastAsia"/>
                <w:lang w:val="en-US" w:eastAsia="zh-CN"/>
              </w:rPr>
              <w:t>2</w:t>
            </w:r>
            <w:r>
              <w:t>.投标保证金递交截止时间：</w:t>
            </w:r>
            <w:r>
              <w:rPr>
                <w:u w:val="single"/>
              </w:rPr>
              <w:t>202</w:t>
            </w:r>
            <w:r>
              <w:rPr>
                <w:rFonts w:hint="eastAsia"/>
                <w:u w:val="single"/>
                <w:lang w:val="en-US" w:eastAsia="zh-CN"/>
              </w:rPr>
              <w:t>5</w:t>
            </w:r>
            <w:r>
              <w:rPr>
                <w:u w:val="single"/>
              </w:rPr>
              <w:t>年</w:t>
            </w:r>
            <w:r>
              <w:rPr>
                <w:rFonts w:hint="eastAsia"/>
                <w:u w:val="single"/>
                <w:lang w:val="en-US" w:eastAsia="zh-CN"/>
              </w:rPr>
              <w:t>01</w:t>
            </w:r>
            <w:r>
              <w:rPr>
                <w:u w:val="single"/>
              </w:rPr>
              <w:t>月</w:t>
            </w:r>
            <w:r>
              <w:rPr>
                <w:rFonts w:hint="eastAsia"/>
                <w:u w:val="single"/>
                <w:lang w:val="en-US" w:eastAsia="zh-CN"/>
              </w:rPr>
              <w:t>07</w:t>
            </w:r>
            <w:r>
              <w:rPr>
                <w:u w:val="single"/>
              </w:rPr>
              <w:t>日11时00分</w:t>
            </w:r>
            <w:r>
              <w:rPr>
                <w:u w:val="none"/>
              </w:rPr>
              <w:t>（北京时间）</w:t>
            </w:r>
            <w:r>
              <w:rPr>
                <w:rFonts w:hint="eastAsia"/>
                <w:u w:val="none"/>
                <w:lang w:eastAsia="zh-CN"/>
              </w:rPr>
              <w:t>；</w:t>
            </w:r>
          </w:p>
          <w:p w14:paraId="41C49D6A">
            <w:pPr>
              <w:keepNext w:val="0"/>
              <w:keepLines w:val="0"/>
              <w:pageBreakBefore w:val="0"/>
              <w:widowControl/>
              <w:kinsoku w:val="0"/>
              <w:overflowPunct/>
              <w:topLinePunct w:val="0"/>
              <w:autoSpaceDE w:val="0"/>
              <w:autoSpaceDN w:val="0"/>
              <w:bidi w:val="0"/>
              <w:adjustRightInd w:val="0"/>
              <w:snapToGrid w:val="0"/>
              <w:spacing w:line="400" w:lineRule="exact"/>
              <w:ind w:firstLine="0" w:firstLineChars="0"/>
              <w:textAlignment w:val="baseline"/>
              <w:rPr>
                <w:b/>
                <w:bCs/>
              </w:rPr>
            </w:pPr>
            <w:r>
              <w:rPr>
                <w:rFonts w:hint="eastAsia"/>
                <w:b/>
                <w:bCs/>
                <w:lang w:val="en-US" w:eastAsia="zh-CN"/>
              </w:rPr>
              <w:t>3、</w:t>
            </w:r>
            <w:r>
              <w:rPr>
                <w:b/>
                <w:bCs/>
              </w:rPr>
              <w:t>投标保证金缴纳账户：</w:t>
            </w:r>
          </w:p>
          <w:p w14:paraId="22FDC58E">
            <w:pPr>
              <w:keepNext w:val="0"/>
              <w:keepLines w:val="0"/>
              <w:pageBreakBefore w:val="0"/>
              <w:widowControl/>
              <w:kinsoku w:val="0"/>
              <w:overflowPunct/>
              <w:topLinePunct w:val="0"/>
              <w:autoSpaceDE w:val="0"/>
              <w:autoSpaceDN w:val="0"/>
              <w:bidi w:val="0"/>
              <w:adjustRightInd w:val="0"/>
              <w:snapToGrid w:val="0"/>
              <w:spacing w:line="400" w:lineRule="exact"/>
              <w:ind w:firstLine="0" w:firstLineChars="0"/>
              <w:textAlignment w:val="baseline"/>
              <w:rPr>
                <w:rFonts w:hint="eastAsia"/>
                <w:lang w:eastAsia="zh-CN"/>
              </w:rPr>
            </w:pPr>
            <w:r>
              <w:t>单位名称：</w:t>
            </w:r>
            <w:r>
              <w:rPr>
                <w:rFonts w:hint="eastAsia"/>
                <w:u w:val="single"/>
                <w:lang w:eastAsia="zh-CN"/>
              </w:rPr>
              <w:t>新疆全益项目管理咨询有限公司</w:t>
            </w:r>
          </w:p>
          <w:p w14:paraId="761B14ED">
            <w:pPr>
              <w:keepNext w:val="0"/>
              <w:keepLines w:val="0"/>
              <w:pageBreakBefore w:val="0"/>
              <w:widowControl/>
              <w:kinsoku w:val="0"/>
              <w:overflowPunct/>
              <w:topLinePunct w:val="0"/>
              <w:autoSpaceDE w:val="0"/>
              <w:autoSpaceDN w:val="0"/>
              <w:bidi w:val="0"/>
              <w:adjustRightInd w:val="0"/>
              <w:snapToGrid w:val="0"/>
              <w:spacing w:line="400" w:lineRule="exact"/>
              <w:ind w:firstLine="0" w:firstLineChars="0"/>
              <w:textAlignment w:val="baseline"/>
            </w:pPr>
            <w:r>
              <w:t>开户行名称：</w:t>
            </w:r>
            <w:r>
              <w:rPr>
                <w:rFonts w:hint="eastAsia"/>
                <w:u w:val="single"/>
                <w:lang w:val="en-US" w:eastAsia="zh-CN"/>
              </w:rPr>
              <w:t>中国工商银行股份有限公司乌鲁木齐西大桥支行</w:t>
            </w:r>
          </w:p>
          <w:p w14:paraId="12BC5ECF">
            <w:pPr>
              <w:keepNext w:val="0"/>
              <w:keepLines w:val="0"/>
              <w:pageBreakBefore w:val="0"/>
              <w:widowControl/>
              <w:kinsoku w:val="0"/>
              <w:overflowPunct/>
              <w:topLinePunct w:val="0"/>
              <w:autoSpaceDE w:val="0"/>
              <w:autoSpaceDN w:val="0"/>
              <w:bidi w:val="0"/>
              <w:adjustRightInd w:val="0"/>
              <w:snapToGrid w:val="0"/>
              <w:spacing w:line="400" w:lineRule="exact"/>
              <w:ind w:firstLine="0" w:firstLineChars="0"/>
              <w:textAlignment w:val="baseline"/>
            </w:pPr>
            <w:r>
              <w:t>行号：</w:t>
            </w:r>
            <w:r>
              <w:rPr>
                <w:rFonts w:hint="eastAsia" w:hAnsi="宋体" w:cs="Times New Roman"/>
                <w:sz w:val="24"/>
                <w:szCs w:val="24"/>
                <w:u w:val="single"/>
                <w:lang w:val="en-US" w:eastAsia="zh-CN"/>
              </w:rPr>
              <w:t>102881001312</w:t>
            </w:r>
          </w:p>
          <w:p w14:paraId="773C7D6E">
            <w:pPr>
              <w:keepNext w:val="0"/>
              <w:keepLines w:val="0"/>
              <w:pageBreakBefore w:val="0"/>
              <w:widowControl/>
              <w:kinsoku w:val="0"/>
              <w:overflowPunct/>
              <w:topLinePunct w:val="0"/>
              <w:autoSpaceDE w:val="0"/>
              <w:autoSpaceDN w:val="0"/>
              <w:bidi w:val="0"/>
              <w:adjustRightInd w:val="0"/>
              <w:snapToGrid w:val="0"/>
              <w:spacing w:line="400" w:lineRule="exact"/>
              <w:ind w:firstLine="0" w:firstLineChars="0"/>
              <w:textAlignment w:val="baseline"/>
            </w:pPr>
            <w:r>
              <w:t>账号：</w:t>
            </w:r>
            <w:r>
              <w:rPr>
                <w:rFonts w:hint="eastAsia" w:hAnsi="宋体" w:cs="Times New Roman"/>
                <w:sz w:val="24"/>
                <w:szCs w:val="24"/>
                <w:u w:val="single"/>
                <w:lang w:val="en-US" w:eastAsia="zh-CN"/>
              </w:rPr>
              <w:t>3002013109200134128</w:t>
            </w:r>
          </w:p>
          <w:p w14:paraId="2DACD16D">
            <w:pPr>
              <w:keepNext w:val="0"/>
              <w:keepLines w:val="0"/>
              <w:pageBreakBefore w:val="0"/>
              <w:widowControl/>
              <w:kinsoku w:val="0"/>
              <w:overflowPunct/>
              <w:topLinePunct w:val="0"/>
              <w:autoSpaceDE w:val="0"/>
              <w:autoSpaceDN w:val="0"/>
              <w:bidi w:val="0"/>
              <w:adjustRightInd w:val="0"/>
              <w:snapToGrid w:val="0"/>
              <w:spacing w:line="400" w:lineRule="exact"/>
              <w:ind w:firstLine="0" w:firstLineChars="0"/>
              <w:textAlignment w:val="baseline"/>
            </w:pPr>
            <w:r>
              <w:t>注：汇款单上需注明</w:t>
            </w:r>
            <w:r>
              <w:rPr>
                <w:rFonts w:hint="eastAsia"/>
                <w:lang w:eastAsia="zh-CN"/>
              </w:rPr>
              <w:t>项目名称（可简写）</w:t>
            </w:r>
            <w:r>
              <w:t>项目编号；</w:t>
            </w:r>
          </w:p>
          <w:p w14:paraId="22E196DB">
            <w:pPr>
              <w:keepNext w:val="0"/>
              <w:keepLines w:val="0"/>
              <w:pageBreakBefore w:val="0"/>
              <w:widowControl/>
              <w:kinsoku w:val="0"/>
              <w:overflowPunct/>
              <w:topLinePunct w:val="0"/>
              <w:autoSpaceDE w:val="0"/>
              <w:autoSpaceDN w:val="0"/>
              <w:bidi w:val="0"/>
              <w:adjustRightInd w:val="0"/>
              <w:snapToGrid w:val="0"/>
              <w:spacing w:line="400" w:lineRule="exact"/>
              <w:ind w:firstLine="0" w:firstLineChars="0"/>
              <w:textAlignment w:val="baseline"/>
            </w:pPr>
            <w:r>
              <w:t>4.政采云电子保函须知</w:t>
            </w:r>
          </w:p>
          <w:p w14:paraId="2D2D9E90">
            <w:pPr>
              <w:keepNext w:val="0"/>
              <w:keepLines w:val="0"/>
              <w:pageBreakBefore w:val="0"/>
              <w:widowControl/>
              <w:kinsoku w:val="0"/>
              <w:overflowPunct/>
              <w:topLinePunct w:val="0"/>
              <w:autoSpaceDE w:val="0"/>
              <w:autoSpaceDN w:val="0"/>
              <w:bidi w:val="0"/>
              <w:adjustRightInd w:val="0"/>
              <w:snapToGrid w:val="0"/>
              <w:spacing w:line="400" w:lineRule="exact"/>
              <w:ind w:firstLine="0" w:firstLineChars="0"/>
              <w:textAlignment w:val="baseline"/>
            </w:pPr>
            <w:r>
              <w:t>（1）政采云电子保函形式缴纳投标保证金，在线完成保函的申请、审核、开票、出函等环节；</w:t>
            </w:r>
          </w:p>
          <w:p w14:paraId="14491EE5">
            <w:pPr>
              <w:keepNext w:val="0"/>
              <w:keepLines w:val="0"/>
              <w:pageBreakBefore w:val="0"/>
              <w:widowControl/>
              <w:kinsoku w:val="0"/>
              <w:wordWrap w:val="0"/>
              <w:overflowPunct/>
              <w:topLinePunct w:val="0"/>
              <w:autoSpaceDE w:val="0"/>
              <w:autoSpaceDN w:val="0"/>
              <w:bidi w:val="0"/>
              <w:adjustRightInd w:val="0"/>
              <w:snapToGrid w:val="0"/>
              <w:spacing w:line="400" w:lineRule="exact"/>
              <w:ind w:left="0" w:leftChars="0" w:firstLine="0" w:firstLineChars="0"/>
              <w:jc w:val="both"/>
              <w:textAlignment w:val="baseline"/>
              <w:outlineLvl w:val="9"/>
            </w:pPr>
            <w:r>
              <w:t>（2）如采用政采云电子保函形式，可按照以下形式进行在</w:t>
            </w:r>
            <w:r>
              <w:rPr>
                <w:spacing w:val="-1"/>
              </w:rPr>
              <w:t>线申请</w:t>
            </w:r>
            <w:r>
              <w:rPr>
                <w:spacing w:val="-16"/>
              </w:rPr>
              <w:t>电子保函申请链接</w:t>
            </w:r>
            <w:r>
              <w:t>（</w:t>
            </w:r>
            <w:r>
              <w:fldChar w:fldCharType="begin"/>
            </w:r>
            <w:r>
              <w:instrText xml:space="preserve"> HYPERLINK "https://jinrong.zcygov.cn/finance/letter/product/detail?" </w:instrText>
            </w:r>
            <w:r>
              <w:fldChar w:fldCharType="separate"/>
            </w:r>
            <w:r>
              <w:t>https://jinrong.zcygov.cn/finance/let</w:t>
            </w:r>
            <w:r>
              <w:rPr>
                <w:spacing w:val="-1"/>
              </w:rPr>
              <w:t>ter/product/detail?</w:t>
            </w:r>
            <w:r>
              <w:rPr>
                <w:spacing w:val="-1"/>
              </w:rPr>
              <w:fldChar w:fldCharType="end"/>
            </w:r>
            <w:r>
              <w:rPr>
                <w:spacing w:val="-2"/>
              </w:rPr>
              <w:t>id=30&amp;source=41</w:t>
            </w:r>
            <w:r>
              <w:rPr>
                <w:spacing w:val="1"/>
              </w:rPr>
              <w:t>），</w:t>
            </w:r>
            <w:r>
              <w:rPr>
                <w:spacing w:val="-2"/>
              </w:rPr>
              <w:t>如遇问题可拨打客服电话：4009039583；</w:t>
            </w:r>
          </w:p>
          <w:p w14:paraId="3059AA98">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pPr>
            <w:r>
              <w:rPr>
                <w:spacing w:val="-3"/>
              </w:rPr>
              <w:t>（3）开标前将保函制作到电子响应性文件即可。</w:t>
            </w:r>
          </w:p>
          <w:p w14:paraId="7271E17A">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pPr>
            <w:r>
              <w:rPr>
                <w:spacing w:val="-6"/>
              </w:rPr>
              <w:t>三、投标保证金退还：</w:t>
            </w:r>
          </w:p>
          <w:p w14:paraId="102CF0EF">
            <w:pPr>
              <w:keepNext w:val="0"/>
              <w:keepLines w:val="0"/>
              <w:pageBreakBefore w:val="0"/>
              <w:widowControl/>
              <w:kinsoku w:val="0"/>
              <w:wordWrap/>
              <w:overflowPunct/>
              <w:topLinePunct w:val="0"/>
              <w:autoSpaceDE w:val="0"/>
              <w:autoSpaceDN w:val="0"/>
              <w:bidi w:val="0"/>
              <w:adjustRightInd w:val="0"/>
              <w:snapToGrid w:val="0"/>
              <w:spacing w:line="400" w:lineRule="exact"/>
              <w:ind w:left="151" w:firstLine="0" w:firstLineChars="0"/>
              <w:jc w:val="both"/>
              <w:textAlignment w:val="baseline"/>
              <w:outlineLvl w:val="9"/>
            </w:pPr>
            <w:r>
              <w:rPr>
                <w:spacing w:val="-2"/>
              </w:rPr>
              <w:t>1.未成交供应商的投标保证金将在成交通知书发出后5个工作</w:t>
            </w:r>
            <w:r>
              <w:rPr>
                <w:spacing w:val="-14"/>
              </w:rPr>
              <w:t>日内退还。</w:t>
            </w:r>
          </w:p>
          <w:p w14:paraId="3CDBDD0D">
            <w:pPr>
              <w:keepNext w:val="0"/>
              <w:keepLines w:val="0"/>
              <w:pageBreakBefore w:val="0"/>
              <w:widowControl/>
              <w:kinsoku w:val="0"/>
              <w:wordWrap/>
              <w:overflowPunct/>
              <w:topLinePunct w:val="0"/>
              <w:autoSpaceDE w:val="0"/>
              <w:autoSpaceDN w:val="0"/>
              <w:bidi w:val="0"/>
              <w:adjustRightInd w:val="0"/>
              <w:snapToGrid w:val="0"/>
              <w:spacing w:line="400" w:lineRule="exact"/>
              <w:ind w:left="111" w:firstLine="0" w:firstLineChars="0"/>
              <w:jc w:val="both"/>
              <w:textAlignment w:val="baseline"/>
              <w:outlineLvl w:val="9"/>
            </w:pPr>
            <w:r>
              <w:rPr>
                <w:spacing w:val="-1"/>
              </w:rPr>
              <w:t>2.成交供应商的投标保证金将在成交供应商与采购人签订采购</w:t>
            </w:r>
            <w:r>
              <w:rPr>
                <w:spacing w:val="-2"/>
              </w:rPr>
              <w:t>合同，并将采购合同递交至采购代理后5个</w:t>
            </w:r>
            <w:r>
              <w:rPr>
                <w:spacing w:val="-3"/>
              </w:rPr>
              <w:t>工作日内，无息退还。</w:t>
            </w:r>
          </w:p>
          <w:p w14:paraId="387AE993">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pPr>
            <w:r>
              <w:rPr>
                <w:spacing w:val="-4"/>
              </w:rPr>
              <w:t>3.有下列情形之一的，投标保证金不予退还：</w:t>
            </w:r>
          </w:p>
          <w:p w14:paraId="25699C61">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pPr>
            <w:r>
              <w:rPr>
                <w:spacing w:val="-3"/>
              </w:rPr>
              <w:t>（1）供应商在提交响应文件截止时间后撤回响应文件的；</w:t>
            </w:r>
          </w:p>
          <w:p w14:paraId="3A55489E">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pPr>
            <w:r>
              <w:rPr>
                <w:spacing w:val="-4"/>
              </w:rPr>
              <w:t>（2）供应商在响应文件中提供虚假材料的；</w:t>
            </w:r>
          </w:p>
          <w:p w14:paraId="2940D0CB">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115" w:firstLine="0" w:firstLineChars="0"/>
              <w:jc w:val="both"/>
              <w:textAlignment w:val="baseline"/>
              <w:outlineLvl w:val="9"/>
            </w:pPr>
            <w:r>
              <w:rPr>
                <w:spacing w:val="-1"/>
              </w:rPr>
              <w:t>（3）除因不可抗力或磋商文件认可的情形以外，成交供应商不</w:t>
            </w:r>
            <w:r>
              <w:rPr>
                <w:spacing w:val="-7"/>
              </w:rPr>
              <w:t>与采购人签订合同的；</w:t>
            </w:r>
          </w:p>
          <w:p w14:paraId="2DDB4148">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111" w:firstLine="0" w:firstLineChars="0"/>
              <w:jc w:val="both"/>
              <w:textAlignment w:val="baseline"/>
              <w:outlineLvl w:val="9"/>
            </w:pPr>
            <w:r>
              <w:rPr>
                <w:spacing w:val="-1"/>
              </w:rPr>
              <w:t>（4）供应商与采购人、其他供应商或者采购代理机构恶意串通</w:t>
            </w:r>
            <w:r>
              <w:rPr>
                <w:spacing w:val="-22"/>
              </w:rPr>
              <w:t>的；</w:t>
            </w:r>
          </w:p>
          <w:p w14:paraId="7C7148F5">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pPr>
            <w:r>
              <w:rPr>
                <w:spacing w:val="-5"/>
              </w:rPr>
              <w:t>（5）磋商文件规定的其他情形；</w:t>
            </w:r>
          </w:p>
          <w:p w14:paraId="03C643A0">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pPr>
            <w:r>
              <w:rPr>
                <w:spacing w:val="-3"/>
              </w:rPr>
              <w:t>（6）符合法律、法规规定的其他情形的。</w:t>
            </w:r>
          </w:p>
          <w:p w14:paraId="7F2E293A">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101" w:firstLine="0" w:firstLineChars="0"/>
              <w:jc w:val="both"/>
              <w:textAlignment w:val="baseline"/>
              <w:outlineLvl w:val="9"/>
            </w:pPr>
            <w:r>
              <w:rPr>
                <w:spacing w:val="-4"/>
              </w:rPr>
              <w:t>三、加盖公章的投标保证金缴纳凭证复印件需</w:t>
            </w:r>
            <w:r>
              <w:rPr>
                <w:spacing w:val="-5"/>
              </w:rPr>
              <w:t>装订在响应文件</w:t>
            </w:r>
            <w:r>
              <w:rPr>
                <w:spacing w:val="-10"/>
              </w:rPr>
              <w:t>中相应位置。</w:t>
            </w:r>
          </w:p>
          <w:p w14:paraId="760A3A50">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103" w:firstLine="0" w:firstLineChars="0"/>
              <w:jc w:val="both"/>
              <w:textAlignment w:val="baseline"/>
              <w:outlineLvl w:val="9"/>
            </w:pPr>
            <w:r>
              <w:rPr>
                <w:b/>
                <w:bCs/>
                <w:spacing w:val="-5"/>
              </w:rPr>
              <w:t>注：供应商未按照磋商文件要求缴纳投标保证金的，其投标将</w:t>
            </w:r>
            <w:r>
              <w:rPr>
                <w:b/>
                <w:bCs/>
                <w:spacing w:val="-4"/>
              </w:rPr>
              <w:t>被拒绝</w:t>
            </w:r>
            <w:r>
              <w:rPr>
                <w:spacing w:val="-4"/>
              </w:rPr>
              <w:t>。</w:t>
            </w:r>
          </w:p>
          <w:p w14:paraId="52FF6D1A">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91" w:firstLine="0" w:firstLineChars="0"/>
              <w:jc w:val="both"/>
              <w:textAlignment w:val="baseline"/>
              <w:outlineLvl w:val="9"/>
            </w:pPr>
            <w:r>
              <w:rPr>
                <w:b/>
                <w:bCs/>
                <w:spacing w:val="-3"/>
              </w:rPr>
              <w:t>特别提示：投标保证金以电汇、网银转账方式缴纳的，必须</w:t>
            </w:r>
            <w:r>
              <w:rPr>
                <w:b/>
                <w:bCs/>
                <w:spacing w:val="-4"/>
              </w:rPr>
              <w:t>通过</w:t>
            </w:r>
            <w:r>
              <w:rPr>
                <w:b/>
                <w:bCs/>
                <w:spacing w:val="2"/>
              </w:rPr>
              <w:t>投标人的基本账户转出，转出账户名称必须与投</w:t>
            </w:r>
            <w:r>
              <w:rPr>
                <w:b/>
                <w:bCs/>
                <w:spacing w:val="1"/>
              </w:rPr>
              <w:t>标人名称一致，</w:t>
            </w:r>
            <w:r>
              <w:rPr>
                <w:b/>
                <w:bCs/>
                <w:spacing w:val="2"/>
              </w:rPr>
              <w:t>且在投标文件递交截止时间前确保到达代理</w:t>
            </w:r>
            <w:r>
              <w:rPr>
                <w:rFonts w:hint="eastAsia"/>
                <w:b/>
                <w:bCs/>
                <w:spacing w:val="2"/>
                <w:lang w:eastAsia="zh-CN"/>
              </w:rPr>
              <w:t>机构</w:t>
            </w:r>
            <w:r>
              <w:rPr>
                <w:b/>
                <w:bCs/>
                <w:spacing w:val="2"/>
              </w:rPr>
              <w:t>账户，投</w:t>
            </w:r>
            <w:r>
              <w:rPr>
                <w:b/>
                <w:bCs/>
                <w:spacing w:val="1"/>
              </w:rPr>
              <w:t>标人应</w:t>
            </w:r>
            <w:r>
              <w:rPr>
                <w:b/>
                <w:bCs/>
                <w:spacing w:val="2"/>
              </w:rPr>
              <w:t>充分考虑在途时间。基本开户许可证或者基本存款账户信</w:t>
            </w:r>
            <w:r>
              <w:rPr>
                <w:b/>
                <w:bCs/>
                <w:spacing w:val="1"/>
              </w:rPr>
              <w:t>息、电</w:t>
            </w:r>
            <w:r>
              <w:rPr>
                <w:b/>
                <w:bCs/>
                <w:spacing w:val="2"/>
              </w:rPr>
              <w:t>汇、网银缴纳凭证须附入投标文件中，未按照采购文件要</w:t>
            </w:r>
            <w:r>
              <w:rPr>
                <w:b/>
                <w:bCs/>
                <w:spacing w:val="1"/>
              </w:rPr>
              <w:t>求提交</w:t>
            </w:r>
            <w:r>
              <w:rPr>
                <w:b/>
                <w:bCs/>
                <w:spacing w:val="-3"/>
              </w:rPr>
              <w:t>保证金的，其投标文件将被拒绝；</w:t>
            </w:r>
          </w:p>
          <w:p w14:paraId="5A1757CE">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pPr>
            <w:r>
              <w:rPr>
                <w:b/>
                <w:bCs/>
                <w:spacing w:val="2"/>
              </w:rPr>
              <w:t>如投标人保证金的形式为银行保函，银行保函有效期不小于</w:t>
            </w:r>
            <w:r>
              <w:rPr>
                <w:b/>
                <w:bCs/>
                <w:spacing w:val="-3"/>
              </w:rPr>
              <w:t>投标有效期90天，须将有效期内的银行保</w:t>
            </w:r>
            <w:r>
              <w:rPr>
                <w:b/>
                <w:bCs/>
                <w:spacing w:val="-4"/>
              </w:rPr>
              <w:t>函扫描件加盖单位公章</w:t>
            </w:r>
            <w:r>
              <w:rPr>
                <w:b/>
                <w:bCs/>
                <w:spacing w:val="-3"/>
              </w:rPr>
              <w:t>附入投标文件中，如银行保函的有效期少于</w:t>
            </w:r>
            <w:r>
              <w:rPr>
                <w:b/>
                <w:bCs/>
                <w:spacing w:val="-4"/>
              </w:rPr>
              <w:t>投标有效期90天的，</w:t>
            </w:r>
            <w:r>
              <w:rPr>
                <w:b/>
                <w:bCs/>
                <w:spacing w:val="-3"/>
              </w:rPr>
              <w:t>其银行保函无效且投标文件作废标处理。</w:t>
            </w:r>
          </w:p>
        </w:tc>
      </w:tr>
      <w:tr w14:paraId="2CB20E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5951E719">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15</w:t>
            </w:r>
          </w:p>
        </w:tc>
        <w:tc>
          <w:tcPr>
            <w:tcW w:w="1411" w:type="dxa"/>
            <w:shd w:val="clear" w:color="auto" w:fill="auto"/>
            <w:vAlign w:val="center"/>
          </w:tcPr>
          <w:p w14:paraId="18A02167">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是否接受</w:t>
            </w:r>
          </w:p>
          <w:p w14:paraId="74DB45C1">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联合体投</w:t>
            </w:r>
          </w:p>
          <w:p w14:paraId="1CD926D2">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标</w:t>
            </w:r>
          </w:p>
        </w:tc>
        <w:tc>
          <w:tcPr>
            <w:tcW w:w="7069" w:type="dxa"/>
            <w:shd w:val="clear" w:color="auto" w:fill="auto"/>
            <w:vAlign w:val="center"/>
          </w:tcPr>
          <w:p w14:paraId="4963C2D6">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rFonts w:ascii="Wingdings" w:hAnsi="Wingdings" w:eastAsia="Wingdings" w:cs="Wingdings"/>
                <w:spacing w:val="-1"/>
              </w:rPr>
              <w:sym w:font="Wingdings" w:char="00FE"/>
            </w:r>
            <w:r>
              <w:rPr>
                <w:spacing w:val="-1"/>
              </w:rPr>
              <w:t>不接受/</w:t>
            </w:r>
            <w:r>
              <w:rPr>
                <w:rFonts w:ascii="Wingdings" w:hAnsi="Wingdings" w:eastAsia="Wingdings" w:cs="Wingdings"/>
                <w:spacing w:val="-1"/>
              </w:rPr>
              <w:sym w:font="Wingdings" w:char="00A8"/>
            </w:r>
            <w:r>
              <w:rPr>
                <w:spacing w:val="-1"/>
              </w:rPr>
              <w:t>接受</w:t>
            </w:r>
          </w:p>
        </w:tc>
      </w:tr>
      <w:tr w14:paraId="0C97D9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50F2BC7E">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16</w:t>
            </w:r>
          </w:p>
        </w:tc>
        <w:tc>
          <w:tcPr>
            <w:tcW w:w="1411" w:type="dxa"/>
            <w:shd w:val="clear" w:color="auto" w:fill="auto"/>
            <w:vAlign w:val="center"/>
          </w:tcPr>
          <w:p w14:paraId="3E39896E">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分包</w:t>
            </w:r>
          </w:p>
        </w:tc>
        <w:tc>
          <w:tcPr>
            <w:tcW w:w="7069" w:type="dxa"/>
            <w:shd w:val="clear" w:color="auto" w:fill="auto"/>
            <w:vAlign w:val="center"/>
          </w:tcPr>
          <w:p w14:paraId="45AE8B9F">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rFonts w:ascii="Wingdings" w:hAnsi="Wingdings" w:eastAsia="Wingdings" w:cs="Wingdings"/>
                <w:spacing w:val="-1"/>
              </w:rPr>
              <w:sym w:font="Wingdings" w:char="00FE"/>
            </w:r>
            <w:r>
              <w:rPr>
                <w:spacing w:val="-1"/>
              </w:rPr>
              <w:t>不允许/</w:t>
            </w:r>
            <w:r>
              <w:rPr>
                <w:rFonts w:ascii="Wingdings" w:hAnsi="Wingdings" w:eastAsia="Wingdings" w:cs="Wingdings"/>
                <w:spacing w:val="-1"/>
              </w:rPr>
              <w:sym w:font="Wingdings" w:char="00A8"/>
            </w:r>
            <w:r>
              <w:rPr>
                <w:spacing w:val="-1"/>
              </w:rPr>
              <w:t>允许</w:t>
            </w:r>
          </w:p>
        </w:tc>
      </w:tr>
      <w:tr w14:paraId="4E2143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08CE98D4">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17</w:t>
            </w:r>
          </w:p>
        </w:tc>
        <w:tc>
          <w:tcPr>
            <w:tcW w:w="1411" w:type="dxa"/>
            <w:shd w:val="clear" w:color="auto" w:fill="auto"/>
            <w:vAlign w:val="center"/>
          </w:tcPr>
          <w:p w14:paraId="6E4C9504">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响应文件递交截止时间及开标时间</w:t>
            </w:r>
          </w:p>
        </w:tc>
        <w:tc>
          <w:tcPr>
            <w:tcW w:w="7069" w:type="dxa"/>
            <w:shd w:val="clear" w:color="auto" w:fill="auto"/>
            <w:vAlign w:val="center"/>
          </w:tcPr>
          <w:p w14:paraId="0784FBBA">
            <w:pPr>
              <w:keepNext w:val="0"/>
              <w:keepLines w:val="0"/>
              <w:pageBreakBefore w:val="0"/>
              <w:widowControl/>
              <w:kinsoku w:val="0"/>
              <w:wordWrap/>
              <w:overflowPunct/>
              <w:topLinePunct w:val="0"/>
              <w:autoSpaceDE w:val="0"/>
              <w:autoSpaceDN w:val="0"/>
              <w:bidi w:val="0"/>
              <w:adjustRightInd w:val="0"/>
              <w:snapToGrid w:val="0"/>
              <w:spacing w:line="400" w:lineRule="exact"/>
              <w:ind w:left="109" w:firstLine="0" w:firstLineChars="0"/>
              <w:jc w:val="both"/>
              <w:textAlignment w:val="baseline"/>
              <w:outlineLvl w:val="9"/>
            </w:pPr>
            <w:r>
              <w:rPr>
                <w:spacing w:val="-7"/>
              </w:rPr>
              <w:t>采用不见面开标：</w:t>
            </w:r>
          </w:p>
          <w:p w14:paraId="1A520C7F">
            <w:pPr>
              <w:keepNext w:val="0"/>
              <w:keepLines w:val="0"/>
              <w:pageBreakBefore w:val="0"/>
              <w:widowControl/>
              <w:kinsoku w:val="0"/>
              <w:wordWrap/>
              <w:overflowPunct/>
              <w:topLinePunct w:val="0"/>
              <w:autoSpaceDE w:val="0"/>
              <w:autoSpaceDN w:val="0"/>
              <w:bidi w:val="0"/>
              <w:adjustRightInd w:val="0"/>
              <w:snapToGrid w:val="0"/>
              <w:spacing w:line="400" w:lineRule="exact"/>
              <w:ind w:left="111" w:firstLine="0" w:firstLineChars="0"/>
              <w:jc w:val="both"/>
              <w:textAlignment w:val="baseline"/>
              <w:outlineLvl w:val="9"/>
            </w:pPr>
            <w:r>
              <w:rPr>
                <w:spacing w:val="-6"/>
              </w:rPr>
              <w:t>开标时间：202</w:t>
            </w:r>
            <w:r>
              <w:rPr>
                <w:rFonts w:hint="eastAsia"/>
                <w:spacing w:val="-6"/>
                <w:lang w:val="en-US" w:eastAsia="zh-CN"/>
              </w:rPr>
              <w:t>5</w:t>
            </w:r>
            <w:r>
              <w:rPr>
                <w:spacing w:val="-6"/>
              </w:rPr>
              <w:t>年</w:t>
            </w:r>
            <w:r>
              <w:rPr>
                <w:rFonts w:hint="eastAsia"/>
                <w:spacing w:val="-6"/>
                <w:lang w:val="en-US" w:eastAsia="zh-CN"/>
              </w:rPr>
              <w:t>01</w:t>
            </w:r>
            <w:r>
              <w:rPr>
                <w:spacing w:val="-6"/>
              </w:rPr>
              <w:t>月</w:t>
            </w:r>
            <w:r>
              <w:rPr>
                <w:rFonts w:hint="eastAsia"/>
                <w:spacing w:val="-6"/>
                <w:lang w:val="en-US" w:eastAsia="zh-CN"/>
              </w:rPr>
              <w:t>07</w:t>
            </w:r>
            <w:r>
              <w:rPr>
                <w:spacing w:val="-6"/>
              </w:rPr>
              <w:t>日11</w:t>
            </w:r>
            <w:r>
              <w:rPr>
                <w:spacing w:val="-7"/>
              </w:rPr>
              <w:t>：00(北京时间)</w:t>
            </w:r>
          </w:p>
          <w:p w14:paraId="51E1A287">
            <w:pPr>
              <w:keepNext w:val="0"/>
              <w:keepLines w:val="0"/>
              <w:pageBreakBefore w:val="0"/>
              <w:widowControl/>
              <w:kinsoku w:val="0"/>
              <w:wordWrap/>
              <w:overflowPunct/>
              <w:topLinePunct w:val="0"/>
              <w:autoSpaceDE w:val="0"/>
              <w:autoSpaceDN w:val="0"/>
              <w:bidi w:val="0"/>
              <w:adjustRightInd w:val="0"/>
              <w:snapToGrid w:val="0"/>
              <w:spacing w:line="400" w:lineRule="exact"/>
              <w:ind w:left="112" w:firstLine="0" w:firstLineChars="0"/>
              <w:jc w:val="left"/>
              <w:textAlignment w:val="baseline"/>
              <w:outlineLvl w:val="9"/>
              <w:rPr>
                <w:rFonts w:hint="eastAsia" w:eastAsia="宋体"/>
                <w:lang w:eastAsia="zh-CN"/>
              </w:rPr>
            </w:pPr>
            <w:r>
              <w:rPr>
                <w:spacing w:val="-3"/>
              </w:rPr>
              <w:t>开标地点：政采云平台https://www.zcygov.</w:t>
            </w:r>
            <w:r>
              <w:rPr>
                <w:spacing w:val="-4"/>
              </w:rPr>
              <w:t>cn/不见面开标大厅，</w:t>
            </w:r>
            <w:r>
              <w:rPr>
                <w:spacing w:val="-5"/>
              </w:rPr>
              <w:t>投标人登录政采云平台，进入“项目采购-开标评标-右边选择对应</w:t>
            </w:r>
            <w:r>
              <w:rPr>
                <w:spacing w:val="-8"/>
              </w:rPr>
              <w:t>项目点击“进入项目”进入开标大厅。</w:t>
            </w:r>
            <w:r>
              <w:rPr>
                <w:b/>
                <w:bCs/>
                <w:spacing w:val="-8"/>
              </w:rPr>
              <w:t>不见面开标默认解密时长：</w:t>
            </w:r>
            <w:r>
              <w:rPr>
                <w:b/>
                <w:bCs/>
                <w:spacing w:val="-9"/>
              </w:rPr>
              <w:t>30分钟</w:t>
            </w:r>
            <w:r>
              <w:rPr>
                <w:rFonts w:hint="eastAsia"/>
                <w:b/>
                <w:bCs/>
                <w:spacing w:val="-9"/>
                <w:lang w:eastAsia="zh-CN"/>
              </w:rPr>
              <w:t>；</w:t>
            </w:r>
          </w:p>
          <w:p w14:paraId="6E4634F0">
            <w:pPr>
              <w:keepNext w:val="0"/>
              <w:keepLines w:val="0"/>
              <w:pageBreakBefore w:val="0"/>
              <w:widowControl/>
              <w:kinsoku w:val="0"/>
              <w:wordWrap/>
              <w:overflowPunct/>
              <w:topLinePunct w:val="0"/>
              <w:autoSpaceDE w:val="0"/>
              <w:autoSpaceDN w:val="0"/>
              <w:bidi w:val="0"/>
              <w:adjustRightInd w:val="0"/>
              <w:snapToGrid w:val="0"/>
              <w:spacing w:line="400" w:lineRule="exact"/>
              <w:ind w:left="110" w:leftChars="0" w:right="32" w:righ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spacing w:val="-5"/>
              </w:rPr>
              <w:t>注：1.如因供应商自身原因导致在规定时间</w:t>
            </w:r>
            <w:r>
              <w:rPr>
                <w:spacing w:val="-6"/>
              </w:rPr>
              <w:t>内无法正常解密的(如：</w:t>
            </w:r>
            <w:r>
              <w:rPr>
                <w:spacing w:val="-5"/>
              </w:rPr>
              <w:t>浏览器故障、未安装相关驱动、网络故障、加密CA</w:t>
            </w:r>
            <w:r>
              <w:rPr>
                <w:spacing w:val="-6"/>
              </w:rPr>
              <w:t>与解密CA不一</w:t>
            </w:r>
            <w:r>
              <w:rPr>
                <w:spacing w:val="-2"/>
              </w:rPr>
              <w:t>致等)，采购中心/代理机构不予异常处理，视为供应商自动弃标。</w:t>
            </w:r>
            <w:r>
              <w:rPr>
                <w:spacing w:val="-4"/>
              </w:rPr>
              <w:t>2.关于能否延长解密时间的约定：</w:t>
            </w:r>
            <w:r>
              <w:rPr>
                <w:spacing w:val="-4"/>
                <w:u w:val="single" w:color="auto"/>
              </w:rPr>
              <w:t>开标现场若发现默认解密时长不</w:t>
            </w:r>
            <w:r>
              <w:rPr>
                <w:spacing w:val="-1"/>
                <w:u w:val="single" w:color="auto"/>
              </w:rPr>
              <w:t>足，由采购人决定是否延长解密时长。</w:t>
            </w:r>
          </w:p>
        </w:tc>
      </w:tr>
      <w:tr w14:paraId="2A38E0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171E667E">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18</w:t>
            </w:r>
          </w:p>
        </w:tc>
        <w:tc>
          <w:tcPr>
            <w:tcW w:w="1411" w:type="dxa"/>
            <w:shd w:val="clear" w:color="auto" w:fill="auto"/>
            <w:vAlign w:val="center"/>
          </w:tcPr>
          <w:p w14:paraId="1D23A7EC">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响应文件</w:t>
            </w:r>
          </w:p>
        </w:tc>
        <w:tc>
          <w:tcPr>
            <w:tcW w:w="7069" w:type="dxa"/>
            <w:shd w:val="clear" w:color="auto" w:fill="auto"/>
            <w:vAlign w:val="center"/>
          </w:tcPr>
          <w:p w14:paraId="16865EEF">
            <w:pPr>
              <w:keepNext w:val="0"/>
              <w:keepLines w:val="0"/>
              <w:pageBreakBefore w:val="0"/>
              <w:widowControl/>
              <w:kinsoku w:val="0"/>
              <w:wordWrap/>
              <w:overflowPunct/>
              <w:topLinePunct w:val="0"/>
              <w:autoSpaceDE w:val="0"/>
              <w:autoSpaceDN w:val="0"/>
              <w:bidi w:val="0"/>
              <w:adjustRightInd w:val="0"/>
              <w:snapToGrid w:val="0"/>
              <w:spacing w:line="400" w:lineRule="exact"/>
              <w:ind w:left="116" w:right="101" w:firstLine="0" w:firstLineChars="0"/>
              <w:jc w:val="both"/>
              <w:textAlignment w:val="baseline"/>
              <w:outlineLvl w:val="9"/>
            </w:pPr>
            <w:r>
              <w:rPr>
                <w:spacing w:val="-1"/>
              </w:rPr>
              <w:t>1．本项目采用不见面开标、供应商需要递交电子投标文件，加密</w:t>
            </w:r>
            <w:r>
              <w:rPr>
                <w:spacing w:val="-4"/>
              </w:rPr>
              <w:t>的电子投标文件，在投标截止时间前通过新疆政府采购</w:t>
            </w:r>
            <w:r>
              <w:rPr>
                <w:spacing w:val="-5"/>
              </w:rPr>
              <w:t>网平台上传</w:t>
            </w:r>
            <w:r>
              <w:rPr>
                <w:spacing w:val="-8"/>
              </w:rPr>
              <w:t>到指定位置。</w:t>
            </w:r>
          </w:p>
          <w:p w14:paraId="7F042DBA">
            <w:pPr>
              <w:keepNext w:val="0"/>
              <w:keepLines w:val="0"/>
              <w:pageBreakBefore w:val="0"/>
              <w:widowControl/>
              <w:kinsoku/>
              <w:wordWrap w:val="0"/>
              <w:overflowPunct/>
              <w:topLinePunct w:val="0"/>
              <w:autoSpaceDE w:val="0"/>
              <w:autoSpaceDN w:val="0"/>
              <w:bidi w:val="0"/>
              <w:adjustRightInd w:val="0"/>
              <w:snapToGrid w:val="0"/>
              <w:spacing w:line="400" w:lineRule="exact"/>
              <w:ind w:left="111" w:right="101" w:firstLine="0" w:firstLineChars="0"/>
              <w:jc w:val="both"/>
              <w:textAlignment w:val="baseline"/>
              <w:outlineLvl w:val="9"/>
            </w:pPr>
            <w:r>
              <w:rPr>
                <w:spacing w:val="-6"/>
              </w:rPr>
              <w:t>2.本项目采用远程不见面交易的模式。开标当日，供应商无需到达</w:t>
            </w:r>
            <w:r>
              <w:rPr>
                <w:spacing w:val="-12"/>
              </w:rPr>
              <w:t>开标现场，仅需在任意地点新疆政府采购网</w:t>
            </w:r>
            <w:r>
              <w:rPr>
                <w:spacing w:val="1"/>
              </w:rPr>
              <w:t>(</w:t>
            </w:r>
            <w:r>
              <w:fldChar w:fldCharType="begin"/>
            </w:r>
            <w:r>
              <w:instrText xml:space="preserve"> HYPERLINK "http://www.ccgp-xinjiang.gov.cn" </w:instrText>
            </w:r>
            <w:r>
              <w:fldChar w:fldCharType="separate"/>
            </w:r>
            <w:r>
              <w:t>http</w:t>
            </w:r>
            <w:r>
              <w:rPr>
                <w:spacing w:val="1"/>
              </w:rPr>
              <w:t>://</w:t>
            </w:r>
            <w:r>
              <w:t>www</w:t>
            </w:r>
            <w:r>
              <w:rPr>
                <w:spacing w:val="1"/>
              </w:rPr>
              <w:t>.</w:t>
            </w:r>
            <w:r>
              <w:t>ccgp</w:t>
            </w:r>
            <w:r>
              <w:rPr>
                <w:spacing w:val="1"/>
              </w:rPr>
              <w:t>-</w:t>
            </w:r>
            <w:r>
              <w:t>xinjiang</w:t>
            </w:r>
            <w:r>
              <w:rPr>
                <w:spacing w:val="1"/>
              </w:rPr>
              <w:t>.</w:t>
            </w:r>
            <w:r>
              <w:t>gov</w:t>
            </w:r>
            <w:r>
              <w:rPr>
                <w:spacing w:val="1"/>
              </w:rPr>
              <w:t>.</w:t>
            </w:r>
            <w:r>
              <w:t>cn</w:t>
            </w:r>
            <w:r>
              <w:fldChar w:fldCharType="end"/>
            </w:r>
            <w:r>
              <w:rPr>
                <w:spacing w:val="1"/>
              </w:rPr>
              <w:t>)政采云线上平台开标完</w:t>
            </w:r>
            <w:r>
              <w:rPr>
                <w:spacing w:val="-4"/>
              </w:rPr>
              <w:t>成远程解密、提疑澄清、开标、结果公布等交互环节。供应商必须使用能正确解密投标文件的“新疆政府采购网政采云数字证书”在规定的时间内完成远程解密，因供应商原因未能解密、解密失败或</w:t>
            </w:r>
            <w:r>
              <w:rPr>
                <w:spacing w:val="-10"/>
              </w:rPr>
              <w:t>解密超时，视为供应商撤销其投标文件，系统内投标文件将被退回；</w:t>
            </w:r>
            <w:r>
              <w:rPr>
                <w:spacing w:val="-4"/>
              </w:rPr>
              <w:t>因采购人原因或网上招投标平台发生故障，导致无法按时完成投标</w:t>
            </w:r>
            <w:r>
              <w:rPr>
                <w:spacing w:val="-6"/>
              </w:rPr>
              <w:t>文件解密或开、评标工作无法进行的，可根据实际情况相应延</w:t>
            </w:r>
            <w:r>
              <w:rPr>
                <w:spacing w:val="-7"/>
              </w:rPr>
              <w:t>迟解</w:t>
            </w:r>
            <w:r>
              <w:rPr>
                <w:spacing w:val="4"/>
              </w:rPr>
              <w:t>密时间或调整开、评标时间。（友情提示：若投标人已领取副锁</w:t>
            </w:r>
            <w:r>
              <w:rPr>
                <w:spacing w:val="-4"/>
              </w:rPr>
              <w:t>（含多把副锁）请注意正副锁的使用差别，务必使用生成响应文件</w:t>
            </w:r>
            <w:r>
              <w:rPr>
                <w:spacing w:val="-5"/>
              </w:rPr>
              <w:t>的那把锁解密）。</w:t>
            </w:r>
          </w:p>
          <w:p w14:paraId="30A202FC">
            <w:pPr>
              <w:keepNext w:val="0"/>
              <w:keepLines w:val="0"/>
              <w:pageBreakBefore w:val="0"/>
              <w:widowControl/>
              <w:tabs>
                <w:tab w:val="left" w:pos="7057"/>
              </w:tabs>
              <w:kinsoku w:val="0"/>
              <w:wordWrap w:val="0"/>
              <w:overflowPunct/>
              <w:topLinePunct w:val="0"/>
              <w:autoSpaceDE w:val="0"/>
              <w:autoSpaceDN w:val="0"/>
              <w:bidi w:val="0"/>
              <w:adjustRightInd w:val="0"/>
              <w:snapToGrid w:val="0"/>
              <w:spacing w:line="400" w:lineRule="exact"/>
              <w:ind w:left="113" w:lef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spacing w:val="-18"/>
              </w:rPr>
              <w:t>3.远程开标前，投标人务必在政采云平台</w:t>
            </w:r>
            <w:r>
              <w:rPr>
                <w:spacing w:val="-6"/>
              </w:rPr>
              <w:t>（</w:t>
            </w:r>
            <w:r>
              <w:fldChar w:fldCharType="begin"/>
            </w:r>
            <w:r>
              <w:instrText xml:space="preserve"> HYPERLINK "https://www.zcygov.cn/" </w:instrText>
            </w:r>
            <w:r>
              <w:fldChar w:fldCharType="separate"/>
            </w:r>
            <w:r>
              <w:rPr>
                <w:spacing w:val="-6"/>
              </w:rPr>
              <w:t>https://www.zcygov.cn/</w:t>
            </w:r>
            <w:r>
              <w:rPr>
                <w:spacing w:val="-6"/>
              </w:rPr>
              <w:fldChar w:fldCharType="end"/>
            </w:r>
            <w:r>
              <w:rPr>
                <w:spacing w:val="-6"/>
              </w:rPr>
              <w:t>）响应文件上传</w:t>
            </w:r>
            <w:r>
              <w:rPr>
                <w:spacing w:val="-7"/>
              </w:rPr>
              <w:t>模块中使用“模拟解密”</w:t>
            </w:r>
            <w:r>
              <w:rPr>
                <w:spacing w:val="-9"/>
              </w:rPr>
              <w:t>功能，验证本机远程自助解密环境。</w:t>
            </w:r>
          </w:p>
        </w:tc>
      </w:tr>
      <w:tr w14:paraId="555F5D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78065438">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19</w:t>
            </w:r>
          </w:p>
        </w:tc>
        <w:tc>
          <w:tcPr>
            <w:tcW w:w="1411" w:type="dxa"/>
            <w:shd w:val="clear" w:color="auto" w:fill="auto"/>
            <w:vAlign w:val="center"/>
          </w:tcPr>
          <w:p w14:paraId="6A88ADB1">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投标报价</w:t>
            </w:r>
          </w:p>
        </w:tc>
        <w:tc>
          <w:tcPr>
            <w:tcW w:w="7069" w:type="dxa"/>
            <w:shd w:val="clear" w:color="auto" w:fill="auto"/>
            <w:vAlign w:val="center"/>
          </w:tcPr>
          <w:p w14:paraId="5A516C0D">
            <w:pPr>
              <w:keepNext w:val="0"/>
              <w:keepLines w:val="0"/>
              <w:pageBreakBefore w:val="0"/>
              <w:widowControl/>
              <w:kinsoku w:val="0"/>
              <w:wordWrap/>
              <w:overflowPunct/>
              <w:topLinePunct w:val="0"/>
              <w:autoSpaceDE w:val="0"/>
              <w:autoSpaceDN w:val="0"/>
              <w:bidi w:val="0"/>
              <w:adjustRightInd w:val="0"/>
              <w:snapToGrid w:val="0"/>
              <w:spacing w:line="400" w:lineRule="exact"/>
              <w:ind w:left="108" w:leftChars="0" w:right="101" w:righ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spacing w:val="-4"/>
              </w:rPr>
              <w:t>供应商的报价明显低于其他通过符合性审查供应商的报价，有可能影响产品质量或者不能诚信履约的，供应商应在评标现场合理的时间内提供书面说明，必要时提交相关证明材料；供应商不能证明其</w:t>
            </w:r>
            <w:r>
              <w:rPr>
                <w:spacing w:val="-3"/>
              </w:rPr>
              <w:t>报价合理性的，自行承担相关责任。</w:t>
            </w:r>
          </w:p>
        </w:tc>
      </w:tr>
      <w:tr w14:paraId="21166B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2B87DDFB">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20</w:t>
            </w:r>
          </w:p>
        </w:tc>
        <w:tc>
          <w:tcPr>
            <w:tcW w:w="1411" w:type="dxa"/>
            <w:shd w:val="clear" w:color="auto" w:fill="auto"/>
            <w:vAlign w:val="center"/>
          </w:tcPr>
          <w:p w14:paraId="20B130C7">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踏勘现场</w:t>
            </w:r>
          </w:p>
        </w:tc>
        <w:tc>
          <w:tcPr>
            <w:tcW w:w="7069" w:type="dxa"/>
            <w:shd w:val="clear" w:color="auto" w:fill="auto"/>
            <w:vAlign w:val="center"/>
          </w:tcPr>
          <w:p w14:paraId="0687CD35">
            <w:pPr>
              <w:keepNext w:val="0"/>
              <w:keepLines w:val="0"/>
              <w:pageBreakBefore w:val="0"/>
              <w:widowControl/>
              <w:kinsoku w:val="0"/>
              <w:wordWrap/>
              <w:overflowPunct/>
              <w:topLinePunct w:val="0"/>
              <w:autoSpaceDE w:val="0"/>
              <w:autoSpaceDN w:val="0"/>
              <w:bidi w:val="0"/>
              <w:adjustRightInd w:val="0"/>
              <w:snapToGrid w:val="0"/>
              <w:spacing w:line="400" w:lineRule="exact"/>
              <w:ind w:left="109" w:leftChars="0" w:right="101" w:righ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rFonts w:ascii="Wingdings" w:hAnsi="Wingdings" w:eastAsia="Wingdings" w:cs="Wingdings"/>
                <w:spacing w:val="-1"/>
              </w:rPr>
              <w:sym w:font="Wingdings" w:char="00FE"/>
            </w:r>
            <w:r>
              <w:rPr>
                <w:spacing w:val="-3"/>
              </w:rPr>
              <w:t>不组织，供应商自行踏勘，无论供应商对现场考察与否，都将被视为熟悉履行合同有关的一切情况。</w:t>
            </w:r>
          </w:p>
        </w:tc>
      </w:tr>
      <w:tr w14:paraId="1DA725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5375DF1C">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21</w:t>
            </w:r>
          </w:p>
        </w:tc>
        <w:tc>
          <w:tcPr>
            <w:tcW w:w="1411" w:type="dxa"/>
            <w:shd w:val="clear" w:color="auto" w:fill="auto"/>
            <w:vAlign w:val="center"/>
          </w:tcPr>
          <w:p w14:paraId="3F7D5014">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投标答疑会</w:t>
            </w:r>
          </w:p>
        </w:tc>
        <w:tc>
          <w:tcPr>
            <w:tcW w:w="7069" w:type="dxa"/>
            <w:shd w:val="clear" w:color="auto" w:fill="auto"/>
            <w:vAlign w:val="center"/>
          </w:tcPr>
          <w:p w14:paraId="30D05BEB">
            <w:pPr>
              <w:keepNext w:val="0"/>
              <w:keepLines w:val="0"/>
              <w:pageBreakBefore w:val="0"/>
              <w:widowControl/>
              <w:kinsoku w:val="0"/>
              <w:wordWrap/>
              <w:overflowPunct/>
              <w:topLinePunct w:val="0"/>
              <w:autoSpaceDE w:val="0"/>
              <w:autoSpaceDN w:val="0"/>
              <w:bidi w:val="0"/>
              <w:adjustRightInd w:val="0"/>
              <w:snapToGrid w:val="0"/>
              <w:spacing w:line="400" w:lineRule="exact"/>
              <w:ind w:left="121" w:lef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rFonts w:ascii="Wingdings" w:hAnsi="Wingdings" w:eastAsia="Wingdings" w:cs="Wingdings"/>
                <w:spacing w:val="-1"/>
              </w:rPr>
              <w:sym w:font="Wingdings" w:char="00FE"/>
            </w:r>
            <w:r>
              <w:t>不召开</w:t>
            </w:r>
          </w:p>
        </w:tc>
      </w:tr>
      <w:tr w14:paraId="062C4A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48739DD5">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22</w:t>
            </w:r>
          </w:p>
        </w:tc>
        <w:tc>
          <w:tcPr>
            <w:tcW w:w="1411" w:type="dxa"/>
            <w:shd w:val="clear" w:color="auto" w:fill="auto"/>
            <w:vAlign w:val="center"/>
          </w:tcPr>
          <w:p w14:paraId="2DA8EE6F">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供应商提出问题或要求澄清磋商文件的截止时间</w:t>
            </w:r>
          </w:p>
        </w:tc>
        <w:tc>
          <w:tcPr>
            <w:tcW w:w="7069" w:type="dxa"/>
            <w:shd w:val="clear" w:color="auto" w:fill="auto"/>
            <w:vAlign w:val="center"/>
          </w:tcPr>
          <w:p w14:paraId="2B4C8D7C">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102" w:righ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spacing w:val="-4"/>
              </w:rPr>
              <w:t>供应商应当在知道或应当知道（即收到采购文</w:t>
            </w:r>
            <w:r>
              <w:rPr>
                <w:spacing w:val="-5"/>
              </w:rPr>
              <w:t>件之日或者采购文件</w:t>
            </w:r>
            <w:r>
              <w:rPr>
                <w:spacing w:val="4"/>
              </w:rPr>
              <w:t>公告期限届满之日）其权益受到损害之日起七个工作日内书面提</w:t>
            </w:r>
            <w:r>
              <w:rPr>
                <w:spacing w:val="-13"/>
              </w:rPr>
              <w:t>出。</w:t>
            </w:r>
          </w:p>
        </w:tc>
      </w:tr>
      <w:tr w14:paraId="07F26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199D2D0D">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23</w:t>
            </w:r>
          </w:p>
        </w:tc>
        <w:tc>
          <w:tcPr>
            <w:tcW w:w="1411" w:type="dxa"/>
            <w:shd w:val="clear" w:color="auto" w:fill="auto"/>
            <w:vAlign w:val="center"/>
          </w:tcPr>
          <w:p w14:paraId="7C101C2C">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近年财务</w:t>
            </w:r>
          </w:p>
          <w:p w14:paraId="3EC1F5BA">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pPr>
            <w:r>
              <w:t>状况年份</w:t>
            </w:r>
          </w:p>
          <w:p w14:paraId="6DC25F80">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要求</w:t>
            </w:r>
          </w:p>
        </w:tc>
        <w:tc>
          <w:tcPr>
            <w:tcW w:w="7069" w:type="dxa"/>
            <w:shd w:val="clear" w:color="auto" w:fill="auto"/>
            <w:vAlign w:val="center"/>
          </w:tcPr>
          <w:p w14:paraId="35EF4055">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spacing w:val="-4"/>
                <w:u w:val="single" w:color="auto"/>
              </w:rPr>
              <w:t>2023</w:t>
            </w:r>
            <w:r>
              <w:rPr>
                <w:spacing w:val="-4"/>
              </w:rPr>
              <w:t>年度，新成立公司无需提供。</w:t>
            </w:r>
          </w:p>
        </w:tc>
      </w:tr>
      <w:tr w14:paraId="1BA633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2D5475BB">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24</w:t>
            </w:r>
          </w:p>
        </w:tc>
        <w:tc>
          <w:tcPr>
            <w:tcW w:w="1411" w:type="dxa"/>
            <w:shd w:val="clear" w:color="auto" w:fill="auto"/>
            <w:vAlign w:val="center"/>
          </w:tcPr>
          <w:p w14:paraId="60E02F64">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投标有效期</w:t>
            </w:r>
          </w:p>
        </w:tc>
        <w:tc>
          <w:tcPr>
            <w:tcW w:w="7069" w:type="dxa"/>
            <w:shd w:val="clear" w:color="auto" w:fill="auto"/>
            <w:vAlign w:val="center"/>
          </w:tcPr>
          <w:p w14:paraId="0D595585">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spacing w:val="-6"/>
              </w:rPr>
              <w:t>从开标之日起90日历天</w:t>
            </w:r>
          </w:p>
        </w:tc>
      </w:tr>
      <w:tr w14:paraId="38A659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23CBB6C6">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25</w:t>
            </w:r>
          </w:p>
        </w:tc>
        <w:tc>
          <w:tcPr>
            <w:tcW w:w="1411" w:type="dxa"/>
            <w:shd w:val="clear" w:color="auto" w:fill="auto"/>
            <w:vAlign w:val="center"/>
          </w:tcPr>
          <w:p w14:paraId="0B546608">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磋商小组的组建</w:t>
            </w:r>
          </w:p>
        </w:tc>
        <w:tc>
          <w:tcPr>
            <w:tcW w:w="7069" w:type="dxa"/>
            <w:shd w:val="clear" w:color="auto" w:fill="auto"/>
            <w:vAlign w:val="center"/>
          </w:tcPr>
          <w:p w14:paraId="343EC162">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pPr>
            <w:r>
              <w:rPr>
                <w:spacing w:val="-5"/>
              </w:rPr>
              <w:t>磋商小组构成：3人；</w:t>
            </w:r>
          </w:p>
          <w:p w14:paraId="44DF76A7">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101" w:righ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spacing w:val="-4"/>
              </w:rPr>
              <w:t>评标专家确定方式：经济、技术专家不少于磋商小组组成人员的三</w:t>
            </w:r>
            <w:r>
              <w:rPr>
                <w:spacing w:val="-3"/>
              </w:rPr>
              <w:t>分之二，从政采云专家库随机抽取。</w:t>
            </w:r>
          </w:p>
        </w:tc>
      </w:tr>
      <w:tr w14:paraId="21AC50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62D04150">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26</w:t>
            </w:r>
          </w:p>
        </w:tc>
        <w:tc>
          <w:tcPr>
            <w:tcW w:w="1411" w:type="dxa"/>
            <w:shd w:val="clear" w:color="auto" w:fill="auto"/>
            <w:vAlign w:val="center"/>
          </w:tcPr>
          <w:p w14:paraId="5F816F56">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评标办法</w:t>
            </w:r>
          </w:p>
        </w:tc>
        <w:tc>
          <w:tcPr>
            <w:tcW w:w="7069" w:type="dxa"/>
            <w:shd w:val="clear" w:color="auto" w:fill="auto"/>
            <w:vAlign w:val="center"/>
          </w:tcPr>
          <w:p w14:paraId="1C8A325E">
            <w:pPr>
              <w:keepNext w:val="0"/>
              <w:keepLines w:val="0"/>
              <w:pageBreakBefore w:val="0"/>
              <w:widowControl/>
              <w:kinsoku w:val="0"/>
              <w:wordWrap/>
              <w:overflowPunct/>
              <w:topLinePunct w:val="0"/>
              <w:autoSpaceDE w:val="0"/>
              <w:autoSpaceDN w:val="0"/>
              <w:bidi w:val="0"/>
              <w:adjustRightInd w:val="0"/>
              <w:snapToGrid w:val="0"/>
              <w:spacing w:line="400" w:lineRule="exact"/>
              <w:ind w:left="113" w:firstLine="0" w:firstLineChars="0"/>
              <w:jc w:val="both"/>
              <w:textAlignment w:val="baseline"/>
              <w:outlineLvl w:val="9"/>
            </w:pPr>
            <w:r>
              <w:rPr>
                <w:spacing w:val="-2"/>
              </w:rPr>
              <w:t>综合评分法</w:t>
            </w:r>
          </w:p>
          <w:p w14:paraId="15221BCA">
            <w:pPr>
              <w:keepNext w:val="0"/>
              <w:keepLines w:val="0"/>
              <w:pageBreakBefore w:val="0"/>
              <w:widowControl/>
              <w:kinsoku w:val="0"/>
              <w:wordWrap/>
              <w:overflowPunct/>
              <w:topLinePunct w:val="0"/>
              <w:autoSpaceDE w:val="0"/>
              <w:autoSpaceDN w:val="0"/>
              <w:bidi w:val="0"/>
              <w:adjustRightInd w:val="0"/>
              <w:snapToGrid w:val="0"/>
              <w:spacing w:line="400" w:lineRule="exact"/>
              <w:ind w:left="110" w:lef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spacing w:val="-9"/>
              </w:rPr>
              <w:t>注：综合评分法是指在最大限度地满足磋商文件实质性要求前提下，</w:t>
            </w:r>
            <w:r>
              <w:rPr>
                <w:spacing w:val="-6"/>
              </w:rPr>
              <w:t>按照磋商文件中规定的评分细则评审后，以评</w:t>
            </w:r>
            <w:r>
              <w:rPr>
                <w:spacing w:val="-7"/>
              </w:rPr>
              <w:t>标最终得分最高的投</w:t>
            </w:r>
            <w:r>
              <w:rPr>
                <w:spacing w:val="-6"/>
              </w:rPr>
              <w:t>标人作为中标人的评标方法。每一投标人的最</w:t>
            </w:r>
            <w:r>
              <w:rPr>
                <w:spacing w:val="-7"/>
              </w:rPr>
              <w:t>终得分为所有评委评</w:t>
            </w:r>
            <w:r>
              <w:rPr>
                <w:spacing w:val="-9"/>
              </w:rPr>
              <w:t>分的算术平均值。得分相同的，报价较低的一方为中标人。得分且</w:t>
            </w:r>
            <w:r>
              <w:rPr>
                <w:spacing w:val="-4"/>
              </w:rPr>
              <w:t>投标报价相同的，技术指标较优的一方为中标人。</w:t>
            </w:r>
          </w:p>
        </w:tc>
      </w:tr>
      <w:tr w14:paraId="7B4C68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56B494B3">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27</w:t>
            </w:r>
          </w:p>
        </w:tc>
        <w:tc>
          <w:tcPr>
            <w:tcW w:w="1411" w:type="dxa"/>
            <w:shd w:val="clear" w:color="auto" w:fill="auto"/>
            <w:vAlign w:val="center"/>
          </w:tcPr>
          <w:p w14:paraId="311823A4">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是否授权磋商小组确定成交人</w:t>
            </w:r>
          </w:p>
        </w:tc>
        <w:tc>
          <w:tcPr>
            <w:tcW w:w="7069" w:type="dxa"/>
            <w:shd w:val="clear" w:color="auto" w:fill="auto"/>
            <w:vAlign w:val="center"/>
          </w:tcPr>
          <w:p w14:paraId="095F59C6">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rFonts w:ascii="Wingdings" w:hAnsi="Wingdings" w:eastAsia="Wingdings" w:cs="Wingdings"/>
                <w:spacing w:val="-1"/>
              </w:rPr>
              <w:sym w:font="Wingdings" w:char="00FE"/>
            </w:r>
            <w:r>
              <w:rPr>
                <w:spacing w:val="-5"/>
              </w:rPr>
              <w:t>否，推荐3名成交候选人。</w:t>
            </w:r>
          </w:p>
        </w:tc>
      </w:tr>
      <w:tr w14:paraId="64ADB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1ED9D903">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28</w:t>
            </w:r>
          </w:p>
        </w:tc>
        <w:tc>
          <w:tcPr>
            <w:tcW w:w="1411" w:type="dxa"/>
            <w:shd w:val="clear" w:color="auto" w:fill="auto"/>
            <w:vAlign w:val="center"/>
          </w:tcPr>
          <w:p w14:paraId="0FA969DC">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履约保证金</w:t>
            </w:r>
          </w:p>
        </w:tc>
        <w:tc>
          <w:tcPr>
            <w:tcW w:w="7069" w:type="dxa"/>
            <w:shd w:val="clear" w:color="auto" w:fill="auto"/>
            <w:vAlign w:val="center"/>
          </w:tcPr>
          <w:p w14:paraId="434E3E27">
            <w:pPr>
              <w:keepNext w:val="0"/>
              <w:keepLines w:val="0"/>
              <w:pageBreakBefore w:val="0"/>
              <w:widowControl/>
              <w:kinsoku w:val="0"/>
              <w:wordWrap/>
              <w:overflowPunct/>
              <w:topLinePunct w:val="0"/>
              <w:autoSpaceDE w:val="0"/>
              <w:autoSpaceDN w:val="0"/>
              <w:bidi w:val="0"/>
              <w:adjustRightInd w:val="0"/>
              <w:snapToGrid w:val="0"/>
              <w:spacing w:line="400" w:lineRule="exact"/>
              <w:ind w:left="109" w:lef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t>/</w:t>
            </w:r>
          </w:p>
        </w:tc>
      </w:tr>
      <w:tr w14:paraId="370305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6AEBCA7C">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29</w:t>
            </w:r>
          </w:p>
        </w:tc>
        <w:tc>
          <w:tcPr>
            <w:tcW w:w="1411" w:type="dxa"/>
            <w:shd w:val="clear" w:color="auto" w:fill="auto"/>
            <w:vAlign w:val="center"/>
          </w:tcPr>
          <w:p w14:paraId="2EACF067">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代理服务费</w:t>
            </w:r>
          </w:p>
        </w:tc>
        <w:tc>
          <w:tcPr>
            <w:tcW w:w="7069" w:type="dxa"/>
            <w:shd w:val="clear" w:color="auto" w:fill="auto"/>
            <w:vAlign w:val="center"/>
          </w:tcPr>
          <w:p w14:paraId="66A79673">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pPr>
            <w:r>
              <w:rPr>
                <w:spacing w:val="-5"/>
              </w:rPr>
              <w:t>交纳时间：成交公示后5日内</w:t>
            </w:r>
          </w:p>
          <w:p w14:paraId="741D2B36">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spacing w:val="-9"/>
              </w:rPr>
              <w:t>交纳金额：采购代理服务费按照《招标代理服务收费管理暂行办法》</w:t>
            </w:r>
            <w:r>
              <w:rPr>
                <w:spacing w:val="-1"/>
              </w:rPr>
              <w:t>(国家发展计划委员会计价格〔2002〕1980号文)计算，由中标单</w:t>
            </w:r>
            <w:r>
              <w:rPr>
                <w:spacing w:val="-9"/>
              </w:rPr>
              <w:t>位支付。</w:t>
            </w:r>
          </w:p>
        </w:tc>
      </w:tr>
      <w:tr w14:paraId="3F500B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5F68144A">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30</w:t>
            </w:r>
          </w:p>
        </w:tc>
        <w:tc>
          <w:tcPr>
            <w:tcW w:w="1411" w:type="dxa"/>
            <w:shd w:val="clear" w:color="auto" w:fill="auto"/>
            <w:vAlign w:val="center"/>
          </w:tcPr>
          <w:p w14:paraId="244100BC">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付款方式</w:t>
            </w:r>
          </w:p>
        </w:tc>
        <w:tc>
          <w:tcPr>
            <w:tcW w:w="7069" w:type="dxa"/>
            <w:shd w:val="clear" w:color="auto" w:fill="auto"/>
            <w:vAlign w:val="center"/>
          </w:tcPr>
          <w:p w14:paraId="6D9D5176">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spacing w:val="-2"/>
              </w:rPr>
              <w:t>具体以签订合同为准</w:t>
            </w:r>
          </w:p>
        </w:tc>
      </w:tr>
      <w:tr w14:paraId="6FAC01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0BE1FCE8">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31</w:t>
            </w:r>
          </w:p>
        </w:tc>
        <w:tc>
          <w:tcPr>
            <w:tcW w:w="1411" w:type="dxa"/>
            <w:shd w:val="clear" w:color="auto" w:fill="auto"/>
            <w:vAlign w:val="center"/>
          </w:tcPr>
          <w:p w14:paraId="3171350D">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中小微型企业有关政策</w:t>
            </w:r>
          </w:p>
        </w:tc>
        <w:tc>
          <w:tcPr>
            <w:tcW w:w="7069" w:type="dxa"/>
            <w:shd w:val="clear" w:color="auto" w:fill="auto"/>
            <w:vAlign w:val="center"/>
          </w:tcPr>
          <w:p w14:paraId="635F81E2">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rPr>
                <w:spacing w:val="-10"/>
              </w:rPr>
            </w:pPr>
            <w:r>
              <w:rPr>
                <w:spacing w:val="-10"/>
              </w:rPr>
              <w:t>1.本项目为专门面向中小企业（含中型、小型、微型企业）采购项</w:t>
            </w:r>
            <w:r>
              <w:rPr>
                <w:spacing w:val="-7"/>
              </w:rPr>
              <w:t>目。监狱企业、残疾人福利性单位视同为小微企业。本项目采购标的对应的中小企业划分标准所属行业为</w:t>
            </w:r>
            <w:r>
              <w:rPr>
                <w:b/>
                <w:bCs/>
                <w:spacing w:val="-7"/>
                <w:u w:val="single"/>
              </w:rPr>
              <w:t>建筑业</w:t>
            </w:r>
            <w:r>
              <w:rPr>
                <w:spacing w:val="-7"/>
              </w:rPr>
              <w:t>。营业收入8</w:t>
            </w:r>
            <w:r>
              <w:rPr>
                <w:spacing w:val="-8"/>
              </w:rPr>
              <w:t>0000万</w:t>
            </w:r>
            <w:r>
              <w:rPr>
                <w:spacing w:val="-9"/>
              </w:rPr>
              <w:t>元以下或资产总额80000万元以下的为中小微型企业。其中，营业收入6000万元及以上，且资产总额5000万元及以上</w:t>
            </w:r>
            <w:r>
              <w:rPr>
                <w:spacing w:val="-10"/>
              </w:rPr>
              <w:t>的为中型企业；</w:t>
            </w:r>
            <w:r>
              <w:rPr>
                <w:spacing w:val="-8"/>
              </w:rPr>
              <w:t>营业收入300万元及以上，且资产总额300万元及以</w:t>
            </w:r>
            <w:r>
              <w:rPr>
                <w:spacing w:val="-9"/>
              </w:rPr>
              <w:t>上的为小型企</w:t>
            </w:r>
            <w:r>
              <w:rPr>
                <w:spacing w:val="-10"/>
              </w:rPr>
              <w:t>业；营业收入300万元以下或资产总额300万元以下的为微型企业。</w:t>
            </w:r>
          </w:p>
          <w:p w14:paraId="4259D539">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0" w:firstLineChars="0"/>
              <w:jc w:val="both"/>
              <w:textAlignment w:val="baseline"/>
              <w:outlineLvl w:val="9"/>
            </w:pPr>
            <w:r>
              <w:rPr>
                <w:spacing w:val="-5"/>
              </w:rPr>
              <w:t>（1）符合中小企业政府采购政策的证明材料：供应商《中小企业声明函》或残疾人福利性单位声明函或监狱企</w:t>
            </w:r>
            <w:r>
              <w:rPr>
                <w:spacing w:val="-6"/>
              </w:rPr>
              <w:t>业证明文件；</w:t>
            </w:r>
          </w:p>
          <w:p w14:paraId="61BD14A4">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101" w:firstLine="0" w:firstLineChars="0"/>
              <w:jc w:val="both"/>
              <w:textAlignment w:val="baseline"/>
              <w:outlineLvl w:val="9"/>
            </w:pPr>
            <w:r>
              <w:t>（2）供应商出具的中小企业声明函不属于采购标的所属行业</w:t>
            </w:r>
            <w:r>
              <w:rPr>
                <w:spacing w:val="-1"/>
              </w:rPr>
              <w:t>，则不具备符合本项目的中小企业资格。对于专门面向</w:t>
            </w:r>
            <w:r>
              <w:rPr>
                <w:spacing w:val="-2"/>
              </w:rPr>
              <w:t>中小企业的项</w:t>
            </w:r>
            <w:r>
              <w:rPr>
                <w:spacing w:val="-4"/>
              </w:rPr>
              <w:t>目，不具备中小企业资格，不通过资格审查。对于非专门面</w:t>
            </w:r>
            <w:r>
              <w:rPr>
                <w:spacing w:val="-5"/>
              </w:rPr>
              <w:t>向中小</w:t>
            </w:r>
            <w:r>
              <w:rPr>
                <w:spacing w:val="-2"/>
              </w:rPr>
              <w:t>企业的项目，不具备中小企业资格，不享受中小企业评审优惠。</w:t>
            </w:r>
          </w:p>
          <w:p w14:paraId="611A9325">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101" w:firstLine="0" w:firstLineChars="0"/>
              <w:jc w:val="both"/>
              <w:textAlignment w:val="baseline"/>
              <w:outlineLvl w:val="9"/>
              <w:rPr>
                <w:rFonts w:ascii="Times New Roman" w:hAnsi="Times New Roman" w:eastAsia="宋体" w:cs="Times New Roman"/>
                <w:spacing w:val="-4"/>
              </w:rPr>
            </w:pPr>
            <w:r>
              <w:rPr>
                <w:spacing w:val="-1"/>
              </w:rPr>
              <w:t>2.据《政府采购促进中小企业展暂行办法》（财库【2020】46号</w:t>
            </w:r>
            <w:r>
              <w:rPr>
                <w:spacing w:val="4"/>
              </w:rPr>
              <w:t>文）、关于转发《政府采购促进中小企业发展管理办法》的通知</w:t>
            </w:r>
            <w:r>
              <w:rPr>
                <w:spacing w:val="-5"/>
              </w:rPr>
              <w:t>（</w:t>
            </w:r>
            <w:r>
              <w:rPr>
                <w:rFonts w:ascii="Times New Roman" w:hAnsi="Times New Roman" w:eastAsia="宋体" w:cs="Times New Roman"/>
                <w:spacing w:val="-4"/>
              </w:rPr>
              <w:t>兵财库〔2021〕7号文）规定执行；</w:t>
            </w:r>
          </w:p>
          <w:p w14:paraId="4B6499EF">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101" w:firstLine="0" w:firstLineChars="0"/>
              <w:jc w:val="both"/>
              <w:textAlignment w:val="baseline"/>
              <w:outlineLvl w:val="9"/>
              <w:rPr>
                <w:rFonts w:ascii="Times New Roman" w:hAnsi="Times New Roman" w:eastAsia="宋体" w:cs="Times New Roman"/>
                <w:spacing w:val="-4"/>
              </w:rPr>
            </w:pPr>
            <w:r>
              <w:rPr>
                <w:rFonts w:ascii="Times New Roman" w:hAnsi="Times New Roman" w:eastAsia="宋体" w:cs="Times New Roman"/>
                <w:spacing w:val="-4"/>
              </w:rPr>
              <w:t>3.根据工信部等部委发布的《关于印发中小企业划型标准规定的通知》（工信部联企业[2011]300号）规定执行；</w:t>
            </w:r>
          </w:p>
          <w:p w14:paraId="0076F03C">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101" w:firstLine="0" w:firstLineChars="0"/>
              <w:jc w:val="both"/>
              <w:textAlignment w:val="baseline"/>
              <w:outlineLvl w:val="9"/>
              <w:rPr>
                <w:rFonts w:ascii="Times New Roman" w:hAnsi="Times New Roman" w:eastAsia="宋体" w:cs="Times New Roman"/>
                <w:spacing w:val="-4"/>
              </w:rPr>
            </w:pPr>
            <w:r>
              <w:rPr>
                <w:rFonts w:ascii="Times New Roman" w:hAnsi="Times New Roman" w:eastAsia="宋体" w:cs="Times New Roman"/>
                <w:spacing w:val="-4"/>
              </w:rPr>
              <w:t>4.价格扣除幅度：价格给予</w:t>
            </w:r>
            <w:r>
              <w:rPr>
                <w:rFonts w:hint="eastAsia" w:ascii="Times New Roman" w:hAnsi="Times New Roman" w:eastAsia="宋体" w:cs="Times New Roman"/>
                <w:spacing w:val="-4"/>
                <w:u w:val="single"/>
                <w:lang w:val="en-US" w:eastAsia="zh-CN"/>
              </w:rPr>
              <w:t xml:space="preserve">  5% </w:t>
            </w:r>
            <w:r>
              <w:rPr>
                <w:rFonts w:ascii="Times New Roman" w:hAnsi="Times New Roman" w:eastAsia="宋体" w:cs="Times New Roman"/>
                <w:spacing w:val="-4"/>
              </w:rPr>
              <w:t>的扣除；</w:t>
            </w:r>
          </w:p>
          <w:p w14:paraId="321982D0">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101" w:firstLine="0" w:firstLineChars="0"/>
              <w:jc w:val="both"/>
              <w:textAlignment w:val="baseline"/>
              <w:outlineLvl w:val="9"/>
              <w:rPr>
                <w:rFonts w:ascii="Times New Roman" w:hAnsi="Times New Roman" w:eastAsia="宋体" w:cs="Times New Roman"/>
                <w:spacing w:val="-4"/>
              </w:rPr>
            </w:pPr>
            <w:r>
              <w:rPr>
                <w:rFonts w:ascii="Times New Roman" w:hAnsi="Times New Roman" w:eastAsia="宋体" w:cs="Times New Roman"/>
                <w:spacing w:val="-4"/>
              </w:rPr>
              <w:t>5.小型和微型企业适用价格扣除办法时应提供的相关资料：</w:t>
            </w:r>
          </w:p>
          <w:p w14:paraId="054C2C99">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101" w:firstLine="0" w:firstLineChars="0"/>
              <w:jc w:val="both"/>
              <w:textAlignment w:val="baseline"/>
              <w:outlineLvl w:val="9"/>
              <w:rPr>
                <w:rFonts w:ascii="Times New Roman" w:hAnsi="Times New Roman" w:eastAsia="宋体" w:cs="Times New Roman"/>
                <w:spacing w:val="-4"/>
              </w:rPr>
            </w:pPr>
            <w:r>
              <w:rPr>
                <w:rFonts w:ascii="Times New Roman" w:hAnsi="Times New Roman" w:eastAsia="宋体" w:cs="Times New Roman"/>
                <w:spacing w:val="-4"/>
              </w:rPr>
              <w:t>说明：在政府采购活动中，供应商提供的货物、工程或者服务符合下列情形的，享受本办法规定的中小企业扶持政策：</w:t>
            </w:r>
          </w:p>
          <w:p w14:paraId="14B96481">
            <w:pPr>
              <w:keepNext w:val="0"/>
              <w:keepLines w:val="0"/>
              <w:pageBreakBefore w:val="0"/>
              <w:widowControl/>
              <w:kinsoku w:val="0"/>
              <w:wordWrap/>
              <w:overflowPunct/>
              <w:topLinePunct w:val="0"/>
              <w:autoSpaceDE w:val="0"/>
              <w:autoSpaceDN w:val="0"/>
              <w:bidi w:val="0"/>
              <w:adjustRightInd w:val="0"/>
              <w:snapToGrid w:val="0"/>
              <w:spacing w:line="400" w:lineRule="exact"/>
              <w:ind w:left="109" w:right="101" w:firstLine="0" w:firstLineChars="0"/>
              <w:jc w:val="both"/>
              <w:textAlignment w:val="baseline"/>
              <w:outlineLvl w:val="9"/>
            </w:pPr>
            <w:r>
              <w:rPr>
                <w:spacing w:val="-5"/>
              </w:rPr>
              <w:t>中小企业是指在中华人民共和国境内依法设立，依据国务院批准的</w:t>
            </w:r>
            <w:r>
              <w:rPr>
                <w:spacing w:val="-6"/>
              </w:rPr>
              <w:t>中小企业划分标准确定的中型企业、小型企业和微型企业，但与大</w:t>
            </w:r>
            <w:r>
              <w:t>企业的负责人为同一人，或者与大企业存在直接控股、管理关系</w:t>
            </w:r>
            <w:r>
              <w:rPr>
                <w:spacing w:val="-6"/>
              </w:rPr>
              <w:t>的除外。符合中小企业划分标准的个体工商户，在政府采购活动中视同中小企业。</w:t>
            </w:r>
          </w:p>
          <w:p w14:paraId="2959F2A0">
            <w:pPr>
              <w:keepNext w:val="0"/>
              <w:keepLines w:val="0"/>
              <w:pageBreakBefore w:val="0"/>
              <w:widowControl/>
              <w:kinsoku w:val="0"/>
              <w:wordWrap/>
              <w:overflowPunct/>
              <w:topLinePunct w:val="0"/>
              <w:autoSpaceDE w:val="0"/>
              <w:autoSpaceDN w:val="0"/>
              <w:bidi w:val="0"/>
              <w:adjustRightInd w:val="0"/>
              <w:snapToGrid w:val="0"/>
              <w:spacing w:line="400" w:lineRule="exact"/>
              <w:ind w:left="110" w:right="101" w:firstLine="0" w:firstLineChars="0"/>
              <w:jc w:val="both"/>
              <w:textAlignment w:val="baseline"/>
              <w:outlineLvl w:val="9"/>
            </w:pPr>
            <w:r>
              <w:rPr>
                <w:spacing w:val="-5"/>
              </w:rPr>
              <w:t>1.在货物采购项目中，货物由中小企业制造，即货物由中小企业生</w:t>
            </w:r>
            <w:r>
              <w:rPr>
                <w:spacing w:val="-4"/>
              </w:rPr>
              <w:t>产且使用该中小企业商号或者注册商标；</w:t>
            </w:r>
          </w:p>
          <w:p w14:paraId="695ECC25">
            <w:pPr>
              <w:keepNext w:val="0"/>
              <w:keepLines w:val="0"/>
              <w:pageBreakBefore w:val="0"/>
              <w:widowControl/>
              <w:kinsoku w:val="0"/>
              <w:wordWrap/>
              <w:overflowPunct/>
              <w:topLinePunct w:val="0"/>
              <w:autoSpaceDE w:val="0"/>
              <w:autoSpaceDN w:val="0"/>
              <w:bidi w:val="0"/>
              <w:adjustRightInd w:val="0"/>
              <w:snapToGrid w:val="0"/>
              <w:spacing w:line="400" w:lineRule="exact"/>
              <w:ind w:left="116" w:right="101" w:firstLine="0" w:firstLineChars="0"/>
              <w:jc w:val="both"/>
              <w:textAlignment w:val="baseline"/>
              <w:outlineLvl w:val="9"/>
            </w:pPr>
            <w:r>
              <w:rPr>
                <w:spacing w:val="-4"/>
              </w:rPr>
              <w:t>2.在工程采购项目中，工程由中小企业承建，即工程施工单位为中</w:t>
            </w:r>
            <w:r>
              <w:rPr>
                <w:spacing w:val="-14"/>
              </w:rPr>
              <w:t>小企业；</w:t>
            </w:r>
          </w:p>
          <w:p w14:paraId="47B1F26E">
            <w:pPr>
              <w:keepNext w:val="0"/>
              <w:keepLines w:val="0"/>
              <w:pageBreakBefore w:val="0"/>
              <w:widowControl/>
              <w:kinsoku w:val="0"/>
              <w:wordWrap/>
              <w:overflowPunct/>
              <w:topLinePunct w:val="0"/>
              <w:autoSpaceDE w:val="0"/>
              <w:autoSpaceDN w:val="0"/>
              <w:bidi w:val="0"/>
              <w:adjustRightInd w:val="0"/>
              <w:snapToGrid w:val="0"/>
              <w:spacing w:line="400" w:lineRule="exact"/>
              <w:ind w:left="109" w:right="101" w:firstLine="0" w:firstLineChars="0"/>
              <w:jc w:val="both"/>
              <w:textAlignment w:val="baseline"/>
              <w:outlineLvl w:val="9"/>
            </w:pPr>
            <w:r>
              <w:rPr>
                <w:spacing w:val="-1"/>
              </w:rPr>
              <w:t>3.在服务采购项目中，服务由中小企业承接，即提供服务的人员</w:t>
            </w:r>
            <w:r>
              <w:rPr>
                <w:spacing w:val="-4"/>
              </w:rPr>
              <w:t>为中小企业依照《中华人民共和国劳动合同法》订立劳动合同的从</w:t>
            </w:r>
            <w:r>
              <w:rPr>
                <w:spacing w:val="-9"/>
              </w:rPr>
              <w:t>业人员。</w:t>
            </w:r>
          </w:p>
          <w:p w14:paraId="05D08616">
            <w:pPr>
              <w:keepNext w:val="0"/>
              <w:keepLines w:val="0"/>
              <w:pageBreakBefore w:val="0"/>
              <w:widowControl/>
              <w:kinsoku w:val="0"/>
              <w:wordWrap/>
              <w:overflowPunct/>
              <w:topLinePunct w:val="0"/>
              <w:autoSpaceDE w:val="0"/>
              <w:autoSpaceDN w:val="0"/>
              <w:bidi w:val="0"/>
              <w:adjustRightInd w:val="0"/>
              <w:snapToGrid w:val="0"/>
              <w:spacing w:line="400" w:lineRule="exact"/>
              <w:ind w:left="109" w:firstLine="0" w:firstLineChars="0"/>
              <w:jc w:val="both"/>
              <w:textAlignment w:val="baseline"/>
              <w:outlineLvl w:val="9"/>
            </w:pPr>
            <w:r>
              <w:rPr>
                <w:spacing w:val="-4"/>
              </w:rPr>
              <w:t>4.在货物采购项目中，供应商提供的货物既有中小</w:t>
            </w:r>
            <w:r>
              <w:rPr>
                <w:spacing w:val="-5"/>
              </w:rPr>
              <w:t>企业制造货物，</w:t>
            </w:r>
            <w:r>
              <w:rPr>
                <w:spacing w:val="-9"/>
              </w:rPr>
              <w:t>也有大型企业制造货物的，不享受本办法规定的中小企业扶持政策。注：中小微企业证明：</w:t>
            </w:r>
          </w:p>
          <w:p w14:paraId="69858574">
            <w:pPr>
              <w:keepNext w:val="0"/>
              <w:keepLines w:val="0"/>
              <w:pageBreakBefore w:val="0"/>
              <w:widowControl/>
              <w:kinsoku w:val="0"/>
              <w:wordWrap/>
              <w:overflowPunct/>
              <w:topLinePunct w:val="0"/>
              <w:autoSpaceDE w:val="0"/>
              <w:autoSpaceDN w:val="0"/>
              <w:bidi w:val="0"/>
              <w:adjustRightInd w:val="0"/>
              <w:snapToGrid w:val="0"/>
              <w:spacing w:line="400" w:lineRule="exact"/>
              <w:ind w:left="113" w:firstLine="0" w:firstLineChars="0"/>
              <w:jc w:val="both"/>
              <w:textAlignment w:val="baseline"/>
              <w:outlineLvl w:val="9"/>
            </w:pPr>
            <w:r>
              <w:rPr>
                <w:spacing w:val="-3"/>
              </w:rPr>
              <w:t>1.投标单位须出具“中小企业声明函”具体详见</w:t>
            </w:r>
            <w:r>
              <w:rPr>
                <w:spacing w:val="-4"/>
              </w:rPr>
              <w:t>磋商文件格式内</w:t>
            </w:r>
            <w:r>
              <w:rPr>
                <w:spacing w:val="-12"/>
              </w:rPr>
              <w:t>容。</w:t>
            </w:r>
          </w:p>
          <w:p w14:paraId="7909F121">
            <w:pPr>
              <w:keepNext w:val="0"/>
              <w:keepLines w:val="0"/>
              <w:pageBreakBefore w:val="0"/>
              <w:widowControl/>
              <w:kinsoku w:val="0"/>
              <w:wordWrap/>
              <w:overflowPunct/>
              <w:topLinePunct w:val="0"/>
              <w:autoSpaceDE w:val="0"/>
              <w:autoSpaceDN w:val="0"/>
              <w:bidi w:val="0"/>
              <w:adjustRightInd w:val="0"/>
              <w:snapToGrid w:val="0"/>
              <w:spacing w:line="400" w:lineRule="exact"/>
              <w:ind w:left="131" w:right="102" w:firstLine="0" w:firstLineChars="0"/>
              <w:jc w:val="both"/>
              <w:textAlignment w:val="baseline"/>
              <w:outlineLvl w:val="9"/>
            </w:pPr>
            <w:r>
              <w:t>2.提供由省级以上监狱管理局、戒毒管理局（含新疆生产建设兵</w:t>
            </w:r>
            <w:r>
              <w:rPr>
                <w:spacing w:val="-2"/>
              </w:rPr>
              <w:t>团）出具的属于监狱企业证明文件的，视同</w:t>
            </w:r>
            <w:r>
              <w:rPr>
                <w:spacing w:val="-3"/>
              </w:rPr>
              <w:t>为小型和微型企业。</w:t>
            </w:r>
          </w:p>
          <w:p w14:paraId="2BE0EB18">
            <w:pPr>
              <w:keepNext w:val="0"/>
              <w:keepLines w:val="0"/>
              <w:pageBreakBefore w:val="0"/>
              <w:widowControl/>
              <w:kinsoku w:val="0"/>
              <w:wordWrap/>
              <w:overflowPunct/>
              <w:topLinePunct w:val="0"/>
              <w:autoSpaceDE w:val="0"/>
              <w:autoSpaceDN w:val="0"/>
              <w:bidi w:val="0"/>
              <w:adjustRightInd w:val="0"/>
              <w:snapToGrid w:val="0"/>
              <w:spacing w:line="400" w:lineRule="exact"/>
              <w:ind w:left="109" w:right="54" w:firstLine="0" w:firstLineChars="0"/>
              <w:jc w:val="both"/>
              <w:textAlignment w:val="baseline"/>
              <w:outlineLvl w:val="9"/>
            </w:pPr>
            <w:r>
              <w:rPr>
                <w:spacing w:val="-6"/>
              </w:rPr>
              <w:t>3.符合享受政府采购支持政策的残疾人福利性单位条件</w:t>
            </w:r>
            <w:r>
              <w:rPr>
                <w:spacing w:val="-7"/>
              </w:rPr>
              <w:t>且提供《残</w:t>
            </w:r>
            <w:r>
              <w:rPr>
                <w:spacing w:val="-2"/>
              </w:rPr>
              <w:t>疾人福利性单位声明函》的，视同为小型和微型企业。</w:t>
            </w:r>
          </w:p>
          <w:p w14:paraId="08216FAB">
            <w:pPr>
              <w:keepNext w:val="0"/>
              <w:keepLines w:val="0"/>
              <w:pageBreakBefore w:val="0"/>
              <w:widowControl/>
              <w:kinsoku w:val="0"/>
              <w:wordWrap/>
              <w:overflowPunct/>
              <w:topLinePunct w:val="0"/>
              <w:autoSpaceDE w:val="0"/>
              <w:autoSpaceDN w:val="0"/>
              <w:bidi w:val="0"/>
              <w:adjustRightInd w:val="0"/>
              <w:snapToGrid w:val="0"/>
              <w:spacing w:line="400" w:lineRule="exact"/>
              <w:ind w:left="115" w:leftChars="0" w:right="111" w:righ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spacing w:val="1"/>
              </w:rPr>
              <w:t>供应商需在响应文件报价部分中“中、小、微型企业产品明细</w:t>
            </w:r>
            <w:r>
              <w:rPr>
                <w:spacing w:val="-1"/>
              </w:rPr>
              <w:t>表”中逐项注明所投产品的产品名称、制造商、型号并备注是否</w:t>
            </w:r>
            <w:r>
              <w:rPr>
                <w:spacing w:val="-5"/>
              </w:rPr>
              <w:t>属于中、小企业。</w:t>
            </w:r>
          </w:p>
        </w:tc>
      </w:tr>
      <w:tr w14:paraId="085774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5725A423">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32</w:t>
            </w:r>
          </w:p>
        </w:tc>
        <w:tc>
          <w:tcPr>
            <w:tcW w:w="1411" w:type="dxa"/>
            <w:shd w:val="clear" w:color="auto" w:fill="auto"/>
            <w:vAlign w:val="center"/>
          </w:tcPr>
          <w:p w14:paraId="74B13686">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其他</w:t>
            </w:r>
          </w:p>
        </w:tc>
        <w:tc>
          <w:tcPr>
            <w:tcW w:w="7069" w:type="dxa"/>
            <w:shd w:val="clear" w:color="auto" w:fill="auto"/>
            <w:vAlign w:val="center"/>
          </w:tcPr>
          <w:p w14:paraId="23638070">
            <w:pPr>
              <w:keepNext w:val="0"/>
              <w:keepLines w:val="0"/>
              <w:pageBreakBefore w:val="0"/>
              <w:widowControl/>
              <w:kinsoku w:val="0"/>
              <w:wordWrap/>
              <w:overflowPunct/>
              <w:topLinePunct w:val="0"/>
              <w:autoSpaceDE w:val="0"/>
              <w:autoSpaceDN w:val="0"/>
              <w:bidi w:val="0"/>
              <w:adjustRightInd w:val="0"/>
              <w:snapToGrid w:val="0"/>
              <w:spacing w:line="400" w:lineRule="exact"/>
              <w:ind w:left="110" w:firstLine="0" w:firstLineChars="0"/>
              <w:jc w:val="both"/>
              <w:textAlignment w:val="baseline"/>
              <w:outlineLvl w:val="9"/>
            </w:pPr>
            <w:r>
              <w:rPr>
                <w:spacing w:val="-11"/>
              </w:rPr>
              <w:t>注意事项：</w:t>
            </w:r>
          </w:p>
          <w:p w14:paraId="3A94788D">
            <w:pPr>
              <w:keepNext w:val="0"/>
              <w:keepLines w:val="0"/>
              <w:pageBreakBefore w:val="0"/>
              <w:widowControl/>
              <w:kinsoku w:val="0"/>
              <w:wordWrap/>
              <w:overflowPunct/>
              <w:topLinePunct w:val="0"/>
              <w:autoSpaceDE w:val="0"/>
              <w:autoSpaceDN w:val="0"/>
              <w:bidi w:val="0"/>
              <w:adjustRightInd w:val="0"/>
              <w:snapToGrid w:val="0"/>
              <w:spacing w:line="400" w:lineRule="exact"/>
              <w:ind w:left="114" w:right="102" w:firstLine="0" w:firstLineChars="0"/>
              <w:jc w:val="both"/>
              <w:textAlignment w:val="baseline"/>
              <w:outlineLvl w:val="9"/>
            </w:pPr>
            <w:r>
              <w:rPr>
                <w:spacing w:val="-1"/>
              </w:rPr>
              <w:t>供应商报价CA签字确认：报价文件开启后将开启签字时段，供应商须在20分钟内用CA证书对报价进行签字确认。</w:t>
            </w:r>
          </w:p>
          <w:p w14:paraId="636675A1">
            <w:pPr>
              <w:keepNext w:val="0"/>
              <w:keepLines w:val="0"/>
              <w:pageBreakBefore w:val="0"/>
              <w:widowControl/>
              <w:kinsoku w:val="0"/>
              <w:wordWrap/>
              <w:overflowPunct/>
              <w:topLinePunct w:val="0"/>
              <w:autoSpaceDE w:val="0"/>
              <w:autoSpaceDN w:val="0"/>
              <w:bidi w:val="0"/>
              <w:adjustRightInd w:val="0"/>
              <w:snapToGrid w:val="0"/>
              <w:spacing w:line="400" w:lineRule="exact"/>
              <w:ind w:left="113" w:firstLine="0" w:firstLineChars="0"/>
              <w:jc w:val="both"/>
              <w:textAlignment w:val="baseline"/>
              <w:outlineLvl w:val="9"/>
            </w:pPr>
            <w:r>
              <w:rPr>
                <w:spacing w:val="-4"/>
              </w:rPr>
              <w:t>备注:</w:t>
            </w:r>
          </w:p>
          <w:p w14:paraId="7BC6C32D">
            <w:pPr>
              <w:keepNext w:val="0"/>
              <w:keepLines w:val="0"/>
              <w:pageBreakBefore w:val="0"/>
              <w:widowControl/>
              <w:kinsoku w:val="0"/>
              <w:wordWrap/>
              <w:overflowPunct/>
              <w:topLinePunct w:val="0"/>
              <w:autoSpaceDE w:val="0"/>
              <w:autoSpaceDN w:val="0"/>
              <w:bidi w:val="0"/>
              <w:adjustRightInd w:val="0"/>
              <w:snapToGrid w:val="0"/>
              <w:spacing w:line="400" w:lineRule="exact"/>
              <w:ind w:left="108" w:right="102" w:firstLine="0" w:firstLineChars="0"/>
              <w:jc w:val="both"/>
              <w:textAlignment w:val="baseline"/>
              <w:outlineLvl w:val="9"/>
            </w:pPr>
            <w:r>
              <w:t>（1）本次采购采用电子交易方式，电子交易平台为“政府采</w:t>
            </w:r>
            <w:r>
              <w:rPr>
                <w:spacing w:val="-1"/>
              </w:rPr>
              <w:t>购云平台（www.zcygov.cn）”。供应商参与本项目电子交易活动前，</w:t>
            </w:r>
            <w:r>
              <w:rPr>
                <w:spacing w:val="2"/>
              </w:rPr>
              <w:t>应注册成为政府采购平台供应商。编制电子投标文件前还需申领</w:t>
            </w:r>
            <w:r>
              <w:rPr>
                <w:spacing w:val="-1"/>
              </w:rPr>
              <w:t>CA证书并绑定帐号.</w:t>
            </w:r>
          </w:p>
          <w:p w14:paraId="1C6C40B0">
            <w:pPr>
              <w:keepNext w:val="0"/>
              <w:keepLines w:val="0"/>
              <w:pageBreakBefore w:val="0"/>
              <w:widowControl/>
              <w:kinsoku w:val="0"/>
              <w:wordWrap/>
              <w:overflowPunct/>
              <w:topLinePunct w:val="0"/>
              <w:autoSpaceDE w:val="0"/>
              <w:autoSpaceDN w:val="0"/>
              <w:bidi w:val="0"/>
              <w:adjustRightInd w:val="0"/>
              <w:snapToGrid w:val="0"/>
              <w:spacing w:line="400" w:lineRule="exact"/>
              <w:ind w:left="110" w:firstLine="0" w:firstLineChars="0"/>
              <w:jc w:val="both"/>
              <w:textAlignment w:val="baseline"/>
              <w:outlineLvl w:val="9"/>
            </w:pPr>
            <w:r>
              <w:rPr>
                <w:spacing w:val="-5"/>
              </w:rPr>
              <w:t>（2）供应商编制电子投标文件应安装“电子招投标供应商客户端”</w:t>
            </w:r>
            <w:r>
              <w:rPr>
                <w:spacing w:val="-9"/>
              </w:rPr>
              <w:t>软件，并按照本采购文件和电子招投标供应商客户端的要求编制并加密投标文件。未按规定加密的投标文件，将被电子招投标供应商客户端拒收。“电子招投标供应商客户端”请供应商自行前往“新</w:t>
            </w:r>
            <w:r>
              <w:t>疆政府采购网—下载专区—新疆维吾尔自治区</w:t>
            </w:r>
            <w:r>
              <w:rPr>
                <w:spacing w:val="-1"/>
              </w:rPr>
              <w:t>全流程电子招投标</w:t>
            </w:r>
            <w:r>
              <w:rPr>
                <w:spacing w:val="-6"/>
              </w:rPr>
              <w:t>项目管理系统--电子招投标供应商客户端”版块获取。</w:t>
            </w:r>
          </w:p>
          <w:p w14:paraId="44C36FD0">
            <w:pPr>
              <w:keepNext w:val="0"/>
              <w:keepLines w:val="0"/>
              <w:pageBreakBefore w:val="0"/>
              <w:widowControl/>
              <w:kinsoku w:val="0"/>
              <w:wordWrap/>
              <w:overflowPunct/>
              <w:topLinePunct w:val="0"/>
              <w:autoSpaceDE w:val="0"/>
              <w:autoSpaceDN w:val="0"/>
              <w:bidi w:val="0"/>
              <w:adjustRightInd w:val="0"/>
              <w:snapToGrid w:val="0"/>
              <w:spacing w:line="400" w:lineRule="exact"/>
              <w:ind w:left="111" w:firstLine="0" w:firstLineChars="0"/>
              <w:jc w:val="both"/>
              <w:textAlignment w:val="baseline"/>
              <w:outlineLvl w:val="9"/>
            </w:pPr>
            <w:r>
              <w:rPr>
                <w:spacing w:val="-2"/>
              </w:rPr>
              <w:t>（3）供应商应当在投标截止时间前，将“电子招投标供应商客户端”生成的“电子加密投标文件”上传电子交易平台。</w:t>
            </w:r>
          </w:p>
          <w:p w14:paraId="5D44555D">
            <w:pPr>
              <w:keepNext w:val="0"/>
              <w:keepLines w:val="0"/>
              <w:pageBreakBefore w:val="0"/>
              <w:widowControl/>
              <w:kinsoku w:val="0"/>
              <w:wordWrap w:val="0"/>
              <w:overflowPunct/>
              <w:topLinePunct w:val="0"/>
              <w:autoSpaceDE w:val="0"/>
              <w:autoSpaceDN w:val="0"/>
              <w:bidi w:val="0"/>
              <w:adjustRightInd w:val="0"/>
              <w:snapToGrid w:val="0"/>
              <w:spacing w:line="400" w:lineRule="exact"/>
              <w:ind w:left="108" w:right="102" w:firstLine="0" w:firstLineChars="0"/>
              <w:jc w:val="both"/>
              <w:textAlignment w:val="baseline"/>
              <w:outlineLvl w:val="9"/>
              <w:rPr>
                <w:rFonts w:hint="eastAsia" w:eastAsia="宋体"/>
                <w:lang w:eastAsia="zh-CN"/>
              </w:rPr>
            </w:pPr>
            <w:r>
              <w:t>（4）服务与支持。各政府采购代理机构（含集采机构）及供</w:t>
            </w:r>
            <w:r>
              <w:rPr>
                <w:spacing w:val="-1"/>
              </w:rPr>
              <w:t>应商</w:t>
            </w:r>
            <w:r>
              <w:rPr>
                <w:spacing w:val="-8"/>
              </w:rPr>
              <w:t>对不见面开评标系统的技术</w:t>
            </w:r>
            <w:r>
              <w:rPr>
                <w:spacing w:val="-9"/>
              </w:rPr>
              <w:t>操作咨询，可通过</w:t>
            </w:r>
            <w:r>
              <w:fldChar w:fldCharType="begin"/>
            </w:r>
            <w:r>
              <w:instrText xml:space="preserve"> HYPERLINK "https://edu.zcygov.cn/luban/xinjiang-e-biding" </w:instrText>
            </w:r>
            <w:r>
              <w:fldChar w:fldCharType="separate"/>
            </w:r>
            <w:r>
              <w:t>https://edu.zcygov.cn/luban/xinjiang-e-biding</w:t>
            </w:r>
            <w:r>
              <w:fldChar w:fldCharType="end"/>
            </w:r>
            <w:r>
              <w:t>自助查询，也</w:t>
            </w:r>
            <w:r>
              <w:rPr>
                <w:spacing w:val="4"/>
              </w:rPr>
              <w:t>可在政采云帮助中心常见问题解答和操作流程讲解视频中自助查</w:t>
            </w:r>
            <w:r>
              <w:rPr>
                <w:spacing w:val="-2"/>
              </w:rPr>
              <w:t>询，网址为：</w:t>
            </w:r>
            <w:r>
              <w:fldChar w:fldCharType="begin"/>
            </w:r>
            <w:r>
              <w:instrText xml:space="preserve"> HYPERLINK "https://service.zcygov.cn/#/help" </w:instrText>
            </w:r>
            <w:r>
              <w:fldChar w:fldCharType="separate"/>
            </w:r>
            <w:r>
              <w:rPr>
                <w:spacing w:val="-2"/>
              </w:rPr>
              <w:t>https://service.z</w:t>
            </w:r>
            <w:r>
              <w:rPr>
                <w:spacing w:val="-3"/>
              </w:rPr>
              <w:t>cygov.cn/#/help</w:t>
            </w:r>
            <w:r>
              <w:rPr>
                <w:spacing w:val="-3"/>
              </w:rPr>
              <w:fldChar w:fldCharType="end"/>
            </w:r>
            <w:r>
              <w:rPr>
                <w:spacing w:val="-3"/>
              </w:rPr>
              <w:t>，“项目采购—</w:t>
            </w:r>
            <w:r>
              <w:t>操作流程—电子招投标—政府采购项目电子交易管理操作指南-供</w:t>
            </w:r>
            <w:r>
              <w:rPr>
                <w:spacing w:val="-4"/>
              </w:rPr>
              <w:t>应商”版面获取操作指南，同时对自助查询无法解决的问题可通过</w:t>
            </w:r>
            <w:r>
              <w:rPr>
                <w:spacing w:val="4"/>
              </w:rPr>
              <w:t>钉钉群及政采云在线客服获取服务支持。政采云热线人工号码：</w:t>
            </w:r>
            <w:r>
              <w:rPr>
                <w:spacing w:val="-1"/>
              </w:rPr>
              <w:t>400-881-7190（工作时间：工作日08:00~20：00）</w:t>
            </w:r>
            <w:r>
              <w:rPr>
                <w:rFonts w:hint="eastAsia"/>
                <w:spacing w:val="-1"/>
                <w:lang w:eastAsia="zh-CN"/>
              </w:rPr>
              <w:t>。</w:t>
            </w:r>
          </w:p>
          <w:p w14:paraId="1BB8F34D">
            <w:pPr>
              <w:keepNext w:val="0"/>
              <w:keepLines w:val="0"/>
              <w:pageBreakBefore w:val="0"/>
              <w:widowControl/>
              <w:kinsoku w:val="0"/>
              <w:wordWrap/>
              <w:overflowPunct/>
              <w:topLinePunct w:val="0"/>
              <w:autoSpaceDE w:val="0"/>
              <w:autoSpaceDN w:val="0"/>
              <w:bidi w:val="0"/>
              <w:adjustRightInd w:val="0"/>
              <w:snapToGrid w:val="0"/>
              <w:spacing w:line="400" w:lineRule="exact"/>
              <w:ind w:left="108" w:right="101" w:firstLine="0" w:firstLineChars="0"/>
              <w:jc w:val="both"/>
              <w:textAlignment w:val="baseline"/>
              <w:outlineLvl w:val="9"/>
            </w:pPr>
            <w:r>
              <w:rPr>
                <w:spacing w:val="-1"/>
              </w:rPr>
              <w:t>(5)本次磋商实行两次报价，加密的响应文件中提</w:t>
            </w:r>
            <w:r>
              <w:rPr>
                <w:spacing w:val="-2"/>
              </w:rPr>
              <w:t>供的供应商报价</w:t>
            </w:r>
            <w:r>
              <w:rPr>
                <w:spacing w:val="-5"/>
              </w:rPr>
              <w:t>为一次报价，在磋商小组对各供应商的响应文件进行初步评审（资</w:t>
            </w:r>
            <w:r>
              <w:rPr>
                <w:spacing w:val="-7"/>
              </w:rPr>
              <w:t>格评审、符合性评审）后，由磋商小组开启二次报价，各供应商须</w:t>
            </w:r>
            <w:r>
              <w:rPr>
                <w:spacing w:val="-1"/>
              </w:rPr>
              <w:t>在二次报价开启后的20分钟内登录政采云系统进行</w:t>
            </w:r>
            <w:r>
              <w:rPr>
                <w:spacing w:val="-2"/>
              </w:rPr>
              <w:t>二次（最后）</w:t>
            </w:r>
            <w:r>
              <w:rPr>
                <w:spacing w:val="-6"/>
              </w:rPr>
              <w:t>报价。因供应商自身原因未在系统内及时填报二次报价的，其责任由供应商承担。</w:t>
            </w:r>
          </w:p>
          <w:p w14:paraId="4FED0E85">
            <w:pPr>
              <w:keepNext w:val="0"/>
              <w:keepLines w:val="0"/>
              <w:pageBreakBefore w:val="0"/>
              <w:widowControl/>
              <w:kinsoku w:val="0"/>
              <w:wordWrap/>
              <w:overflowPunct/>
              <w:topLinePunct w:val="0"/>
              <w:autoSpaceDE w:val="0"/>
              <w:autoSpaceDN w:val="0"/>
              <w:bidi w:val="0"/>
              <w:adjustRightInd w:val="0"/>
              <w:snapToGrid w:val="0"/>
              <w:spacing w:line="400" w:lineRule="exact"/>
              <w:ind w:left="116" w:lef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t>提示：开标/磋商时，请供应商随时关注政采云账号内的站内信；</w:t>
            </w:r>
            <w:r>
              <w:rPr>
                <w:spacing w:val="-5"/>
              </w:rPr>
              <w:t>注册时留下的注册人的手机短息（系统会推送短信至注册联系人的</w:t>
            </w:r>
            <w:r>
              <w:rPr>
                <w:spacing w:val="-2"/>
              </w:rPr>
              <w:t>手机），但此短信仅系友情提示，并不具有任何约束性</w:t>
            </w:r>
            <w:r>
              <w:rPr>
                <w:spacing w:val="-3"/>
              </w:rPr>
              <w:t>和必要性，</w:t>
            </w:r>
            <w:r>
              <w:rPr>
                <w:spacing w:val="4"/>
              </w:rPr>
              <w:t>采购代理机构不承担投标人未收到短信而引起的一切后果和法律</w:t>
            </w:r>
            <w:r>
              <w:rPr>
                <w:spacing w:val="-10"/>
              </w:rPr>
              <w:t>责任。</w:t>
            </w:r>
          </w:p>
        </w:tc>
      </w:tr>
      <w:tr w14:paraId="54C9F5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33" w:type="dxa"/>
            <w:shd w:val="clear" w:color="auto" w:fill="auto"/>
            <w:vAlign w:val="center"/>
          </w:tcPr>
          <w:p w14:paraId="068D5694">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33</w:t>
            </w:r>
          </w:p>
        </w:tc>
        <w:tc>
          <w:tcPr>
            <w:tcW w:w="1411" w:type="dxa"/>
            <w:shd w:val="clear" w:color="auto" w:fill="auto"/>
            <w:vAlign w:val="center"/>
          </w:tcPr>
          <w:p w14:paraId="2BA97821">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lang w:val="en-US" w:eastAsia="en-US"/>
              </w:rPr>
            </w:pPr>
            <w:r>
              <w:t>备注</w:t>
            </w:r>
          </w:p>
        </w:tc>
        <w:tc>
          <w:tcPr>
            <w:tcW w:w="7069" w:type="dxa"/>
            <w:shd w:val="clear" w:color="auto" w:fill="auto"/>
            <w:vAlign w:val="center"/>
          </w:tcPr>
          <w:p w14:paraId="603C6A65">
            <w:pPr>
              <w:keepNext w:val="0"/>
              <w:keepLines w:val="0"/>
              <w:pageBreakBefore w:val="0"/>
              <w:widowControl/>
              <w:kinsoku w:val="0"/>
              <w:wordWrap/>
              <w:overflowPunct/>
              <w:topLinePunct w:val="0"/>
              <w:autoSpaceDE w:val="0"/>
              <w:autoSpaceDN w:val="0"/>
              <w:bidi w:val="0"/>
              <w:adjustRightInd w:val="0"/>
              <w:snapToGrid w:val="0"/>
              <w:spacing w:line="400" w:lineRule="exact"/>
              <w:ind w:left="110" w:leftChars="0" w:right="101" w:rightChars="0" w:firstLine="0" w:firstLineChars="0"/>
              <w:jc w:val="both"/>
              <w:textAlignment w:val="baseline"/>
              <w:outlineLvl w:val="9"/>
              <w:rPr>
                <w:rFonts w:ascii="Times New Roman" w:hAnsi="Times New Roman" w:eastAsia="宋体" w:cs="Times New Roman"/>
                <w:snapToGrid w:val="0"/>
                <w:color w:val="000000"/>
                <w:kern w:val="0"/>
                <w:sz w:val="24"/>
                <w:szCs w:val="24"/>
                <w:lang w:val="en-US" w:eastAsia="en-US" w:bidi="ar-SA"/>
              </w:rPr>
            </w:pPr>
            <w:r>
              <w:rPr>
                <w:spacing w:val="-4"/>
              </w:rPr>
              <w:t>本项目为不见面开标，开标当天不需要提供纸质版响应文件，开标</w:t>
            </w:r>
            <w:r>
              <w:rPr>
                <w:spacing w:val="4"/>
              </w:rPr>
              <w:t>结束后根据采购人或采购代理要求提供纸质版响应文件及电子响</w:t>
            </w:r>
            <w:r>
              <w:rPr>
                <w:spacing w:val="-9"/>
              </w:rPr>
              <w:t>应文件。</w:t>
            </w:r>
          </w:p>
        </w:tc>
      </w:tr>
    </w:tbl>
    <w:p w14:paraId="792720C1">
      <w:pPr>
        <w:spacing w:before="18"/>
      </w:pPr>
    </w:p>
    <w:p w14:paraId="3E3679AD">
      <w:pPr>
        <w:spacing w:before="108" w:line="186" w:lineRule="auto"/>
      </w:pPr>
    </w:p>
    <w:p w14:paraId="1180456C">
      <w:pPr>
        <w:spacing w:before="18"/>
      </w:pPr>
    </w:p>
    <w:p w14:paraId="4AF64136"/>
    <w:p w14:paraId="37040F71">
      <w:pPr>
        <w:spacing w:before="19"/>
      </w:pPr>
    </w:p>
    <w:p w14:paraId="043535C8">
      <w:pPr>
        <w:spacing w:before="19"/>
      </w:pPr>
    </w:p>
    <w:p w14:paraId="0BDFEFA1">
      <w:pPr>
        <w:spacing w:before="18"/>
      </w:pPr>
    </w:p>
    <w:p w14:paraId="78FE530E">
      <w:pPr>
        <w:spacing w:before="18"/>
      </w:pPr>
    </w:p>
    <w:p w14:paraId="28FB6D77">
      <w:pPr>
        <w:spacing w:before="18"/>
      </w:pPr>
    </w:p>
    <w:p w14:paraId="3F6C4460">
      <w:pPr>
        <w:spacing w:before="18"/>
      </w:pPr>
    </w:p>
    <w:p w14:paraId="3E0C3337">
      <w:pPr>
        <w:spacing w:before="18"/>
      </w:pPr>
    </w:p>
    <w:p w14:paraId="7B58AB58">
      <w:pPr>
        <w:spacing w:before="18"/>
      </w:pPr>
    </w:p>
    <w:p w14:paraId="564D8983">
      <w:pPr>
        <w:spacing w:before="18"/>
      </w:pPr>
    </w:p>
    <w:p w14:paraId="55D2E213">
      <w:pPr>
        <w:spacing w:before="18"/>
      </w:pPr>
    </w:p>
    <w:p w14:paraId="02407A89">
      <w:pPr>
        <w:spacing w:before="18"/>
      </w:pPr>
    </w:p>
    <w:p w14:paraId="0B3D1B83">
      <w:pPr>
        <w:spacing w:before="18"/>
      </w:pPr>
    </w:p>
    <w:p w14:paraId="18E67469">
      <w:pPr>
        <w:spacing w:before="18"/>
      </w:pPr>
    </w:p>
    <w:p w14:paraId="62F024E6">
      <w:pPr>
        <w:spacing w:before="18"/>
      </w:pPr>
    </w:p>
    <w:p w14:paraId="72D57D73">
      <w:pPr>
        <w:spacing w:before="18"/>
      </w:pPr>
    </w:p>
    <w:p w14:paraId="65110E4A">
      <w:pPr>
        <w:spacing w:before="18"/>
      </w:pPr>
    </w:p>
    <w:p w14:paraId="23CC20AC">
      <w:pPr>
        <w:spacing w:before="18"/>
      </w:pPr>
    </w:p>
    <w:p w14:paraId="00087AE3">
      <w:pPr>
        <w:spacing w:before="18"/>
      </w:pPr>
    </w:p>
    <w:p w14:paraId="78C4021C">
      <w:pPr>
        <w:spacing w:before="18"/>
      </w:pPr>
    </w:p>
    <w:p w14:paraId="334D11F0">
      <w:pPr>
        <w:spacing w:before="18"/>
      </w:pPr>
    </w:p>
    <w:p w14:paraId="0660A4E3">
      <w:pPr>
        <w:spacing w:before="18"/>
      </w:pPr>
    </w:p>
    <w:p w14:paraId="501A9D99">
      <w:pPr>
        <w:spacing w:before="18"/>
        <w:ind w:left="0" w:leftChars="0" w:firstLine="0" w:firstLineChars="0"/>
      </w:pPr>
    </w:p>
    <w:p w14:paraId="495256F0">
      <w:pPr>
        <w:pStyle w:val="3"/>
        <w:bidi w:val="0"/>
        <w:ind w:left="0" w:leftChars="0" w:firstLine="0" w:firstLineChars="0"/>
        <w:jc w:val="center"/>
        <w:rPr>
          <w:rFonts w:ascii="宋体" w:hAnsi="宋体" w:eastAsia="宋体" w:cs="宋体"/>
          <w:szCs w:val="24"/>
        </w:rPr>
      </w:pPr>
      <w:bookmarkStart w:id="3" w:name="_Toc22725"/>
      <w:r>
        <w:t>二、总则</w:t>
      </w:r>
      <w:bookmarkEnd w:id="3"/>
    </w:p>
    <w:p w14:paraId="6AC701EE">
      <w:pPr>
        <w:pStyle w:val="4"/>
        <w:bidi w:val="0"/>
      </w:pPr>
      <w:r>
        <w:t>1.适用范围</w:t>
      </w:r>
    </w:p>
    <w:p w14:paraId="2B0BC1FE">
      <w:pPr>
        <w:bidi w:val="0"/>
      </w:pPr>
      <w:r>
        <w:t>1.1本磋商文件仅适用于本次采购项目。</w:t>
      </w:r>
    </w:p>
    <w:p w14:paraId="69FA5A58">
      <w:pPr>
        <w:pStyle w:val="4"/>
        <w:bidi w:val="0"/>
      </w:pPr>
      <w:r>
        <w:t>2.有关定义</w:t>
      </w:r>
    </w:p>
    <w:p w14:paraId="516DE33D">
      <w:pPr>
        <w:bidi w:val="0"/>
      </w:pPr>
      <w:r>
        <w:t>2.1“采购人”系指依法进行政府采购的国家机关、事业单位、团体组织。本项目采购人是</w:t>
      </w:r>
      <w:r>
        <w:rPr>
          <w:rFonts w:hint="eastAsia"/>
          <w:u w:val="single"/>
          <w:lang w:eastAsia="zh-CN"/>
        </w:rPr>
        <w:t>乌鲁木齐市公安局水磨沟区分局</w:t>
      </w:r>
      <w:r>
        <w:t>。</w:t>
      </w:r>
    </w:p>
    <w:p w14:paraId="569AFBF5">
      <w:pPr>
        <w:bidi w:val="0"/>
      </w:pPr>
      <w:r>
        <w:t>2.2“采购代理机构”系指根据采购人的委托依法办理采购事宜的采购机构。本次采购的采购代理机构是</w:t>
      </w:r>
      <w:r>
        <w:rPr>
          <w:rFonts w:hint="eastAsia"/>
          <w:u w:val="single"/>
          <w:lang w:eastAsia="zh-CN"/>
        </w:rPr>
        <w:t>新疆全益项目管理咨询有限公司</w:t>
      </w:r>
      <w:r>
        <w:t>。</w:t>
      </w:r>
    </w:p>
    <w:p w14:paraId="741921AD">
      <w:pPr>
        <w:bidi w:val="0"/>
      </w:pPr>
      <w:r>
        <w:t>2.3“采购单位”系指“采购人”和“采购代理机构”的统称。</w:t>
      </w:r>
    </w:p>
    <w:p w14:paraId="2AAFF285">
      <w:pPr>
        <w:bidi w:val="0"/>
      </w:pPr>
      <w:r>
        <w:t>2.4“供应商”系指购买了磋商文件拟参加投标和向采购人提供服务的供应商。</w:t>
      </w:r>
    </w:p>
    <w:p w14:paraId="67F8F31C">
      <w:pPr>
        <w:pStyle w:val="4"/>
        <w:bidi w:val="0"/>
      </w:pPr>
      <w:r>
        <w:t>3.合格的供应商</w:t>
      </w:r>
    </w:p>
    <w:p w14:paraId="6EBB917C">
      <w:pPr>
        <w:bidi w:val="0"/>
      </w:pPr>
      <w:r>
        <w:t>3.1具有本项目生产、制造、供应或实施能力，符合、承认并承诺履行本文件各项规定的国内法人、其他组织或自然人均可参加投标。</w:t>
      </w:r>
    </w:p>
    <w:p w14:paraId="64FD7D7F">
      <w:pPr>
        <w:bidi w:val="0"/>
      </w:pPr>
      <w:r>
        <w:t>3.2遵守有关的国家法律、法规和条例，具备《中华人民共和国政府采购法》《竞争性磋商采购方式管理暂行办法》和本文件中规定的条件：</w:t>
      </w:r>
    </w:p>
    <w:p w14:paraId="430FA0E9">
      <w:pPr>
        <w:bidi w:val="0"/>
      </w:pPr>
      <w:r>
        <w:t>3.2.1具有独立承担民事责任的能力；</w:t>
      </w:r>
    </w:p>
    <w:p w14:paraId="545E8D2E">
      <w:pPr>
        <w:bidi w:val="0"/>
      </w:pPr>
      <w:r>
        <w:t>3.2.2具有良好的商业信誉和健全的财务会计制度；</w:t>
      </w:r>
    </w:p>
    <w:p w14:paraId="671CBB6F">
      <w:pPr>
        <w:bidi w:val="0"/>
      </w:pPr>
      <w:r>
        <w:t>3.2.3具有履行合同所必需的设备和专业技术能力；</w:t>
      </w:r>
    </w:p>
    <w:p w14:paraId="14F58A71">
      <w:pPr>
        <w:bidi w:val="0"/>
      </w:pPr>
      <w:r>
        <w:t>3.2.4具有依法缴纳税收和社会保障资金的良好记录；</w:t>
      </w:r>
    </w:p>
    <w:p w14:paraId="1F825435">
      <w:pPr>
        <w:bidi w:val="0"/>
      </w:pPr>
      <w:r>
        <w:t>3.2.5参加政府采购活动前三年内，在经营活动中没有重大违法记录；</w:t>
      </w:r>
    </w:p>
    <w:p w14:paraId="0ED7CAE8">
      <w:pPr>
        <w:bidi w:val="0"/>
      </w:pPr>
      <w:r>
        <w:t>3.2.6法律、行政法规规定的其他条件；</w:t>
      </w:r>
    </w:p>
    <w:p w14:paraId="685AACB9">
      <w:pPr>
        <w:bidi w:val="0"/>
      </w:pPr>
      <w:r>
        <w:t>3.2.7具有本磋商文件第二部分“投标人须知前附表”中规定的资格条件。</w:t>
      </w:r>
    </w:p>
    <w:p w14:paraId="0FE78008">
      <w:pPr>
        <w:bidi w:val="0"/>
      </w:pPr>
      <w:r>
        <w:t>3.3投标人之间如果存在下列情形之一的，不得同时参加同一包（标段）或者不分包（标段）的同一项目投标：</w:t>
      </w:r>
    </w:p>
    <w:p w14:paraId="2D5F8087">
      <w:pPr>
        <w:bidi w:val="0"/>
      </w:pPr>
      <w:r>
        <w:t>3.3.1法定代表人为同一个人的两个及两个以上法人；</w:t>
      </w:r>
    </w:p>
    <w:p w14:paraId="0A00B0FF">
      <w:pPr>
        <w:bidi w:val="0"/>
      </w:pPr>
      <w:r>
        <w:t>3.3.2母公司、全资子公司及其控股公司；</w:t>
      </w:r>
    </w:p>
    <w:p w14:paraId="5DBC22C4">
      <w:pPr>
        <w:bidi w:val="0"/>
      </w:pPr>
      <w:r>
        <w:t>3.3.3参加投标的其他组织之间存在特殊的利害关系的；</w:t>
      </w:r>
    </w:p>
    <w:p w14:paraId="1C2F5B25">
      <w:pPr>
        <w:bidi w:val="0"/>
      </w:pPr>
      <w:r>
        <w:t>3.3.4法律和行政法规规定的其他情形。</w:t>
      </w:r>
    </w:p>
    <w:p w14:paraId="1C6B6542">
      <w:pPr>
        <w:bidi w:val="0"/>
      </w:pPr>
      <w:r>
        <w:t>3.4投标人须持有《法定代表人授权委托书》。</w:t>
      </w:r>
    </w:p>
    <w:p w14:paraId="0EF0D4DC">
      <w:pPr>
        <w:bidi w:val="0"/>
      </w:pPr>
      <w:r>
        <w:t>3.5投标人在政采云平台内针对本项目下载的电子采购文件。</w:t>
      </w:r>
    </w:p>
    <w:p w14:paraId="1FC3CEB9">
      <w:pPr>
        <w:bidi w:val="0"/>
      </w:pPr>
      <w:r>
        <w:t>3.6投标人按时足额交纳投标保证金。</w:t>
      </w:r>
    </w:p>
    <w:p w14:paraId="51AC8076">
      <w:pPr>
        <w:bidi w:val="0"/>
      </w:pPr>
      <w:r>
        <w:t>3.7本次招标是否允许由两个以上投标人组成一个联合体以一个投标人身份共同投标，按照磋商文件第二部分“投标人须知前附表”中的规定。如果允许，除均应符合上述规定外，还应符合下列要求：</w:t>
      </w:r>
    </w:p>
    <w:p w14:paraId="15F5A956">
      <w:pPr>
        <w:bidi w:val="0"/>
      </w:pPr>
      <w:r>
        <w:t>3.7.1联合投标体应提供“联合投标协议书”，该协议书对联合投标各方均具有法律约束力。联合投标体必须确定其中一方为投标的全权代表参加投标活动，并承担投标及履约活动中的全部责任与义务，且联合体各方无论是否实际参加、发生的情形怎样，一旦该联合体实际开始投标，联合体各方均应当就本次采购所引起或相关的任何或所有事项、义务、责任、损失等承担连带责任。申请参与本项目联合投标成员各自均应具备政府有权机构核发的有效营业执照；均应是自主经营、独立核算、处于持续正常经营状态的经济实体。</w:t>
      </w:r>
    </w:p>
    <w:p w14:paraId="0BBBE9B6">
      <w:pPr>
        <w:bidi w:val="0"/>
      </w:pPr>
      <w:r>
        <w:t>3.7.2联合体各方中至少应当有一方对应满足本项目规定的相应资质条件，并且联合体投标人整体应当符合本项目的资质要求，否则，其提交的联合投标将被拒绝。</w:t>
      </w:r>
    </w:p>
    <w:p w14:paraId="2996F9A4">
      <w:pPr>
        <w:bidi w:val="0"/>
      </w:pPr>
      <w:r>
        <w:t>3.7.3由不同专业的投标人组成的联合体,首先以投标的全权代表方的应答材料作为认定资质以及商务评审的依据；涉及行业专属的资质,按照所属行业所对应的投标人的应答材料确定。</w:t>
      </w:r>
    </w:p>
    <w:p w14:paraId="5B781FE2">
      <w:pPr>
        <w:bidi w:val="0"/>
      </w:pPr>
      <w:r>
        <w:t>3.7.4联合体中标后，合同应由各成员的合法授权代表签字并加盖各成员公章，以便对联合体成员作为整体和他们各自作为独立体均具有法律约束力，但若该等签字或公章不齐全或缺乏，该联合体的牵头人的签署或类似的意思表示人具有代表该联合体的签署或意思表示的法律效力，并且据此各成员为履行合同应向采购代理机构与采购人承担连带责任。</w:t>
      </w:r>
    </w:p>
    <w:p w14:paraId="647BFF44">
      <w:pPr>
        <w:bidi w:val="0"/>
      </w:pPr>
      <w:r>
        <w:t>3.7.5联合体或其成员不得将其在合同项下的权利或义务全部或部分转让给第三人，有关分包事项或服务委托等须事先取得采购代理机构书面同意并且须遵守相关法律、法规、本次招标的全部相关规定。</w:t>
      </w:r>
    </w:p>
    <w:p w14:paraId="13F4E453">
      <w:pPr>
        <w:bidi w:val="0"/>
      </w:pPr>
      <w:r>
        <w:t>3.7.6联合体各方均不得同时再以自己独立的名义单独投标，也不得再同时参加其他的联合体投标。若该等情形被发现，其单独的投标和与此有关的联合体的投标均将被一并拒绝。</w:t>
      </w:r>
    </w:p>
    <w:p w14:paraId="6FDB208B">
      <w:pPr>
        <w:bidi w:val="0"/>
      </w:pPr>
      <w:r>
        <w:t>3.8投标人不得与采购人、采购代理机构等有利害关系。</w:t>
      </w:r>
    </w:p>
    <w:p w14:paraId="291C908A">
      <w:pPr>
        <w:pStyle w:val="4"/>
        <w:bidi w:val="0"/>
      </w:pPr>
      <w:r>
        <w:t>4.投标费用</w:t>
      </w:r>
    </w:p>
    <w:p w14:paraId="405DE521">
      <w:pPr>
        <w:bidi w:val="0"/>
      </w:pPr>
      <w:r>
        <w:t>供应商参加投标的有关费用由供应商自行承担。</w:t>
      </w:r>
    </w:p>
    <w:p w14:paraId="520336E2">
      <w:pPr>
        <w:pStyle w:val="4"/>
        <w:bidi w:val="0"/>
        <w:ind w:firstLine="0"/>
        <w:rPr>
          <w:rFonts w:ascii="Times New Roman" w:hAnsi="Times New Roman" w:cs="Times New Roman"/>
          <w:b/>
        </w:rPr>
      </w:pPr>
      <w:r>
        <w:rPr>
          <w:rFonts w:ascii="Times New Roman" w:hAnsi="Times New Roman" w:cs="Times New Roman"/>
          <w:b/>
        </w:rPr>
        <w:t>5</w:t>
      </w:r>
      <w:r>
        <w:rPr>
          <w:rFonts w:hint="eastAsia" w:ascii="Times New Roman" w:hAnsi="Times New Roman" w:cs="Times New Roman"/>
          <w:b/>
          <w:lang w:val="en-US" w:eastAsia="zh-CN"/>
        </w:rPr>
        <w:t>.</w:t>
      </w:r>
      <w:r>
        <w:rPr>
          <w:rFonts w:ascii="Times New Roman" w:hAnsi="Times New Roman" w:cs="Times New Roman"/>
          <w:b/>
        </w:rPr>
        <w:t>纪律</w:t>
      </w:r>
    </w:p>
    <w:p w14:paraId="7C5F722A">
      <w:pPr>
        <w:bidi w:val="0"/>
      </w:pPr>
      <w:r>
        <w:t>5.1投标人的投标行为应遵守中国的有关法律、法规和规章。</w:t>
      </w:r>
    </w:p>
    <w:p w14:paraId="23629606">
      <w:pPr>
        <w:bidi w:val="0"/>
      </w:pPr>
      <w:r>
        <w:t>5.2投标人不得相互串通投标报价，不得妨碍其他投标人的公平竞争，不得损害采购人或其他投标人的合法权益，投标人不得以向采购人、磋商小组成员行贿或者采取其他不正当手段谋取中标。</w:t>
      </w:r>
    </w:p>
    <w:p w14:paraId="4CE6C7D1">
      <w:pPr>
        <w:bidi w:val="0"/>
      </w:pPr>
      <w:r>
        <w:t>5.2.1有下列情形之一的，属于投标人相互串通投标：</w:t>
      </w:r>
    </w:p>
    <w:p w14:paraId="0AF8F2B1">
      <w:pPr>
        <w:bidi w:val="0"/>
      </w:pPr>
      <w:r>
        <w:fldChar w:fldCharType="begin"/>
      </w:r>
      <w:r>
        <w:instrText xml:space="preserve"> HYPERLINK "5.2.1.1" </w:instrText>
      </w:r>
      <w:r>
        <w:fldChar w:fldCharType="separate"/>
      </w:r>
      <w:r>
        <w:t>5.2.1.1</w:t>
      </w:r>
      <w:r>
        <w:fldChar w:fldCharType="end"/>
      </w:r>
      <w:r>
        <w:t>投标人之间协商投标报价等响应文件的实质性内容；</w:t>
      </w:r>
    </w:p>
    <w:p w14:paraId="2A39C234">
      <w:pPr>
        <w:bidi w:val="0"/>
      </w:pPr>
      <w:r>
        <w:fldChar w:fldCharType="begin"/>
      </w:r>
      <w:r>
        <w:instrText xml:space="preserve"> HYPERLINK "5.2.1.2" </w:instrText>
      </w:r>
      <w:r>
        <w:fldChar w:fldCharType="separate"/>
      </w:r>
      <w:r>
        <w:t>5.2.1.2</w:t>
      </w:r>
      <w:r>
        <w:fldChar w:fldCharType="end"/>
      </w:r>
      <w:r>
        <w:t>投标人之间约定中标人；</w:t>
      </w:r>
    </w:p>
    <w:p w14:paraId="15FF9816">
      <w:pPr>
        <w:bidi w:val="0"/>
      </w:pPr>
      <w:r>
        <w:fldChar w:fldCharType="begin"/>
      </w:r>
      <w:r>
        <w:instrText xml:space="preserve"> HYPERLINK "5.2.1.3" </w:instrText>
      </w:r>
      <w:r>
        <w:fldChar w:fldCharType="separate"/>
      </w:r>
      <w:r>
        <w:t>5.2.1.3</w:t>
      </w:r>
      <w:r>
        <w:fldChar w:fldCharType="end"/>
      </w:r>
      <w:r>
        <w:t>投标人之间约定部分投标人放弃投标或者中标；</w:t>
      </w:r>
    </w:p>
    <w:p w14:paraId="4DE48328">
      <w:pPr>
        <w:bidi w:val="0"/>
      </w:pPr>
      <w:r>
        <w:fldChar w:fldCharType="begin"/>
      </w:r>
      <w:r>
        <w:instrText xml:space="preserve"> HYPERLINK "5.2.1.4" </w:instrText>
      </w:r>
      <w:r>
        <w:fldChar w:fldCharType="separate"/>
      </w:r>
      <w:r>
        <w:t>5.2.1.4</w:t>
      </w:r>
      <w:r>
        <w:fldChar w:fldCharType="end"/>
      </w:r>
      <w:r>
        <w:t>属于同一集团、协会、商会等组织成员的投标人按照该组织要求协同投标；</w:t>
      </w:r>
    </w:p>
    <w:p w14:paraId="0F82CB96">
      <w:pPr>
        <w:bidi w:val="0"/>
      </w:pPr>
      <w:r>
        <w:fldChar w:fldCharType="begin"/>
      </w:r>
      <w:r>
        <w:instrText xml:space="preserve"> HYPERLINK "5.2.1.5" </w:instrText>
      </w:r>
      <w:r>
        <w:fldChar w:fldCharType="separate"/>
      </w:r>
      <w:r>
        <w:t>5.2.1.5</w:t>
      </w:r>
      <w:r>
        <w:fldChar w:fldCharType="end"/>
      </w:r>
      <w:r>
        <w:t>投标人之间为谋取中标或者排斥特定投标人而采取的其他联合行动。</w:t>
      </w:r>
    </w:p>
    <w:p w14:paraId="0D8C8604">
      <w:pPr>
        <w:bidi w:val="0"/>
      </w:pPr>
      <w:r>
        <w:t>5.2.2有下列情形之一的，视为投标人相互串通投标：</w:t>
      </w:r>
    </w:p>
    <w:p w14:paraId="77B4E769">
      <w:pPr>
        <w:bidi w:val="0"/>
      </w:pPr>
      <w:r>
        <w:fldChar w:fldCharType="begin"/>
      </w:r>
      <w:r>
        <w:instrText xml:space="preserve"> HYPERLINK "5.2.2.1" </w:instrText>
      </w:r>
      <w:r>
        <w:fldChar w:fldCharType="separate"/>
      </w:r>
      <w:r>
        <w:t>5.2.2.1</w:t>
      </w:r>
      <w:r>
        <w:fldChar w:fldCharType="end"/>
      </w:r>
      <w:r>
        <w:t>不同投标人的响应文件由同一单位或者个人编制；</w:t>
      </w:r>
    </w:p>
    <w:p w14:paraId="063EB48D">
      <w:pPr>
        <w:bidi w:val="0"/>
      </w:pPr>
      <w:r>
        <w:fldChar w:fldCharType="begin"/>
      </w:r>
      <w:r>
        <w:instrText xml:space="preserve"> HYPERLINK "5.2.2.2" </w:instrText>
      </w:r>
      <w:r>
        <w:fldChar w:fldCharType="separate"/>
      </w:r>
      <w:r>
        <w:t>5.2.2.2</w:t>
      </w:r>
      <w:r>
        <w:fldChar w:fldCharType="end"/>
      </w:r>
      <w:r>
        <w:t>不同投标人委托同一单位或者个人办理投标事宜，或制作电子响应文件的文件制作机器码（mac地址）一致，或制作电子响应文件的文件创建标识码一致；</w:t>
      </w:r>
    </w:p>
    <w:p w14:paraId="6696CE1C">
      <w:pPr>
        <w:bidi w:val="0"/>
      </w:pPr>
      <w:r>
        <w:fldChar w:fldCharType="begin"/>
      </w:r>
      <w:r>
        <w:instrText xml:space="preserve"> HYPERLINK "5.2.2.3" </w:instrText>
      </w:r>
      <w:r>
        <w:fldChar w:fldCharType="separate"/>
      </w:r>
      <w:r>
        <w:t>5.2.2.3</w:t>
      </w:r>
      <w:r>
        <w:fldChar w:fldCharType="end"/>
      </w:r>
      <w:r>
        <w:t>不同投标人的响应文件载明的项目管理成员为同一人；</w:t>
      </w:r>
    </w:p>
    <w:p w14:paraId="4D242787">
      <w:pPr>
        <w:bidi w:val="0"/>
      </w:pPr>
      <w:r>
        <w:fldChar w:fldCharType="begin"/>
      </w:r>
      <w:r>
        <w:instrText xml:space="preserve"> HYPERLINK "5.2.2.4" </w:instrText>
      </w:r>
      <w:r>
        <w:fldChar w:fldCharType="separate"/>
      </w:r>
      <w:r>
        <w:t>5.2.2.4</w:t>
      </w:r>
      <w:r>
        <w:fldChar w:fldCharType="end"/>
      </w:r>
      <w:r>
        <w:t>不同投标人的响应文件异常一致或者投标报价呈规律性差异；</w:t>
      </w:r>
    </w:p>
    <w:p w14:paraId="6EAD53C1">
      <w:pPr>
        <w:bidi w:val="0"/>
      </w:pPr>
      <w:r>
        <w:fldChar w:fldCharType="begin"/>
      </w:r>
      <w:r>
        <w:instrText xml:space="preserve"> HYPERLINK "5.2.2.5" </w:instrText>
      </w:r>
      <w:r>
        <w:fldChar w:fldCharType="separate"/>
      </w:r>
      <w:r>
        <w:t>5.2.2.5</w:t>
      </w:r>
      <w:r>
        <w:fldChar w:fldCharType="end"/>
      </w:r>
      <w:r>
        <w:t>不同投标人的响应文件相互混装；</w:t>
      </w:r>
    </w:p>
    <w:p w14:paraId="631A0C74">
      <w:pPr>
        <w:pStyle w:val="4"/>
        <w:bidi w:val="0"/>
      </w:pPr>
      <w:r>
        <w:t>6</w:t>
      </w:r>
      <w:r>
        <w:rPr>
          <w:rFonts w:hint="eastAsia"/>
          <w:lang w:val="en-US" w:eastAsia="zh-CN"/>
        </w:rPr>
        <w:t>.</w:t>
      </w:r>
      <w:r>
        <w:t>通知</w:t>
      </w:r>
    </w:p>
    <w:p w14:paraId="29E3189A">
      <w:pPr>
        <w:bidi w:val="0"/>
      </w:pPr>
      <w:r>
        <w:t>6.1对与本项目有关的通知，采购代理机构将以书面（包括书面材料、信函、传真等，下同）或在本次磋商公告刊登的媒体上发布公告并在政采云平台内发送变更通知及/或答疑文件的形式，向潜在投标人发出，传真和电话号码以潜在投标人的登记为准。收到通知的投标人须立即予以回复确认，但投标人未回复或采购代理机构未收到回复时，并不应当被理解为采购代理机构知道或应当知道投标人是否收到通知。因登记有误、传真线路故障或其它任何意外情形，导致所发出的通知延迟送达或无法到达投标人，采购代理机构不因此承担任何责任，有关的招标活动可以继续有效地进行。</w:t>
      </w:r>
    </w:p>
    <w:p w14:paraId="78BEC2E1">
      <w:pPr>
        <w:pStyle w:val="3"/>
        <w:bidi w:val="0"/>
        <w:rPr>
          <w:rFonts w:hint="eastAsia"/>
          <w:lang w:eastAsia="zh-CN"/>
        </w:rPr>
      </w:pPr>
      <w:bookmarkStart w:id="4" w:name="_Toc10213"/>
      <w:r>
        <w:rPr>
          <w:rFonts w:hint="eastAsia"/>
          <w:lang w:eastAsia="zh-CN"/>
        </w:rPr>
        <w:t>三、磋商文件</w:t>
      </w:r>
      <w:bookmarkEnd w:id="4"/>
    </w:p>
    <w:p w14:paraId="5245B644">
      <w:pPr>
        <w:pStyle w:val="4"/>
        <w:bidi w:val="0"/>
      </w:pPr>
      <w:r>
        <w:t>7</w:t>
      </w:r>
      <w:r>
        <w:rPr>
          <w:rFonts w:hint="eastAsia"/>
          <w:lang w:val="en-US" w:eastAsia="zh-CN"/>
        </w:rPr>
        <w:t>.</w:t>
      </w:r>
      <w:r>
        <w:t>磋商文件的构成</w:t>
      </w:r>
    </w:p>
    <w:p w14:paraId="142241CB">
      <w:pPr>
        <w:bidi w:val="0"/>
      </w:pPr>
      <w:r>
        <w:t>7.1磋商文件是供应商准备响应文件和参加投标的依据，同时也是评标的重要依据，具有准法律文件性质。磋商文件用以阐明采购项目所需的资质、技术、服务及报价等要求、采购程序、有关规定和注意事项以及合同主要条款等。本磋商文件包括以下内容：</w:t>
      </w:r>
    </w:p>
    <w:p w14:paraId="1D4DF2CC">
      <w:pPr>
        <w:bidi w:val="0"/>
      </w:pPr>
      <w:r>
        <w:t>（1）磋商邀请</w:t>
      </w:r>
    </w:p>
    <w:p w14:paraId="71A15D00">
      <w:pPr>
        <w:bidi w:val="0"/>
      </w:pPr>
      <w:r>
        <w:t>（2）供应商须知</w:t>
      </w:r>
    </w:p>
    <w:p w14:paraId="6C4F09B1">
      <w:pPr>
        <w:bidi w:val="0"/>
      </w:pPr>
      <w:r>
        <w:t>（3）响应文件格式</w:t>
      </w:r>
    </w:p>
    <w:p w14:paraId="0DFE24F0">
      <w:pPr>
        <w:bidi w:val="0"/>
      </w:pPr>
      <w:r>
        <w:t>（4）供应商的资格要求</w:t>
      </w:r>
    </w:p>
    <w:p w14:paraId="0CEA0D5B">
      <w:pPr>
        <w:bidi w:val="0"/>
      </w:pPr>
      <w:r>
        <w:t>（5）采购项目采购需求</w:t>
      </w:r>
    </w:p>
    <w:p w14:paraId="2745B593">
      <w:pPr>
        <w:bidi w:val="0"/>
      </w:pPr>
      <w:r>
        <w:t>（6）评标办法</w:t>
      </w:r>
    </w:p>
    <w:p w14:paraId="7822EA04">
      <w:pPr>
        <w:bidi w:val="0"/>
      </w:pPr>
      <w:r>
        <w:t>（7）合同主要条款</w:t>
      </w:r>
    </w:p>
    <w:p w14:paraId="237C9649">
      <w:pPr>
        <w:bidi w:val="0"/>
      </w:pPr>
      <w:r>
        <w:t>7.2供应商应认真阅读和充分理解磋商文件中所有的事项、格式条款和规范要求。供应商没有对磋商文件全面做出实质性响应是供应商的风险。没有按照磋商文件要求作出实质性响应的响应文件将被拒绝。</w:t>
      </w:r>
    </w:p>
    <w:p w14:paraId="7B1B7CF2">
      <w:pPr>
        <w:pStyle w:val="4"/>
        <w:bidi w:val="0"/>
      </w:pPr>
      <w:r>
        <w:t>8.磋商文件的澄清和修改</w:t>
      </w:r>
    </w:p>
    <w:p w14:paraId="4DB5B314">
      <w:pPr>
        <w:bidi w:val="0"/>
      </w:pPr>
      <w:r>
        <w:t>8.1在投标截止时间前，采购单位无论出于何种原因，可以对磋商文件进行澄清或者修改。</w:t>
      </w:r>
    </w:p>
    <w:p w14:paraId="13FABCEB">
      <w:pPr>
        <w:bidi w:val="0"/>
      </w:pPr>
      <w:r>
        <w:t>8.2采购单位对已发出的磋商文件进行澄清或者修改，将在磋商文件要求的响应文件递交截止时间五日前进行，并以书面（或公告）形式将澄清或者修改的内容通知所有购买了磋商文件的供应商。该澄清或者修改的内容为磋商文件的组成部分。</w:t>
      </w:r>
    </w:p>
    <w:p w14:paraId="6445324A">
      <w:pPr>
        <w:bidi w:val="0"/>
      </w:pPr>
      <w:r>
        <w:t>8.3供应商对磋商文件质疑或要求对磋商文件进行澄清的，供应商应当在知道或应当知道（即收到磋商文件之日或者磋商文件公告期限届满之日）其权益受到损害之日起七个工作日内书面提出。</w:t>
      </w:r>
    </w:p>
    <w:p w14:paraId="05CD8108">
      <w:pPr>
        <w:bidi w:val="0"/>
      </w:pPr>
      <w:r>
        <w:t>8.4在投标截止时间前，采购单位可以视采购具体情况，延长投标截止时间和开标时间。</w:t>
      </w:r>
    </w:p>
    <w:p w14:paraId="3BDFDE2B">
      <w:pPr>
        <w:bidi w:val="0"/>
      </w:pPr>
      <w:r>
        <w:t>8.5采购代理机构一旦对磋商文件作出了澄清、修改，即刻发生效力，采购代理机构有关的补充文件，将作为磋商文件的组成部分，对所有现实的或潜在的投标人均具有约束力，而无论是否已经实际收到上述文件。同时，采购代理机构和投标人的权利及义务将受到新的截止期的约束。</w:t>
      </w:r>
    </w:p>
    <w:p w14:paraId="677CFD3D">
      <w:pPr>
        <w:bidi w:val="0"/>
      </w:pPr>
      <w:r>
        <w:t>8.6采购代理机构对磋商文件作出的澄清、修改在政采云平台内进行披露，请投标人及时关注并获取相关资料。因登记有误、线路故障或其它任何意外情形，导致投标人未及时获取的，采购代理机构不因此承担任何责任，且有关的招标活动继续有效地进行。当磋商文件的澄清、修改及进行其他答复等就同一内容的表述不一致时，以最后发布的内容为准。</w:t>
      </w:r>
    </w:p>
    <w:p w14:paraId="4B47F63D">
      <w:pPr>
        <w:bidi w:val="0"/>
      </w:pPr>
      <w:r>
        <w:t>上述澄清、修改在交易平台上发布的同时，交易平台将通过第三方短信群发方式提醒投标人进行查询。此短信仅系友情提示，并不具有任何约束性和必要性，采购代理机构不承担投标人未收到短信而引起的一切后果和法律责任。</w:t>
      </w:r>
    </w:p>
    <w:p w14:paraId="10AF6FC7">
      <w:pPr>
        <w:bidi w:val="0"/>
      </w:pPr>
      <w:r>
        <w:t>8.7澄清、修改文件发出后，投标人必须使用最新的答疑、澄清文件制作电子响应文件，否则将无法完成上传。</w:t>
      </w:r>
    </w:p>
    <w:p w14:paraId="1725B781">
      <w:pPr>
        <w:pStyle w:val="4"/>
        <w:bidi w:val="0"/>
      </w:pPr>
      <w:r>
        <w:t>9.答疑会和现场考察</w:t>
      </w:r>
    </w:p>
    <w:p w14:paraId="012DA954">
      <w:pPr>
        <w:bidi w:val="0"/>
      </w:pPr>
      <w:r>
        <w:t>9.1根据采购项目和具体情况，采购单位认为有必要，可以组织召开标前答疑会或组织供应商对项目现场进行考察。答疑会或进行现场考察的时间，采购单位将以书面形式通知所有购买了磋商文件的供应商。</w:t>
      </w:r>
    </w:p>
    <w:p w14:paraId="67DCF4C1">
      <w:pPr>
        <w:bidi w:val="0"/>
      </w:pPr>
      <w:r>
        <w:t>9.2供应商考察现场所发生的一切费用由供应商自己承担。</w:t>
      </w:r>
    </w:p>
    <w:p w14:paraId="08D1BDFE">
      <w:pPr>
        <w:pStyle w:val="3"/>
        <w:bidi w:val="0"/>
      </w:pPr>
      <w:bookmarkStart w:id="5" w:name="_Toc30684"/>
      <w:r>
        <w:t>四、响应文件</w:t>
      </w:r>
      <w:bookmarkEnd w:id="5"/>
    </w:p>
    <w:p w14:paraId="085B5824">
      <w:pPr>
        <w:pStyle w:val="4"/>
        <w:bidi w:val="0"/>
      </w:pPr>
      <w:r>
        <w:t>10</w:t>
      </w:r>
      <w:r>
        <w:rPr>
          <w:rFonts w:hint="eastAsia"/>
          <w:lang w:val="en-US" w:eastAsia="zh-CN"/>
        </w:rPr>
        <w:t>.</w:t>
      </w:r>
      <w:r>
        <w:t>响应文件的语言</w:t>
      </w:r>
    </w:p>
    <w:p w14:paraId="4BC5AB51">
      <w:pPr>
        <w:bidi w:val="0"/>
      </w:pPr>
      <w:r>
        <w:t>10.1供应商提交的响应文件以及供应商与采购单位就有关投标的所有来往书面文件均须使用中文。响应文件中如附有外文资料，必须逐一对应翻译成中文并加盖供应商公章后附在相关外文资料后面，否则，供应商的响应文件将作为无效投标处理。</w:t>
      </w:r>
    </w:p>
    <w:p w14:paraId="4644F65D">
      <w:pPr>
        <w:bidi w:val="0"/>
      </w:pPr>
      <w:r>
        <w:t>10.2翻译的中文资料与外文资料如果出现差异和矛盾时，以中文为准。但不能故意错误翻译，否则，供应商的响应文件将作为无效投标处理。</w:t>
      </w:r>
    </w:p>
    <w:p w14:paraId="6AB66791">
      <w:pPr>
        <w:pStyle w:val="4"/>
        <w:bidi w:val="0"/>
      </w:pPr>
      <w:r>
        <w:t>1</w:t>
      </w:r>
      <w:r>
        <w:rPr>
          <w:rFonts w:hint="eastAsia"/>
          <w:lang w:val="en-US" w:eastAsia="zh-CN"/>
        </w:rPr>
        <w:t>1.</w:t>
      </w:r>
      <w:r>
        <w:t>计量单位</w:t>
      </w:r>
    </w:p>
    <w:p w14:paraId="5C7F131A">
      <w:pPr>
        <w:bidi w:val="0"/>
      </w:pPr>
      <w:r>
        <w:t>除技术规格及要求中另有规定外，本采购项下的投标均采用国家法定的计量单位。</w:t>
      </w:r>
    </w:p>
    <w:p w14:paraId="2FBFEC9E">
      <w:pPr>
        <w:pStyle w:val="4"/>
        <w:bidi w:val="0"/>
      </w:pPr>
      <w:r>
        <w:t>12.投标货币</w:t>
      </w:r>
    </w:p>
    <w:p w14:paraId="31813879">
      <w:pPr>
        <w:bidi w:val="0"/>
      </w:pPr>
      <w:r>
        <w:t>本次采购项目的投标均以人民币报价。</w:t>
      </w:r>
    </w:p>
    <w:p w14:paraId="5610DC50">
      <w:pPr>
        <w:bidi w:val="0"/>
        <w:ind w:left="0" w:leftChars="0" w:firstLine="0" w:firstLineChars="0"/>
      </w:pPr>
    </w:p>
    <w:p w14:paraId="668686F8">
      <w:pPr>
        <w:pStyle w:val="4"/>
        <w:bidi w:val="0"/>
      </w:pPr>
      <w:r>
        <w:t>13.联合体投标</w:t>
      </w:r>
    </w:p>
    <w:p w14:paraId="173D20B4">
      <w:pPr>
        <w:bidi w:val="0"/>
      </w:pPr>
      <w:r>
        <w:t>详见供应商须知前附表</w:t>
      </w:r>
    </w:p>
    <w:p w14:paraId="26AF0ED2">
      <w:pPr>
        <w:pStyle w:val="4"/>
        <w:bidi w:val="0"/>
      </w:pPr>
      <w:r>
        <w:t>14.知识产权</w:t>
      </w:r>
    </w:p>
    <w:p w14:paraId="60434053">
      <w:pPr>
        <w:bidi w:val="0"/>
      </w:pPr>
      <w:r>
        <w:t>14.1供应商应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w:t>
      </w:r>
    </w:p>
    <w:p w14:paraId="3F943E83">
      <w:pPr>
        <w:bidi w:val="0"/>
      </w:pPr>
      <w:r>
        <w:t>14.2采购人享有本项目实施过程中产生的知识成果及知识产权。</w:t>
      </w:r>
    </w:p>
    <w:p w14:paraId="1DC5A077">
      <w:pPr>
        <w:bidi w:val="0"/>
      </w:pPr>
      <w:r>
        <w:t>14.3供应商如欲在项目实施过程中采用自有知识成果，需在响应文件中声明，并提供相关知识产权证明文件。使用该知识成果后，供应商需提供开发接口和开发手册等技术文档，并承诺提供无限期技术支持，采购人享有永久使用权。</w:t>
      </w:r>
    </w:p>
    <w:p w14:paraId="334E7572">
      <w:pPr>
        <w:bidi w:val="0"/>
      </w:pPr>
      <w:r>
        <w:t>14.4如采用供应商所不拥有的知识产权，则在投标报价中必须包括合法获取该知识产权的相关费用。</w:t>
      </w:r>
    </w:p>
    <w:p w14:paraId="3FADAF44">
      <w:pPr>
        <w:pStyle w:val="4"/>
        <w:bidi w:val="0"/>
      </w:pPr>
      <w:r>
        <w:t>15</w:t>
      </w:r>
      <w:r>
        <w:rPr>
          <w:rFonts w:hint="eastAsia"/>
          <w:lang w:val="en-US" w:eastAsia="zh-CN"/>
        </w:rPr>
        <w:t>.</w:t>
      </w:r>
      <w:r>
        <w:t>响应文件的组成</w:t>
      </w:r>
    </w:p>
    <w:p w14:paraId="2D8231D9">
      <w:pPr>
        <w:bidi w:val="0"/>
      </w:pPr>
      <w:r>
        <w:t>供应商应按照磋商文件的规定和要求编制响应文件。磋商文件允许分包的，供应商拟在成交后将成交项目的非主体、非关键性工作交由他人完成的，应当在响应文件中载明。供应商编写的响应文件应包括下列部分：</w:t>
      </w:r>
    </w:p>
    <w:p w14:paraId="7F33013A">
      <w:pPr>
        <w:bidi w:val="0"/>
      </w:pPr>
      <w:r>
        <w:t>商务部分：</w:t>
      </w:r>
    </w:p>
    <w:p w14:paraId="47975336">
      <w:pPr>
        <w:bidi w:val="0"/>
      </w:pPr>
      <w:r>
        <w:t>（1）投标函；</w:t>
      </w:r>
    </w:p>
    <w:p w14:paraId="629B5408">
      <w:pPr>
        <w:bidi w:val="0"/>
      </w:pPr>
      <w:r>
        <w:t>（2）身份证明书及授权书</w:t>
      </w:r>
    </w:p>
    <w:p w14:paraId="2EC16E21">
      <w:pPr>
        <w:bidi w:val="0"/>
      </w:pPr>
      <w:r>
        <w:t>（3）报价一览表</w:t>
      </w:r>
    </w:p>
    <w:p w14:paraId="681B4B52">
      <w:pPr>
        <w:bidi w:val="0"/>
      </w:pPr>
      <w:r>
        <w:t>（4）供应商基本情况表</w:t>
      </w:r>
    </w:p>
    <w:p w14:paraId="3CC40535">
      <w:pPr>
        <w:bidi w:val="0"/>
      </w:pPr>
      <w:r>
        <w:t>（5）供应商类似项目业绩一览表</w:t>
      </w:r>
    </w:p>
    <w:p w14:paraId="335FC56D">
      <w:pPr>
        <w:bidi w:val="0"/>
      </w:pPr>
      <w:r>
        <w:t>（6）供应商本项目管理、服务、其他人员情况表</w:t>
      </w:r>
    </w:p>
    <w:p w14:paraId="13D5819C">
      <w:pPr>
        <w:bidi w:val="0"/>
      </w:pPr>
      <w:r>
        <w:t>（7）供应商资格证明文件及供应商认为需要提供的其他文件和资料</w:t>
      </w:r>
    </w:p>
    <w:p w14:paraId="23CF1970">
      <w:pPr>
        <w:bidi w:val="0"/>
      </w:pPr>
      <w:r>
        <w:t>（8）保证金缴纳银行回执</w:t>
      </w:r>
    </w:p>
    <w:p w14:paraId="5C58D1FD">
      <w:pPr>
        <w:bidi w:val="0"/>
      </w:pPr>
      <w:r>
        <w:t>技术部分：</w:t>
      </w:r>
    </w:p>
    <w:p w14:paraId="549577C9">
      <w:pPr>
        <w:bidi w:val="0"/>
      </w:pPr>
      <w:r>
        <w:t>施工组织设计</w:t>
      </w:r>
    </w:p>
    <w:p w14:paraId="539FAF5D">
      <w:pPr>
        <w:bidi w:val="0"/>
      </w:pPr>
      <w:r>
        <w:t>一、供应商应根据招标工程的具体情况，编织相应的施工组织设计。</w:t>
      </w:r>
    </w:p>
    <w:p w14:paraId="1073E884">
      <w:pPr>
        <w:bidi w:val="0"/>
      </w:pPr>
      <w:r>
        <w:t>二、施工组织设计包括下列内容：</w:t>
      </w:r>
    </w:p>
    <w:p w14:paraId="1517F5D9">
      <w:pPr>
        <w:bidi w:val="0"/>
      </w:pPr>
      <w:r>
        <w:t>1、工程概况及特点</w:t>
      </w:r>
    </w:p>
    <w:p w14:paraId="72AC2276">
      <w:pPr>
        <w:bidi w:val="0"/>
      </w:pPr>
      <w:r>
        <w:t>（1）工程建设概况</w:t>
      </w:r>
    </w:p>
    <w:p w14:paraId="70233BC5">
      <w:pPr>
        <w:bidi w:val="0"/>
      </w:pPr>
      <w:r>
        <w:t>（2）建筑设计特点</w:t>
      </w:r>
    </w:p>
    <w:p w14:paraId="2A72A46D">
      <w:pPr>
        <w:bidi w:val="0"/>
      </w:pPr>
      <w:r>
        <w:t>（3）结构设计特点</w:t>
      </w:r>
    </w:p>
    <w:p w14:paraId="2E916D54">
      <w:pPr>
        <w:bidi w:val="0"/>
      </w:pPr>
      <w:r>
        <w:t>（4）设备安装设计特点</w:t>
      </w:r>
    </w:p>
    <w:p w14:paraId="48909E74">
      <w:pPr>
        <w:bidi w:val="0"/>
      </w:pPr>
      <w:r>
        <w:t>（5）工程施工特点</w:t>
      </w:r>
    </w:p>
    <w:p w14:paraId="57539004">
      <w:pPr>
        <w:bidi w:val="0"/>
      </w:pPr>
      <w:r>
        <w:t>（6）建设地点特征</w:t>
      </w:r>
    </w:p>
    <w:p w14:paraId="171435F3">
      <w:pPr>
        <w:bidi w:val="0"/>
      </w:pPr>
      <w:r>
        <w:t>2、施工准备工作计划</w:t>
      </w:r>
    </w:p>
    <w:p w14:paraId="0B9835D4">
      <w:pPr>
        <w:bidi w:val="0"/>
      </w:pPr>
      <w:r>
        <w:t>3、施工方案</w:t>
      </w:r>
    </w:p>
    <w:p w14:paraId="4E1B78DD">
      <w:pPr>
        <w:bidi w:val="0"/>
      </w:pPr>
      <w:r>
        <w:t>3.1施工现场扬尘防治方案</w:t>
      </w:r>
    </w:p>
    <w:p w14:paraId="3F4B9EC8">
      <w:pPr>
        <w:bidi w:val="0"/>
      </w:pPr>
      <w:r>
        <w:t>4、工程施工进度计划</w:t>
      </w:r>
    </w:p>
    <w:p w14:paraId="7A48A44F">
      <w:pPr>
        <w:bidi w:val="0"/>
      </w:pPr>
      <w:r>
        <w:t>（1）施工流水作业横道图</w:t>
      </w:r>
    </w:p>
    <w:p w14:paraId="30E3AA64">
      <w:pPr>
        <w:bidi w:val="0"/>
      </w:pPr>
      <w:r>
        <w:t>（2）施工进度计划网络图</w:t>
      </w:r>
    </w:p>
    <w:p w14:paraId="7F8B636D">
      <w:pPr>
        <w:bidi w:val="0"/>
      </w:pPr>
      <w:r>
        <w:t>上述两种图表，可选任意一种，但推荐做（2）的图表形式</w:t>
      </w:r>
    </w:p>
    <w:p w14:paraId="12DF7691">
      <w:pPr>
        <w:bidi w:val="0"/>
      </w:pPr>
      <w:r>
        <w:t>5、劳动力、材料、施工机械设备等需要量计划</w:t>
      </w:r>
    </w:p>
    <w:p w14:paraId="10E937A4">
      <w:pPr>
        <w:bidi w:val="0"/>
      </w:pPr>
      <w:r>
        <w:t>6、施工平面图</w:t>
      </w:r>
    </w:p>
    <w:p w14:paraId="180F09B4">
      <w:pPr>
        <w:bidi w:val="0"/>
      </w:pPr>
      <w:r>
        <w:t>7、质量保证技术组织措施和保证体系</w:t>
      </w:r>
    </w:p>
    <w:p w14:paraId="0718FECE">
      <w:pPr>
        <w:bidi w:val="0"/>
      </w:pPr>
      <w:r>
        <w:t>8、安全保证技术组织措施和保证体系</w:t>
      </w:r>
    </w:p>
    <w:p w14:paraId="7D76EF26">
      <w:pPr>
        <w:bidi w:val="0"/>
      </w:pPr>
      <w:r>
        <w:t>9、进度保证技术组织措施和保证体系</w:t>
      </w:r>
    </w:p>
    <w:p w14:paraId="017880DA">
      <w:pPr>
        <w:bidi w:val="0"/>
      </w:pPr>
      <w:r>
        <w:t>10、现场文明施工措施</w:t>
      </w:r>
    </w:p>
    <w:p w14:paraId="61B2ED7F">
      <w:pPr>
        <w:bidi w:val="0"/>
      </w:pPr>
      <w:r>
        <w:t>注：上内容中若需要表格请供应商自行编制。</w:t>
      </w:r>
    </w:p>
    <w:p w14:paraId="74D8E6DB">
      <w:pPr>
        <w:bidi w:val="0"/>
      </w:pPr>
      <w:r>
        <w:t>报价部分：</w:t>
      </w:r>
    </w:p>
    <w:p w14:paraId="34173F96">
      <w:pPr>
        <w:bidi w:val="0"/>
      </w:pPr>
      <w:r>
        <w:t>1、报价内容（以</w:t>
      </w:r>
      <w:r>
        <w:rPr>
          <w:rFonts w:hint="eastAsia"/>
          <w:lang w:eastAsia="zh-CN"/>
        </w:rPr>
        <w:t>招标</w:t>
      </w:r>
      <w:r>
        <w:t>工程量清单为准）</w:t>
      </w:r>
    </w:p>
    <w:p w14:paraId="179E2943">
      <w:pPr>
        <w:pStyle w:val="4"/>
        <w:bidi w:val="0"/>
      </w:pPr>
      <w:r>
        <w:t>16</w:t>
      </w:r>
      <w:r>
        <w:rPr>
          <w:rFonts w:hint="eastAsia"/>
          <w:lang w:val="en-US" w:eastAsia="zh-CN"/>
        </w:rPr>
        <w:t>.</w:t>
      </w:r>
      <w:r>
        <w:t>响应文件格式</w:t>
      </w:r>
    </w:p>
    <w:p w14:paraId="5D834B21">
      <w:pPr>
        <w:bidi w:val="0"/>
      </w:pPr>
      <w:r>
        <w:t>16.1供应商应严格按照磋商文件第三章中提供的“响应文件格式”填写相关内容。除明确允许供应商可以自行编写的外，供应商不得以“响应文件格式”规定之外的方式填写相关内容。</w:t>
      </w:r>
    </w:p>
    <w:p w14:paraId="6DFFF6DD">
      <w:pPr>
        <w:bidi w:val="0"/>
      </w:pPr>
      <w:r>
        <w:t>16.2对于没有格式要求的响应文件由供应商自行编写。</w:t>
      </w:r>
    </w:p>
    <w:p w14:paraId="602149DC">
      <w:pPr>
        <w:keepNext w:val="0"/>
        <w:keepLines w:val="0"/>
        <w:pageBreakBefore w:val="0"/>
        <w:widowControl/>
        <w:kinsoku/>
        <w:wordWrap w:val="0"/>
        <w:overflowPunct/>
        <w:topLinePunct w:val="0"/>
        <w:autoSpaceDE w:val="0"/>
        <w:autoSpaceDN w:val="0"/>
        <w:bidi w:val="0"/>
        <w:adjustRightInd w:val="0"/>
        <w:snapToGrid w:val="0"/>
        <w:textAlignment w:val="baseline"/>
      </w:pPr>
      <w:r>
        <w:t>16.3应商提供的响应文件应当使用竞争性磋商文件所提供响应文件格式（表格可按照同样格式扩展），并保证所提供的资料的真实性。未提供格式的，供应商可自行编制。</w:t>
      </w:r>
    </w:p>
    <w:p w14:paraId="0588368A">
      <w:pPr>
        <w:keepNext w:val="0"/>
        <w:keepLines w:val="0"/>
        <w:pageBreakBefore w:val="0"/>
        <w:widowControl/>
        <w:kinsoku/>
        <w:wordWrap w:val="0"/>
        <w:overflowPunct/>
        <w:topLinePunct w:val="0"/>
        <w:autoSpaceDE w:val="0"/>
        <w:autoSpaceDN w:val="0"/>
        <w:bidi w:val="0"/>
        <w:adjustRightInd w:val="0"/>
        <w:snapToGrid w:val="0"/>
        <w:textAlignment w:val="baseline"/>
      </w:pPr>
      <w:r>
        <w:t>16.4本竞争性磋商文件规定的响应文件编制中所需提交的证明材料须加盖供应商电子公章，且内容须清晰可辩。</w:t>
      </w:r>
    </w:p>
    <w:p w14:paraId="3CC2552B">
      <w:pPr>
        <w:bidi w:val="0"/>
      </w:pPr>
      <w:r>
        <w:t>16.5响应文件严禁涂改或行间插字和增删。除非这些修改是根据采购人的指示进行的，或者是供应商造成的必须修改的错误，必要的修改处必须有供应商法人代表或其授权代表人签字。</w:t>
      </w:r>
    </w:p>
    <w:p w14:paraId="08BABD2A">
      <w:pPr>
        <w:bidi w:val="0"/>
      </w:pPr>
      <w:r>
        <w:t>16.6竞争性磋商文件中分标段的，供应商须针对本单位所投标段分别编制响应文件并单独提交。供应商应当按照竞争性磋商文件的要求编制响应文件。响应文件应当对竞争性磋商文件提出的要求和条件作出明确响应。</w:t>
      </w:r>
    </w:p>
    <w:p w14:paraId="07693470">
      <w:pPr>
        <w:bidi w:val="0"/>
      </w:pPr>
      <w:r>
        <w:t>16.7电子响应文件制作时，按照竞争性磋商文件中明确的响应文件目录和格式进行编制，保证目录清晰、内容完整。</w:t>
      </w:r>
    </w:p>
    <w:p w14:paraId="6139FBFD">
      <w:pPr>
        <w:bidi w:val="0"/>
      </w:pPr>
      <w:r>
        <w:t>16.8电子响应文件须使用供应商电子公章以及法定代表人的电子签名（或手写签名的扫描件）。若无电子签章/签名，则视为无效响应。</w:t>
      </w:r>
    </w:p>
    <w:p w14:paraId="44503DBA">
      <w:pPr>
        <w:pStyle w:val="4"/>
        <w:bidi w:val="0"/>
      </w:pPr>
      <w:r>
        <w:t>17．投标保证金</w:t>
      </w:r>
    </w:p>
    <w:p w14:paraId="2031F72B">
      <w:pPr>
        <w:bidi w:val="0"/>
      </w:pPr>
      <w:r>
        <w:t>17.1供应商投标时，必须以人民币提交磋商文件规定数额的投标保证金，并作为其投标的一部分。</w:t>
      </w:r>
    </w:p>
    <w:p w14:paraId="581C3300">
      <w:pPr>
        <w:bidi w:val="0"/>
      </w:pPr>
      <w:r>
        <w:t>17.2采购代理机构不接收以现金或汇票等其他形式递交的投标保证金。未按磋商文件要求在规定时间前交纳规定数额投标保证金的投标将被拒绝。</w:t>
      </w:r>
    </w:p>
    <w:p w14:paraId="7A4A6D59">
      <w:pPr>
        <w:bidi w:val="0"/>
      </w:pPr>
      <w:r>
        <w:t>17.3供应商所交纳的投标保证金不计利息。</w:t>
      </w:r>
    </w:p>
    <w:p w14:paraId="1A4EFD4E">
      <w:pPr>
        <w:bidi w:val="0"/>
      </w:pPr>
      <w:r>
        <w:t>17.4未成交人的投标保证金，将在成交通知书发出后五个工作日内全额退还。成交人的投标保证金，在合同签订生效并按规定交纳了履约保证金后五个工作日内全额退还。</w:t>
      </w:r>
    </w:p>
    <w:p w14:paraId="1BE12D03">
      <w:pPr>
        <w:bidi w:val="0"/>
      </w:pPr>
      <w:r>
        <w:t>17.5发生下列情形之一的，采购代理机构将不予退还供应商交纳的投标保证金：</w:t>
      </w:r>
    </w:p>
    <w:p w14:paraId="0936D3D7">
      <w:pPr>
        <w:bidi w:val="0"/>
      </w:pPr>
      <w:r>
        <w:t>（1）供应商在提交响应文件截止时间后撤回响应文件的；</w:t>
      </w:r>
    </w:p>
    <w:p w14:paraId="7C9D3FEE">
      <w:pPr>
        <w:bidi w:val="0"/>
      </w:pPr>
      <w:r>
        <w:t>（2）供应商在响应文件中提供虚假材料的；</w:t>
      </w:r>
    </w:p>
    <w:p w14:paraId="690C6E27">
      <w:pPr>
        <w:bidi w:val="0"/>
      </w:pPr>
      <w:r>
        <w:t>（3）供应商不接受按响应文件规定对其磋商报价进行修正的；</w:t>
      </w:r>
    </w:p>
    <w:p w14:paraId="1D082CA4">
      <w:pPr>
        <w:bidi w:val="0"/>
      </w:pPr>
      <w:r>
        <w:t>（4）除因不可抗力或响应文件认可的情形以外，成交供应商不与采购人签订合同</w:t>
      </w:r>
    </w:p>
    <w:p w14:paraId="54DCE501">
      <w:pPr>
        <w:bidi w:val="0"/>
        <w:ind w:left="0" w:leftChars="0" w:firstLine="0" w:firstLineChars="0"/>
      </w:pPr>
    </w:p>
    <w:p w14:paraId="0AE34DC6">
      <w:pPr>
        <w:bidi w:val="0"/>
      </w:pPr>
      <w:r>
        <w:t>的；</w:t>
      </w:r>
    </w:p>
    <w:p w14:paraId="38ED7F36">
      <w:pPr>
        <w:bidi w:val="0"/>
      </w:pPr>
      <w:r>
        <w:t>（5）成交人未能在规定期限内与采购人签署合同协议书或提交履约保证金的；</w:t>
      </w:r>
    </w:p>
    <w:p w14:paraId="5F3991B2">
      <w:pPr>
        <w:bidi w:val="0"/>
      </w:pPr>
      <w:r>
        <w:t>（6）供应商与采购人、其他供应商或者采购代理机构恶意串通的；</w:t>
      </w:r>
    </w:p>
    <w:p w14:paraId="66E40B5B">
      <w:pPr>
        <w:bidi w:val="0"/>
      </w:pPr>
      <w:r>
        <w:t>（7）采购文件规定的其他情形；</w:t>
      </w:r>
    </w:p>
    <w:p w14:paraId="6320E91D">
      <w:pPr>
        <w:bidi w:val="0"/>
      </w:pPr>
      <w:r>
        <w:t>（8）符合法律、法规规定的其他情形的。</w:t>
      </w:r>
    </w:p>
    <w:p w14:paraId="4BC14982">
      <w:pPr>
        <w:bidi w:val="0"/>
      </w:pPr>
      <w:r>
        <w:t>17.6投标保函，购买服务后将由担保公司为供应商向采购单位提供保证担保，供应商在投标有效期内发生撤回投标文件或中标后因自身原因不签署政府采购合同等行为而应实际支付保证金的，由担保公司按照担保函的约定履行担保责任。</w:t>
      </w:r>
    </w:p>
    <w:p w14:paraId="045E23C0">
      <w:pPr>
        <w:bidi w:val="0"/>
      </w:pPr>
      <w:r>
        <w:t>17.7投标人采用政采云电子保函形式缴纳投标保证金的，不需要办理退还保证金业务。</w:t>
      </w:r>
    </w:p>
    <w:p w14:paraId="53C13280">
      <w:pPr>
        <w:pStyle w:val="4"/>
        <w:bidi w:val="0"/>
      </w:pPr>
      <w:r>
        <w:t>18．投标有效期</w:t>
      </w:r>
    </w:p>
    <w:p w14:paraId="4585B626">
      <w:pPr>
        <w:bidi w:val="0"/>
      </w:pPr>
      <w:r>
        <w:t>18.1投标有效期详见供应商须知前附表。投标有效期短于此规定期限的投标，将被拒绝。</w:t>
      </w:r>
    </w:p>
    <w:p w14:paraId="57F8458C">
      <w:pPr>
        <w:bidi w:val="0"/>
      </w:pPr>
      <w:r>
        <w:t>18.2特殊情况下，采购人可于投标有效期满之前要求供应商同意延长有效期，要求与答复均应为书面形式。供应商可以拒绝上述要求，其投标保证金不被没收。拒绝延长投标有效期的供应商不得再参与该项目后续采购活动。同意延长投标有效期的供应商不能修改其响应文件，关于投标保证金的有关规定在延长的投标有效期内继续有效。</w:t>
      </w:r>
    </w:p>
    <w:p w14:paraId="488A1B71">
      <w:pPr>
        <w:pStyle w:val="4"/>
        <w:bidi w:val="0"/>
      </w:pPr>
      <w:r>
        <w:t>19．响应文件的印制和签署</w:t>
      </w:r>
    </w:p>
    <w:p w14:paraId="73BAFE16">
      <w:pPr>
        <w:bidi w:val="0"/>
      </w:pPr>
      <w:r>
        <w:t>19.1响应文件份数详见“供应商须知前附表”第16条。</w:t>
      </w:r>
    </w:p>
    <w:p w14:paraId="5E09626E">
      <w:pPr>
        <w:bidi w:val="0"/>
      </w:pPr>
      <w:r>
        <w:t>19.2招标文件要求供应商法定代表人或者被授权代表签字处，均须加盖其个人电子印章，并逐页加盖单位公章的电子印章。</w:t>
      </w:r>
    </w:p>
    <w:p w14:paraId="786A3AE2">
      <w:pPr>
        <w:bidi w:val="0"/>
      </w:pPr>
      <w:r>
        <w:t>19.3响应文件应根据磋商文件的要求制作、签署、盖章，内容应完整。</w:t>
      </w:r>
    </w:p>
    <w:p w14:paraId="09754BE4">
      <w:pPr>
        <w:bidi w:val="0"/>
      </w:pPr>
      <w:r>
        <w:t>19.4响应文件统一用A4幅面纸印制，图纸、横道图等必须使用A3幅面印制的应折叠成A4幅面。</w:t>
      </w:r>
    </w:p>
    <w:p w14:paraId="4EFFCE99">
      <w:pPr>
        <w:pStyle w:val="4"/>
        <w:bidi w:val="0"/>
      </w:pPr>
      <w:r>
        <w:t>20.响应文件的密封和标注</w:t>
      </w:r>
    </w:p>
    <w:p w14:paraId="4F29AB63">
      <w:pPr>
        <w:bidi w:val="0"/>
      </w:pPr>
      <w:r>
        <w:t>本项目采用不见面开标。</w:t>
      </w:r>
    </w:p>
    <w:p w14:paraId="137E88EE">
      <w:pPr>
        <w:pStyle w:val="4"/>
        <w:bidi w:val="0"/>
      </w:pPr>
      <w:r>
        <w:t>21.响应文件的递交</w:t>
      </w:r>
    </w:p>
    <w:p w14:paraId="4EDC825A">
      <w:pPr>
        <w:bidi w:val="0"/>
      </w:pPr>
      <w:r>
        <w:t>21</w:t>
      </w:r>
      <w:r>
        <w:rPr>
          <w:rFonts w:hint="eastAsia"/>
          <w:lang w:val="en-US" w:eastAsia="zh-CN"/>
        </w:rPr>
        <w:t>.</w:t>
      </w:r>
      <w:r>
        <w:t>1供应商应在磋商文件规定的磋商截止时间前，将响应文件按供应商须知第15条规定加密上传，磋商截止时间以后上传递交的响应文件将被“政府采购云平台”拒收。</w:t>
      </w:r>
    </w:p>
    <w:p w14:paraId="4149F323">
      <w:pPr>
        <w:bidi w:val="0"/>
      </w:pPr>
      <w:r>
        <w:t>21.1.1、在招标文件要求提交投标文件的截止时间之后提交的投标文件，为无效投标文件，采购代理机构将拒绝接收。</w:t>
      </w:r>
    </w:p>
    <w:p w14:paraId="2AB62C65">
      <w:pPr>
        <w:bidi w:val="0"/>
      </w:pPr>
      <w:r>
        <w:t>21.1.2、项目采用不见面开标。只需将加密电子投标文件在投标截止时间前通过新疆政府采购网-政采云平台上传完成。上传时必须得到电脑“上传成功”的确认回复后方为上传成功。逾期上传的或者未上传到平台的投标文件，采购人不予受理。</w:t>
      </w:r>
    </w:p>
    <w:p w14:paraId="17326EBC">
      <w:pPr>
        <w:pStyle w:val="4"/>
        <w:bidi w:val="0"/>
      </w:pPr>
      <w:r>
        <w:t>22</w:t>
      </w:r>
      <w:r>
        <w:rPr>
          <w:rFonts w:hint="eastAsia"/>
          <w:lang w:val="en-US" w:eastAsia="zh-CN"/>
        </w:rPr>
        <w:t>.</w:t>
      </w:r>
      <w:r>
        <w:t>响应文件的修改和撤回</w:t>
      </w:r>
    </w:p>
    <w:p w14:paraId="79490D5C">
      <w:pPr>
        <w:bidi w:val="0"/>
      </w:pPr>
      <w:r>
        <w:t>22.1供应商在供应商须知前附表规定的响应文件递交截止时间之前，可在政采云平台上随时撤回已上传的电子响应文件，将修改好的电子响应文件在响应文件递交截止时间前重新上传到政采云平台的制定位置。</w:t>
      </w:r>
    </w:p>
    <w:p w14:paraId="77D15EC3">
      <w:pPr>
        <w:bidi w:val="0"/>
      </w:pPr>
      <w:r>
        <w:t>22.2在投标截止时间之后，供应商不得对其递交的响应文件做任何修改或撤回投标。</w:t>
      </w:r>
    </w:p>
    <w:p w14:paraId="238BE352">
      <w:pPr>
        <w:bidi w:val="0"/>
      </w:pPr>
      <w:r>
        <w:t>22.3响应文件中如果出现计算上或累加上的算术错误，可按以下原则进行修改：</w:t>
      </w:r>
    </w:p>
    <w:p w14:paraId="750450FE">
      <w:pPr>
        <w:bidi w:val="0"/>
      </w:pPr>
      <w:r>
        <w:t>（1）用数字表示的金额和用文字表示的金额不一致，应以文字表示的金额为准。</w:t>
      </w:r>
    </w:p>
    <w:p w14:paraId="38DF572B">
      <w:pPr>
        <w:bidi w:val="0"/>
      </w:pPr>
      <w:r>
        <w:t>（2）单价和数量的乘积与总价不一致时，以单价为准，并修正总价。</w:t>
      </w:r>
    </w:p>
    <w:p w14:paraId="00896AF3">
      <w:pPr>
        <w:bidi w:val="0"/>
      </w:pPr>
      <w:r>
        <w:t>（3）单价金额小数点有明显错误的，以总价为准，修正单价。</w:t>
      </w:r>
    </w:p>
    <w:p w14:paraId="1DE9E34F">
      <w:pPr>
        <w:bidi w:val="0"/>
      </w:pPr>
      <w:r>
        <w:t>按上述修正错误的方法调整的投标报价应对供应商具有约束力。如果供应商不接受修正后的价格，其投标将被拒绝。</w:t>
      </w:r>
    </w:p>
    <w:p w14:paraId="22B0FDCC">
      <w:pPr>
        <w:pStyle w:val="3"/>
        <w:bidi w:val="0"/>
      </w:pPr>
      <w:bookmarkStart w:id="6" w:name="_Toc7584"/>
      <w:r>
        <w:t>五、开标和成交</w:t>
      </w:r>
      <w:bookmarkEnd w:id="6"/>
    </w:p>
    <w:p w14:paraId="6AD14A2C">
      <w:pPr>
        <w:pStyle w:val="4"/>
        <w:bidi w:val="0"/>
      </w:pPr>
      <w:r>
        <w:t>23</w:t>
      </w:r>
      <w:r>
        <w:rPr>
          <w:rFonts w:hint="eastAsia"/>
          <w:lang w:val="en-US" w:eastAsia="zh-CN"/>
        </w:rPr>
        <w:t>.</w:t>
      </w:r>
      <w:r>
        <w:t>开标</w:t>
      </w:r>
    </w:p>
    <w:p w14:paraId="723607A3">
      <w:pPr>
        <w:bidi w:val="0"/>
      </w:pPr>
      <w:r>
        <w:t>23.1采购代理机构在磋商文件规定的时间和地点组织公开开标，邀请所有参与投标供应商参加开标。</w:t>
      </w:r>
    </w:p>
    <w:p w14:paraId="5CD9D1DF">
      <w:pPr>
        <w:bidi w:val="0"/>
      </w:pPr>
      <w:r>
        <w:t>23.2开标时，采购代理机构可以邀请有关监督管理部门对开标进行现场监督，也可以（非必须）申请公证机构对整个开标程序进行现场公证。</w:t>
      </w:r>
    </w:p>
    <w:p w14:paraId="597BCF15">
      <w:pPr>
        <w:bidi w:val="0"/>
      </w:pPr>
      <w:r>
        <w:t>23.3采购人在规定的投标截止时间(开标时间)和供应商须知前附表规定的地点开标。供应商的法定代表人或其委托代理人无需到达开标现场，仅需在任意地点通过新疆政府采购网(政采云)，使用CA密钥完成远程解密、提疑澄清、开标、结果公布等交互环节。</w:t>
      </w:r>
    </w:p>
    <w:p w14:paraId="3EB4A4D3">
      <w:pPr>
        <w:bidi w:val="0"/>
      </w:pPr>
      <w:r>
        <w:t>法定代表人或法定代表人授权委托人参与远程交互，中途不得更换，在废标、澄清、提疑、传送文件等特殊情况下需要交互时，供应商一端参与交互的人员将均被视为是供应商的授权委托人或法人代表，供应商不得以不承认交互人员的资格或身份等为借口推脱，供应商自行承担随意更换人员所导致的一切后果。</w:t>
      </w:r>
    </w:p>
    <w:p w14:paraId="4EA3F5E8">
      <w:pPr>
        <w:bidi w:val="0"/>
      </w:pPr>
      <w:r>
        <w:t>23.4对不同文字文本响应文件的解释发生异议的，以中文文本为准。</w:t>
      </w:r>
    </w:p>
    <w:p w14:paraId="52ED79DE">
      <w:pPr>
        <w:pStyle w:val="4"/>
        <w:bidi w:val="0"/>
      </w:pPr>
      <w:r>
        <w:t>24.开标程序</w:t>
      </w:r>
    </w:p>
    <w:p w14:paraId="23A105D3">
      <w:pPr>
        <w:bidi w:val="0"/>
      </w:pPr>
      <w:r>
        <w:t>开标会主持人按照磋商文件规定的开标时间宣布开标，按照规定要求主持开标会。开标将按以下程序进行：</w:t>
      </w:r>
    </w:p>
    <w:p w14:paraId="289C0327">
      <w:pPr>
        <w:bidi w:val="0"/>
      </w:pPr>
      <w:r>
        <w:t>1、采购人在规定的响应文件递交截止时间（开标/磋商时间）和供应商须知前附表规定的地点进行不见面远程开标/磋商。供应商的法定代表人或其委托代理人无需到达开标/磋商现场，仅需在任意地点登录政采云平台</w:t>
      </w:r>
      <w:r>
        <w:fldChar w:fldCharType="begin"/>
      </w:r>
      <w:r>
        <w:instrText xml:space="preserve"> HYPERLINK "https://www.zcygov.cn/" </w:instrText>
      </w:r>
      <w:r>
        <w:fldChar w:fldCharType="separate"/>
      </w:r>
      <w:r>
        <w:t>https://www.zcygov.cn/</w:t>
      </w:r>
      <w:r>
        <w:fldChar w:fldCharType="end"/>
      </w:r>
      <w:r>
        <w:t>进入“政采云远程开标大厅”参加开标/磋商会议，并使用CA密钥完成远程解密、提疑澄清、开标、二次报价、结果公布等交互环节。</w:t>
      </w:r>
    </w:p>
    <w:p w14:paraId="141EA0D7">
      <w:pPr>
        <w:bidi w:val="0"/>
      </w:pPr>
      <w:r>
        <w:t>2、开标/磋商时，各供应商应在规定的解密时间（30分钟）内对本单位加密的电子响应文件进行解密，如在规定的解密时间内仍有供应商未解密，采购代理机构将采取“异常处理”，开启该单位的备份标书。采购代理机构工作人员在监督人员或公证人员监督下开启响应文件。</w:t>
      </w:r>
    </w:p>
    <w:p w14:paraId="1EE419E6">
      <w:pPr>
        <w:pStyle w:val="4"/>
        <w:bidi w:val="0"/>
      </w:pPr>
      <w:r>
        <w:t>25．成交通知书</w:t>
      </w:r>
    </w:p>
    <w:p w14:paraId="6321C8E4">
      <w:pPr>
        <w:bidi w:val="0"/>
      </w:pPr>
      <w:r>
        <w:t>25.1成交通知书为签订政府采购合同的依据，是合同的有效组成部分。</w:t>
      </w:r>
    </w:p>
    <w:p w14:paraId="337A9B82">
      <w:pPr>
        <w:bidi w:val="0"/>
      </w:pPr>
      <w:r>
        <w:t>25.2成交通知书对采购人和成交人均具有法律效力。成交通知书发出后，采购人改变成交结果，或者成交人无正当理由放弃成交的，应当承担相应的法律责任。</w:t>
      </w:r>
    </w:p>
    <w:p w14:paraId="33117A31">
      <w:pPr>
        <w:bidi w:val="0"/>
      </w:pPr>
      <w:r>
        <w:t>25．3成交人的响应文件本应作为无效投标处理或者有政府采购法律法规规章制度规定的成交无效情形的，采购代理机构在取得有权主体的认定以后，应当宣布发出的成交通知书无效，并收回发出的成交通知书（成交人也应当缴回），依法重新确定成交人或者重新开展采购活动。</w:t>
      </w:r>
    </w:p>
    <w:p w14:paraId="3598AB99">
      <w:pPr>
        <w:pStyle w:val="3"/>
        <w:bidi w:val="0"/>
      </w:pPr>
      <w:bookmarkStart w:id="7" w:name="_Toc16969"/>
      <w:r>
        <w:t>六、签订及履行合同和验收</w:t>
      </w:r>
      <w:bookmarkEnd w:id="7"/>
    </w:p>
    <w:p w14:paraId="525F18F7">
      <w:pPr>
        <w:pStyle w:val="4"/>
        <w:bidi w:val="0"/>
      </w:pPr>
      <w:r>
        <w:t>26.签订合同</w:t>
      </w:r>
    </w:p>
    <w:p w14:paraId="1D4ED9DE">
      <w:pPr>
        <w:bidi w:val="0"/>
      </w:pPr>
      <w:r>
        <w:t>26.1成交人在收到采购人发出的《成交通知书》后，应在法律法规规定的时间内与采购人签订采购合同。由于成交人的原因逾期未与采购人签订采购合同的，将视为放弃成交，取消其成交资格并将按相关规定进行处理。</w:t>
      </w:r>
    </w:p>
    <w:p w14:paraId="28589E79">
      <w:pPr>
        <w:bidi w:val="0"/>
      </w:pPr>
      <w:r>
        <w:t>26.2采购人不得向成交人提出任何不合理的要求，作为签订合同的条件，不得与成交人私下订立背离合同实质性内容的任何协议，所签订的合同不得对磋商文件和成交人响应文件作实质性修改。</w:t>
      </w:r>
    </w:p>
    <w:p w14:paraId="5784474F">
      <w:pPr>
        <w:bidi w:val="0"/>
      </w:pPr>
      <w:r>
        <w:t>26.3成交人因不可抗力原因不能履行采购合同或放弃成交的，采购人可以与排在成交人之后第一位的成交候选人签订采购合同，以此类推。</w:t>
      </w:r>
    </w:p>
    <w:p w14:paraId="3CCAADE0">
      <w:pPr>
        <w:bidi w:val="0"/>
      </w:pPr>
      <w:r>
        <w:t>26.4成交人在合同签订之后三个工作日内，将签订的合同（一份）送采购代理机构。</w:t>
      </w:r>
    </w:p>
    <w:p w14:paraId="098A0F16">
      <w:pPr>
        <w:pStyle w:val="4"/>
        <w:bidi w:val="0"/>
      </w:pPr>
      <w:r>
        <w:t>27.合同分包</w:t>
      </w:r>
    </w:p>
    <w:p w14:paraId="0E70B1C5">
      <w:pPr>
        <w:bidi w:val="0"/>
      </w:pPr>
      <w:r>
        <w:t>27.1若本项目允许分包的，经采购人同意，成交人可以依法采取分包方式履行合同。这种要求应当在合同签订之前征得采购人同意，并且分包供应商履行的分包项目的品牌、规格型号及技术要求等，必须与成交的一致。</w:t>
      </w:r>
    </w:p>
    <w:p w14:paraId="5F864B6D">
      <w:pPr>
        <w:bidi w:val="0"/>
      </w:pPr>
      <w:r>
        <w:t>27.2采购合同实行分包履行的，成交人就采购项目和分包项目向采购人负责，分包供应商就分包项目承担责任。</w:t>
      </w:r>
    </w:p>
    <w:p w14:paraId="776F571A">
      <w:pPr>
        <w:pStyle w:val="4"/>
        <w:bidi w:val="0"/>
      </w:pPr>
      <w:r>
        <w:t>28.采购人增加合同标的权利</w:t>
      </w:r>
    </w:p>
    <w:p w14:paraId="6A1CC62F">
      <w:pPr>
        <w:bidi w:val="0"/>
      </w:pPr>
      <w: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14:paraId="688A6B1C">
      <w:pPr>
        <w:pStyle w:val="4"/>
        <w:bidi w:val="0"/>
      </w:pPr>
      <w:r>
        <w:t>29.履约保证金</w:t>
      </w:r>
    </w:p>
    <w:p w14:paraId="6AB55B32">
      <w:pPr>
        <w:bidi w:val="0"/>
      </w:pPr>
      <w:r>
        <w:t>29.1成交人应在合同签订之前交纳磋商文件规定数额的履约保证金。</w:t>
      </w:r>
    </w:p>
    <w:p w14:paraId="296BDE86">
      <w:pPr>
        <w:bidi w:val="0"/>
      </w:pPr>
      <w:r>
        <w:t>29.2如果成交人在规定的合同签订时间内，没有按照磋商文件的规定交纳履约保证金，且又无正当理由的，将视为放弃成交，其交纳的投标保证金将不与退还。</w:t>
      </w:r>
    </w:p>
    <w:p w14:paraId="3AB4C692">
      <w:pPr>
        <w:pStyle w:val="4"/>
        <w:bidi w:val="0"/>
      </w:pPr>
      <w:r>
        <w:t>30.履行合同</w:t>
      </w:r>
    </w:p>
    <w:p w14:paraId="5D285CF8">
      <w:pPr>
        <w:bidi w:val="0"/>
      </w:pPr>
      <w:r>
        <w:t>30.1成交人与采购人签订合同后，合同双方应严格执行合同条款，履行合同规定的义务，保证合同的顺利完成。</w:t>
      </w:r>
    </w:p>
    <w:p w14:paraId="49AF3D5A">
      <w:pPr>
        <w:bidi w:val="0"/>
      </w:pPr>
      <w:r>
        <w:t>30.2在合同履行过程中，如发生合同纠纷，合同双方应按照《中华人民共和国民法典》的有关规定进行处理。</w:t>
      </w:r>
    </w:p>
    <w:p w14:paraId="54FD1A3F">
      <w:pPr>
        <w:pStyle w:val="4"/>
        <w:bidi w:val="0"/>
      </w:pPr>
      <w:r>
        <w:t>31.验收</w:t>
      </w:r>
    </w:p>
    <w:p w14:paraId="3D7A77C6">
      <w:pPr>
        <w:bidi w:val="0"/>
      </w:pPr>
      <w:r>
        <w:t>成交人与采购人应严格按照国家财政部《关于进一步加强政府采购需求和履约验</w:t>
      </w:r>
    </w:p>
    <w:p w14:paraId="3A660EB1">
      <w:pPr>
        <w:bidi w:val="0"/>
        <w:ind w:left="0" w:leftChars="0" w:firstLine="0" w:firstLineChars="0"/>
      </w:pPr>
      <w:r>
        <w:t>收管理的指导意见》（财库〔2016〕205号）的要求进行验收。</w:t>
      </w:r>
    </w:p>
    <w:p w14:paraId="633252AF">
      <w:pPr>
        <w:pStyle w:val="3"/>
        <w:bidi w:val="0"/>
      </w:pPr>
      <w:bookmarkStart w:id="8" w:name="_Toc19871"/>
      <w:r>
        <w:t>七、投标纪律要求</w:t>
      </w:r>
      <w:bookmarkEnd w:id="8"/>
    </w:p>
    <w:p w14:paraId="0525A650">
      <w:pPr>
        <w:pStyle w:val="4"/>
        <w:bidi w:val="0"/>
      </w:pPr>
      <w:r>
        <w:t>32.供应商不得具有的情形</w:t>
      </w:r>
    </w:p>
    <w:p w14:paraId="33A09A00">
      <w:pPr>
        <w:bidi w:val="0"/>
      </w:pPr>
      <w:r>
        <w:t>32.1供应商参加投标不得有下列情形：</w:t>
      </w:r>
    </w:p>
    <w:p w14:paraId="20D31B35">
      <w:pPr>
        <w:bidi w:val="0"/>
      </w:pPr>
      <w:r>
        <w:t>（1）提供虚假材料谋取成交；</w:t>
      </w:r>
    </w:p>
    <w:p w14:paraId="71CE1318">
      <w:pPr>
        <w:bidi w:val="0"/>
      </w:pPr>
      <w:r>
        <w:t>（2）采取不正当手段诋毁、排挤其他供应商；</w:t>
      </w:r>
    </w:p>
    <w:p w14:paraId="4D03D5F9">
      <w:pPr>
        <w:bidi w:val="0"/>
      </w:pPr>
      <w:r>
        <w:t>（3）与采购单位、其他供应商恶意串通；</w:t>
      </w:r>
    </w:p>
    <w:p w14:paraId="0F3BB933">
      <w:pPr>
        <w:bidi w:val="0"/>
      </w:pPr>
      <w:r>
        <w:t>（4）向采购单位、磋商小组成员行贿或者提供其他不正当利益；</w:t>
      </w:r>
    </w:p>
    <w:p w14:paraId="1E765220">
      <w:pPr>
        <w:bidi w:val="0"/>
      </w:pPr>
      <w:r>
        <w:t>（5）拒绝有关部门的监督检查或者向监督检查部门提供虚假情况。</w:t>
      </w:r>
    </w:p>
    <w:p w14:paraId="49E11596">
      <w:pPr>
        <w:bidi w:val="0"/>
      </w:pPr>
      <w:r>
        <w:t>有上述情形之一的供应商，属于不合格供应商，其投标或成交资格将被取消。</w:t>
      </w:r>
    </w:p>
    <w:p w14:paraId="1985C751">
      <w:pPr>
        <w:bidi w:val="0"/>
      </w:pPr>
      <w:r>
        <w:t>32.2在评审过程中，磋商小组发现供应商有下列情形之一的，作无效文件处理：</w:t>
      </w:r>
    </w:p>
    <w:p w14:paraId="56D5CA79">
      <w:pPr>
        <w:bidi w:val="0"/>
      </w:pPr>
      <w:r>
        <w:t>（1）属于同一集团、协会、商会等组织成员的供应商按照该组织要求协同投标；</w:t>
      </w:r>
    </w:p>
    <w:p w14:paraId="4DCDC728">
      <w:pPr>
        <w:bidi w:val="0"/>
      </w:pPr>
      <w:r>
        <w:t>（2）不同供应商的响应文件由同一单位或者个人编制；</w:t>
      </w:r>
    </w:p>
    <w:p w14:paraId="045C5AC5">
      <w:pPr>
        <w:bidi w:val="0"/>
      </w:pPr>
      <w:r>
        <w:t>（3）不同供应商委托同一单位或者个人办理投标事宜；</w:t>
      </w:r>
    </w:p>
    <w:p w14:paraId="2E1FA180">
      <w:pPr>
        <w:bidi w:val="0"/>
      </w:pPr>
      <w:r>
        <w:t>（4）不同供应商的响应文件载明的项目管理成员为同一人；</w:t>
      </w:r>
    </w:p>
    <w:p w14:paraId="51945109">
      <w:pPr>
        <w:bidi w:val="0"/>
      </w:pPr>
      <w:r>
        <w:t>（5）不同供应商的响应文件异常一致或者投标报价呈规律性差异；</w:t>
      </w:r>
    </w:p>
    <w:p w14:paraId="76E97A61">
      <w:pPr>
        <w:bidi w:val="0"/>
      </w:pPr>
      <w:r>
        <w:t>（6）不同供应商的响应文件相互混装；</w:t>
      </w:r>
    </w:p>
    <w:p w14:paraId="6946316B">
      <w:pPr>
        <w:bidi w:val="0"/>
      </w:pPr>
      <w:r>
        <w:t>（7）使用伪造、变造的行政许可证件；</w:t>
      </w:r>
    </w:p>
    <w:p w14:paraId="209EC913">
      <w:pPr>
        <w:bidi w:val="0"/>
      </w:pPr>
      <w:r>
        <w:t>（8）提供虚假的财务状况或者业绩；</w:t>
      </w:r>
    </w:p>
    <w:p w14:paraId="1D952690">
      <w:pPr>
        <w:bidi w:val="0"/>
      </w:pPr>
      <w:r>
        <w:t>（9）提供虚假的项目负责人或者主要技术人员简历、劳动关系证明；</w:t>
      </w:r>
    </w:p>
    <w:p w14:paraId="75036249">
      <w:pPr>
        <w:bidi w:val="0"/>
      </w:pPr>
      <w:r>
        <w:t>（10）提供虚假的信用状况；</w:t>
      </w:r>
    </w:p>
    <w:p w14:paraId="64EC05BD">
      <w:pPr>
        <w:bidi w:val="0"/>
      </w:pPr>
      <w:r>
        <w:t>（11）其他弄虚作假的行为。</w:t>
      </w:r>
    </w:p>
    <w:p w14:paraId="7ABC7869">
      <w:pPr>
        <w:pStyle w:val="3"/>
        <w:bidi w:val="0"/>
      </w:pPr>
      <w:bookmarkStart w:id="9" w:name="_Toc19995"/>
      <w:r>
        <w:t>八、合同价款支付</w:t>
      </w:r>
      <w:bookmarkEnd w:id="9"/>
    </w:p>
    <w:p w14:paraId="558F257F">
      <w:pPr>
        <w:pStyle w:val="4"/>
        <w:bidi w:val="0"/>
      </w:pPr>
      <w:r>
        <w:t>33.申请支付</w:t>
      </w:r>
    </w:p>
    <w:p w14:paraId="70BB1B6D">
      <w:pPr>
        <w:bidi w:val="0"/>
      </w:pPr>
      <w:r>
        <w:t>33.1采购项目验收合格，采购人签署《验收结算书》后，向财政部门提出支付申请。采购人的自有资金，由采购人直接支付给成交人或者按照有关规定执行。</w:t>
      </w:r>
    </w:p>
    <w:p w14:paraId="7BEE166F">
      <w:pPr>
        <w:bidi w:val="0"/>
      </w:pPr>
      <w:r>
        <w:t>33.2财政部门根据采购人的支付申请，并对采购合同进行审核后，直接将集中支付货款支付给成交人。</w:t>
      </w:r>
    </w:p>
    <w:p w14:paraId="4A3F1A9C">
      <w:pPr>
        <w:pStyle w:val="3"/>
        <w:bidi w:val="0"/>
      </w:pPr>
      <w:bookmarkStart w:id="10" w:name="_Toc31199"/>
      <w:r>
        <w:t>九、质疑和投诉</w:t>
      </w:r>
      <w:bookmarkEnd w:id="10"/>
    </w:p>
    <w:p w14:paraId="0EE09456">
      <w:pPr>
        <w:bidi w:val="0"/>
      </w:pPr>
      <w:r>
        <w:t>34．质疑、投诉的接收和处理严格按照《中华人共和国政府采购法》、《政府采购质疑和投诉办法》、《财政部关于加强政府采购供应商投诉受理审查工作的通知》的规定办理。</w:t>
      </w:r>
    </w:p>
    <w:p w14:paraId="13300470">
      <w:pPr>
        <w:bidi w:val="0"/>
      </w:pPr>
      <w:r>
        <w:t>34.1供应商认为采购文件、采购过程和成交、成交结果使自己的权益受到损害的，可以在知道或者应知其权益受到损害之日起七个工作日内，以书面形式向采购人提出质疑。针对同一采购环节的质疑应一次性提出，提出质疑的供应商应当是参与所质疑项目磋商活动的供应商。</w:t>
      </w:r>
    </w:p>
    <w:p w14:paraId="11FBA0C2">
      <w:pPr>
        <w:bidi w:val="0"/>
      </w:pPr>
      <w:r>
        <w:t>34.2潜在供应商已依法获取其可质疑的采购文件的，可以对该文件提出质疑。对采购文件提出质疑的，应当在获取采购文件或者采购文件公告期限届满之日起7个工作日内提出。</w:t>
      </w:r>
    </w:p>
    <w:p w14:paraId="33A87DC3">
      <w:pPr>
        <w:bidi w:val="0"/>
      </w:pPr>
      <w:r>
        <w:t>34.3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07D2B4A9">
      <w:pPr>
        <w:bidi w:val="0"/>
      </w:pPr>
      <w:r>
        <w:t>代理人提出质疑和投诉，应当提交供应商签署的授权委托书。</w:t>
      </w:r>
    </w:p>
    <w:p w14:paraId="206F4BCD">
      <w:pPr>
        <w:bidi w:val="0"/>
      </w:pPr>
      <w:r>
        <w:t>34.4供应商提出质疑应当提交质疑函和必要的证明材料。质疑函应当包括下列内容：</w:t>
      </w:r>
    </w:p>
    <w:p w14:paraId="73FAACD6">
      <w:pPr>
        <w:bidi w:val="0"/>
      </w:pPr>
      <w:r>
        <w:t>（一）供应商的姓名或者名称、地址、邮编、联系人及联系电话；</w:t>
      </w:r>
    </w:p>
    <w:p w14:paraId="3E5A0F16">
      <w:pPr>
        <w:bidi w:val="0"/>
      </w:pPr>
      <w:r>
        <w:t>（二）质疑项目的名称、编号；</w:t>
      </w:r>
    </w:p>
    <w:p w14:paraId="33FAE72F">
      <w:pPr>
        <w:bidi w:val="0"/>
      </w:pPr>
      <w:r>
        <w:t>（三）具体、明确的质疑事项和与质疑事项相关的请求；</w:t>
      </w:r>
    </w:p>
    <w:p w14:paraId="5916079E">
      <w:pPr>
        <w:bidi w:val="0"/>
      </w:pPr>
      <w:r>
        <w:t>（四）事实依据；</w:t>
      </w:r>
    </w:p>
    <w:p w14:paraId="3E94DB24">
      <w:pPr>
        <w:bidi w:val="0"/>
      </w:pPr>
      <w:r>
        <w:t>（五）必要的法律依据；</w:t>
      </w:r>
    </w:p>
    <w:p w14:paraId="7E209F02">
      <w:pPr>
        <w:bidi w:val="0"/>
      </w:pPr>
      <w:r>
        <w:t>（六）提出质疑的日期。</w:t>
      </w:r>
    </w:p>
    <w:p w14:paraId="09C69FEE">
      <w:pPr>
        <w:bidi w:val="0"/>
      </w:pPr>
      <w:r>
        <w:t>供应商为自然人的，应当由本人签字；供应商为法人或者其他组织的，应当由法定代表人、主要负责人或者其被授权人签字或盖章，并加盖公章。</w:t>
      </w:r>
    </w:p>
    <w:p w14:paraId="16619428">
      <w:pPr>
        <w:bidi w:val="0"/>
      </w:pPr>
      <w:r>
        <w:t>接收质疑函的方式：书面形式</w:t>
      </w:r>
    </w:p>
    <w:p w14:paraId="2924410F">
      <w:pPr>
        <w:bidi w:val="0"/>
        <w:rPr>
          <w:rFonts w:hint="eastAsia" w:eastAsia="宋体"/>
          <w:lang w:eastAsia="zh-CN"/>
        </w:rPr>
      </w:pPr>
      <w:r>
        <w:t>联系部门：</w:t>
      </w:r>
      <w:r>
        <w:rPr>
          <w:rFonts w:hint="eastAsia"/>
          <w:lang w:eastAsia="zh-CN"/>
        </w:rPr>
        <w:t>新疆全益项目管理咨询有限公司</w:t>
      </w:r>
    </w:p>
    <w:p w14:paraId="388F32B2">
      <w:pPr>
        <w:bidi w:val="0"/>
        <w:rPr>
          <w:rFonts w:hint="eastAsia" w:eastAsia="宋体"/>
          <w:lang w:eastAsia="zh-CN"/>
        </w:rPr>
      </w:pPr>
      <w:r>
        <w:t>联系人：</w:t>
      </w:r>
      <w:r>
        <w:rPr>
          <w:rFonts w:hint="eastAsia"/>
          <w:lang w:eastAsia="zh-CN"/>
        </w:rPr>
        <w:t>李涛</w:t>
      </w:r>
    </w:p>
    <w:p w14:paraId="55F8CE2D">
      <w:pPr>
        <w:bidi w:val="0"/>
        <w:rPr>
          <w:rFonts w:hint="default" w:eastAsia="宋体"/>
          <w:lang w:val="en-US" w:eastAsia="zh-CN"/>
        </w:rPr>
      </w:pPr>
      <w:r>
        <w:t>联系电话：</w:t>
      </w:r>
      <w:r>
        <w:rPr>
          <w:rFonts w:hint="eastAsia"/>
          <w:lang w:val="en-US" w:eastAsia="zh-CN"/>
        </w:rPr>
        <w:t>17799111523</w:t>
      </w:r>
    </w:p>
    <w:p w14:paraId="7B52A00F">
      <w:pPr>
        <w:bidi w:val="0"/>
        <w:rPr>
          <w:rFonts w:hint="eastAsia" w:eastAsia="宋体"/>
          <w:lang w:eastAsia="zh-CN"/>
        </w:rPr>
      </w:pPr>
      <w:r>
        <w:t>通讯地址：</w:t>
      </w:r>
      <w:r>
        <w:rPr>
          <w:rFonts w:hint="eastAsia"/>
        </w:rPr>
        <w:t>乌鲁木齐经济技术开发区(头屯河区)大别山街16号办公楼一层A区194室</w:t>
      </w:r>
      <w:r>
        <w:rPr>
          <w:rFonts w:hint="eastAsia"/>
          <w:lang w:eastAsia="zh-CN"/>
        </w:rPr>
        <w:t>。</w:t>
      </w:r>
    </w:p>
    <w:p w14:paraId="66192F44">
      <w:pPr>
        <w:bidi w:val="0"/>
      </w:pPr>
      <w:r>
        <w:t>34.5质疑供应商对采购人、采购代理机构的答复不满意，或者采购人、采购代理机构未在规定时间内作出答复的，可以在答复期满后15个工作日内向本办法第六条规定的财政部门提起投诉。</w:t>
      </w:r>
    </w:p>
    <w:p w14:paraId="313F080F">
      <w:pPr>
        <w:bidi w:val="0"/>
      </w:pPr>
      <w:r>
        <w:t>34.6投诉人投诉时，应当提交投诉书和必要的证明材料，并按照被投诉采购人、采购代理机构（以下简称被投诉人）和与投诉事项有关的供应商数量提供投诉书的副本。投诉书应当包括下列内容：</w:t>
      </w:r>
    </w:p>
    <w:p w14:paraId="26DEC3C0">
      <w:pPr>
        <w:bidi w:val="0"/>
      </w:pPr>
      <w:r>
        <w:t>（一）投诉人和被投诉人的姓名或者名称、通讯地址、邮编、联系人及联系电话；</w:t>
      </w:r>
    </w:p>
    <w:p w14:paraId="322E8AA1">
      <w:pPr>
        <w:bidi w:val="0"/>
      </w:pPr>
      <w:r>
        <w:t>（二）质疑和质疑答复情况说明及相关证明材料；</w:t>
      </w:r>
    </w:p>
    <w:p w14:paraId="375E3C30">
      <w:pPr>
        <w:bidi w:val="0"/>
      </w:pPr>
      <w:r>
        <w:t>（三）具体、明确的投诉事项和与投诉事项相关的投诉请求；</w:t>
      </w:r>
    </w:p>
    <w:p w14:paraId="0B04944E">
      <w:pPr>
        <w:bidi w:val="0"/>
      </w:pPr>
      <w:r>
        <w:t>（四）事实依据；</w:t>
      </w:r>
    </w:p>
    <w:p w14:paraId="319BA2D6">
      <w:pPr>
        <w:bidi w:val="0"/>
      </w:pPr>
      <w:r>
        <w:t>（五）法律依据；</w:t>
      </w:r>
    </w:p>
    <w:p w14:paraId="4EEDC90A">
      <w:pPr>
        <w:bidi w:val="0"/>
      </w:pPr>
      <w:r>
        <w:t>（六）提起投诉的日期。</w:t>
      </w:r>
    </w:p>
    <w:p w14:paraId="47B9F7FA">
      <w:pPr>
        <w:bidi w:val="0"/>
      </w:pPr>
      <w:r>
        <w:t>投诉人为自然人的，应当由本人签字；投诉人为法人或者其他组织的，应当由法定代表人、主要负责人，或者其授权代表签字或者盖章，并加盖公章。</w:t>
      </w:r>
    </w:p>
    <w:p w14:paraId="2F02F6FE">
      <w:pPr>
        <w:bidi w:val="0"/>
      </w:pPr>
      <w:r>
        <w:t>34.7投诉人应当根据《政府采购质疑和投诉办法》第七条第二款规定的信息内容，并按照其规定的方式提起投诉。</w:t>
      </w:r>
    </w:p>
    <w:p w14:paraId="72CD18D2">
      <w:pPr>
        <w:bidi w:val="0"/>
      </w:pPr>
      <w:r>
        <w:t>投诉人提起投诉应当符合下列条件：</w:t>
      </w:r>
    </w:p>
    <w:p w14:paraId="1559E4A5">
      <w:pPr>
        <w:bidi w:val="0"/>
      </w:pPr>
      <w:r>
        <w:t>（一）提起投诉前已依法进行质疑；</w:t>
      </w:r>
    </w:p>
    <w:p w14:paraId="167A7A82">
      <w:pPr>
        <w:bidi w:val="0"/>
      </w:pPr>
      <w:r>
        <w:t>（二）投诉书内容符合本办法的规定；</w:t>
      </w:r>
    </w:p>
    <w:p w14:paraId="576C529A">
      <w:pPr>
        <w:bidi w:val="0"/>
      </w:pPr>
      <w:r>
        <w:t>（三）在投诉有效期限内提起投诉；</w:t>
      </w:r>
    </w:p>
    <w:p w14:paraId="710DAB15">
      <w:pPr>
        <w:bidi w:val="0"/>
      </w:pPr>
      <w:r>
        <w:t>（四）同一投诉事项未经财政部门投诉处理；</w:t>
      </w:r>
    </w:p>
    <w:p w14:paraId="2A9E59CC">
      <w:pPr>
        <w:bidi w:val="0"/>
      </w:pPr>
      <w:r>
        <w:t>（五）财政部规定的其他条件。</w:t>
      </w:r>
    </w:p>
    <w:p w14:paraId="46CCE586">
      <w:pPr>
        <w:bidi w:val="0"/>
      </w:pPr>
    </w:p>
    <w:p w14:paraId="2081A245">
      <w:pPr>
        <w:bidi w:val="0"/>
      </w:pPr>
    </w:p>
    <w:p w14:paraId="6C5CBBD1">
      <w:pPr>
        <w:bidi w:val="0"/>
      </w:pPr>
    </w:p>
    <w:p w14:paraId="77157864">
      <w:pPr>
        <w:bidi w:val="0"/>
      </w:pPr>
    </w:p>
    <w:p w14:paraId="56F30188">
      <w:pPr>
        <w:bidi w:val="0"/>
      </w:pPr>
    </w:p>
    <w:p w14:paraId="1EB6D66E">
      <w:pPr>
        <w:bidi w:val="0"/>
      </w:pPr>
    </w:p>
    <w:p w14:paraId="37594D47">
      <w:pPr>
        <w:bidi w:val="0"/>
      </w:pPr>
    </w:p>
    <w:p w14:paraId="5104C984">
      <w:pPr>
        <w:bidi w:val="0"/>
      </w:pPr>
    </w:p>
    <w:p w14:paraId="2BCDE288">
      <w:pPr>
        <w:bidi w:val="0"/>
      </w:pPr>
    </w:p>
    <w:p w14:paraId="5E22C008">
      <w:pPr>
        <w:bidi w:val="0"/>
      </w:pPr>
    </w:p>
    <w:p w14:paraId="656EC11F">
      <w:pPr>
        <w:bidi w:val="0"/>
      </w:pPr>
    </w:p>
    <w:p w14:paraId="1C6F865D">
      <w:pPr>
        <w:bidi w:val="0"/>
      </w:pPr>
    </w:p>
    <w:p w14:paraId="038FDCEF">
      <w:pPr>
        <w:bidi w:val="0"/>
      </w:pPr>
    </w:p>
    <w:p w14:paraId="034AAFD9">
      <w:pPr>
        <w:bidi w:val="0"/>
        <w:ind w:left="0" w:leftChars="0" w:firstLine="0" w:firstLineChars="0"/>
      </w:pPr>
    </w:p>
    <w:p w14:paraId="25714449">
      <w:pPr>
        <w:bidi w:val="0"/>
        <w:ind w:left="0" w:leftChars="0" w:firstLine="0" w:firstLineChars="0"/>
        <w:jc w:val="center"/>
      </w:pPr>
      <w:r>
        <w:rPr>
          <w:b/>
          <w:bCs/>
        </w:rPr>
        <w:t>质疑函范本</w:t>
      </w:r>
    </w:p>
    <w:p w14:paraId="6B75D357">
      <w:pPr>
        <w:bidi w:val="0"/>
      </w:pPr>
      <w:r>
        <w:t>一、质疑供应商基本信息质疑供应商：</w:t>
      </w:r>
    </w:p>
    <w:p w14:paraId="76BC9C83">
      <w:pPr>
        <w:bidi w:val="0"/>
      </w:pPr>
      <w:r>
        <w:t>地址：</w:t>
      </w:r>
      <w:r>
        <w:drawing>
          <wp:inline distT="0" distB="0" distL="0" distR="0">
            <wp:extent cx="1981200" cy="7620"/>
            <wp:effectExtent l="0" t="0" r="0" b="0"/>
            <wp:docPr id="8" name="IM 16"/>
            <wp:cNvGraphicFramePr/>
            <a:graphic xmlns:a="http://schemas.openxmlformats.org/drawingml/2006/main">
              <a:graphicData uri="http://schemas.openxmlformats.org/drawingml/2006/picture">
                <pic:pic xmlns:pic="http://schemas.openxmlformats.org/drawingml/2006/picture">
                  <pic:nvPicPr>
                    <pic:cNvPr id="8" name="IM 16"/>
                    <pic:cNvPicPr/>
                  </pic:nvPicPr>
                  <pic:blipFill>
                    <a:blip r:embed="rId10"/>
                    <a:stretch>
                      <a:fillRect/>
                    </a:stretch>
                  </pic:blipFill>
                  <pic:spPr>
                    <a:xfrm>
                      <a:off x="0" y="0"/>
                      <a:ext cx="1981200" cy="7620"/>
                    </a:xfrm>
                    <a:prstGeom prst="rect">
                      <a:avLst/>
                    </a:prstGeom>
                  </pic:spPr>
                </pic:pic>
              </a:graphicData>
            </a:graphic>
          </wp:inline>
        </w:drawing>
      </w:r>
      <w:r>
        <w:t>邮编：</w:t>
      </w:r>
    </w:p>
    <w:p w14:paraId="48682117">
      <w:pPr>
        <w:bidi w:val="0"/>
      </w:pPr>
      <w:r>
        <w:t>联系人：</w:t>
      </w:r>
      <w:r>
        <w:drawing>
          <wp:inline distT="0" distB="0" distL="0" distR="0">
            <wp:extent cx="1676400" cy="7620"/>
            <wp:effectExtent l="0" t="0" r="0" b="0"/>
            <wp:docPr id="9" name="IM 18"/>
            <wp:cNvGraphicFramePr/>
            <a:graphic xmlns:a="http://schemas.openxmlformats.org/drawingml/2006/main">
              <a:graphicData uri="http://schemas.openxmlformats.org/drawingml/2006/picture">
                <pic:pic xmlns:pic="http://schemas.openxmlformats.org/drawingml/2006/picture">
                  <pic:nvPicPr>
                    <pic:cNvPr id="9" name="IM 18"/>
                    <pic:cNvPicPr/>
                  </pic:nvPicPr>
                  <pic:blipFill>
                    <a:blip r:embed="rId11"/>
                    <a:stretch>
                      <a:fillRect/>
                    </a:stretch>
                  </pic:blipFill>
                  <pic:spPr>
                    <a:xfrm>
                      <a:off x="0" y="0"/>
                      <a:ext cx="1676400" cy="7620"/>
                    </a:xfrm>
                    <a:prstGeom prst="rect">
                      <a:avLst/>
                    </a:prstGeom>
                  </pic:spPr>
                </pic:pic>
              </a:graphicData>
            </a:graphic>
          </wp:inline>
        </w:drawing>
      </w:r>
      <w:r>
        <w:t>联系电话：</w:t>
      </w:r>
    </w:p>
    <w:p w14:paraId="368B290C">
      <w:pPr>
        <w:bidi w:val="0"/>
      </w:pPr>
      <w:r>
        <w:t>被授权人：联系电话：</w:t>
      </w:r>
    </w:p>
    <w:p w14:paraId="6F9A1D8D">
      <w:pPr>
        <w:bidi w:val="0"/>
      </w:pPr>
      <w:r>
        <w:t>地址：</w:t>
      </w:r>
      <w:r>
        <w:drawing>
          <wp:inline distT="0" distB="0" distL="0" distR="0">
            <wp:extent cx="1828800" cy="7620"/>
            <wp:effectExtent l="0" t="0" r="0" b="0"/>
            <wp:docPr id="10" name="IM 20"/>
            <wp:cNvGraphicFramePr/>
            <a:graphic xmlns:a="http://schemas.openxmlformats.org/drawingml/2006/main">
              <a:graphicData uri="http://schemas.openxmlformats.org/drawingml/2006/picture">
                <pic:pic xmlns:pic="http://schemas.openxmlformats.org/drawingml/2006/picture">
                  <pic:nvPicPr>
                    <pic:cNvPr id="10" name="IM 20"/>
                    <pic:cNvPicPr/>
                  </pic:nvPicPr>
                  <pic:blipFill>
                    <a:blip r:embed="rId12"/>
                    <a:stretch>
                      <a:fillRect/>
                    </a:stretch>
                  </pic:blipFill>
                  <pic:spPr>
                    <a:xfrm>
                      <a:off x="0" y="0"/>
                      <a:ext cx="1828800" cy="7620"/>
                    </a:xfrm>
                    <a:prstGeom prst="rect">
                      <a:avLst/>
                    </a:prstGeom>
                  </pic:spPr>
                </pic:pic>
              </a:graphicData>
            </a:graphic>
          </wp:inline>
        </w:drawing>
      </w:r>
      <w:r>
        <w:t>邮编：</w:t>
      </w:r>
    </w:p>
    <w:p w14:paraId="6FB69F55">
      <w:pPr>
        <w:bidi w:val="0"/>
      </w:pPr>
      <w:r>
        <w:t>二、质疑项目基本情况质疑项目的名称：</w:t>
      </w:r>
    </w:p>
    <w:p w14:paraId="2B29B26D">
      <w:pPr>
        <w:bidi w:val="0"/>
      </w:pPr>
      <w:r>
        <w:t>质疑项目的编号：</w:t>
      </w:r>
      <w:r>
        <w:drawing>
          <wp:inline distT="0" distB="0" distL="0" distR="0">
            <wp:extent cx="1143000" cy="7620"/>
            <wp:effectExtent l="0" t="0" r="0" b="0"/>
            <wp:docPr id="11" name="IM 22"/>
            <wp:cNvGraphicFramePr/>
            <a:graphic xmlns:a="http://schemas.openxmlformats.org/drawingml/2006/main">
              <a:graphicData uri="http://schemas.openxmlformats.org/drawingml/2006/picture">
                <pic:pic xmlns:pic="http://schemas.openxmlformats.org/drawingml/2006/picture">
                  <pic:nvPicPr>
                    <pic:cNvPr id="11" name="IM 22"/>
                    <pic:cNvPicPr/>
                  </pic:nvPicPr>
                  <pic:blipFill>
                    <a:blip r:embed="rId13"/>
                    <a:stretch>
                      <a:fillRect/>
                    </a:stretch>
                  </pic:blipFill>
                  <pic:spPr>
                    <a:xfrm>
                      <a:off x="0" y="0"/>
                      <a:ext cx="1143000" cy="7620"/>
                    </a:xfrm>
                    <a:prstGeom prst="rect">
                      <a:avLst/>
                    </a:prstGeom>
                  </pic:spPr>
                </pic:pic>
              </a:graphicData>
            </a:graphic>
          </wp:inline>
        </w:drawing>
      </w:r>
      <w:r>
        <w:t>包号：</w:t>
      </w:r>
    </w:p>
    <w:p w14:paraId="12A2959D">
      <w:pPr>
        <w:bidi w:val="0"/>
      </w:pPr>
      <w:r>
        <w:t>采购人名称：</w:t>
      </w:r>
    </w:p>
    <w:p w14:paraId="2A43DF6F">
      <w:pPr>
        <w:bidi w:val="0"/>
      </w:pPr>
      <w:r>
        <w:t>采购文件获取日期：</w:t>
      </w:r>
    </w:p>
    <w:p w14:paraId="1AE72F27">
      <w:pPr>
        <w:bidi w:val="0"/>
      </w:pPr>
      <w:r>
        <w:t>三、质疑事项具体内容质疑事项1：</w:t>
      </w:r>
    </w:p>
    <w:p w14:paraId="0CDF8520">
      <w:pPr>
        <w:bidi w:val="0"/>
      </w:pPr>
      <w:r>
        <w:t>事实依据：</w:t>
      </w:r>
    </w:p>
    <w:p w14:paraId="4E3D44F9">
      <w:pPr>
        <w:bidi w:val="0"/>
      </w:pPr>
    </w:p>
    <w:p w14:paraId="78828193">
      <w:pPr>
        <w:bidi w:val="0"/>
      </w:pPr>
      <w:r>
        <w:t>法律依据：</w:t>
      </w:r>
    </w:p>
    <w:p w14:paraId="6A1EA30D">
      <w:pPr>
        <w:bidi w:val="0"/>
      </w:pPr>
    </w:p>
    <w:p w14:paraId="674860DD">
      <w:pPr>
        <w:bidi w:val="0"/>
      </w:pPr>
      <w:r>
        <w:t>质疑事项2</w:t>
      </w:r>
    </w:p>
    <w:p w14:paraId="39B6725C">
      <w:pPr>
        <w:bidi w:val="0"/>
      </w:pPr>
      <w:r>
        <w:t>……</w:t>
      </w:r>
    </w:p>
    <w:p w14:paraId="60466C31">
      <w:pPr>
        <w:bidi w:val="0"/>
      </w:pPr>
      <w:r>
        <w:t>四、与质疑事项相关的质疑请求请求：</w:t>
      </w:r>
    </w:p>
    <w:p w14:paraId="08A0469C">
      <w:pPr>
        <w:bidi w:val="0"/>
      </w:pPr>
      <w:r>
        <w:t>签字(签章)：公章：</w:t>
      </w:r>
    </w:p>
    <w:p w14:paraId="492F1C3B">
      <w:pPr>
        <w:bidi w:val="0"/>
      </w:pPr>
      <w:r>
        <w:t>日期：</w:t>
      </w:r>
    </w:p>
    <w:p w14:paraId="23D4525A">
      <w:pPr>
        <w:bidi w:val="0"/>
      </w:pPr>
    </w:p>
    <w:p w14:paraId="0AD03E48">
      <w:pPr>
        <w:bidi w:val="0"/>
      </w:pPr>
    </w:p>
    <w:p w14:paraId="4171E759">
      <w:pPr>
        <w:bidi w:val="0"/>
      </w:pPr>
    </w:p>
    <w:p w14:paraId="21F8C5B3">
      <w:pPr>
        <w:bidi w:val="0"/>
      </w:pPr>
    </w:p>
    <w:p w14:paraId="51B7DF09">
      <w:pPr>
        <w:bidi w:val="0"/>
      </w:pPr>
    </w:p>
    <w:p w14:paraId="69DCEEA4">
      <w:pPr>
        <w:bidi w:val="0"/>
      </w:pPr>
    </w:p>
    <w:p w14:paraId="57995A5F">
      <w:pPr>
        <w:bidi w:val="0"/>
      </w:pPr>
    </w:p>
    <w:p w14:paraId="30DD54B2">
      <w:pPr>
        <w:bidi w:val="0"/>
      </w:pPr>
    </w:p>
    <w:p w14:paraId="73521C2E">
      <w:pPr>
        <w:bidi w:val="0"/>
      </w:pPr>
    </w:p>
    <w:p w14:paraId="798466C3">
      <w:pPr>
        <w:bidi w:val="0"/>
      </w:pPr>
    </w:p>
    <w:p w14:paraId="7E2F66E5">
      <w:pPr>
        <w:bidi w:val="0"/>
        <w:ind w:left="0" w:leftChars="0" w:firstLine="0" w:firstLineChars="0"/>
      </w:pPr>
    </w:p>
    <w:p w14:paraId="6E2F5190">
      <w:pPr>
        <w:bidi w:val="0"/>
        <w:ind w:left="0" w:leftChars="0" w:firstLine="0" w:firstLineChars="0"/>
      </w:pPr>
      <w:r>
        <w:t>质疑函制作说明：</w:t>
      </w:r>
    </w:p>
    <w:p w14:paraId="6413BB6C">
      <w:pPr>
        <w:bidi w:val="0"/>
      </w:pPr>
      <w:r>
        <w:t>1.供应商提出质疑时，应提交质疑函和必要的证明材料。</w:t>
      </w:r>
    </w:p>
    <w:p w14:paraId="38BEDC04">
      <w:pPr>
        <w:bidi w:val="0"/>
      </w:pPr>
      <w:r>
        <w:t>2.质疑供应商若委托代理人进行质疑的，质疑函应按要求列明“被授权人”的有关内容，并在附件中提交由质疑供应商签署的授权委托书。授权委托书应载明代理人的姓名或者名称、代理事项、具体权限、期限和相关事项。</w:t>
      </w:r>
    </w:p>
    <w:p w14:paraId="38EDEF37">
      <w:pPr>
        <w:bidi w:val="0"/>
      </w:pPr>
      <w:r>
        <w:t>3.质疑供应商若对项目的某一分包进行质疑，质疑函中应列明具体分包号。</w:t>
      </w:r>
    </w:p>
    <w:p w14:paraId="7809670C">
      <w:pPr>
        <w:bidi w:val="0"/>
      </w:pPr>
      <w:r>
        <w:t>4.质疑函的质疑事项应具体、明确，并有必要的事实依据和法律依据。5.质疑函的质疑请求应与质疑事项相关。</w:t>
      </w:r>
    </w:p>
    <w:p w14:paraId="7C79AA5A">
      <w:pPr>
        <w:bidi w:val="0"/>
        <w:rPr>
          <w:rFonts w:ascii="宋体" w:hAnsi="宋体" w:eastAsia="宋体" w:cs="宋体"/>
          <w:szCs w:val="24"/>
        </w:rPr>
      </w:pPr>
      <w:r>
        <w:t>6.质疑供应商为自然人的，质疑函应由本人签字；质疑供应商为法人或者其他组织的，质疑函应由法定代表人、主要负责人或者其被授权人签字或者盖章，并加盖公章。</w:t>
      </w:r>
    </w:p>
    <w:p w14:paraId="2959F718">
      <w:pPr>
        <w:spacing w:line="267" w:lineRule="auto"/>
      </w:pPr>
    </w:p>
    <w:p w14:paraId="3A4F6869">
      <w:pPr>
        <w:spacing w:line="267" w:lineRule="auto"/>
      </w:pPr>
    </w:p>
    <w:p w14:paraId="6D8631EA">
      <w:pPr>
        <w:spacing w:line="267" w:lineRule="auto"/>
      </w:pPr>
    </w:p>
    <w:p w14:paraId="490F6FFA">
      <w:pPr>
        <w:spacing w:line="267" w:lineRule="auto"/>
      </w:pPr>
    </w:p>
    <w:p w14:paraId="7221BF85">
      <w:pPr>
        <w:spacing w:line="267" w:lineRule="auto"/>
      </w:pPr>
    </w:p>
    <w:p w14:paraId="4E4C92B1">
      <w:pPr>
        <w:spacing w:line="267" w:lineRule="auto"/>
      </w:pPr>
    </w:p>
    <w:p w14:paraId="460A93DB">
      <w:pPr>
        <w:spacing w:line="267" w:lineRule="auto"/>
      </w:pPr>
    </w:p>
    <w:p w14:paraId="7F84EF83">
      <w:pPr>
        <w:spacing w:line="267" w:lineRule="auto"/>
      </w:pPr>
    </w:p>
    <w:p w14:paraId="6AFEC9E1">
      <w:pPr>
        <w:spacing w:line="267" w:lineRule="auto"/>
      </w:pPr>
    </w:p>
    <w:p w14:paraId="46F146E7">
      <w:pPr>
        <w:spacing w:line="267" w:lineRule="auto"/>
      </w:pPr>
    </w:p>
    <w:p w14:paraId="3E9E393E">
      <w:pPr>
        <w:spacing w:line="267" w:lineRule="auto"/>
      </w:pPr>
    </w:p>
    <w:p w14:paraId="362EDAC2">
      <w:pPr>
        <w:spacing w:line="267" w:lineRule="auto"/>
      </w:pPr>
    </w:p>
    <w:p w14:paraId="34A79BC5">
      <w:pPr>
        <w:spacing w:line="267" w:lineRule="auto"/>
      </w:pPr>
    </w:p>
    <w:p w14:paraId="21695349">
      <w:pPr>
        <w:spacing w:line="267" w:lineRule="auto"/>
      </w:pPr>
    </w:p>
    <w:p w14:paraId="2D92A4DC">
      <w:pPr>
        <w:spacing w:line="267" w:lineRule="auto"/>
      </w:pPr>
    </w:p>
    <w:p w14:paraId="2CB2016D">
      <w:pPr>
        <w:spacing w:line="267" w:lineRule="auto"/>
      </w:pPr>
    </w:p>
    <w:p w14:paraId="12B7AFF6">
      <w:pPr>
        <w:spacing w:line="267" w:lineRule="auto"/>
      </w:pPr>
    </w:p>
    <w:p w14:paraId="16AB18D8">
      <w:pPr>
        <w:spacing w:line="267" w:lineRule="auto"/>
      </w:pPr>
    </w:p>
    <w:p w14:paraId="3266CE77">
      <w:pPr>
        <w:spacing w:line="267" w:lineRule="auto"/>
      </w:pPr>
    </w:p>
    <w:p w14:paraId="3231E128">
      <w:pPr>
        <w:spacing w:line="267" w:lineRule="auto"/>
      </w:pPr>
    </w:p>
    <w:p w14:paraId="1D22056F">
      <w:pPr>
        <w:spacing w:line="267" w:lineRule="auto"/>
      </w:pPr>
    </w:p>
    <w:p w14:paraId="2FC8AE3F">
      <w:pPr>
        <w:spacing w:line="267" w:lineRule="auto"/>
      </w:pPr>
    </w:p>
    <w:p w14:paraId="652D117B">
      <w:pPr>
        <w:spacing w:line="267" w:lineRule="auto"/>
      </w:pPr>
    </w:p>
    <w:p w14:paraId="400EFA91">
      <w:pPr>
        <w:spacing w:line="267" w:lineRule="auto"/>
      </w:pPr>
    </w:p>
    <w:p w14:paraId="76A54340">
      <w:pPr>
        <w:spacing w:line="267" w:lineRule="auto"/>
      </w:pPr>
    </w:p>
    <w:p w14:paraId="67DF4BD2">
      <w:pPr>
        <w:spacing w:line="267" w:lineRule="auto"/>
      </w:pPr>
    </w:p>
    <w:p w14:paraId="43B0A27A">
      <w:pPr>
        <w:pStyle w:val="2"/>
        <w:bidi w:val="0"/>
        <w:rPr>
          <w:rFonts w:ascii="宋体" w:hAnsi="宋体" w:eastAsia="宋体" w:cs="宋体"/>
          <w:szCs w:val="30"/>
        </w:rPr>
      </w:pPr>
      <w:bookmarkStart w:id="11" w:name="_Toc28893"/>
      <w:r>
        <w:t>第三章</w:t>
      </w:r>
      <w:r>
        <w:rPr>
          <w:rFonts w:hint="eastAsia"/>
          <w:lang w:val="en-US" w:eastAsia="zh-CN"/>
        </w:rPr>
        <w:t xml:space="preserve">  </w:t>
      </w:r>
      <w:r>
        <w:t>响应文件格式</w:t>
      </w:r>
      <w:bookmarkEnd w:id="11"/>
    </w:p>
    <w:p w14:paraId="30FA8B0F">
      <w:pPr>
        <w:bidi w:val="0"/>
        <w:ind w:left="0" w:leftChars="0" w:firstLine="0" w:firstLineChars="0"/>
      </w:pPr>
      <w:r>
        <w:rPr>
          <w:b/>
          <w:bCs/>
          <w:u w:val="single"/>
        </w:rPr>
        <w:t>响应文件封面示例</w:t>
      </w:r>
    </w:p>
    <w:p w14:paraId="3BA35811">
      <w:pPr>
        <w:spacing w:line="245" w:lineRule="auto"/>
      </w:pPr>
    </w:p>
    <w:p w14:paraId="701715D7">
      <w:pPr>
        <w:spacing w:line="245" w:lineRule="auto"/>
      </w:pPr>
    </w:p>
    <w:p w14:paraId="23760853">
      <w:pPr>
        <w:spacing w:line="245" w:lineRule="auto"/>
      </w:pPr>
    </w:p>
    <w:p w14:paraId="36BEFE7B">
      <w:pPr>
        <w:spacing w:line="246" w:lineRule="auto"/>
      </w:pPr>
    </w:p>
    <w:p w14:paraId="119CEE39">
      <w:pPr>
        <w:spacing w:line="246" w:lineRule="auto"/>
      </w:pPr>
    </w:p>
    <w:p w14:paraId="2B8FD96A">
      <w:pPr>
        <w:spacing w:line="246" w:lineRule="auto"/>
      </w:pPr>
    </w:p>
    <w:p w14:paraId="67944985">
      <w:pPr>
        <w:spacing w:before="156" w:line="220" w:lineRule="auto"/>
        <w:ind w:left="0" w:leftChars="0" w:firstLine="0" w:firstLineChars="0"/>
        <w:jc w:val="center"/>
        <w:outlineLvl w:val="9"/>
        <w:rPr>
          <w:rFonts w:ascii="宋体" w:hAnsi="宋体" w:eastAsia="宋体" w:cs="宋体"/>
          <w:sz w:val="48"/>
          <w:szCs w:val="48"/>
        </w:rPr>
      </w:pPr>
      <w:r>
        <w:rPr>
          <w:rFonts w:ascii="宋体" w:hAnsi="宋体" w:eastAsia="宋体" w:cs="宋体"/>
          <w:b/>
          <w:bCs/>
          <w:spacing w:val="-9"/>
          <w:sz w:val="48"/>
          <w:szCs w:val="48"/>
        </w:rPr>
        <w:t>响应文件商务部分</w:t>
      </w:r>
    </w:p>
    <w:p w14:paraId="4E5F0CCC">
      <w:pPr>
        <w:bidi w:val="0"/>
      </w:pPr>
    </w:p>
    <w:p w14:paraId="44CEFDDE">
      <w:pPr>
        <w:bidi w:val="0"/>
      </w:pPr>
    </w:p>
    <w:p w14:paraId="61AB1F16">
      <w:pPr>
        <w:bidi w:val="0"/>
      </w:pPr>
    </w:p>
    <w:p w14:paraId="0A7DF47D">
      <w:pPr>
        <w:bidi w:val="0"/>
      </w:pPr>
    </w:p>
    <w:p w14:paraId="6AABC1E9">
      <w:pPr>
        <w:bidi w:val="0"/>
      </w:pPr>
    </w:p>
    <w:p w14:paraId="26852AFE">
      <w:pPr>
        <w:bidi w:val="0"/>
      </w:pPr>
    </w:p>
    <w:p w14:paraId="10AA5267">
      <w:pPr>
        <w:bidi w:val="0"/>
      </w:pPr>
    </w:p>
    <w:p w14:paraId="08232CD7">
      <w:pPr>
        <w:bidi w:val="0"/>
      </w:pPr>
    </w:p>
    <w:p w14:paraId="396C2EF3">
      <w:pPr>
        <w:bidi w:val="0"/>
      </w:pPr>
    </w:p>
    <w:p w14:paraId="7E1CEBC4">
      <w:pPr>
        <w:bidi w:val="0"/>
      </w:pPr>
    </w:p>
    <w:p w14:paraId="49526A52">
      <w:pPr>
        <w:bidi w:val="0"/>
      </w:pPr>
    </w:p>
    <w:p w14:paraId="203BA6B7">
      <w:pPr>
        <w:bidi w:val="0"/>
      </w:pPr>
    </w:p>
    <w:p w14:paraId="3253AF60">
      <w:pPr>
        <w:bidi w:val="0"/>
      </w:pPr>
    </w:p>
    <w:p w14:paraId="50AD72D2">
      <w:pPr>
        <w:bidi w:val="0"/>
        <w:ind w:left="0" w:leftChars="0" w:firstLine="0" w:firstLineChars="0"/>
      </w:pPr>
    </w:p>
    <w:p w14:paraId="0E118F19">
      <w:pPr>
        <w:bidi w:val="0"/>
      </w:pPr>
      <w:r>
        <w:t>项目名称：×××××</w:t>
      </w:r>
    </w:p>
    <w:p w14:paraId="7EB9206D">
      <w:pPr>
        <w:bidi w:val="0"/>
      </w:pPr>
      <w:r>
        <w:t>供应商名称：×××××（盖章）</w:t>
      </w:r>
    </w:p>
    <w:p w14:paraId="27F7874B">
      <w:pPr>
        <w:bidi w:val="0"/>
      </w:pPr>
      <w:r>
        <w:t>法定代表人：（签字或盖章）</w:t>
      </w:r>
    </w:p>
    <w:p w14:paraId="5EF60688">
      <w:pPr>
        <w:bidi w:val="0"/>
      </w:pPr>
      <w:r>
        <w:t>联系人：</w:t>
      </w:r>
    </w:p>
    <w:p w14:paraId="024A8A61">
      <w:pPr>
        <w:bidi w:val="0"/>
      </w:pPr>
      <w:r>
        <w:t>联系电话：</w:t>
      </w:r>
    </w:p>
    <w:p w14:paraId="03733C3A">
      <w:pPr>
        <w:bidi w:val="0"/>
      </w:pPr>
      <w:r>
        <w:t>联系地址：</w:t>
      </w:r>
    </w:p>
    <w:p w14:paraId="03A642F7">
      <w:pPr>
        <w:spacing w:line="242" w:lineRule="auto"/>
      </w:pPr>
    </w:p>
    <w:p w14:paraId="1369970E">
      <w:pPr>
        <w:spacing w:line="242" w:lineRule="auto"/>
      </w:pPr>
    </w:p>
    <w:p w14:paraId="353A9421">
      <w:pPr>
        <w:spacing w:line="243" w:lineRule="auto"/>
      </w:pPr>
    </w:p>
    <w:p w14:paraId="0810B54C">
      <w:pPr>
        <w:spacing w:line="243" w:lineRule="auto"/>
      </w:pPr>
    </w:p>
    <w:p w14:paraId="55ECA7D9">
      <w:pPr>
        <w:spacing w:line="243" w:lineRule="auto"/>
      </w:pPr>
    </w:p>
    <w:p w14:paraId="203209CB">
      <w:pPr>
        <w:bidi w:val="0"/>
        <w:jc w:val="center"/>
      </w:pPr>
      <w:r>
        <w:rPr>
          <w:b/>
          <w:bCs/>
        </w:rPr>
        <w:t>响应文件目录</w:t>
      </w:r>
    </w:p>
    <w:p w14:paraId="3358CDA8">
      <w:pPr>
        <w:spacing w:line="258" w:lineRule="auto"/>
      </w:pPr>
    </w:p>
    <w:p w14:paraId="45CDD7C5">
      <w:pPr>
        <w:bidi w:val="0"/>
      </w:pPr>
      <w:r>
        <w:t>（1）投标函；</w:t>
      </w:r>
    </w:p>
    <w:p w14:paraId="53C03A68">
      <w:pPr>
        <w:bidi w:val="0"/>
      </w:pPr>
      <w:r>
        <w:t>（2）身份证明书及授权书</w:t>
      </w:r>
    </w:p>
    <w:p w14:paraId="55E78199">
      <w:pPr>
        <w:bidi w:val="0"/>
      </w:pPr>
      <w:r>
        <w:t>（3）报价一览表</w:t>
      </w:r>
    </w:p>
    <w:p w14:paraId="6FAF7830">
      <w:pPr>
        <w:bidi w:val="0"/>
      </w:pPr>
      <w:r>
        <w:t>（4）供应商基本情况表</w:t>
      </w:r>
    </w:p>
    <w:p w14:paraId="14AD7F3F">
      <w:pPr>
        <w:bidi w:val="0"/>
      </w:pPr>
      <w:r>
        <w:t>（5）供应商类似项目业绩一览表</w:t>
      </w:r>
    </w:p>
    <w:p w14:paraId="30AA5481">
      <w:pPr>
        <w:bidi w:val="0"/>
      </w:pPr>
      <w:r>
        <w:t>（6）供应商本项目管理、服务、其他人员情况表</w:t>
      </w:r>
    </w:p>
    <w:p w14:paraId="62010664">
      <w:pPr>
        <w:bidi w:val="0"/>
      </w:pPr>
      <w:r>
        <w:t>（7）供应商资格证明文件及供应商认为需要提供的其他文件和资料</w:t>
      </w:r>
    </w:p>
    <w:p w14:paraId="363377A8">
      <w:pPr>
        <w:bidi w:val="0"/>
      </w:pPr>
      <w:r>
        <w:t>（8）保证金缴纳银行回执</w:t>
      </w:r>
    </w:p>
    <w:p w14:paraId="301F0CBC">
      <w:pPr>
        <w:bidi w:val="0"/>
      </w:pPr>
    </w:p>
    <w:p w14:paraId="6E1D45ED">
      <w:pPr>
        <w:bidi w:val="0"/>
      </w:pPr>
    </w:p>
    <w:p w14:paraId="787012A6">
      <w:pPr>
        <w:bidi w:val="0"/>
      </w:pPr>
      <w:r>
        <w:t>注：为了便于查找，请按上述顺序编排响应文件内容，并在目录中标明每项内容的起始页码。未提供格式的，由供应商自行编制。</w:t>
      </w:r>
    </w:p>
    <w:p w14:paraId="1F444E30">
      <w:pPr>
        <w:spacing w:line="248" w:lineRule="auto"/>
      </w:pPr>
    </w:p>
    <w:p w14:paraId="62F8180F">
      <w:pPr>
        <w:spacing w:line="248" w:lineRule="auto"/>
      </w:pPr>
    </w:p>
    <w:p w14:paraId="2DE67F0A">
      <w:pPr>
        <w:spacing w:line="248" w:lineRule="auto"/>
      </w:pPr>
    </w:p>
    <w:p w14:paraId="0CDD4D41">
      <w:pPr>
        <w:spacing w:line="248" w:lineRule="auto"/>
      </w:pPr>
    </w:p>
    <w:p w14:paraId="00F85092">
      <w:pPr>
        <w:spacing w:line="248" w:lineRule="auto"/>
      </w:pPr>
    </w:p>
    <w:p w14:paraId="7F45E9C5">
      <w:pPr>
        <w:spacing w:line="248" w:lineRule="auto"/>
      </w:pPr>
    </w:p>
    <w:p w14:paraId="7575AC10">
      <w:pPr>
        <w:spacing w:line="248" w:lineRule="auto"/>
      </w:pPr>
    </w:p>
    <w:p w14:paraId="35700F05">
      <w:pPr>
        <w:spacing w:line="248" w:lineRule="auto"/>
      </w:pPr>
    </w:p>
    <w:p w14:paraId="701ADD40">
      <w:pPr>
        <w:spacing w:line="248" w:lineRule="auto"/>
      </w:pPr>
    </w:p>
    <w:p w14:paraId="6C8A8E88">
      <w:pPr>
        <w:spacing w:line="248" w:lineRule="auto"/>
      </w:pPr>
    </w:p>
    <w:p w14:paraId="109BA26B">
      <w:pPr>
        <w:spacing w:line="248" w:lineRule="auto"/>
      </w:pPr>
    </w:p>
    <w:p w14:paraId="5F774659">
      <w:pPr>
        <w:spacing w:line="248" w:lineRule="auto"/>
      </w:pPr>
    </w:p>
    <w:p w14:paraId="6AA5F38B">
      <w:pPr>
        <w:spacing w:line="248" w:lineRule="auto"/>
      </w:pPr>
    </w:p>
    <w:p w14:paraId="41B6F6DD">
      <w:pPr>
        <w:spacing w:line="248" w:lineRule="auto"/>
      </w:pPr>
    </w:p>
    <w:p w14:paraId="4CF01D12">
      <w:pPr>
        <w:spacing w:line="248" w:lineRule="auto"/>
      </w:pPr>
    </w:p>
    <w:p w14:paraId="0D30D19F">
      <w:pPr>
        <w:spacing w:line="248" w:lineRule="auto"/>
      </w:pPr>
    </w:p>
    <w:p w14:paraId="01D33B00">
      <w:pPr>
        <w:spacing w:line="248" w:lineRule="auto"/>
      </w:pPr>
    </w:p>
    <w:p w14:paraId="2B06FB1C">
      <w:pPr>
        <w:spacing w:line="248" w:lineRule="auto"/>
      </w:pPr>
    </w:p>
    <w:p w14:paraId="65E0D434">
      <w:pPr>
        <w:spacing w:line="248" w:lineRule="auto"/>
      </w:pPr>
    </w:p>
    <w:p w14:paraId="428788D6">
      <w:pPr>
        <w:spacing w:line="248" w:lineRule="auto"/>
      </w:pPr>
    </w:p>
    <w:p w14:paraId="09FF6A8A">
      <w:pPr>
        <w:spacing w:line="248" w:lineRule="auto"/>
      </w:pPr>
    </w:p>
    <w:p w14:paraId="535E95FD">
      <w:pPr>
        <w:spacing w:line="248" w:lineRule="auto"/>
      </w:pPr>
    </w:p>
    <w:p w14:paraId="2E830340">
      <w:pPr>
        <w:spacing w:line="248" w:lineRule="auto"/>
      </w:pPr>
    </w:p>
    <w:p w14:paraId="7B784383">
      <w:pPr>
        <w:spacing w:line="248" w:lineRule="auto"/>
      </w:pPr>
    </w:p>
    <w:p w14:paraId="10EF5536">
      <w:pPr>
        <w:spacing w:line="248" w:lineRule="auto"/>
      </w:pPr>
    </w:p>
    <w:p w14:paraId="605B3888">
      <w:pPr>
        <w:spacing w:line="248" w:lineRule="auto"/>
      </w:pPr>
    </w:p>
    <w:p w14:paraId="078DF0D7">
      <w:pPr>
        <w:spacing w:line="248" w:lineRule="auto"/>
      </w:pPr>
    </w:p>
    <w:p w14:paraId="58A259BE">
      <w:pPr>
        <w:pStyle w:val="3"/>
        <w:bidi w:val="0"/>
      </w:pPr>
      <w:bookmarkStart w:id="12" w:name="_Toc22328"/>
      <w:r>
        <w:t>一、投标函</w:t>
      </w:r>
      <w:bookmarkEnd w:id="12"/>
    </w:p>
    <w:p w14:paraId="39C2A066">
      <w:pPr>
        <w:bidi w:val="0"/>
      </w:pPr>
      <w:r>
        <w:t>（采购代理机构名称）：</w:t>
      </w:r>
    </w:p>
    <w:p w14:paraId="37C7B321">
      <w:pPr>
        <w:bidi w:val="0"/>
      </w:pPr>
      <w:r>
        <w:t>我方全面研究了“</w:t>
      </w:r>
      <w:r>
        <w:rPr>
          <w:u w:val="single"/>
        </w:rPr>
        <w:t>（项目名称、采购编号）</w:t>
      </w:r>
      <w:r>
        <w:t>”项目采购文件，决定参加贵单位组织的本项目投标。我方授权</w:t>
      </w:r>
      <w:r>
        <w:rPr>
          <w:u w:val="single"/>
        </w:rPr>
        <w:t>（姓名、职务）</w:t>
      </w:r>
      <w:r>
        <w:t>代表我方</w:t>
      </w:r>
      <w:r>
        <w:rPr>
          <w:u w:val="single"/>
        </w:rPr>
        <w:t>（供应商单位的名称）</w:t>
      </w:r>
      <w:r>
        <w:t>全权处理本项目投标的有关事宜。</w:t>
      </w:r>
    </w:p>
    <w:p w14:paraId="7263219E">
      <w:pPr>
        <w:bidi w:val="0"/>
      </w:pPr>
      <w:r>
        <w:t>1、我方自愿按照磋商文件规定的各项要求向采购人提供所需服务，总报价为</w:t>
      </w:r>
      <w:r>
        <w:rPr>
          <w:u w:val="single"/>
        </w:rPr>
        <w:t>人民币</w:t>
      </w:r>
      <w:r>
        <w:rPr>
          <w:rFonts w:hint="eastAsia"/>
          <w:u w:val="single"/>
          <w:lang w:val="en-US" w:eastAsia="zh-CN"/>
        </w:rPr>
        <w:t xml:space="preserve">           </w:t>
      </w:r>
      <w:r>
        <w:rPr>
          <w:u w:val="single"/>
        </w:rPr>
        <w:t>元（大写：）</w:t>
      </w:r>
      <w:r>
        <w:t>，投标有效期</w:t>
      </w:r>
      <w:r>
        <w:rPr>
          <w:rFonts w:hint="eastAsia"/>
          <w:u w:val="single"/>
          <w:lang w:val="en-US" w:eastAsia="zh-CN"/>
        </w:rPr>
        <w:t xml:space="preserve"> </w:t>
      </w:r>
      <w:r>
        <w:rPr>
          <w:b w:val="0"/>
          <w:bCs w:val="0"/>
          <w:u w:val="single"/>
        </w:rPr>
        <w:t>90</w:t>
      </w:r>
      <w:r>
        <w:rPr>
          <w:rFonts w:hint="eastAsia"/>
          <w:b w:val="0"/>
          <w:bCs w:val="0"/>
          <w:u w:val="single"/>
          <w:lang w:val="en-US" w:eastAsia="zh-CN"/>
        </w:rPr>
        <w:t xml:space="preserve"> </w:t>
      </w:r>
      <w:r>
        <w:t>日历天。</w:t>
      </w:r>
    </w:p>
    <w:p w14:paraId="24FF7F66">
      <w:pPr>
        <w:bidi w:val="0"/>
      </w:pPr>
      <w:r>
        <w:t>2、一旦我方成交，我方将严格履行合同规定的责任和义务，并交付采购人验收、使用。</w:t>
      </w:r>
    </w:p>
    <w:p w14:paraId="5B10B667">
      <w:pPr>
        <w:bidi w:val="0"/>
      </w:pPr>
      <w:r>
        <w:t>3、我方同意按照磋商文件的要求，向贵单位交纳</w:t>
      </w:r>
      <w:r>
        <w:rPr>
          <w:u w:val="single"/>
        </w:rPr>
        <w:t>人民币</w:t>
      </w:r>
      <w:r>
        <w:rPr>
          <w:rFonts w:hint="eastAsia"/>
          <w:u w:val="single"/>
          <w:lang w:val="en-US" w:eastAsia="zh-CN"/>
        </w:rPr>
        <w:t xml:space="preserve">         </w:t>
      </w:r>
      <w:r>
        <w:rPr>
          <w:u w:val="single"/>
        </w:rPr>
        <w:t>元（大写：</w:t>
      </w:r>
      <w:r>
        <w:rPr>
          <w:rFonts w:hint="eastAsia"/>
          <w:u w:val="single"/>
          <w:lang w:val="en-US" w:eastAsia="zh-CN"/>
        </w:rPr>
        <w:t xml:space="preserve">   </w:t>
      </w:r>
      <w:r>
        <w:rPr>
          <w:u w:val="single"/>
        </w:rPr>
        <w:t>）</w:t>
      </w:r>
      <w:r>
        <w:t>的投标保证金。并承诺：下列任何情况发生时，我方将不要求退还投标保证金：</w:t>
      </w:r>
    </w:p>
    <w:p w14:paraId="7D0C5E79">
      <w:pPr>
        <w:bidi w:val="0"/>
      </w:pPr>
      <w:r>
        <w:t>（1）如果我方在投标有效期内撤回投标；</w:t>
      </w:r>
    </w:p>
    <w:p w14:paraId="607CD82F">
      <w:pPr>
        <w:bidi w:val="0"/>
      </w:pPr>
      <w:r>
        <w:t>（2）我方提供了虚假响应采购文件的响应文件；</w:t>
      </w:r>
    </w:p>
    <w:p w14:paraId="60342589">
      <w:pPr>
        <w:bidi w:val="0"/>
      </w:pPr>
      <w:r>
        <w:t>（3）在投标过程中有违规违纪行为；</w:t>
      </w:r>
    </w:p>
    <w:p w14:paraId="3A1BB9F1">
      <w:pPr>
        <w:bidi w:val="0"/>
      </w:pPr>
      <w:r>
        <w:t>（4）我方在投标有效期内收到成交通知书后，由于我方原因未能按照磋商文件要求提交履约保证金或与采购人签订并履行合同。</w:t>
      </w:r>
    </w:p>
    <w:p w14:paraId="3EC316E5">
      <w:pPr>
        <w:bidi w:val="0"/>
      </w:pPr>
      <w:r>
        <w:t>4、我方为本项目提交的响应文件满足磋商文件供应商须知前附表要求。</w:t>
      </w:r>
    </w:p>
    <w:p w14:paraId="09581B79">
      <w:pPr>
        <w:bidi w:val="0"/>
      </w:pPr>
      <w:r>
        <w:t>5、我方愿意提供采购人可能另外要求的，与投标有关的文件资料，并保证我方已提供和将要提供的文件资料是真实、准确的。</w:t>
      </w:r>
    </w:p>
    <w:p w14:paraId="64EB5BC2">
      <w:pPr>
        <w:bidi w:val="0"/>
      </w:pPr>
      <w:r>
        <w:t>6、我方承诺：采购人在使用我方提供的服务时，不存在任何已知的不合法的情形，也不存在任何已知的与第三方专利权、著作权、商标权或工业设计权相关的任何争议。如果有任何因采购人使用我方提供的服务而提起的侵权指控，我公司将依法承担全部责任。</w:t>
      </w:r>
    </w:p>
    <w:p w14:paraId="6629A0FC">
      <w:pPr>
        <w:bidi w:val="0"/>
      </w:pPr>
      <w:r>
        <w:t>7、我方承诺：我方提供的响应文件中资料文件及相关陈述全部是真实、准确的，若有违背，我方将承担由此造成的一切后果（承担采购人及采购代理机构的经济损失并同意保证金被扣除）。</w:t>
      </w:r>
    </w:p>
    <w:p w14:paraId="193F2E7B">
      <w:pPr>
        <w:bidi w:val="0"/>
      </w:pPr>
      <w:r>
        <w:t>8、我方承诺：本次采购项目我方与采购人、采购代理机构以及其他供应商之间不存在任何关联关系。</w:t>
      </w:r>
    </w:p>
    <w:p w14:paraId="4B50F0D6">
      <w:pPr>
        <w:bidi w:val="0"/>
      </w:pPr>
      <w:r>
        <w:t>9、我方完全理解采购人不一定将合同授予最低报价的供应商的行为。</w:t>
      </w:r>
    </w:p>
    <w:p w14:paraId="1B0019E2">
      <w:pPr>
        <w:bidi w:val="0"/>
      </w:pPr>
      <w:r>
        <w:t>10、若我方获得成交供应商，我方保证按前附表规定向采购代理机构支付代理服务费。</w:t>
      </w:r>
    </w:p>
    <w:p w14:paraId="2F900D9E">
      <w:pPr>
        <w:bidi w:val="0"/>
      </w:pPr>
      <w:r>
        <w:t>供应商名称：（盖章）</w:t>
      </w:r>
    </w:p>
    <w:p w14:paraId="4026D857">
      <w:pPr>
        <w:bidi w:val="0"/>
      </w:pPr>
      <w:r>
        <w:t>法定代表人或授权代表（签字或盖章）：</w:t>
      </w:r>
    </w:p>
    <w:p w14:paraId="5A2DC30D">
      <w:pPr>
        <w:bidi w:val="0"/>
      </w:pPr>
      <w:r>
        <w:t>日期：</w:t>
      </w:r>
    </w:p>
    <w:p w14:paraId="346D5B07">
      <w:pPr>
        <w:spacing w:line="265" w:lineRule="auto"/>
      </w:pPr>
    </w:p>
    <w:p w14:paraId="61228FAB">
      <w:pPr>
        <w:spacing w:line="265" w:lineRule="auto"/>
      </w:pPr>
    </w:p>
    <w:p w14:paraId="5EB843C5">
      <w:pPr>
        <w:spacing w:line="265" w:lineRule="auto"/>
      </w:pPr>
    </w:p>
    <w:p w14:paraId="069BF9AF">
      <w:pPr>
        <w:spacing w:line="265" w:lineRule="auto"/>
      </w:pPr>
    </w:p>
    <w:p w14:paraId="4FB86D0C">
      <w:pPr>
        <w:spacing w:line="265" w:lineRule="auto"/>
      </w:pPr>
    </w:p>
    <w:p w14:paraId="4F124419">
      <w:pPr>
        <w:spacing w:line="265" w:lineRule="auto"/>
      </w:pPr>
    </w:p>
    <w:p w14:paraId="39A5B436">
      <w:pPr>
        <w:spacing w:line="265" w:lineRule="auto"/>
      </w:pPr>
    </w:p>
    <w:p w14:paraId="5573193B">
      <w:pPr>
        <w:spacing w:line="265" w:lineRule="auto"/>
      </w:pPr>
    </w:p>
    <w:p w14:paraId="63183F01">
      <w:pPr>
        <w:spacing w:line="265" w:lineRule="auto"/>
      </w:pPr>
    </w:p>
    <w:p w14:paraId="6BBF965B">
      <w:pPr>
        <w:spacing w:line="265" w:lineRule="auto"/>
      </w:pPr>
    </w:p>
    <w:p w14:paraId="7970E945">
      <w:pPr>
        <w:spacing w:line="265" w:lineRule="auto"/>
      </w:pPr>
    </w:p>
    <w:p w14:paraId="6FDE6F0D">
      <w:pPr>
        <w:spacing w:line="265" w:lineRule="auto"/>
      </w:pPr>
    </w:p>
    <w:p w14:paraId="02B32CE5">
      <w:pPr>
        <w:spacing w:line="265" w:lineRule="auto"/>
      </w:pPr>
    </w:p>
    <w:p w14:paraId="699951D2">
      <w:pPr>
        <w:spacing w:line="265" w:lineRule="auto"/>
      </w:pPr>
    </w:p>
    <w:p w14:paraId="2FC792DD">
      <w:pPr>
        <w:spacing w:line="265" w:lineRule="auto"/>
      </w:pPr>
    </w:p>
    <w:p w14:paraId="127700E7">
      <w:pPr>
        <w:spacing w:line="265" w:lineRule="auto"/>
      </w:pPr>
    </w:p>
    <w:p w14:paraId="06FAE7E9">
      <w:pPr>
        <w:spacing w:line="265" w:lineRule="auto"/>
      </w:pPr>
    </w:p>
    <w:p w14:paraId="0C843035">
      <w:pPr>
        <w:spacing w:line="265" w:lineRule="auto"/>
      </w:pPr>
    </w:p>
    <w:p w14:paraId="500CAFAA">
      <w:pPr>
        <w:spacing w:line="265" w:lineRule="auto"/>
      </w:pPr>
    </w:p>
    <w:p w14:paraId="5F35985B">
      <w:pPr>
        <w:spacing w:line="265" w:lineRule="auto"/>
      </w:pPr>
    </w:p>
    <w:p w14:paraId="2029A031">
      <w:pPr>
        <w:spacing w:line="265" w:lineRule="auto"/>
      </w:pPr>
    </w:p>
    <w:p w14:paraId="50560F17">
      <w:pPr>
        <w:spacing w:line="265" w:lineRule="auto"/>
      </w:pPr>
    </w:p>
    <w:p w14:paraId="5AB66ABB">
      <w:pPr>
        <w:spacing w:line="265" w:lineRule="auto"/>
      </w:pPr>
    </w:p>
    <w:p w14:paraId="45E82C7C">
      <w:pPr>
        <w:spacing w:line="265" w:lineRule="auto"/>
      </w:pPr>
    </w:p>
    <w:p w14:paraId="653539F8">
      <w:pPr>
        <w:spacing w:line="265" w:lineRule="auto"/>
      </w:pPr>
    </w:p>
    <w:p w14:paraId="3E1FD1C3">
      <w:pPr>
        <w:spacing w:line="265" w:lineRule="auto"/>
      </w:pPr>
    </w:p>
    <w:p w14:paraId="2CAC258A">
      <w:pPr>
        <w:spacing w:line="265" w:lineRule="auto"/>
      </w:pPr>
    </w:p>
    <w:p w14:paraId="1503974B">
      <w:pPr>
        <w:spacing w:line="265" w:lineRule="auto"/>
      </w:pPr>
    </w:p>
    <w:p w14:paraId="36604A48">
      <w:pPr>
        <w:spacing w:line="265" w:lineRule="auto"/>
      </w:pPr>
    </w:p>
    <w:p w14:paraId="626FB8B6">
      <w:pPr>
        <w:spacing w:line="265" w:lineRule="auto"/>
      </w:pPr>
    </w:p>
    <w:p w14:paraId="37A5E72F">
      <w:pPr>
        <w:spacing w:line="265" w:lineRule="auto"/>
      </w:pPr>
    </w:p>
    <w:p w14:paraId="730C9271">
      <w:pPr>
        <w:spacing w:line="265" w:lineRule="auto"/>
      </w:pPr>
    </w:p>
    <w:p w14:paraId="02149791">
      <w:pPr>
        <w:spacing w:line="265" w:lineRule="auto"/>
      </w:pPr>
    </w:p>
    <w:p w14:paraId="5BDD6EC5">
      <w:pPr>
        <w:spacing w:line="265" w:lineRule="auto"/>
      </w:pPr>
    </w:p>
    <w:p w14:paraId="3954DA34">
      <w:pPr>
        <w:spacing w:line="265" w:lineRule="auto"/>
      </w:pPr>
    </w:p>
    <w:p w14:paraId="46F6B9F4">
      <w:pPr>
        <w:spacing w:line="265" w:lineRule="auto"/>
      </w:pPr>
    </w:p>
    <w:p w14:paraId="261F5476">
      <w:pPr>
        <w:spacing w:line="265" w:lineRule="auto"/>
      </w:pPr>
    </w:p>
    <w:p w14:paraId="198286F8">
      <w:pPr>
        <w:spacing w:line="265" w:lineRule="auto"/>
        <w:ind w:left="0" w:leftChars="0" w:firstLine="0" w:firstLineChars="0"/>
      </w:pPr>
    </w:p>
    <w:p w14:paraId="0FF32A3A">
      <w:pPr>
        <w:pStyle w:val="3"/>
        <w:bidi w:val="0"/>
        <w:rPr>
          <w:rFonts w:ascii="宋体" w:hAnsi="宋体" w:eastAsia="宋体" w:cs="宋体"/>
          <w:szCs w:val="24"/>
        </w:rPr>
      </w:pPr>
      <w:bookmarkStart w:id="13" w:name="_Toc21398"/>
      <w:r>
        <w:t>二、身份证明书及授权书</w:t>
      </w:r>
      <w:bookmarkEnd w:id="13"/>
    </w:p>
    <w:p w14:paraId="6A6F1ECF">
      <w:pPr>
        <w:bidi w:val="0"/>
        <w:ind w:left="0" w:leftChars="0" w:firstLine="0" w:firstLineChars="0"/>
        <w:jc w:val="center"/>
      </w:pPr>
      <w:r>
        <w:rPr>
          <w:b/>
          <w:bCs/>
          <w:sz w:val="28"/>
          <w:szCs w:val="28"/>
        </w:rPr>
        <w:t>法定代表人身份证明书</w:t>
      </w:r>
    </w:p>
    <w:p w14:paraId="7302F46C">
      <w:pPr>
        <w:bidi w:val="0"/>
      </w:pPr>
      <w:r>
        <w:t>单位名称：</w:t>
      </w:r>
      <w:r>
        <w:rPr>
          <w:rFonts w:hint="eastAsia"/>
          <w:u w:val="single"/>
          <w:lang w:val="en-US" w:eastAsia="zh-CN"/>
        </w:rPr>
        <w:t xml:space="preserve">                                               </w:t>
      </w:r>
    </w:p>
    <w:p w14:paraId="7163CAA3">
      <w:pPr>
        <w:bidi w:val="0"/>
      </w:pPr>
      <w:r>
        <w:t>地址：</w:t>
      </w:r>
      <w:r>
        <w:rPr>
          <w:rFonts w:hint="eastAsia"/>
          <w:u w:val="single"/>
          <w:lang w:val="en-US" w:eastAsia="zh-CN"/>
        </w:rPr>
        <w:t xml:space="preserve">                                                       </w:t>
      </w:r>
    </w:p>
    <w:p w14:paraId="73BA4A8F">
      <w:pPr>
        <w:bidi w:val="0"/>
        <w:rPr>
          <w:b w:val="0"/>
          <w:bCs w:val="0"/>
        </w:rPr>
      </w:pPr>
      <w:r>
        <w:t>姓名：</w:t>
      </w:r>
      <w:r>
        <w:rPr>
          <w:rFonts w:hint="eastAsia"/>
          <w:lang w:val="en-US" w:eastAsia="zh-CN"/>
        </w:rPr>
        <w:t xml:space="preserve"> </w:t>
      </w:r>
      <w:r>
        <w:rPr>
          <w:rFonts w:hint="eastAsia"/>
          <w:u w:val="single"/>
          <w:lang w:val="en-US" w:eastAsia="zh-CN"/>
        </w:rPr>
        <w:t xml:space="preserve">             </w:t>
      </w:r>
      <w:r>
        <w:rPr>
          <w:rFonts w:hint="eastAsia"/>
          <w:lang w:val="en-US" w:eastAsia="zh-CN"/>
        </w:rPr>
        <w:t xml:space="preserve"> </w:t>
      </w:r>
      <w:r>
        <w:t>性别：</w:t>
      </w:r>
      <w:r>
        <w:rPr>
          <w:rFonts w:hint="eastAsia"/>
          <w:u w:val="single"/>
          <w:lang w:val="en-US" w:eastAsia="zh-CN"/>
        </w:rPr>
        <w:t xml:space="preserve">             </w:t>
      </w:r>
      <w:r>
        <w:rPr>
          <w:rFonts w:hint="eastAsia"/>
          <w:lang w:val="en-US" w:eastAsia="zh-CN"/>
        </w:rPr>
        <w:t xml:space="preserve">  </w:t>
      </w:r>
      <w:r>
        <w:t>年龄：</w:t>
      </w:r>
      <w:r>
        <w:rPr>
          <w:rFonts w:hint="eastAsia"/>
          <w:u w:val="single"/>
          <w:lang w:val="en-US" w:eastAsia="zh-CN"/>
        </w:rPr>
        <w:t xml:space="preserve">             </w:t>
      </w:r>
      <w:r>
        <w:rPr>
          <w:rFonts w:hint="eastAsia"/>
          <w:lang w:val="en-US" w:eastAsia="zh-CN"/>
        </w:rPr>
        <w:t xml:space="preserve">  </w:t>
      </w:r>
      <w:r>
        <w:t>职务：</w:t>
      </w:r>
      <w:r>
        <w:rPr>
          <w:rFonts w:hint="eastAsia"/>
          <w:u w:val="single"/>
          <w:lang w:val="en-US" w:eastAsia="zh-CN"/>
        </w:rPr>
        <w:t xml:space="preserve">             </w:t>
      </w:r>
    </w:p>
    <w:p w14:paraId="227F2AF3">
      <w:pPr>
        <w:bidi w:val="0"/>
      </w:pPr>
      <w:r>
        <w:t>身份证号码：</w:t>
      </w:r>
      <w:r>
        <w:rPr>
          <w:rFonts w:hint="eastAsia"/>
          <w:u w:val="single"/>
          <w:lang w:val="en-US" w:eastAsia="zh-CN"/>
        </w:rPr>
        <w:t xml:space="preserve">                                           </w:t>
      </w:r>
    </w:p>
    <w:p w14:paraId="386F6973">
      <w:pPr>
        <w:bidi w:val="0"/>
      </w:pPr>
      <w:r>
        <w:t>系</w:t>
      </w:r>
      <w:r>
        <w:rPr>
          <w:rFonts w:hint="eastAsia"/>
          <w:u w:val="single"/>
          <w:lang w:val="en-US" w:eastAsia="zh-CN"/>
        </w:rPr>
        <w:t xml:space="preserve">                              </w:t>
      </w:r>
      <w:r>
        <w:t>的法定代表人。为服务</w:t>
      </w:r>
      <w:r>
        <w:rPr>
          <w:rFonts w:hint="eastAsia"/>
          <w:u w:val="single"/>
          <w:lang w:val="en-US" w:eastAsia="zh-CN"/>
        </w:rPr>
        <w:t xml:space="preserve">     </w:t>
      </w:r>
      <w:r>
        <w:rPr>
          <w:u w:val="single"/>
        </w:rPr>
        <w:t>（采购项目名称）</w:t>
      </w:r>
      <w:r>
        <w:rPr>
          <w:rFonts w:hint="eastAsia"/>
          <w:u w:val="single"/>
          <w:lang w:val="en-US" w:eastAsia="zh-CN"/>
        </w:rPr>
        <w:t xml:space="preserve">   </w:t>
      </w:r>
      <w:r>
        <w:t>，签署上述响应文件、进行合同谈判、签署合同和处理与之有关的一切事务。</w:t>
      </w:r>
    </w:p>
    <w:p w14:paraId="4A01F516">
      <w:pPr>
        <w:bidi w:val="0"/>
      </w:pPr>
      <w:r>
        <w:t>特此证明。</w:t>
      </w:r>
    </w:p>
    <w:p w14:paraId="6D6B57EA">
      <w:pPr>
        <w:bidi w:val="0"/>
      </w:pPr>
    </w:p>
    <w:p w14:paraId="3108DB6B">
      <w:pPr>
        <w:bidi w:val="0"/>
      </w:pPr>
      <w:r>
        <w:t>附法人身份证扫描件</w:t>
      </w:r>
    </w:p>
    <w:p w14:paraId="44678A08">
      <w:pPr>
        <w:bidi w:val="0"/>
      </w:pPr>
      <w:r>
        <w:rPr>
          <w:b/>
          <w:bCs/>
        </w:rPr>
        <w:t>法人身份证正反面复印件：</w:t>
      </w:r>
    </w:p>
    <w:p w14:paraId="1536F783">
      <w:pPr>
        <w:spacing w:line="220" w:lineRule="exact"/>
        <w:rPr>
          <w:sz w:val="19"/>
        </w:rPr>
      </w:pPr>
    </w:p>
    <w:p w14:paraId="70310BAE">
      <w:pPr>
        <w:spacing w:line="248" w:lineRule="auto"/>
      </w:pPr>
    </w:p>
    <w:p w14:paraId="66E8FCE7">
      <w:pPr>
        <w:spacing w:line="248" w:lineRule="auto"/>
      </w:pPr>
    </w:p>
    <w:p w14:paraId="272F102C">
      <w:pPr>
        <w:spacing w:line="248" w:lineRule="auto"/>
      </w:pPr>
    </w:p>
    <w:p w14:paraId="3C42795F">
      <w:pPr>
        <w:spacing w:line="248" w:lineRule="auto"/>
      </w:pPr>
    </w:p>
    <w:p w14:paraId="1F8A51CD">
      <w:pPr>
        <w:spacing w:line="248" w:lineRule="auto"/>
      </w:pPr>
    </w:p>
    <w:p w14:paraId="40E98219">
      <w:pPr>
        <w:spacing w:line="248" w:lineRule="auto"/>
      </w:pPr>
    </w:p>
    <w:p w14:paraId="581CEDB7">
      <w:pPr>
        <w:spacing w:line="248" w:lineRule="auto"/>
      </w:pPr>
    </w:p>
    <w:p w14:paraId="170B9AE1">
      <w:pPr>
        <w:spacing w:line="248" w:lineRule="auto"/>
      </w:pPr>
    </w:p>
    <w:p w14:paraId="70A45B48">
      <w:pPr>
        <w:spacing w:line="248" w:lineRule="auto"/>
      </w:pPr>
    </w:p>
    <w:p w14:paraId="697BD886">
      <w:pPr>
        <w:spacing w:line="248" w:lineRule="auto"/>
      </w:pPr>
    </w:p>
    <w:p w14:paraId="1591763E">
      <w:pPr>
        <w:spacing w:line="248" w:lineRule="auto"/>
      </w:pPr>
    </w:p>
    <w:p w14:paraId="7C5145E0">
      <w:pPr>
        <w:spacing w:line="248" w:lineRule="auto"/>
      </w:pPr>
    </w:p>
    <w:p w14:paraId="6690FEE2">
      <w:pPr>
        <w:wordWrap/>
        <w:bidi w:val="0"/>
        <w:jc w:val="left"/>
      </w:pPr>
      <w:r>
        <w:t>投标单位：（公章）</w:t>
      </w:r>
    </w:p>
    <w:p w14:paraId="3EC361C8">
      <w:pPr>
        <w:spacing w:line="248" w:lineRule="auto"/>
      </w:pPr>
      <w:r>
        <w:t>日期：年月日</w:t>
      </w:r>
    </w:p>
    <w:p w14:paraId="34910E64">
      <w:pPr>
        <w:spacing w:line="248" w:lineRule="auto"/>
      </w:pPr>
    </w:p>
    <w:p w14:paraId="64EF48C6">
      <w:pPr>
        <w:spacing w:line="248" w:lineRule="auto"/>
      </w:pPr>
    </w:p>
    <w:p w14:paraId="248B9ED5">
      <w:pPr>
        <w:spacing w:line="248" w:lineRule="auto"/>
      </w:pPr>
    </w:p>
    <w:p w14:paraId="7C51B912">
      <w:pPr>
        <w:spacing w:line="248" w:lineRule="auto"/>
      </w:pPr>
    </w:p>
    <w:p w14:paraId="562D342C">
      <w:pPr>
        <w:spacing w:line="248" w:lineRule="auto"/>
      </w:pPr>
    </w:p>
    <w:p w14:paraId="395DC1F6">
      <w:pPr>
        <w:spacing w:line="248" w:lineRule="auto"/>
      </w:pPr>
    </w:p>
    <w:p w14:paraId="38EC3656">
      <w:pPr>
        <w:spacing w:line="248" w:lineRule="auto"/>
      </w:pPr>
    </w:p>
    <w:p w14:paraId="13BB7067">
      <w:pPr>
        <w:spacing w:line="248" w:lineRule="auto"/>
      </w:pPr>
    </w:p>
    <w:p w14:paraId="4BE9E75A">
      <w:pPr>
        <w:spacing w:line="248" w:lineRule="auto"/>
      </w:pPr>
    </w:p>
    <w:p w14:paraId="549E0467">
      <w:pPr>
        <w:spacing w:line="248" w:lineRule="auto"/>
      </w:pPr>
    </w:p>
    <w:p w14:paraId="6E52A036">
      <w:pPr>
        <w:spacing w:line="248" w:lineRule="auto"/>
      </w:pPr>
    </w:p>
    <w:p w14:paraId="4CF647B7">
      <w:pPr>
        <w:spacing w:line="248" w:lineRule="auto"/>
      </w:pPr>
    </w:p>
    <w:p w14:paraId="4F905203">
      <w:pPr>
        <w:spacing w:line="248" w:lineRule="auto"/>
      </w:pPr>
    </w:p>
    <w:p w14:paraId="39A343C8">
      <w:pPr>
        <w:spacing w:line="249" w:lineRule="auto"/>
        <w:ind w:left="0" w:leftChars="0" w:firstLine="0" w:firstLineChars="0"/>
      </w:pPr>
    </w:p>
    <w:p w14:paraId="00632F5F">
      <w:pPr>
        <w:bidi w:val="0"/>
        <w:ind w:left="0" w:leftChars="0" w:firstLine="0" w:firstLineChars="0"/>
        <w:jc w:val="center"/>
      </w:pPr>
      <w:r>
        <w:rPr>
          <w:rFonts w:ascii="宋体" w:hAnsi="宋体" w:eastAsia="宋体" w:cs="宋体"/>
          <w:b/>
          <w:bCs/>
          <w:spacing w:val="-3"/>
          <w:sz w:val="28"/>
          <w:szCs w:val="28"/>
        </w:rPr>
        <w:t>法定代表人授权书</w:t>
      </w:r>
    </w:p>
    <w:p w14:paraId="652F40EA">
      <w:pPr>
        <w:bidi w:val="0"/>
        <w:ind w:left="0" w:leftChars="0" w:firstLine="0" w:firstLineChars="0"/>
      </w:pPr>
      <w:r>
        <w:rPr>
          <w:u w:val="single"/>
        </w:rPr>
        <w:tab/>
      </w:r>
      <w:r>
        <w:rPr>
          <w:u w:val="single"/>
        </w:rPr>
        <w:t>（采购代理机构名称）</w:t>
      </w:r>
      <w:r>
        <w:t>：</w:t>
      </w:r>
    </w:p>
    <w:p w14:paraId="7DB66267">
      <w:pPr>
        <w:bidi w:val="0"/>
      </w:pPr>
      <w:r>
        <w:t>本授权声明：</w:t>
      </w:r>
      <w:r>
        <w:rPr>
          <w:u w:val="single"/>
        </w:rPr>
        <w:t>（供应商名称）（法定代表人姓名、职务）</w:t>
      </w:r>
      <w:r>
        <w:t>授权</w:t>
      </w:r>
      <w:r>
        <w:rPr>
          <w:u w:val="single"/>
        </w:rPr>
        <w:t>（被授权人姓名、职务）</w:t>
      </w:r>
      <w:r>
        <w:t>为我方</w:t>
      </w:r>
      <w:r>
        <w:rPr>
          <w:u w:val="single"/>
        </w:rPr>
        <w:t>“（项目名称、采购编号）”</w:t>
      </w:r>
      <w:r>
        <w:t>项目投标活动的合法代表，以我方名义全权处理该项目有关投标、签订合同以及执行合同等一切事宜。</w:t>
      </w:r>
    </w:p>
    <w:p w14:paraId="198924DE">
      <w:pPr>
        <w:bidi w:val="0"/>
      </w:pPr>
      <w:r>
        <w:t>特此声明。</w:t>
      </w:r>
    </w:p>
    <w:p w14:paraId="4212960D">
      <w:pPr>
        <w:bidi w:val="0"/>
      </w:pPr>
      <w:r>
        <w:rPr>
          <w:b/>
          <w:bCs/>
        </w:rPr>
        <w:t>附：法</w:t>
      </w:r>
      <w:r>
        <w:rPr>
          <w:rFonts w:hint="eastAsia"/>
          <w:b/>
          <w:bCs/>
          <w:lang w:eastAsia="zh-CN"/>
        </w:rPr>
        <w:t>定代表</w:t>
      </w:r>
      <w:r>
        <w:rPr>
          <w:b/>
          <w:bCs/>
        </w:rPr>
        <w:t>人及被授权人身份证正反面</w:t>
      </w:r>
    </w:p>
    <w:p w14:paraId="6C599907">
      <w:pPr>
        <w:bidi w:val="0"/>
      </w:pPr>
    </w:p>
    <w:p w14:paraId="0648237B">
      <w:pPr>
        <w:bidi w:val="0"/>
      </w:pPr>
    </w:p>
    <w:p w14:paraId="71665F43">
      <w:pPr>
        <w:bidi w:val="0"/>
      </w:pPr>
    </w:p>
    <w:p w14:paraId="51671719">
      <w:pPr>
        <w:bidi w:val="0"/>
      </w:pPr>
    </w:p>
    <w:p w14:paraId="724965A2">
      <w:pPr>
        <w:bidi w:val="0"/>
      </w:pPr>
    </w:p>
    <w:p w14:paraId="5D1F9EEE">
      <w:pPr>
        <w:bidi w:val="0"/>
      </w:pPr>
    </w:p>
    <w:p w14:paraId="7B511AB7">
      <w:pPr>
        <w:bidi w:val="0"/>
      </w:pPr>
    </w:p>
    <w:p w14:paraId="5EEAA0F6">
      <w:pPr>
        <w:bidi w:val="0"/>
        <w:ind w:left="0" w:leftChars="0" w:firstLine="0" w:firstLineChars="0"/>
      </w:pPr>
    </w:p>
    <w:p w14:paraId="1BCF33D0">
      <w:pPr>
        <w:bidi w:val="0"/>
      </w:pPr>
    </w:p>
    <w:p w14:paraId="1D7DDB46">
      <w:pPr>
        <w:bidi w:val="0"/>
      </w:pPr>
      <w:r>
        <w:t>法定代表人（签字或盖章）：</w:t>
      </w:r>
    </w:p>
    <w:p w14:paraId="34DFEEB2">
      <w:pPr>
        <w:bidi w:val="0"/>
      </w:pPr>
      <w:r>
        <w:t>授权代表签字：</w:t>
      </w:r>
    </w:p>
    <w:p w14:paraId="7ABAFC03">
      <w:pPr>
        <w:bidi w:val="0"/>
      </w:pPr>
      <w:r>
        <w:t>供应商名称：（盖章）</w:t>
      </w:r>
    </w:p>
    <w:p w14:paraId="7787B2FF">
      <w:pPr>
        <w:bidi w:val="0"/>
      </w:pPr>
      <w:r>
        <w:t>日期：</w:t>
      </w:r>
    </w:p>
    <w:p w14:paraId="2C47F635">
      <w:pPr>
        <w:spacing w:line="248" w:lineRule="auto"/>
      </w:pPr>
    </w:p>
    <w:p w14:paraId="4F5B173E">
      <w:pPr>
        <w:spacing w:line="248" w:lineRule="auto"/>
      </w:pPr>
    </w:p>
    <w:p w14:paraId="54112A22">
      <w:pPr>
        <w:spacing w:line="248" w:lineRule="auto"/>
      </w:pPr>
    </w:p>
    <w:p w14:paraId="62EA2D49">
      <w:pPr>
        <w:spacing w:line="248" w:lineRule="auto"/>
      </w:pPr>
    </w:p>
    <w:p w14:paraId="748437EE">
      <w:pPr>
        <w:spacing w:line="248" w:lineRule="auto"/>
      </w:pPr>
    </w:p>
    <w:p w14:paraId="1F7CA68A">
      <w:pPr>
        <w:spacing w:line="248" w:lineRule="auto"/>
      </w:pPr>
    </w:p>
    <w:p w14:paraId="5525568C">
      <w:pPr>
        <w:spacing w:line="248" w:lineRule="auto"/>
      </w:pPr>
    </w:p>
    <w:p w14:paraId="31E1F2EB">
      <w:pPr>
        <w:spacing w:line="248" w:lineRule="auto"/>
      </w:pPr>
    </w:p>
    <w:p w14:paraId="0262F423">
      <w:pPr>
        <w:spacing w:line="248" w:lineRule="auto"/>
      </w:pPr>
    </w:p>
    <w:p w14:paraId="216D5F53">
      <w:pPr>
        <w:spacing w:line="248" w:lineRule="auto"/>
      </w:pPr>
    </w:p>
    <w:p w14:paraId="72E94D6D">
      <w:pPr>
        <w:spacing w:line="248" w:lineRule="auto"/>
      </w:pPr>
    </w:p>
    <w:p w14:paraId="204E9D6D">
      <w:pPr>
        <w:spacing w:line="248" w:lineRule="auto"/>
      </w:pPr>
    </w:p>
    <w:p w14:paraId="44B91751">
      <w:pPr>
        <w:spacing w:line="248" w:lineRule="auto"/>
      </w:pPr>
    </w:p>
    <w:p w14:paraId="17E285F6">
      <w:pPr>
        <w:spacing w:line="249" w:lineRule="auto"/>
        <w:ind w:left="0" w:leftChars="0" w:firstLine="0" w:firstLineChars="0"/>
      </w:pPr>
    </w:p>
    <w:p w14:paraId="1181D7C8">
      <w:pPr>
        <w:pStyle w:val="3"/>
        <w:bidi w:val="0"/>
      </w:pPr>
      <w:bookmarkStart w:id="14" w:name="_Toc23517"/>
      <w:r>
        <w:t>三、报价一览表</w:t>
      </w:r>
      <w:bookmarkEnd w:id="14"/>
    </w:p>
    <w:tbl>
      <w:tblPr>
        <w:tblStyle w:val="10"/>
        <w:tblW w:w="91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88"/>
        <w:gridCol w:w="2337"/>
        <w:gridCol w:w="4543"/>
      </w:tblGrid>
      <w:tr w14:paraId="69239A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jc w:val="center"/>
        </w:trPr>
        <w:tc>
          <w:tcPr>
            <w:tcW w:w="2288" w:type="dxa"/>
            <w:vAlign w:val="center"/>
          </w:tcPr>
          <w:p w14:paraId="79BEEB3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项目名称</w:t>
            </w:r>
          </w:p>
        </w:tc>
        <w:tc>
          <w:tcPr>
            <w:tcW w:w="6880" w:type="dxa"/>
            <w:gridSpan w:val="2"/>
            <w:vAlign w:val="bottom"/>
          </w:tcPr>
          <w:p w14:paraId="66D3E51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p>
        </w:tc>
      </w:tr>
      <w:tr w14:paraId="507C94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jc w:val="center"/>
        </w:trPr>
        <w:tc>
          <w:tcPr>
            <w:tcW w:w="2288" w:type="dxa"/>
            <w:vAlign w:val="center"/>
          </w:tcPr>
          <w:p w14:paraId="08BAD3A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项目编号</w:t>
            </w:r>
          </w:p>
        </w:tc>
        <w:tc>
          <w:tcPr>
            <w:tcW w:w="6880" w:type="dxa"/>
            <w:gridSpan w:val="2"/>
            <w:vAlign w:val="bottom"/>
          </w:tcPr>
          <w:p w14:paraId="30EC06B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p>
        </w:tc>
      </w:tr>
      <w:tr w14:paraId="5B51E5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jc w:val="center"/>
        </w:trPr>
        <w:tc>
          <w:tcPr>
            <w:tcW w:w="2288" w:type="dxa"/>
            <w:vAlign w:val="bottom"/>
          </w:tcPr>
          <w:p w14:paraId="6AA989C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工期</w:t>
            </w:r>
          </w:p>
        </w:tc>
        <w:tc>
          <w:tcPr>
            <w:tcW w:w="2337" w:type="dxa"/>
            <w:vAlign w:val="bottom"/>
          </w:tcPr>
          <w:p w14:paraId="44FF15B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质量</w:t>
            </w:r>
          </w:p>
        </w:tc>
        <w:tc>
          <w:tcPr>
            <w:tcW w:w="4543" w:type="dxa"/>
            <w:vAlign w:val="bottom"/>
          </w:tcPr>
          <w:p w14:paraId="0C82DC9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报价（元）</w:t>
            </w:r>
          </w:p>
        </w:tc>
      </w:tr>
      <w:tr w14:paraId="70C74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6" w:hRule="atLeast"/>
          <w:jc w:val="center"/>
        </w:trPr>
        <w:tc>
          <w:tcPr>
            <w:tcW w:w="2288" w:type="dxa"/>
            <w:vAlign w:val="center"/>
          </w:tcPr>
          <w:p w14:paraId="72848B3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p>
        </w:tc>
        <w:tc>
          <w:tcPr>
            <w:tcW w:w="2337" w:type="dxa"/>
            <w:vAlign w:val="center"/>
          </w:tcPr>
          <w:p w14:paraId="2CAF2E2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p>
        </w:tc>
        <w:tc>
          <w:tcPr>
            <w:tcW w:w="4543" w:type="dxa"/>
            <w:vAlign w:val="center"/>
          </w:tcPr>
          <w:p w14:paraId="48B5B9FE">
            <w:pPr>
              <w:keepNext w:val="0"/>
              <w:keepLines w:val="0"/>
              <w:pageBreakBefore w:val="0"/>
              <w:widowControl/>
              <w:kinsoku w:val="0"/>
              <w:wordWrap w:val="0"/>
              <w:overflowPunct/>
              <w:topLinePunct w:val="0"/>
              <w:autoSpaceDE w:val="0"/>
              <w:autoSpaceDN w:val="0"/>
              <w:bidi w:val="0"/>
              <w:adjustRightInd w:val="0"/>
              <w:snapToGrid w:val="0"/>
              <w:ind w:firstLine="0" w:firstLineChars="0"/>
              <w:jc w:val="left"/>
              <w:textAlignment w:val="baseline"/>
            </w:pPr>
            <w:r>
              <w:t>人民币小写：元</w:t>
            </w:r>
          </w:p>
          <w:p w14:paraId="737A38EB">
            <w:pPr>
              <w:keepNext w:val="0"/>
              <w:keepLines w:val="0"/>
              <w:pageBreakBefore w:val="0"/>
              <w:widowControl/>
              <w:kinsoku w:val="0"/>
              <w:wordWrap w:val="0"/>
              <w:overflowPunct/>
              <w:topLinePunct w:val="0"/>
              <w:autoSpaceDE w:val="0"/>
              <w:autoSpaceDN w:val="0"/>
              <w:bidi w:val="0"/>
              <w:adjustRightInd w:val="0"/>
              <w:snapToGrid w:val="0"/>
              <w:ind w:firstLine="0" w:firstLineChars="0"/>
              <w:jc w:val="left"/>
              <w:textAlignment w:val="baseline"/>
            </w:pPr>
            <w:r>
              <w:t>人民币大写：元</w:t>
            </w:r>
          </w:p>
        </w:tc>
      </w:tr>
    </w:tbl>
    <w:p w14:paraId="3818D9A3">
      <w:pPr>
        <w:bidi w:val="0"/>
        <w:ind w:left="0" w:leftChars="0" w:firstLine="0" w:firstLineChars="0"/>
      </w:pPr>
      <w:r>
        <w:t>注：1、“报价”应与“投标函”中“总报价”一致。</w:t>
      </w:r>
    </w:p>
    <w:p w14:paraId="4DF0DCEE">
      <w:pPr>
        <w:bidi w:val="0"/>
        <w:ind w:left="0" w:leftChars="0" w:firstLine="0" w:firstLineChars="0"/>
      </w:pPr>
      <w:r>
        <w:t>2.“报价一览表”为多页的，每页均需由法定代表人或授权代表签字并盖供应商印章。</w:t>
      </w:r>
    </w:p>
    <w:p w14:paraId="4BDCC3FD">
      <w:pPr>
        <w:bidi w:val="0"/>
        <w:ind w:left="0" w:leftChars="0" w:firstLine="0" w:firstLineChars="0"/>
      </w:pPr>
      <w:r>
        <w:t>3、包含人工费、运输费、税费等完成本项目的一切相关费用。</w:t>
      </w:r>
    </w:p>
    <w:p w14:paraId="432AEE1E">
      <w:pPr>
        <w:bidi w:val="0"/>
        <w:ind w:left="0" w:leftChars="0" w:firstLine="0" w:firstLineChars="0"/>
      </w:pPr>
    </w:p>
    <w:p w14:paraId="65DD08F2">
      <w:pPr>
        <w:bidi w:val="0"/>
        <w:ind w:left="0" w:leftChars="0" w:firstLine="0" w:firstLineChars="0"/>
      </w:pPr>
    </w:p>
    <w:p w14:paraId="672B59A5">
      <w:pPr>
        <w:bidi w:val="0"/>
        <w:ind w:left="0" w:leftChars="0" w:firstLine="0" w:firstLineChars="0"/>
      </w:pPr>
      <w:r>
        <w:t>供应商名称：（盖章）</w:t>
      </w:r>
    </w:p>
    <w:p w14:paraId="6F4C0B5B">
      <w:pPr>
        <w:bidi w:val="0"/>
        <w:ind w:left="0" w:leftChars="0" w:firstLine="0" w:firstLineChars="0"/>
      </w:pPr>
    </w:p>
    <w:p w14:paraId="274EFF58">
      <w:pPr>
        <w:bidi w:val="0"/>
        <w:ind w:left="0" w:leftChars="0" w:firstLine="0" w:firstLineChars="0"/>
      </w:pPr>
      <w:r>
        <w:t>法定代表人或授权代表（签字或盖章）：</w:t>
      </w:r>
    </w:p>
    <w:p w14:paraId="28647D89">
      <w:pPr>
        <w:bidi w:val="0"/>
        <w:ind w:left="0" w:leftChars="0" w:firstLine="0" w:firstLineChars="0"/>
      </w:pPr>
    </w:p>
    <w:p w14:paraId="4F8D113E">
      <w:pPr>
        <w:bidi w:val="0"/>
        <w:ind w:left="0" w:leftChars="0" w:firstLine="0" w:firstLineChars="0"/>
      </w:pPr>
      <w:r>
        <w:t>日期：</w:t>
      </w:r>
    </w:p>
    <w:p w14:paraId="156E446D">
      <w:pPr>
        <w:spacing w:line="267" w:lineRule="auto"/>
      </w:pPr>
    </w:p>
    <w:p w14:paraId="6DAD7719">
      <w:pPr>
        <w:spacing w:line="268" w:lineRule="auto"/>
      </w:pPr>
    </w:p>
    <w:p w14:paraId="1F92D566">
      <w:pPr>
        <w:spacing w:line="268" w:lineRule="auto"/>
      </w:pPr>
    </w:p>
    <w:p w14:paraId="43435681">
      <w:pPr>
        <w:spacing w:line="268" w:lineRule="auto"/>
      </w:pPr>
    </w:p>
    <w:p w14:paraId="70597C27">
      <w:pPr>
        <w:spacing w:line="268" w:lineRule="auto"/>
      </w:pPr>
    </w:p>
    <w:p w14:paraId="31D90071">
      <w:pPr>
        <w:spacing w:line="268" w:lineRule="auto"/>
      </w:pPr>
    </w:p>
    <w:p w14:paraId="47D58C47">
      <w:pPr>
        <w:spacing w:line="268" w:lineRule="auto"/>
      </w:pPr>
    </w:p>
    <w:p w14:paraId="1A8A8111">
      <w:pPr>
        <w:spacing w:line="268" w:lineRule="auto"/>
      </w:pPr>
    </w:p>
    <w:p w14:paraId="128420FA">
      <w:pPr>
        <w:spacing w:line="268" w:lineRule="auto"/>
      </w:pPr>
    </w:p>
    <w:p w14:paraId="5DE37771">
      <w:pPr>
        <w:spacing w:line="268" w:lineRule="auto"/>
      </w:pPr>
    </w:p>
    <w:p w14:paraId="03D1205A">
      <w:pPr>
        <w:spacing w:line="268" w:lineRule="auto"/>
      </w:pPr>
    </w:p>
    <w:p w14:paraId="78E02BFA">
      <w:pPr>
        <w:spacing w:line="268" w:lineRule="auto"/>
      </w:pPr>
    </w:p>
    <w:p w14:paraId="7955967D">
      <w:pPr>
        <w:spacing w:line="268" w:lineRule="auto"/>
      </w:pPr>
    </w:p>
    <w:p w14:paraId="3C3409E4">
      <w:pPr>
        <w:spacing w:line="268" w:lineRule="auto"/>
      </w:pPr>
    </w:p>
    <w:p w14:paraId="75CC5B56">
      <w:pPr>
        <w:spacing w:line="268" w:lineRule="auto"/>
      </w:pPr>
    </w:p>
    <w:p w14:paraId="26F74F28">
      <w:pPr>
        <w:spacing w:line="268" w:lineRule="auto"/>
      </w:pPr>
    </w:p>
    <w:p w14:paraId="57685649">
      <w:pPr>
        <w:spacing w:line="268" w:lineRule="auto"/>
      </w:pPr>
    </w:p>
    <w:p w14:paraId="1CFC2E99">
      <w:pPr>
        <w:spacing w:line="268" w:lineRule="auto"/>
      </w:pPr>
    </w:p>
    <w:p w14:paraId="0E1102A3">
      <w:pPr>
        <w:pStyle w:val="3"/>
        <w:bidi w:val="0"/>
      </w:pPr>
      <w:bookmarkStart w:id="15" w:name="_Toc26578"/>
      <w:r>
        <w:t>四、供应商基本情况表</w:t>
      </w:r>
      <w:bookmarkEnd w:id="15"/>
    </w:p>
    <w:tbl>
      <w:tblPr>
        <w:tblStyle w:val="10"/>
        <w:tblW w:w="92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47"/>
        <w:gridCol w:w="1059"/>
        <w:gridCol w:w="1316"/>
        <w:gridCol w:w="1352"/>
        <w:gridCol w:w="1432"/>
        <w:gridCol w:w="177"/>
        <w:gridCol w:w="1092"/>
        <w:gridCol w:w="1164"/>
      </w:tblGrid>
      <w:tr w14:paraId="6F4645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jc w:val="center"/>
        </w:trPr>
        <w:tc>
          <w:tcPr>
            <w:tcW w:w="1647" w:type="dxa"/>
            <w:vAlign w:val="center"/>
          </w:tcPr>
          <w:p w14:paraId="0F67B49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供应商名称</w:t>
            </w:r>
          </w:p>
        </w:tc>
        <w:tc>
          <w:tcPr>
            <w:tcW w:w="7592" w:type="dxa"/>
            <w:gridSpan w:val="7"/>
            <w:vAlign w:val="center"/>
          </w:tcPr>
          <w:p w14:paraId="4F6978F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r>
      <w:tr w14:paraId="04AA5F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1" w:hRule="atLeast"/>
          <w:jc w:val="center"/>
        </w:trPr>
        <w:tc>
          <w:tcPr>
            <w:tcW w:w="1647" w:type="dxa"/>
            <w:vAlign w:val="center"/>
          </w:tcPr>
          <w:p w14:paraId="09BEA37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是否为联合体</w:t>
            </w:r>
          </w:p>
        </w:tc>
        <w:tc>
          <w:tcPr>
            <w:tcW w:w="7592" w:type="dxa"/>
            <w:gridSpan w:val="7"/>
            <w:vAlign w:val="center"/>
          </w:tcPr>
          <w:p w14:paraId="1052ABD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o是</w:t>
            </w:r>
          </w:p>
          <w:p w14:paraId="0FAFD9CC">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o否</w:t>
            </w:r>
          </w:p>
        </w:tc>
      </w:tr>
      <w:tr w14:paraId="223C29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jc w:val="center"/>
        </w:trPr>
        <w:tc>
          <w:tcPr>
            <w:tcW w:w="1647" w:type="dxa"/>
            <w:vAlign w:val="center"/>
          </w:tcPr>
          <w:p w14:paraId="1EC0205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注册地址</w:t>
            </w:r>
          </w:p>
        </w:tc>
        <w:tc>
          <w:tcPr>
            <w:tcW w:w="3727" w:type="dxa"/>
            <w:gridSpan w:val="3"/>
            <w:vAlign w:val="center"/>
          </w:tcPr>
          <w:p w14:paraId="418BEE6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432" w:type="dxa"/>
            <w:vAlign w:val="center"/>
          </w:tcPr>
          <w:p w14:paraId="73E9593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邮政编码</w:t>
            </w:r>
          </w:p>
        </w:tc>
        <w:tc>
          <w:tcPr>
            <w:tcW w:w="2433" w:type="dxa"/>
            <w:gridSpan w:val="3"/>
            <w:vAlign w:val="center"/>
          </w:tcPr>
          <w:p w14:paraId="46D0071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r>
      <w:tr w14:paraId="0999E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jc w:val="center"/>
        </w:trPr>
        <w:tc>
          <w:tcPr>
            <w:tcW w:w="1647" w:type="dxa"/>
            <w:vMerge w:val="restart"/>
            <w:tcBorders>
              <w:bottom w:val="nil"/>
            </w:tcBorders>
            <w:vAlign w:val="center"/>
          </w:tcPr>
          <w:p w14:paraId="499996F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p w14:paraId="553FA49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联系方式</w:t>
            </w:r>
          </w:p>
        </w:tc>
        <w:tc>
          <w:tcPr>
            <w:tcW w:w="1059" w:type="dxa"/>
            <w:vAlign w:val="center"/>
          </w:tcPr>
          <w:p w14:paraId="6D7BD61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联系人</w:t>
            </w:r>
          </w:p>
        </w:tc>
        <w:tc>
          <w:tcPr>
            <w:tcW w:w="2668" w:type="dxa"/>
            <w:gridSpan w:val="2"/>
            <w:vAlign w:val="center"/>
          </w:tcPr>
          <w:p w14:paraId="4D0F927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432" w:type="dxa"/>
            <w:vAlign w:val="center"/>
          </w:tcPr>
          <w:p w14:paraId="5B8990F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电话</w:t>
            </w:r>
          </w:p>
        </w:tc>
        <w:tc>
          <w:tcPr>
            <w:tcW w:w="2433" w:type="dxa"/>
            <w:gridSpan w:val="3"/>
            <w:vAlign w:val="center"/>
          </w:tcPr>
          <w:p w14:paraId="768EDE4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r>
      <w:tr w14:paraId="3011CE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jc w:val="center"/>
        </w:trPr>
        <w:tc>
          <w:tcPr>
            <w:tcW w:w="1647" w:type="dxa"/>
            <w:vMerge w:val="continue"/>
            <w:tcBorders>
              <w:top w:val="nil"/>
            </w:tcBorders>
            <w:vAlign w:val="center"/>
          </w:tcPr>
          <w:p w14:paraId="0C2D39F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059" w:type="dxa"/>
            <w:vAlign w:val="center"/>
          </w:tcPr>
          <w:p w14:paraId="474BAC6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传真</w:t>
            </w:r>
          </w:p>
        </w:tc>
        <w:tc>
          <w:tcPr>
            <w:tcW w:w="2668" w:type="dxa"/>
            <w:gridSpan w:val="2"/>
            <w:vAlign w:val="center"/>
          </w:tcPr>
          <w:p w14:paraId="4EF1A5B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432" w:type="dxa"/>
            <w:vAlign w:val="center"/>
          </w:tcPr>
          <w:p w14:paraId="1819677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网址</w:t>
            </w:r>
          </w:p>
        </w:tc>
        <w:tc>
          <w:tcPr>
            <w:tcW w:w="2433" w:type="dxa"/>
            <w:gridSpan w:val="3"/>
            <w:vAlign w:val="center"/>
          </w:tcPr>
          <w:p w14:paraId="38D062F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r>
      <w:tr w14:paraId="71A6F1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jc w:val="center"/>
        </w:trPr>
        <w:tc>
          <w:tcPr>
            <w:tcW w:w="1647" w:type="dxa"/>
            <w:vAlign w:val="center"/>
          </w:tcPr>
          <w:p w14:paraId="7D6700C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法定代表人</w:t>
            </w:r>
          </w:p>
        </w:tc>
        <w:tc>
          <w:tcPr>
            <w:tcW w:w="1059" w:type="dxa"/>
            <w:vAlign w:val="center"/>
          </w:tcPr>
          <w:p w14:paraId="1A0AD27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姓名</w:t>
            </w:r>
          </w:p>
        </w:tc>
        <w:tc>
          <w:tcPr>
            <w:tcW w:w="1316" w:type="dxa"/>
            <w:vAlign w:val="center"/>
          </w:tcPr>
          <w:p w14:paraId="4ABB9A4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352" w:type="dxa"/>
            <w:vAlign w:val="center"/>
          </w:tcPr>
          <w:p w14:paraId="463A216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技术职称</w:t>
            </w:r>
          </w:p>
        </w:tc>
        <w:tc>
          <w:tcPr>
            <w:tcW w:w="1432" w:type="dxa"/>
            <w:vAlign w:val="center"/>
          </w:tcPr>
          <w:p w14:paraId="5063CA7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269" w:type="dxa"/>
            <w:gridSpan w:val="2"/>
            <w:vAlign w:val="center"/>
          </w:tcPr>
          <w:p w14:paraId="2064052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电话</w:t>
            </w:r>
          </w:p>
        </w:tc>
        <w:tc>
          <w:tcPr>
            <w:tcW w:w="1164" w:type="dxa"/>
            <w:vAlign w:val="center"/>
          </w:tcPr>
          <w:p w14:paraId="4EE2380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r>
      <w:tr w14:paraId="2DCCEF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jc w:val="center"/>
        </w:trPr>
        <w:tc>
          <w:tcPr>
            <w:tcW w:w="1647" w:type="dxa"/>
            <w:vAlign w:val="center"/>
          </w:tcPr>
          <w:p w14:paraId="64ECD82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技术负责人</w:t>
            </w:r>
          </w:p>
        </w:tc>
        <w:tc>
          <w:tcPr>
            <w:tcW w:w="1059" w:type="dxa"/>
            <w:vAlign w:val="center"/>
          </w:tcPr>
          <w:p w14:paraId="1F11CF1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姓名</w:t>
            </w:r>
          </w:p>
        </w:tc>
        <w:tc>
          <w:tcPr>
            <w:tcW w:w="1316" w:type="dxa"/>
            <w:vAlign w:val="center"/>
          </w:tcPr>
          <w:p w14:paraId="59BDAB5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352" w:type="dxa"/>
            <w:vAlign w:val="center"/>
          </w:tcPr>
          <w:p w14:paraId="27E4B3F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技术职称</w:t>
            </w:r>
          </w:p>
        </w:tc>
        <w:tc>
          <w:tcPr>
            <w:tcW w:w="1432" w:type="dxa"/>
            <w:vAlign w:val="center"/>
          </w:tcPr>
          <w:p w14:paraId="0D055DA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269" w:type="dxa"/>
            <w:gridSpan w:val="2"/>
            <w:vAlign w:val="center"/>
          </w:tcPr>
          <w:p w14:paraId="04C47F2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电话</w:t>
            </w:r>
          </w:p>
        </w:tc>
        <w:tc>
          <w:tcPr>
            <w:tcW w:w="1164" w:type="dxa"/>
            <w:vAlign w:val="center"/>
          </w:tcPr>
          <w:p w14:paraId="6013747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r>
      <w:tr w14:paraId="704CB7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jc w:val="center"/>
        </w:trPr>
        <w:tc>
          <w:tcPr>
            <w:tcW w:w="1647" w:type="dxa"/>
            <w:vAlign w:val="center"/>
          </w:tcPr>
          <w:p w14:paraId="3947DC2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成立时间</w:t>
            </w:r>
          </w:p>
        </w:tc>
        <w:tc>
          <w:tcPr>
            <w:tcW w:w="2375" w:type="dxa"/>
            <w:gridSpan w:val="2"/>
            <w:vAlign w:val="center"/>
          </w:tcPr>
          <w:p w14:paraId="01C3238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5217" w:type="dxa"/>
            <w:gridSpan w:val="5"/>
            <w:vAlign w:val="center"/>
          </w:tcPr>
          <w:p w14:paraId="74DA3F9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员工总人数：</w:t>
            </w:r>
          </w:p>
        </w:tc>
      </w:tr>
      <w:tr w14:paraId="2D91D6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jc w:val="center"/>
        </w:trPr>
        <w:tc>
          <w:tcPr>
            <w:tcW w:w="1647" w:type="dxa"/>
            <w:vMerge w:val="restart"/>
            <w:tcBorders>
              <w:bottom w:val="nil"/>
            </w:tcBorders>
            <w:vAlign w:val="center"/>
          </w:tcPr>
          <w:p w14:paraId="45D3A83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p w14:paraId="6CA4399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统一社会信用代码</w:t>
            </w:r>
          </w:p>
        </w:tc>
        <w:tc>
          <w:tcPr>
            <w:tcW w:w="2375" w:type="dxa"/>
            <w:gridSpan w:val="2"/>
            <w:vMerge w:val="restart"/>
            <w:tcBorders>
              <w:bottom w:val="nil"/>
            </w:tcBorders>
            <w:vAlign w:val="center"/>
          </w:tcPr>
          <w:p w14:paraId="6E54858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352" w:type="dxa"/>
            <w:vMerge w:val="restart"/>
            <w:tcBorders>
              <w:bottom w:val="nil"/>
            </w:tcBorders>
            <w:vAlign w:val="center"/>
          </w:tcPr>
          <w:p w14:paraId="0030AA8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p w14:paraId="7397653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p w14:paraId="7A1A99B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p w14:paraId="760DC63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p w14:paraId="1F3426D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p w14:paraId="39F4977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p w14:paraId="511E1BD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其中</w:t>
            </w:r>
          </w:p>
        </w:tc>
        <w:tc>
          <w:tcPr>
            <w:tcW w:w="1609" w:type="dxa"/>
            <w:gridSpan w:val="2"/>
            <w:vAlign w:val="center"/>
          </w:tcPr>
          <w:p w14:paraId="091B264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项目经理</w:t>
            </w:r>
          </w:p>
        </w:tc>
        <w:tc>
          <w:tcPr>
            <w:tcW w:w="2256" w:type="dxa"/>
            <w:gridSpan w:val="2"/>
            <w:vAlign w:val="center"/>
          </w:tcPr>
          <w:p w14:paraId="3DBB0AE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r>
      <w:tr w14:paraId="4EDC1B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8" w:hRule="atLeast"/>
          <w:jc w:val="center"/>
        </w:trPr>
        <w:tc>
          <w:tcPr>
            <w:tcW w:w="1647" w:type="dxa"/>
            <w:vMerge w:val="continue"/>
            <w:tcBorders>
              <w:top w:val="nil"/>
            </w:tcBorders>
            <w:vAlign w:val="center"/>
          </w:tcPr>
          <w:p w14:paraId="524A0FD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2375" w:type="dxa"/>
            <w:gridSpan w:val="2"/>
            <w:vMerge w:val="continue"/>
            <w:tcBorders>
              <w:top w:val="nil"/>
            </w:tcBorders>
            <w:vAlign w:val="center"/>
          </w:tcPr>
          <w:p w14:paraId="1766E8E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352" w:type="dxa"/>
            <w:vMerge w:val="continue"/>
            <w:tcBorders>
              <w:top w:val="nil"/>
              <w:bottom w:val="nil"/>
            </w:tcBorders>
            <w:vAlign w:val="center"/>
          </w:tcPr>
          <w:p w14:paraId="2075AF9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609" w:type="dxa"/>
            <w:gridSpan w:val="2"/>
            <w:vAlign w:val="center"/>
          </w:tcPr>
          <w:p w14:paraId="03E7E18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高级职称人员</w:t>
            </w:r>
          </w:p>
        </w:tc>
        <w:tc>
          <w:tcPr>
            <w:tcW w:w="2256" w:type="dxa"/>
            <w:gridSpan w:val="2"/>
            <w:vAlign w:val="center"/>
          </w:tcPr>
          <w:p w14:paraId="7CF85EB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r>
      <w:tr w14:paraId="076A10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7" w:hRule="atLeast"/>
          <w:jc w:val="center"/>
        </w:trPr>
        <w:tc>
          <w:tcPr>
            <w:tcW w:w="1647" w:type="dxa"/>
            <w:vAlign w:val="center"/>
          </w:tcPr>
          <w:p w14:paraId="1A26899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注册资金</w:t>
            </w:r>
          </w:p>
        </w:tc>
        <w:tc>
          <w:tcPr>
            <w:tcW w:w="2375" w:type="dxa"/>
            <w:gridSpan w:val="2"/>
            <w:vAlign w:val="center"/>
          </w:tcPr>
          <w:p w14:paraId="60CCD13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352" w:type="dxa"/>
            <w:vMerge w:val="continue"/>
            <w:tcBorders>
              <w:top w:val="nil"/>
              <w:bottom w:val="nil"/>
            </w:tcBorders>
            <w:vAlign w:val="center"/>
          </w:tcPr>
          <w:p w14:paraId="407AAEB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609" w:type="dxa"/>
            <w:gridSpan w:val="2"/>
            <w:vAlign w:val="center"/>
          </w:tcPr>
          <w:p w14:paraId="72B1E32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中级职称人员</w:t>
            </w:r>
          </w:p>
        </w:tc>
        <w:tc>
          <w:tcPr>
            <w:tcW w:w="2256" w:type="dxa"/>
            <w:gridSpan w:val="2"/>
            <w:vAlign w:val="center"/>
          </w:tcPr>
          <w:p w14:paraId="72F9562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r>
      <w:tr w14:paraId="71D5CE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7" w:hRule="atLeast"/>
          <w:jc w:val="center"/>
        </w:trPr>
        <w:tc>
          <w:tcPr>
            <w:tcW w:w="1647" w:type="dxa"/>
            <w:vAlign w:val="center"/>
          </w:tcPr>
          <w:p w14:paraId="5ED13B7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开户银行</w:t>
            </w:r>
          </w:p>
        </w:tc>
        <w:tc>
          <w:tcPr>
            <w:tcW w:w="2375" w:type="dxa"/>
            <w:gridSpan w:val="2"/>
            <w:vAlign w:val="center"/>
          </w:tcPr>
          <w:p w14:paraId="25224FE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352" w:type="dxa"/>
            <w:vMerge w:val="continue"/>
            <w:tcBorders>
              <w:top w:val="nil"/>
              <w:bottom w:val="nil"/>
            </w:tcBorders>
            <w:vAlign w:val="center"/>
          </w:tcPr>
          <w:p w14:paraId="1D24BF4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609" w:type="dxa"/>
            <w:gridSpan w:val="2"/>
            <w:vAlign w:val="center"/>
          </w:tcPr>
          <w:p w14:paraId="776B257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初级职称人员</w:t>
            </w:r>
          </w:p>
        </w:tc>
        <w:tc>
          <w:tcPr>
            <w:tcW w:w="2256" w:type="dxa"/>
            <w:gridSpan w:val="2"/>
            <w:vAlign w:val="center"/>
          </w:tcPr>
          <w:p w14:paraId="2EAF2B4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r>
      <w:tr w14:paraId="383CBC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jc w:val="center"/>
        </w:trPr>
        <w:tc>
          <w:tcPr>
            <w:tcW w:w="1647" w:type="dxa"/>
            <w:vAlign w:val="center"/>
          </w:tcPr>
          <w:p w14:paraId="5AFF26F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账号</w:t>
            </w:r>
          </w:p>
        </w:tc>
        <w:tc>
          <w:tcPr>
            <w:tcW w:w="2375" w:type="dxa"/>
            <w:gridSpan w:val="2"/>
            <w:vAlign w:val="center"/>
          </w:tcPr>
          <w:p w14:paraId="21066A7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352" w:type="dxa"/>
            <w:vMerge w:val="continue"/>
            <w:tcBorders>
              <w:top w:val="nil"/>
            </w:tcBorders>
            <w:vAlign w:val="center"/>
          </w:tcPr>
          <w:p w14:paraId="78F51CA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c>
          <w:tcPr>
            <w:tcW w:w="1609" w:type="dxa"/>
            <w:gridSpan w:val="2"/>
            <w:vAlign w:val="center"/>
          </w:tcPr>
          <w:p w14:paraId="2EEFA20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助理</w:t>
            </w:r>
          </w:p>
        </w:tc>
        <w:tc>
          <w:tcPr>
            <w:tcW w:w="2256" w:type="dxa"/>
            <w:gridSpan w:val="2"/>
            <w:vAlign w:val="center"/>
          </w:tcPr>
          <w:p w14:paraId="3ABDC70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sz w:val="24"/>
                <w:szCs w:val="24"/>
              </w:rPr>
            </w:pPr>
          </w:p>
        </w:tc>
      </w:tr>
      <w:tr w14:paraId="1E776F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4" w:hRule="atLeast"/>
          <w:jc w:val="center"/>
        </w:trPr>
        <w:tc>
          <w:tcPr>
            <w:tcW w:w="1647" w:type="dxa"/>
            <w:vAlign w:val="center"/>
          </w:tcPr>
          <w:p w14:paraId="0C6F43A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sz w:val="24"/>
                <w:szCs w:val="24"/>
              </w:rPr>
            </w:pPr>
            <w:r>
              <w:rPr>
                <w:sz w:val="24"/>
                <w:szCs w:val="24"/>
              </w:rPr>
              <w:t>经营范围</w:t>
            </w:r>
          </w:p>
        </w:tc>
        <w:tc>
          <w:tcPr>
            <w:tcW w:w="7592" w:type="dxa"/>
            <w:gridSpan w:val="7"/>
            <w:vAlign w:val="top"/>
          </w:tcPr>
          <w:p w14:paraId="6BC5C7C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sz w:val="24"/>
                <w:szCs w:val="24"/>
              </w:rPr>
            </w:pPr>
          </w:p>
        </w:tc>
      </w:tr>
      <w:tr w14:paraId="024E6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4" w:hRule="atLeast"/>
          <w:jc w:val="center"/>
        </w:trPr>
        <w:tc>
          <w:tcPr>
            <w:tcW w:w="1647" w:type="dxa"/>
            <w:vAlign w:val="center"/>
          </w:tcPr>
          <w:p w14:paraId="51AF65D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sz w:val="24"/>
                <w:szCs w:val="24"/>
              </w:rPr>
            </w:pPr>
            <w:r>
              <w:rPr>
                <w:sz w:val="24"/>
                <w:szCs w:val="24"/>
              </w:rPr>
              <w:t>备注</w:t>
            </w:r>
          </w:p>
        </w:tc>
        <w:tc>
          <w:tcPr>
            <w:tcW w:w="7592" w:type="dxa"/>
            <w:gridSpan w:val="7"/>
            <w:vAlign w:val="top"/>
          </w:tcPr>
          <w:p w14:paraId="4C52808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sz w:val="24"/>
                <w:szCs w:val="24"/>
              </w:rPr>
            </w:pPr>
          </w:p>
        </w:tc>
      </w:tr>
    </w:tbl>
    <w:p w14:paraId="23EC6A0C">
      <w:pPr>
        <w:bidi w:val="0"/>
        <w:ind w:left="0" w:leftChars="0" w:firstLine="0" w:firstLineChars="0"/>
      </w:pPr>
    </w:p>
    <w:p w14:paraId="0E42585C">
      <w:pPr>
        <w:bidi w:val="0"/>
      </w:pPr>
      <w:r>
        <w:t>供应商名称：（盖章）</w:t>
      </w:r>
    </w:p>
    <w:p w14:paraId="3E8BA38F">
      <w:pPr>
        <w:bidi w:val="0"/>
      </w:pPr>
      <w:r>
        <w:t>法定代表人或授权代表（签字或盖章）：</w:t>
      </w:r>
    </w:p>
    <w:p w14:paraId="052BCBD2">
      <w:pPr>
        <w:bidi w:val="0"/>
      </w:pPr>
      <w:r>
        <w:t>日期:</w:t>
      </w:r>
    </w:p>
    <w:p w14:paraId="178FCA8B">
      <w:pPr>
        <w:pStyle w:val="3"/>
        <w:bidi w:val="0"/>
      </w:pPr>
      <w:bookmarkStart w:id="16" w:name="_Toc16074"/>
      <w:r>
        <w:t>五、供应商类似项目业绩一览表</w:t>
      </w:r>
      <w:bookmarkEnd w:id="16"/>
    </w:p>
    <w:p w14:paraId="06E554B1">
      <w:pPr>
        <w:bidi w:val="0"/>
        <w:ind w:left="0" w:leftChars="0" w:firstLine="0" w:firstLineChars="0"/>
        <w:jc w:val="center"/>
      </w:pPr>
      <w:r>
        <w:rPr>
          <w:b/>
          <w:bCs/>
          <w:sz w:val="28"/>
          <w:szCs w:val="28"/>
        </w:rPr>
        <w:t>供应商近三年类似工程业绩证明材料</w:t>
      </w:r>
    </w:p>
    <w:tbl>
      <w:tblPr>
        <w:tblStyle w:val="10"/>
        <w:tblW w:w="89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36"/>
        <w:gridCol w:w="6283"/>
      </w:tblGrid>
      <w:tr w14:paraId="58B25B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2636" w:type="dxa"/>
            <w:vAlign w:val="top"/>
          </w:tcPr>
          <w:p w14:paraId="347FFF5B">
            <w:pPr>
              <w:spacing w:before="154" w:line="220" w:lineRule="auto"/>
              <w:ind w:left="0" w:leftChars="0" w:firstLine="0" w:firstLineChars="0"/>
              <w:jc w:val="center"/>
            </w:pPr>
            <w:r>
              <w:rPr>
                <w:spacing w:val="-3"/>
              </w:rPr>
              <w:t>项目名称</w:t>
            </w:r>
          </w:p>
        </w:tc>
        <w:tc>
          <w:tcPr>
            <w:tcW w:w="6283" w:type="dxa"/>
            <w:vAlign w:val="top"/>
          </w:tcPr>
          <w:p w14:paraId="3F7F2067">
            <w:pPr>
              <w:rPr>
                <w:rFonts w:ascii="Arial"/>
                <w:sz w:val="21"/>
              </w:rPr>
            </w:pPr>
          </w:p>
        </w:tc>
      </w:tr>
      <w:tr w14:paraId="65741A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2636" w:type="dxa"/>
            <w:vAlign w:val="top"/>
          </w:tcPr>
          <w:p w14:paraId="65669CFC">
            <w:pPr>
              <w:spacing w:before="150" w:line="220" w:lineRule="auto"/>
              <w:ind w:left="0" w:leftChars="0" w:firstLine="0" w:firstLineChars="0"/>
              <w:jc w:val="center"/>
            </w:pPr>
            <w:r>
              <w:rPr>
                <w:spacing w:val="-3"/>
              </w:rPr>
              <w:t>项目所在地</w:t>
            </w:r>
          </w:p>
        </w:tc>
        <w:tc>
          <w:tcPr>
            <w:tcW w:w="6283" w:type="dxa"/>
            <w:vAlign w:val="top"/>
          </w:tcPr>
          <w:p w14:paraId="2A5DA73E">
            <w:pPr>
              <w:rPr>
                <w:rFonts w:ascii="Arial"/>
                <w:sz w:val="21"/>
              </w:rPr>
            </w:pPr>
          </w:p>
        </w:tc>
      </w:tr>
      <w:tr w14:paraId="5D765F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2636" w:type="dxa"/>
            <w:vAlign w:val="top"/>
          </w:tcPr>
          <w:p w14:paraId="7F4CAC3A">
            <w:pPr>
              <w:spacing w:before="151" w:line="220" w:lineRule="auto"/>
              <w:ind w:left="0" w:leftChars="0" w:firstLine="0" w:firstLineChars="0"/>
              <w:jc w:val="center"/>
            </w:pPr>
            <w:r>
              <w:rPr>
                <w:spacing w:val="-3"/>
              </w:rPr>
              <w:t>发包人名称</w:t>
            </w:r>
          </w:p>
        </w:tc>
        <w:tc>
          <w:tcPr>
            <w:tcW w:w="6283" w:type="dxa"/>
            <w:vAlign w:val="top"/>
          </w:tcPr>
          <w:p w14:paraId="4D47C170">
            <w:pPr>
              <w:rPr>
                <w:rFonts w:ascii="Arial"/>
                <w:sz w:val="21"/>
              </w:rPr>
            </w:pPr>
          </w:p>
        </w:tc>
      </w:tr>
      <w:tr w14:paraId="2F1AF3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2636" w:type="dxa"/>
            <w:vAlign w:val="top"/>
          </w:tcPr>
          <w:p w14:paraId="760E3B05">
            <w:pPr>
              <w:spacing w:before="152" w:line="220" w:lineRule="auto"/>
              <w:ind w:left="0" w:leftChars="0" w:firstLine="0" w:firstLineChars="0"/>
              <w:jc w:val="center"/>
            </w:pPr>
            <w:r>
              <w:rPr>
                <w:spacing w:val="-3"/>
              </w:rPr>
              <w:t>发包人地址</w:t>
            </w:r>
          </w:p>
        </w:tc>
        <w:tc>
          <w:tcPr>
            <w:tcW w:w="6283" w:type="dxa"/>
            <w:vAlign w:val="top"/>
          </w:tcPr>
          <w:p w14:paraId="535E3303">
            <w:pPr>
              <w:rPr>
                <w:rFonts w:ascii="Arial"/>
                <w:sz w:val="21"/>
              </w:rPr>
            </w:pPr>
          </w:p>
        </w:tc>
      </w:tr>
      <w:tr w14:paraId="4FD444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2636" w:type="dxa"/>
            <w:vAlign w:val="top"/>
          </w:tcPr>
          <w:p w14:paraId="51B5F90F">
            <w:pPr>
              <w:spacing w:before="153" w:line="220" w:lineRule="auto"/>
              <w:ind w:left="0" w:leftChars="0" w:firstLine="0" w:firstLineChars="0"/>
              <w:jc w:val="center"/>
            </w:pPr>
            <w:r>
              <w:rPr>
                <w:spacing w:val="-2"/>
              </w:rPr>
              <w:t>发包人联系人及电话</w:t>
            </w:r>
          </w:p>
        </w:tc>
        <w:tc>
          <w:tcPr>
            <w:tcW w:w="6283" w:type="dxa"/>
            <w:vAlign w:val="top"/>
          </w:tcPr>
          <w:p w14:paraId="02E2A747">
            <w:pPr>
              <w:rPr>
                <w:rFonts w:ascii="Arial"/>
                <w:sz w:val="21"/>
              </w:rPr>
            </w:pPr>
          </w:p>
        </w:tc>
      </w:tr>
      <w:tr w14:paraId="3F8437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2636" w:type="dxa"/>
            <w:vAlign w:val="top"/>
          </w:tcPr>
          <w:p w14:paraId="6DD311A1">
            <w:pPr>
              <w:spacing w:before="154" w:line="218" w:lineRule="auto"/>
              <w:ind w:left="0" w:leftChars="0" w:firstLine="0" w:firstLineChars="0"/>
              <w:jc w:val="center"/>
            </w:pPr>
            <w:r>
              <w:rPr>
                <w:spacing w:val="-2"/>
              </w:rPr>
              <w:t>合同价格</w:t>
            </w:r>
          </w:p>
        </w:tc>
        <w:tc>
          <w:tcPr>
            <w:tcW w:w="6283" w:type="dxa"/>
            <w:vAlign w:val="top"/>
          </w:tcPr>
          <w:p w14:paraId="779F1A42">
            <w:pPr>
              <w:rPr>
                <w:rFonts w:ascii="Arial"/>
                <w:sz w:val="21"/>
              </w:rPr>
            </w:pPr>
          </w:p>
        </w:tc>
      </w:tr>
      <w:tr w14:paraId="0E0D0D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2636" w:type="dxa"/>
            <w:vAlign w:val="top"/>
          </w:tcPr>
          <w:p w14:paraId="061590B8">
            <w:pPr>
              <w:spacing w:before="155" w:line="220" w:lineRule="auto"/>
              <w:ind w:left="0" w:leftChars="0" w:firstLine="0" w:firstLineChars="0"/>
              <w:jc w:val="center"/>
            </w:pPr>
            <w:r>
              <w:rPr>
                <w:spacing w:val="-2"/>
              </w:rPr>
              <w:t>开工日期</w:t>
            </w:r>
          </w:p>
        </w:tc>
        <w:tc>
          <w:tcPr>
            <w:tcW w:w="6283" w:type="dxa"/>
            <w:vAlign w:val="top"/>
          </w:tcPr>
          <w:p w14:paraId="00FB24B3">
            <w:pPr>
              <w:rPr>
                <w:rFonts w:ascii="Arial"/>
                <w:sz w:val="21"/>
              </w:rPr>
            </w:pPr>
          </w:p>
        </w:tc>
      </w:tr>
      <w:tr w14:paraId="080095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2636" w:type="dxa"/>
            <w:vAlign w:val="top"/>
          </w:tcPr>
          <w:p w14:paraId="6E5F3CB0">
            <w:pPr>
              <w:spacing w:before="155" w:line="220" w:lineRule="auto"/>
              <w:ind w:left="0" w:leftChars="0" w:firstLine="0" w:firstLineChars="0"/>
              <w:jc w:val="center"/>
            </w:pPr>
            <w:r>
              <w:rPr>
                <w:spacing w:val="-2"/>
              </w:rPr>
              <w:t>竣工日期</w:t>
            </w:r>
          </w:p>
        </w:tc>
        <w:tc>
          <w:tcPr>
            <w:tcW w:w="6283" w:type="dxa"/>
            <w:vAlign w:val="top"/>
          </w:tcPr>
          <w:p w14:paraId="4C8ED24B">
            <w:pPr>
              <w:rPr>
                <w:rFonts w:ascii="Arial"/>
                <w:sz w:val="21"/>
              </w:rPr>
            </w:pPr>
          </w:p>
        </w:tc>
      </w:tr>
      <w:tr w14:paraId="1C2C0B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2636" w:type="dxa"/>
            <w:vAlign w:val="top"/>
          </w:tcPr>
          <w:p w14:paraId="151DBBD1">
            <w:pPr>
              <w:spacing w:before="156" w:line="220" w:lineRule="auto"/>
              <w:ind w:left="0" w:leftChars="0" w:firstLine="0" w:firstLineChars="0"/>
              <w:jc w:val="center"/>
            </w:pPr>
            <w:r>
              <w:rPr>
                <w:spacing w:val="-2"/>
              </w:rPr>
              <w:t>承担的工作</w:t>
            </w:r>
          </w:p>
        </w:tc>
        <w:tc>
          <w:tcPr>
            <w:tcW w:w="6283" w:type="dxa"/>
            <w:vAlign w:val="top"/>
          </w:tcPr>
          <w:p w14:paraId="2EA0D24F">
            <w:pPr>
              <w:rPr>
                <w:rFonts w:ascii="Arial"/>
                <w:sz w:val="21"/>
              </w:rPr>
            </w:pPr>
          </w:p>
        </w:tc>
      </w:tr>
      <w:tr w14:paraId="1B9AE3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jc w:val="center"/>
        </w:trPr>
        <w:tc>
          <w:tcPr>
            <w:tcW w:w="2636" w:type="dxa"/>
            <w:vAlign w:val="top"/>
          </w:tcPr>
          <w:p w14:paraId="4EF7F20E">
            <w:pPr>
              <w:spacing w:before="158" w:line="220" w:lineRule="auto"/>
              <w:ind w:left="0" w:leftChars="0" w:firstLine="0" w:firstLineChars="0"/>
              <w:jc w:val="center"/>
            </w:pPr>
            <w:r>
              <w:rPr>
                <w:spacing w:val="-3"/>
              </w:rPr>
              <w:t>工程质量</w:t>
            </w:r>
          </w:p>
        </w:tc>
        <w:tc>
          <w:tcPr>
            <w:tcW w:w="6283" w:type="dxa"/>
            <w:vAlign w:val="top"/>
          </w:tcPr>
          <w:p w14:paraId="3F969915">
            <w:pPr>
              <w:rPr>
                <w:rFonts w:ascii="Arial"/>
                <w:sz w:val="21"/>
              </w:rPr>
            </w:pPr>
          </w:p>
        </w:tc>
      </w:tr>
      <w:tr w14:paraId="07EDBD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jc w:val="center"/>
        </w:trPr>
        <w:tc>
          <w:tcPr>
            <w:tcW w:w="2636" w:type="dxa"/>
            <w:vAlign w:val="top"/>
          </w:tcPr>
          <w:p w14:paraId="4685AB24">
            <w:pPr>
              <w:spacing w:before="157" w:line="220" w:lineRule="auto"/>
              <w:ind w:left="0" w:leftChars="0" w:firstLine="0" w:firstLineChars="0"/>
              <w:jc w:val="center"/>
            </w:pPr>
            <w:r>
              <w:rPr>
                <w:spacing w:val="-3"/>
              </w:rPr>
              <w:t>项目负责人</w:t>
            </w:r>
          </w:p>
        </w:tc>
        <w:tc>
          <w:tcPr>
            <w:tcW w:w="6283" w:type="dxa"/>
            <w:vAlign w:val="top"/>
          </w:tcPr>
          <w:p w14:paraId="42854200">
            <w:pPr>
              <w:rPr>
                <w:rFonts w:ascii="Arial"/>
                <w:sz w:val="21"/>
              </w:rPr>
            </w:pPr>
          </w:p>
        </w:tc>
      </w:tr>
      <w:tr w14:paraId="4191B2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jc w:val="center"/>
        </w:trPr>
        <w:tc>
          <w:tcPr>
            <w:tcW w:w="2636" w:type="dxa"/>
            <w:vAlign w:val="top"/>
          </w:tcPr>
          <w:p w14:paraId="6624155A">
            <w:pPr>
              <w:spacing w:before="157" w:line="220" w:lineRule="auto"/>
              <w:ind w:left="0" w:leftChars="0" w:firstLine="0" w:firstLineChars="0"/>
              <w:jc w:val="center"/>
            </w:pPr>
            <w:r>
              <w:rPr>
                <w:spacing w:val="-2"/>
              </w:rPr>
              <w:t>技术负责人</w:t>
            </w:r>
          </w:p>
        </w:tc>
        <w:tc>
          <w:tcPr>
            <w:tcW w:w="6283" w:type="dxa"/>
            <w:vAlign w:val="top"/>
          </w:tcPr>
          <w:p w14:paraId="5B91F473">
            <w:pPr>
              <w:rPr>
                <w:rFonts w:ascii="Arial"/>
                <w:sz w:val="21"/>
              </w:rPr>
            </w:pPr>
          </w:p>
        </w:tc>
      </w:tr>
      <w:tr w14:paraId="7E050A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jc w:val="center"/>
        </w:trPr>
        <w:tc>
          <w:tcPr>
            <w:tcW w:w="2636" w:type="dxa"/>
            <w:vAlign w:val="top"/>
          </w:tcPr>
          <w:p w14:paraId="67AA263D">
            <w:pPr>
              <w:spacing w:before="157" w:line="220" w:lineRule="auto"/>
              <w:ind w:left="0" w:leftChars="0" w:firstLine="0" w:firstLineChars="0"/>
              <w:jc w:val="center"/>
            </w:pPr>
            <w:r>
              <w:rPr>
                <w:spacing w:val="-2"/>
              </w:rPr>
              <w:t>总监理工程师及电话</w:t>
            </w:r>
          </w:p>
        </w:tc>
        <w:tc>
          <w:tcPr>
            <w:tcW w:w="6283" w:type="dxa"/>
            <w:vAlign w:val="top"/>
          </w:tcPr>
          <w:p w14:paraId="5C3DFF1D">
            <w:pPr>
              <w:rPr>
                <w:rFonts w:ascii="Arial"/>
                <w:sz w:val="21"/>
              </w:rPr>
            </w:pPr>
          </w:p>
        </w:tc>
      </w:tr>
      <w:tr w14:paraId="6DEFE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jc w:val="center"/>
        </w:trPr>
        <w:tc>
          <w:tcPr>
            <w:tcW w:w="2636" w:type="dxa"/>
            <w:vAlign w:val="top"/>
          </w:tcPr>
          <w:p w14:paraId="4B368D06">
            <w:pPr>
              <w:spacing w:before="230" w:line="220" w:lineRule="auto"/>
              <w:ind w:left="0" w:leftChars="0" w:firstLine="0" w:firstLineChars="0"/>
              <w:jc w:val="center"/>
            </w:pPr>
            <w:r>
              <w:rPr>
                <w:spacing w:val="-3"/>
              </w:rPr>
              <w:t>项目描述</w:t>
            </w:r>
          </w:p>
        </w:tc>
        <w:tc>
          <w:tcPr>
            <w:tcW w:w="6283" w:type="dxa"/>
            <w:vAlign w:val="top"/>
          </w:tcPr>
          <w:p w14:paraId="61FB3E8F">
            <w:pPr>
              <w:rPr>
                <w:rFonts w:ascii="Arial"/>
                <w:sz w:val="21"/>
              </w:rPr>
            </w:pPr>
          </w:p>
        </w:tc>
      </w:tr>
      <w:tr w14:paraId="37A3C5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636" w:type="dxa"/>
            <w:vAlign w:val="top"/>
          </w:tcPr>
          <w:p w14:paraId="751F9006">
            <w:pPr>
              <w:spacing w:before="159" w:line="221" w:lineRule="auto"/>
              <w:ind w:left="0" w:leftChars="0" w:firstLine="0" w:firstLineChars="0"/>
              <w:jc w:val="center"/>
            </w:pPr>
            <w:r>
              <w:rPr>
                <w:spacing w:val="-4"/>
              </w:rPr>
              <w:t>备注</w:t>
            </w:r>
          </w:p>
        </w:tc>
        <w:tc>
          <w:tcPr>
            <w:tcW w:w="6283" w:type="dxa"/>
            <w:vAlign w:val="top"/>
          </w:tcPr>
          <w:p w14:paraId="72D77F2C">
            <w:pPr>
              <w:rPr>
                <w:rFonts w:ascii="Arial"/>
                <w:sz w:val="21"/>
              </w:rPr>
            </w:pPr>
          </w:p>
        </w:tc>
      </w:tr>
    </w:tbl>
    <w:p w14:paraId="5BB088EC">
      <w:pPr>
        <w:keepNext w:val="0"/>
        <w:keepLines w:val="0"/>
        <w:pageBreakBefore w:val="0"/>
        <w:widowControl/>
        <w:kinsoku w:val="0"/>
        <w:wordWrap w:val="0"/>
        <w:overflowPunct/>
        <w:topLinePunct w:val="0"/>
        <w:autoSpaceDE w:val="0"/>
        <w:autoSpaceDN w:val="0"/>
        <w:bidi w:val="0"/>
        <w:adjustRightInd w:val="0"/>
        <w:snapToGrid w:val="0"/>
        <w:spacing w:line="260" w:lineRule="exact"/>
        <w:textAlignment w:val="baseline"/>
        <w:rPr>
          <w:sz w:val="22"/>
          <w:szCs w:val="22"/>
        </w:rPr>
      </w:pPr>
      <w:r>
        <w:rPr>
          <w:sz w:val="22"/>
          <w:szCs w:val="22"/>
        </w:rPr>
        <w:t>附：</w:t>
      </w:r>
    </w:p>
    <w:p w14:paraId="0FBEE96E">
      <w:pPr>
        <w:keepNext w:val="0"/>
        <w:keepLines w:val="0"/>
        <w:pageBreakBefore w:val="0"/>
        <w:widowControl/>
        <w:kinsoku w:val="0"/>
        <w:wordWrap w:val="0"/>
        <w:overflowPunct/>
        <w:topLinePunct w:val="0"/>
        <w:autoSpaceDE w:val="0"/>
        <w:autoSpaceDN w:val="0"/>
        <w:bidi w:val="0"/>
        <w:adjustRightInd w:val="0"/>
        <w:snapToGrid w:val="0"/>
        <w:spacing w:line="260" w:lineRule="exact"/>
        <w:textAlignment w:val="baseline"/>
        <w:rPr>
          <w:sz w:val="22"/>
          <w:szCs w:val="22"/>
        </w:rPr>
      </w:pPr>
      <w:r>
        <w:rPr>
          <w:sz w:val="22"/>
          <w:szCs w:val="22"/>
        </w:rPr>
        <w:t>1、根据评审表的要求提交相应资料。</w:t>
      </w:r>
    </w:p>
    <w:p w14:paraId="45A99A46">
      <w:pPr>
        <w:keepNext w:val="0"/>
        <w:keepLines w:val="0"/>
        <w:pageBreakBefore w:val="0"/>
        <w:widowControl/>
        <w:kinsoku w:val="0"/>
        <w:wordWrap w:val="0"/>
        <w:overflowPunct/>
        <w:topLinePunct w:val="0"/>
        <w:autoSpaceDE w:val="0"/>
        <w:autoSpaceDN w:val="0"/>
        <w:bidi w:val="0"/>
        <w:adjustRightInd w:val="0"/>
        <w:snapToGrid w:val="0"/>
        <w:spacing w:line="260" w:lineRule="exact"/>
        <w:textAlignment w:val="baseline"/>
        <w:rPr>
          <w:sz w:val="22"/>
          <w:szCs w:val="22"/>
        </w:rPr>
      </w:pPr>
      <w:r>
        <w:rPr>
          <w:sz w:val="22"/>
          <w:szCs w:val="22"/>
        </w:rPr>
        <w:t>2、业绩证明以合同或中标通知书为准，在投标文件中附合同（协议）扫描件（合同须包含合同首页、金额页、服务内容页、签字盖章页）和中标（成交）通知书扫描件加盖单位公章。</w:t>
      </w:r>
    </w:p>
    <w:p w14:paraId="4F8C1E17">
      <w:pPr>
        <w:keepNext w:val="0"/>
        <w:keepLines w:val="0"/>
        <w:pageBreakBefore w:val="0"/>
        <w:widowControl/>
        <w:kinsoku w:val="0"/>
        <w:wordWrap w:val="0"/>
        <w:overflowPunct/>
        <w:topLinePunct w:val="0"/>
        <w:autoSpaceDE w:val="0"/>
        <w:autoSpaceDN w:val="0"/>
        <w:bidi w:val="0"/>
        <w:adjustRightInd w:val="0"/>
        <w:snapToGrid w:val="0"/>
        <w:spacing w:line="260" w:lineRule="exact"/>
        <w:textAlignment w:val="baseline"/>
        <w:rPr>
          <w:sz w:val="22"/>
          <w:szCs w:val="22"/>
        </w:rPr>
      </w:pPr>
      <w:r>
        <w:rPr>
          <w:sz w:val="22"/>
          <w:szCs w:val="22"/>
        </w:rPr>
        <w:t>3、每张表格只填写一个项目，并标明序号；</w:t>
      </w:r>
    </w:p>
    <w:p w14:paraId="2DE3AFD5">
      <w:pPr>
        <w:keepNext w:val="0"/>
        <w:keepLines w:val="0"/>
        <w:pageBreakBefore w:val="0"/>
        <w:widowControl/>
        <w:kinsoku w:val="0"/>
        <w:wordWrap w:val="0"/>
        <w:overflowPunct/>
        <w:topLinePunct w:val="0"/>
        <w:autoSpaceDE w:val="0"/>
        <w:autoSpaceDN w:val="0"/>
        <w:bidi w:val="0"/>
        <w:adjustRightInd w:val="0"/>
        <w:snapToGrid w:val="0"/>
        <w:spacing w:line="260" w:lineRule="exact"/>
        <w:textAlignment w:val="baseline"/>
        <w:rPr>
          <w:sz w:val="22"/>
          <w:szCs w:val="22"/>
        </w:rPr>
      </w:pPr>
      <w:r>
        <w:rPr>
          <w:sz w:val="22"/>
          <w:szCs w:val="22"/>
        </w:rPr>
        <w:t>4、供应商近3年（2021年1月1日-至今）已完成的类似工程施工业绩（须提供合同或中标通知书）；</w:t>
      </w:r>
    </w:p>
    <w:p w14:paraId="16347067">
      <w:pPr>
        <w:keepNext w:val="0"/>
        <w:keepLines w:val="0"/>
        <w:pageBreakBefore w:val="0"/>
        <w:widowControl/>
        <w:kinsoku w:val="0"/>
        <w:wordWrap w:val="0"/>
        <w:overflowPunct/>
        <w:topLinePunct w:val="0"/>
        <w:autoSpaceDE w:val="0"/>
        <w:autoSpaceDN w:val="0"/>
        <w:bidi w:val="0"/>
        <w:adjustRightInd w:val="0"/>
        <w:snapToGrid w:val="0"/>
        <w:spacing w:line="260" w:lineRule="exact"/>
        <w:textAlignment w:val="baseline"/>
        <w:rPr>
          <w:sz w:val="22"/>
          <w:szCs w:val="22"/>
        </w:rPr>
      </w:pPr>
      <w:r>
        <w:rPr>
          <w:sz w:val="22"/>
          <w:szCs w:val="22"/>
        </w:rPr>
        <w:t>注：各供应商应对其业绩的真实性负责，招标结束后采购人有权核实其业绩的真实性，如有不实其后果由供应商自行承担，成交供应商将取消其成交资格。</w:t>
      </w:r>
    </w:p>
    <w:p w14:paraId="51853449">
      <w:pPr>
        <w:bidi w:val="0"/>
      </w:pPr>
    </w:p>
    <w:p w14:paraId="4D716077">
      <w:pPr>
        <w:bidi w:val="0"/>
      </w:pPr>
      <w:r>
        <w:t>供应商名称：（盖章）</w:t>
      </w:r>
    </w:p>
    <w:p w14:paraId="2865B0F7">
      <w:pPr>
        <w:bidi w:val="0"/>
      </w:pPr>
      <w:r>
        <w:t>法定代表人或授权代表（签字或盖章）：</w:t>
      </w:r>
    </w:p>
    <w:p w14:paraId="41A531B6">
      <w:pPr>
        <w:bidi w:val="0"/>
      </w:pPr>
      <w:r>
        <w:t>日期:</w:t>
      </w:r>
    </w:p>
    <w:p w14:paraId="6F549A5E">
      <w:pPr>
        <w:pStyle w:val="3"/>
        <w:bidi w:val="0"/>
      </w:pPr>
      <w:bookmarkStart w:id="17" w:name="_Toc19918"/>
      <w:r>
        <w:t>六、供应商本项目管理及其他人员情况表</w:t>
      </w:r>
      <w:bookmarkEnd w:id="17"/>
    </w:p>
    <w:p w14:paraId="4238E5B1">
      <w:pPr>
        <w:spacing w:before="78" w:line="211" w:lineRule="auto"/>
        <w:ind w:left="0" w:leftChars="0" w:firstLine="0" w:firstLineChars="0"/>
        <w:rPr>
          <w:rFonts w:ascii="宋体" w:hAnsi="宋体" w:eastAsia="宋体" w:cs="宋体"/>
          <w:sz w:val="24"/>
          <w:szCs w:val="24"/>
        </w:rPr>
      </w:pPr>
      <w:r>
        <w:rPr>
          <w:rFonts w:hint="eastAsia" w:ascii="宋体" w:hAnsi="宋体" w:cs="宋体"/>
          <w:spacing w:val="-11"/>
          <w:sz w:val="24"/>
          <w:szCs w:val="24"/>
          <w:lang w:eastAsia="zh-CN"/>
        </w:rPr>
        <w:t>项目</w:t>
      </w:r>
      <w:r>
        <w:rPr>
          <w:rFonts w:ascii="宋体" w:hAnsi="宋体" w:eastAsia="宋体" w:cs="宋体"/>
          <w:spacing w:val="-11"/>
          <w:sz w:val="24"/>
          <w:szCs w:val="24"/>
        </w:rPr>
        <w:t>编号：</w:t>
      </w:r>
    </w:p>
    <w:tbl>
      <w:tblPr>
        <w:tblStyle w:val="10"/>
        <w:tblW w:w="90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5"/>
        <w:gridCol w:w="972"/>
        <w:gridCol w:w="973"/>
        <w:gridCol w:w="973"/>
        <w:gridCol w:w="973"/>
        <w:gridCol w:w="1267"/>
        <w:gridCol w:w="891"/>
        <w:gridCol w:w="1015"/>
        <w:gridCol w:w="900"/>
      </w:tblGrid>
      <w:tr w14:paraId="3F769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1135" w:type="dxa"/>
            <w:vMerge w:val="restart"/>
            <w:tcBorders>
              <w:bottom w:val="nil"/>
            </w:tcBorders>
            <w:vAlign w:val="center"/>
          </w:tcPr>
          <w:p w14:paraId="4685EA4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类别</w:t>
            </w:r>
          </w:p>
        </w:tc>
        <w:tc>
          <w:tcPr>
            <w:tcW w:w="972" w:type="dxa"/>
            <w:vMerge w:val="restart"/>
            <w:tcBorders>
              <w:bottom w:val="nil"/>
            </w:tcBorders>
            <w:vAlign w:val="center"/>
          </w:tcPr>
          <w:p w14:paraId="109A44F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姓名</w:t>
            </w:r>
          </w:p>
        </w:tc>
        <w:tc>
          <w:tcPr>
            <w:tcW w:w="973" w:type="dxa"/>
            <w:vMerge w:val="restart"/>
            <w:tcBorders>
              <w:bottom w:val="nil"/>
            </w:tcBorders>
            <w:vAlign w:val="center"/>
          </w:tcPr>
          <w:p w14:paraId="7292C72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联系方式</w:t>
            </w:r>
          </w:p>
        </w:tc>
        <w:tc>
          <w:tcPr>
            <w:tcW w:w="973" w:type="dxa"/>
            <w:vMerge w:val="restart"/>
            <w:tcBorders>
              <w:bottom w:val="nil"/>
            </w:tcBorders>
            <w:vAlign w:val="center"/>
          </w:tcPr>
          <w:p w14:paraId="71884DB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职称</w:t>
            </w:r>
          </w:p>
          <w:p w14:paraId="13CBF56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或职</w:t>
            </w:r>
          </w:p>
          <w:p w14:paraId="3CB4658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务</w:t>
            </w:r>
          </w:p>
        </w:tc>
        <w:tc>
          <w:tcPr>
            <w:tcW w:w="973" w:type="dxa"/>
            <w:vMerge w:val="restart"/>
            <w:tcBorders>
              <w:bottom w:val="nil"/>
            </w:tcBorders>
            <w:vAlign w:val="center"/>
          </w:tcPr>
          <w:p w14:paraId="780E63D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常住地</w:t>
            </w:r>
          </w:p>
        </w:tc>
        <w:tc>
          <w:tcPr>
            <w:tcW w:w="4073" w:type="dxa"/>
            <w:gridSpan w:val="4"/>
            <w:vAlign w:val="center"/>
          </w:tcPr>
          <w:p w14:paraId="2F57201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资格证明</w:t>
            </w:r>
          </w:p>
        </w:tc>
      </w:tr>
      <w:tr w14:paraId="1A2671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5" w:hRule="atLeast"/>
          <w:jc w:val="center"/>
        </w:trPr>
        <w:tc>
          <w:tcPr>
            <w:tcW w:w="1135" w:type="dxa"/>
            <w:vMerge w:val="continue"/>
            <w:tcBorders>
              <w:top w:val="nil"/>
            </w:tcBorders>
            <w:vAlign w:val="center"/>
          </w:tcPr>
          <w:p w14:paraId="66051B4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p>
        </w:tc>
        <w:tc>
          <w:tcPr>
            <w:tcW w:w="972" w:type="dxa"/>
            <w:vMerge w:val="continue"/>
            <w:tcBorders>
              <w:top w:val="nil"/>
            </w:tcBorders>
            <w:vAlign w:val="center"/>
          </w:tcPr>
          <w:p w14:paraId="4CE1DE3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p>
        </w:tc>
        <w:tc>
          <w:tcPr>
            <w:tcW w:w="973" w:type="dxa"/>
            <w:vMerge w:val="continue"/>
            <w:tcBorders>
              <w:top w:val="nil"/>
            </w:tcBorders>
            <w:vAlign w:val="center"/>
          </w:tcPr>
          <w:p w14:paraId="0415A3E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p>
        </w:tc>
        <w:tc>
          <w:tcPr>
            <w:tcW w:w="973" w:type="dxa"/>
            <w:vMerge w:val="continue"/>
            <w:tcBorders>
              <w:top w:val="nil"/>
            </w:tcBorders>
            <w:vAlign w:val="center"/>
          </w:tcPr>
          <w:p w14:paraId="49AF8AB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p>
        </w:tc>
        <w:tc>
          <w:tcPr>
            <w:tcW w:w="973" w:type="dxa"/>
            <w:vMerge w:val="continue"/>
            <w:tcBorders>
              <w:top w:val="nil"/>
            </w:tcBorders>
            <w:vAlign w:val="center"/>
          </w:tcPr>
          <w:p w14:paraId="1C8C599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p>
        </w:tc>
        <w:tc>
          <w:tcPr>
            <w:tcW w:w="1267" w:type="dxa"/>
            <w:vAlign w:val="center"/>
          </w:tcPr>
          <w:p w14:paraId="4D2468B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证书名称</w:t>
            </w:r>
          </w:p>
        </w:tc>
        <w:tc>
          <w:tcPr>
            <w:tcW w:w="891" w:type="dxa"/>
            <w:vAlign w:val="center"/>
          </w:tcPr>
          <w:p w14:paraId="5E61426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级别</w:t>
            </w:r>
          </w:p>
        </w:tc>
        <w:tc>
          <w:tcPr>
            <w:tcW w:w="1015" w:type="dxa"/>
            <w:vAlign w:val="center"/>
          </w:tcPr>
          <w:p w14:paraId="777ADB9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证号</w:t>
            </w:r>
          </w:p>
        </w:tc>
        <w:tc>
          <w:tcPr>
            <w:tcW w:w="900" w:type="dxa"/>
            <w:vAlign w:val="center"/>
          </w:tcPr>
          <w:p w14:paraId="6FDF043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专业</w:t>
            </w:r>
          </w:p>
        </w:tc>
      </w:tr>
      <w:tr w14:paraId="1F8989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7" w:hRule="atLeast"/>
          <w:jc w:val="center"/>
        </w:trPr>
        <w:tc>
          <w:tcPr>
            <w:tcW w:w="1135" w:type="dxa"/>
            <w:vMerge w:val="restart"/>
            <w:tcBorders>
              <w:bottom w:val="nil"/>
            </w:tcBorders>
            <w:textDirection w:val="tbRlV"/>
            <w:vAlign w:val="center"/>
          </w:tcPr>
          <w:p w14:paraId="48657F7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hint="eastAsia" w:eastAsia="宋体"/>
                <w:lang w:eastAsia="zh-CN"/>
              </w:rPr>
            </w:pPr>
            <w:r>
              <w:rPr>
                <w:rFonts w:hint="eastAsia"/>
                <w:lang w:eastAsia="zh-CN"/>
              </w:rPr>
              <w:t>管理人员</w:t>
            </w:r>
          </w:p>
        </w:tc>
        <w:tc>
          <w:tcPr>
            <w:tcW w:w="972" w:type="dxa"/>
            <w:vAlign w:val="top"/>
          </w:tcPr>
          <w:p w14:paraId="6C7DA46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28CF278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5EB31B7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2FFB8B0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267" w:type="dxa"/>
            <w:vAlign w:val="top"/>
          </w:tcPr>
          <w:p w14:paraId="44EDDFC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891" w:type="dxa"/>
            <w:vAlign w:val="top"/>
          </w:tcPr>
          <w:p w14:paraId="1ED0C81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015" w:type="dxa"/>
            <w:vAlign w:val="top"/>
          </w:tcPr>
          <w:p w14:paraId="71565CD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00" w:type="dxa"/>
            <w:vAlign w:val="top"/>
          </w:tcPr>
          <w:p w14:paraId="42F25EB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1F506F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jc w:val="center"/>
        </w:trPr>
        <w:tc>
          <w:tcPr>
            <w:tcW w:w="1135" w:type="dxa"/>
            <w:vMerge w:val="continue"/>
            <w:tcBorders>
              <w:top w:val="nil"/>
              <w:bottom w:val="nil"/>
            </w:tcBorders>
            <w:textDirection w:val="tbRlV"/>
            <w:vAlign w:val="top"/>
          </w:tcPr>
          <w:p w14:paraId="2A9ABD7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2" w:type="dxa"/>
            <w:vAlign w:val="top"/>
          </w:tcPr>
          <w:p w14:paraId="64F6EA8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2D93073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02DFDAC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168F46D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267" w:type="dxa"/>
            <w:vAlign w:val="top"/>
          </w:tcPr>
          <w:p w14:paraId="6E25524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891" w:type="dxa"/>
            <w:vAlign w:val="top"/>
          </w:tcPr>
          <w:p w14:paraId="4626C8C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015" w:type="dxa"/>
            <w:vAlign w:val="top"/>
          </w:tcPr>
          <w:p w14:paraId="141C071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00" w:type="dxa"/>
            <w:vAlign w:val="top"/>
          </w:tcPr>
          <w:p w14:paraId="388A0E9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7A0C54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7" w:hRule="atLeast"/>
          <w:jc w:val="center"/>
        </w:trPr>
        <w:tc>
          <w:tcPr>
            <w:tcW w:w="1135" w:type="dxa"/>
            <w:vMerge w:val="continue"/>
            <w:tcBorders>
              <w:top w:val="nil"/>
            </w:tcBorders>
            <w:textDirection w:val="tbRlV"/>
            <w:vAlign w:val="top"/>
          </w:tcPr>
          <w:p w14:paraId="2C65E70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2" w:type="dxa"/>
            <w:vAlign w:val="top"/>
          </w:tcPr>
          <w:p w14:paraId="34F9F64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6918628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1BF8E4F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0F07D1D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267" w:type="dxa"/>
            <w:vAlign w:val="top"/>
          </w:tcPr>
          <w:p w14:paraId="760234F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891" w:type="dxa"/>
            <w:vAlign w:val="top"/>
          </w:tcPr>
          <w:p w14:paraId="18F16D6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015" w:type="dxa"/>
            <w:vAlign w:val="top"/>
          </w:tcPr>
          <w:p w14:paraId="1ED9EE4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00" w:type="dxa"/>
            <w:vAlign w:val="top"/>
          </w:tcPr>
          <w:p w14:paraId="7447952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2BC6EA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jc w:val="center"/>
        </w:trPr>
        <w:tc>
          <w:tcPr>
            <w:tcW w:w="1135" w:type="dxa"/>
            <w:vMerge w:val="restart"/>
            <w:tcBorders>
              <w:bottom w:val="nil"/>
            </w:tcBorders>
            <w:textDirection w:val="tbRlV"/>
            <w:vAlign w:val="center"/>
          </w:tcPr>
          <w:p w14:paraId="4E0116F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rPr>
                <w:rFonts w:hint="eastAsia" w:ascii="Times New Roman" w:hAnsi="Times New Roman" w:eastAsia="宋体" w:cs="Times New Roman"/>
                <w:lang w:eastAsia="zh-CN"/>
              </w:rPr>
              <w:t>服务</w:t>
            </w:r>
            <w:r>
              <w:t>人员</w:t>
            </w:r>
          </w:p>
        </w:tc>
        <w:tc>
          <w:tcPr>
            <w:tcW w:w="972" w:type="dxa"/>
            <w:vAlign w:val="top"/>
          </w:tcPr>
          <w:p w14:paraId="2FF7B89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7E80DD1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697DC80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407AF9B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267" w:type="dxa"/>
            <w:vAlign w:val="top"/>
          </w:tcPr>
          <w:p w14:paraId="6E38334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891" w:type="dxa"/>
            <w:vAlign w:val="top"/>
          </w:tcPr>
          <w:p w14:paraId="001EE82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015" w:type="dxa"/>
            <w:vAlign w:val="top"/>
          </w:tcPr>
          <w:p w14:paraId="70DBF0E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00" w:type="dxa"/>
            <w:vAlign w:val="top"/>
          </w:tcPr>
          <w:p w14:paraId="709539C0">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62B3C6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7" w:hRule="atLeast"/>
          <w:jc w:val="center"/>
        </w:trPr>
        <w:tc>
          <w:tcPr>
            <w:tcW w:w="1135" w:type="dxa"/>
            <w:vMerge w:val="continue"/>
            <w:tcBorders>
              <w:top w:val="nil"/>
              <w:bottom w:val="nil"/>
            </w:tcBorders>
            <w:textDirection w:val="tbRlV"/>
            <w:vAlign w:val="top"/>
          </w:tcPr>
          <w:p w14:paraId="629900C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2" w:type="dxa"/>
            <w:vAlign w:val="top"/>
          </w:tcPr>
          <w:p w14:paraId="35469D0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506EDEF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21F5476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25BB141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267" w:type="dxa"/>
            <w:vAlign w:val="top"/>
          </w:tcPr>
          <w:p w14:paraId="65234FE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891" w:type="dxa"/>
            <w:vAlign w:val="top"/>
          </w:tcPr>
          <w:p w14:paraId="656B703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015" w:type="dxa"/>
            <w:vAlign w:val="top"/>
          </w:tcPr>
          <w:p w14:paraId="0BA7754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00" w:type="dxa"/>
            <w:vAlign w:val="top"/>
          </w:tcPr>
          <w:p w14:paraId="6E8AE78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71A4C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jc w:val="center"/>
        </w:trPr>
        <w:tc>
          <w:tcPr>
            <w:tcW w:w="1135" w:type="dxa"/>
            <w:vMerge w:val="continue"/>
            <w:tcBorders>
              <w:top w:val="nil"/>
            </w:tcBorders>
            <w:textDirection w:val="tbRlV"/>
            <w:vAlign w:val="top"/>
          </w:tcPr>
          <w:p w14:paraId="098C70C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2" w:type="dxa"/>
            <w:vAlign w:val="top"/>
          </w:tcPr>
          <w:p w14:paraId="7513FF6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5413CFB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294CEDB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3BB8D04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267" w:type="dxa"/>
            <w:vAlign w:val="top"/>
          </w:tcPr>
          <w:p w14:paraId="28E2E2E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891" w:type="dxa"/>
            <w:vAlign w:val="top"/>
          </w:tcPr>
          <w:p w14:paraId="1AF2B75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015" w:type="dxa"/>
            <w:vAlign w:val="top"/>
          </w:tcPr>
          <w:p w14:paraId="3E80199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00" w:type="dxa"/>
            <w:vAlign w:val="top"/>
          </w:tcPr>
          <w:p w14:paraId="5580ACC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68B50D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7" w:hRule="atLeast"/>
          <w:jc w:val="center"/>
        </w:trPr>
        <w:tc>
          <w:tcPr>
            <w:tcW w:w="1135" w:type="dxa"/>
            <w:vMerge w:val="restart"/>
            <w:tcBorders>
              <w:bottom w:val="nil"/>
            </w:tcBorders>
            <w:textDirection w:val="tbRlV"/>
            <w:vAlign w:val="top"/>
          </w:tcPr>
          <w:p w14:paraId="151D9435">
            <w:pPr>
              <w:keepNext w:val="0"/>
              <w:keepLines w:val="0"/>
              <w:pageBreakBefore w:val="0"/>
              <w:widowControl/>
              <w:kinsoku w:val="0"/>
              <w:wordWrap w:val="0"/>
              <w:overflowPunct/>
              <w:topLinePunct w:val="0"/>
              <w:autoSpaceDE w:val="0"/>
              <w:autoSpaceDN w:val="0"/>
              <w:bidi w:val="0"/>
              <w:adjustRightInd w:val="0"/>
              <w:snapToGrid w:val="0"/>
              <w:textAlignment w:val="baseline"/>
            </w:pPr>
          </w:p>
          <w:p w14:paraId="645C24D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rPr>
                <w:rFonts w:ascii="Times New Roman" w:hAnsi="Times New Roman" w:eastAsia="宋体" w:cs="Times New Roman"/>
              </w:rPr>
              <w:t>其他</w:t>
            </w:r>
            <w:r>
              <w:t>人员</w:t>
            </w:r>
          </w:p>
        </w:tc>
        <w:tc>
          <w:tcPr>
            <w:tcW w:w="972" w:type="dxa"/>
            <w:vAlign w:val="top"/>
          </w:tcPr>
          <w:p w14:paraId="795C9A0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1D26093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0BEF02F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3EFD5A8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267" w:type="dxa"/>
            <w:vAlign w:val="top"/>
          </w:tcPr>
          <w:p w14:paraId="7CB775B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891" w:type="dxa"/>
            <w:vAlign w:val="top"/>
          </w:tcPr>
          <w:p w14:paraId="4D5CAB6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015" w:type="dxa"/>
            <w:vAlign w:val="top"/>
          </w:tcPr>
          <w:p w14:paraId="364DB9B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00" w:type="dxa"/>
            <w:vAlign w:val="top"/>
          </w:tcPr>
          <w:p w14:paraId="7DAE80A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15DDA4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7" w:hRule="atLeast"/>
          <w:jc w:val="center"/>
        </w:trPr>
        <w:tc>
          <w:tcPr>
            <w:tcW w:w="1135" w:type="dxa"/>
            <w:vMerge w:val="continue"/>
            <w:tcBorders>
              <w:top w:val="nil"/>
              <w:bottom w:val="nil"/>
            </w:tcBorders>
            <w:textDirection w:val="tbRlV"/>
            <w:vAlign w:val="top"/>
          </w:tcPr>
          <w:p w14:paraId="0D70BA5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2" w:type="dxa"/>
            <w:vAlign w:val="top"/>
          </w:tcPr>
          <w:p w14:paraId="4ED5435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4F9317A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799D380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2DE8018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267" w:type="dxa"/>
            <w:vAlign w:val="top"/>
          </w:tcPr>
          <w:p w14:paraId="3D575E40">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891" w:type="dxa"/>
            <w:vAlign w:val="top"/>
          </w:tcPr>
          <w:p w14:paraId="6D2DE46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015" w:type="dxa"/>
            <w:vAlign w:val="top"/>
          </w:tcPr>
          <w:p w14:paraId="3886859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00" w:type="dxa"/>
            <w:vAlign w:val="top"/>
          </w:tcPr>
          <w:p w14:paraId="1D4EFDB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34E558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jc w:val="center"/>
        </w:trPr>
        <w:tc>
          <w:tcPr>
            <w:tcW w:w="1135" w:type="dxa"/>
            <w:vMerge w:val="continue"/>
            <w:tcBorders>
              <w:top w:val="nil"/>
            </w:tcBorders>
            <w:textDirection w:val="tbRlV"/>
            <w:vAlign w:val="top"/>
          </w:tcPr>
          <w:p w14:paraId="2AE3950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2" w:type="dxa"/>
            <w:vAlign w:val="top"/>
          </w:tcPr>
          <w:p w14:paraId="20E5C65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00DAE1F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2CD6E6F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73" w:type="dxa"/>
            <w:vAlign w:val="top"/>
          </w:tcPr>
          <w:p w14:paraId="498AADA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267" w:type="dxa"/>
            <w:vAlign w:val="top"/>
          </w:tcPr>
          <w:p w14:paraId="4F20034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891" w:type="dxa"/>
            <w:vAlign w:val="top"/>
          </w:tcPr>
          <w:p w14:paraId="36BB3FF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015" w:type="dxa"/>
            <w:vAlign w:val="top"/>
          </w:tcPr>
          <w:p w14:paraId="7803FA2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900" w:type="dxa"/>
            <w:vAlign w:val="top"/>
          </w:tcPr>
          <w:p w14:paraId="4E41692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bl>
    <w:p w14:paraId="7BAF5CE9">
      <w:pPr>
        <w:spacing w:before="116" w:line="346" w:lineRule="auto"/>
        <w:ind w:left="25" w:right="14" w:firstLine="478"/>
        <w:rPr>
          <w:rFonts w:ascii="宋体" w:hAnsi="宋体" w:eastAsia="宋体" w:cs="宋体"/>
          <w:sz w:val="24"/>
          <w:szCs w:val="24"/>
        </w:rPr>
      </w:pPr>
      <w:r>
        <w:rPr>
          <w:rFonts w:ascii="宋体" w:hAnsi="宋体" w:eastAsia="宋体" w:cs="宋体"/>
          <w:spacing w:val="-3"/>
          <w:sz w:val="24"/>
          <w:szCs w:val="24"/>
        </w:rPr>
        <w:t>应在本表格后附上技术负责人及项目其他专业人员身份证、</w:t>
      </w:r>
      <w:r>
        <w:rPr>
          <w:rFonts w:hint="eastAsia" w:ascii="宋体" w:hAnsi="宋体" w:cs="宋体"/>
          <w:spacing w:val="-3"/>
          <w:sz w:val="24"/>
          <w:szCs w:val="24"/>
          <w:lang w:eastAsia="zh-CN"/>
        </w:rPr>
        <w:t>岗位证书</w:t>
      </w:r>
      <w:r>
        <w:rPr>
          <w:rFonts w:ascii="宋体" w:hAnsi="宋体" w:eastAsia="宋体" w:cs="宋体"/>
          <w:spacing w:val="-4"/>
          <w:sz w:val="24"/>
          <w:szCs w:val="24"/>
        </w:rPr>
        <w:t>等相关证书复印件</w:t>
      </w:r>
      <w:r>
        <w:rPr>
          <w:rFonts w:hint="eastAsia" w:ascii="宋体" w:hAnsi="宋体" w:cs="宋体"/>
          <w:spacing w:val="-4"/>
          <w:sz w:val="24"/>
          <w:szCs w:val="24"/>
          <w:lang w:eastAsia="zh-CN"/>
        </w:rPr>
        <w:t>及相关说明</w:t>
      </w:r>
      <w:r>
        <w:rPr>
          <w:rFonts w:ascii="宋体" w:hAnsi="宋体" w:eastAsia="宋体" w:cs="宋体"/>
          <w:spacing w:val="-4"/>
          <w:sz w:val="24"/>
          <w:szCs w:val="24"/>
        </w:rPr>
        <w:t>。</w:t>
      </w:r>
    </w:p>
    <w:p w14:paraId="58E70EA1">
      <w:pPr>
        <w:spacing w:line="295" w:lineRule="auto"/>
      </w:pPr>
    </w:p>
    <w:p w14:paraId="0785597C">
      <w:pPr>
        <w:spacing w:line="296" w:lineRule="auto"/>
      </w:pPr>
    </w:p>
    <w:p w14:paraId="4F6CEA68">
      <w:pPr>
        <w:spacing w:line="296" w:lineRule="auto"/>
      </w:pPr>
    </w:p>
    <w:p w14:paraId="76F9F11C">
      <w:pPr>
        <w:bidi w:val="0"/>
      </w:pPr>
      <w:r>
        <w:t>供应商名称：（盖章）</w:t>
      </w:r>
    </w:p>
    <w:p w14:paraId="356A02DE">
      <w:pPr>
        <w:bidi w:val="0"/>
      </w:pPr>
      <w:r>
        <w:t>法定代表人或授权代表（签字或盖章）：</w:t>
      </w:r>
    </w:p>
    <w:p w14:paraId="6A140928">
      <w:pPr>
        <w:bidi w:val="0"/>
      </w:pPr>
      <w:r>
        <w:t>日期:</w:t>
      </w:r>
    </w:p>
    <w:p w14:paraId="2DB7C0CB">
      <w:pPr>
        <w:spacing w:line="267" w:lineRule="auto"/>
      </w:pPr>
    </w:p>
    <w:p w14:paraId="5365EA4A">
      <w:pPr>
        <w:spacing w:line="267" w:lineRule="auto"/>
      </w:pPr>
    </w:p>
    <w:p w14:paraId="76FC0FEA">
      <w:pPr>
        <w:spacing w:line="268" w:lineRule="auto"/>
      </w:pPr>
    </w:p>
    <w:p w14:paraId="455A5D2F">
      <w:pPr>
        <w:spacing w:line="268" w:lineRule="auto"/>
      </w:pPr>
    </w:p>
    <w:p w14:paraId="01ED3E47">
      <w:pPr>
        <w:spacing w:line="268" w:lineRule="auto"/>
      </w:pPr>
    </w:p>
    <w:p w14:paraId="5CA81E19">
      <w:pPr>
        <w:spacing w:line="268" w:lineRule="auto"/>
      </w:pPr>
    </w:p>
    <w:p w14:paraId="21AB9C3F">
      <w:pPr>
        <w:spacing w:line="268" w:lineRule="auto"/>
      </w:pPr>
    </w:p>
    <w:p w14:paraId="1BDD85F6">
      <w:pPr>
        <w:spacing w:line="268" w:lineRule="auto"/>
      </w:pPr>
    </w:p>
    <w:p w14:paraId="38BF1A04">
      <w:pPr>
        <w:spacing w:line="268" w:lineRule="auto"/>
      </w:pPr>
    </w:p>
    <w:p w14:paraId="7E0809DD">
      <w:pPr>
        <w:spacing w:line="268" w:lineRule="auto"/>
      </w:pPr>
    </w:p>
    <w:p w14:paraId="38A986ED">
      <w:pPr>
        <w:bidi w:val="0"/>
        <w:ind w:left="0" w:leftChars="0" w:firstLine="0" w:firstLineChars="0"/>
        <w:jc w:val="center"/>
        <w:rPr>
          <w:b/>
          <w:bCs/>
          <w:sz w:val="28"/>
          <w:szCs w:val="28"/>
        </w:rPr>
      </w:pPr>
      <w:r>
        <w:rPr>
          <w:b/>
          <w:bCs/>
          <w:sz w:val="28"/>
          <w:szCs w:val="28"/>
        </w:rPr>
        <w:t>项目负责人综合实力及业绩</w:t>
      </w:r>
    </w:p>
    <w:p w14:paraId="3E5AE260">
      <w:pPr>
        <w:bidi w:val="0"/>
        <w:ind w:left="0" w:leftChars="0" w:firstLine="0" w:firstLineChars="0"/>
        <w:jc w:val="center"/>
      </w:pPr>
      <w:r>
        <w:rPr>
          <w:b/>
          <w:bCs/>
          <w:sz w:val="28"/>
          <w:szCs w:val="28"/>
        </w:rPr>
        <w:t>（项目负责人近三年类似工程业绩证明材料）</w:t>
      </w:r>
    </w:p>
    <w:p w14:paraId="0579476C">
      <w:pPr>
        <w:bidi w:val="0"/>
      </w:pPr>
      <w:r>
        <w:t>1、项目负责人介绍应包括：姓名、性别、年龄、职称、学历、参加工作时间、从事项目管理年限、注册建造师（项目经理）证书编号以及其他内容。</w:t>
      </w:r>
    </w:p>
    <w:p w14:paraId="3E06DCB8">
      <w:pPr>
        <w:bidi w:val="0"/>
      </w:pPr>
      <w:r>
        <w:t>2、项目负责人近三年（2021年1月1日-至今）完成的类似工程施工业绩（业绩认定日期以合同签订日期为准）一览表应按下表提供。</w:t>
      </w:r>
    </w:p>
    <w:tbl>
      <w:tblPr>
        <w:tblStyle w:val="10"/>
        <w:tblW w:w="894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71"/>
        <w:gridCol w:w="1558"/>
        <w:gridCol w:w="1558"/>
        <w:gridCol w:w="1558"/>
        <w:gridCol w:w="422"/>
        <w:gridCol w:w="1136"/>
        <w:gridCol w:w="1044"/>
      </w:tblGrid>
      <w:tr w14:paraId="6C3B87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671" w:type="dxa"/>
            <w:vAlign w:val="center"/>
          </w:tcPr>
          <w:p w14:paraId="737DC3A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姓名</w:t>
            </w:r>
          </w:p>
        </w:tc>
        <w:tc>
          <w:tcPr>
            <w:tcW w:w="3116" w:type="dxa"/>
            <w:gridSpan w:val="2"/>
            <w:vAlign w:val="center"/>
          </w:tcPr>
          <w:p w14:paraId="65D1D10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p>
        </w:tc>
        <w:tc>
          <w:tcPr>
            <w:tcW w:w="1980" w:type="dxa"/>
            <w:gridSpan w:val="2"/>
            <w:vAlign w:val="center"/>
          </w:tcPr>
          <w:p w14:paraId="48FC9FE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性别</w:t>
            </w:r>
          </w:p>
        </w:tc>
        <w:tc>
          <w:tcPr>
            <w:tcW w:w="2180" w:type="dxa"/>
            <w:gridSpan w:val="2"/>
            <w:vAlign w:val="top"/>
          </w:tcPr>
          <w:p w14:paraId="37DC297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720717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671" w:type="dxa"/>
            <w:vAlign w:val="center"/>
          </w:tcPr>
          <w:p w14:paraId="5458E13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职称</w:t>
            </w:r>
          </w:p>
        </w:tc>
        <w:tc>
          <w:tcPr>
            <w:tcW w:w="3116" w:type="dxa"/>
            <w:gridSpan w:val="2"/>
            <w:vAlign w:val="center"/>
          </w:tcPr>
          <w:p w14:paraId="77CCFC1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p>
        </w:tc>
        <w:tc>
          <w:tcPr>
            <w:tcW w:w="1980" w:type="dxa"/>
            <w:gridSpan w:val="2"/>
            <w:vAlign w:val="center"/>
          </w:tcPr>
          <w:p w14:paraId="50E1C8B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学历</w:t>
            </w:r>
          </w:p>
        </w:tc>
        <w:tc>
          <w:tcPr>
            <w:tcW w:w="2180" w:type="dxa"/>
            <w:gridSpan w:val="2"/>
            <w:vAlign w:val="top"/>
          </w:tcPr>
          <w:p w14:paraId="76EEE54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5989FB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671" w:type="dxa"/>
            <w:vAlign w:val="center"/>
          </w:tcPr>
          <w:p w14:paraId="68F39B7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参加工作时间</w:t>
            </w:r>
          </w:p>
        </w:tc>
        <w:tc>
          <w:tcPr>
            <w:tcW w:w="3116" w:type="dxa"/>
            <w:gridSpan w:val="2"/>
            <w:vAlign w:val="center"/>
          </w:tcPr>
          <w:p w14:paraId="54D23C5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p>
        </w:tc>
        <w:tc>
          <w:tcPr>
            <w:tcW w:w="1980" w:type="dxa"/>
            <w:gridSpan w:val="2"/>
            <w:vAlign w:val="center"/>
          </w:tcPr>
          <w:p w14:paraId="3C0FB5E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从事施工工作年限</w:t>
            </w:r>
          </w:p>
        </w:tc>
        <w:tc>
          <w:tcPr>
            <w:tcW w:w="2180" w:type="dxa"/>
            <w:gridSpan w:val="2"/>
            <w:vAlign w:val="top"/>
          </w:tcPr>
          <w:p w14:paraId="7678F75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462122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671" w:type="dxa"/>
            <w:vAlign w:val="center"/>
          </w:tcPr>
          <w:p w14:paraId="4CB0001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专业</w:t>
            </w:r>
          </w:p>
        </w:tc>
        <w:tc>
          <w:tcPr>
            <w:tcW w:w="3116" w:type="dxa"/>
            <w:gridSpan w:val="2"/>
            <w:vAlign w:val="center"/>
          </w:tcPr>
          <w:p w14:paraId="1353342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p>
        </w:tc>
        <w:tc>
          <w:tcPr>
            <w:tcW w:w="1980" w:type="dxa"/>
            <w:gridSpan w:val="2"/>
            <w:vAlign w:val="center"/>
          </w:tcPr>
          <w:p w14:paraId="129C266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毕业学校</w:t>
            </w:r>
          </w:p>
        </w:tc>
        <w:tc>
          <w:tcPr>
            <w:tcW w:w="2180" w:type="dxa"/>
            <w:gridSpan w:val="2"/>
            <w:vAlign w:val="top"/>
          </w:tcPr>
          <w:p w14:paraId="56A43A0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468F0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671" w:type="dxa"/>
            <w:vAlign w:val="center"/>
          </w:tcPr>
          <w:p w14:paraId="42B8A6A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身份证号码</w:t>
            </w:r>
          </w:p>
        </w:tc>
        <w:tc>
          <w:tcPr>
            <w:tcW w:w="3116" w:type="dxa"/>
            <w:gridSpan w:val="2"/>
            <w:vAlign w:val="center"/>
          </w:tcPr>
          <w:p w14:paraId="4BE4FCE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p>
        </w:tc>
        <w:tc>
          <w:tcPr>
            <w:tcW w:w="1980" w:type="dxa"/>
            <w:gridSpan w:val="2"/>
            <w:vAlign w:val="center"/>
          </w:tcPr>
          <w:p w14:paraId="0AB21AA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在公司担任职务</w:t>
            </w:r>
          </w:p>
        </w:tc>
        <w:tc>
          <w:tcPr>
            <w:tcW w:w="2180" w:type="dxa"/>
            <w:gridSpan w:val="2"/>
            <w:vAlign w:val="top"/>
          </w:tcPr>
          <w:p w14:paraId="52DFD38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6DE88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8947" w:type="dxa"/>
            <w:gridSpan w:val="7"/>
            <w:vAlign w:val="top"/>
          </w:tcPr>
          <w:p w14:paraId="64EF9E9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174D77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1671" w:type="dxa"/>
            <w:vAlign w:val="center"/>
          </w:tcPr>
          <w:p w14:paraId="0A8DF3F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建设单位</w:t>
            </w:r>
          </w:p>
        </w:tc>
        <w:tc>
          <w:tcPr>
            <w:tcW w:w="1558" w:type="dxa"/>
            <w:vAlign w:val="center"/>
          </w:tcPr>
          <w:p w14:paraId="07F48AE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rPr>
            </w:pPr>
            <w:r>
              <w:rPr>
                <w:rFonts w:ascii="Times New Roman" w:hAnsi="Times New Roman" w:eastAsia="宋体" w:cs="Times New Roman"/>
              </w:rPr>
              <w:t>项目名称</w:t>
            </w:r>
          </w:p>
        </w:tc>
        <w:tc>
          <w:tcPr>
            <w:tcW w:w="1558" w:type="dxa"/>
            <w:vAlign w:val="center"/>
          </w:tcPr>
          <w:p w14:paraId="2DF1C33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rPr>
            </w:pPr>
            <w:r>
              <w:rPr>
                <w:rFonts w:ascii="Times New Roman" w:hAnsi="Times New Roman" w:eastAsia="宋体" w:cs="Times New Roman"/>
              </w:rPr>
              <w:t>建设规模</w:t>
            </w:r>
          </w:p>
        </w:tc>
        <w:tc>
          <w:tcPr>
            <w:tcW w:w="1558" w:type="dxa"/>
            <w:vAlign w:val="center"/>
          </w:tcPr>
          <w:p w14:paraId="6A0980F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rPr>
            </w:pPr>
            <w:r>
              <w:rPr>
                <w:rFonts w:ascii="Times New Roman" w:hAnsi="Times New Roman" w:eastAsia="宋体" w:cs="Times New Roman"/>
              </w:rPr>
              <w:t>项目投资</w:t>
            </w:r>
          </w:p>
        </w:tc>
        <w:tc>
          <w:tcPr>
            <w:tcW w:w="1558" w:type="dxa"/>
            <w:gridSpan w:val="2"/>
            <w:vAlign w:val="center"/>
          </w:tcPr>
          <w:p w14:paraId="42AD6F6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rPr>
            </w:pPr>
            <w:r>
              <w:rPr>
                <w:rFonts w:ascii="Times New Roman" w:hAnsi="Times New Roman" w:eastAsia="宋体" w:cs="Times New Roman"/>
              </w:rPr>
              <w:t>项目时间</w:t>
            </w:r>
          </w:p>
        </w:tc>
        <w:tc>
          <w:tcPr>
            <w:tcW w:w="1044" w:type="dxa"/>
            <w:vAlign w:val="center"/>
          </w:tcPr>
          <w:p w14:paraId="547E261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Times New Roman" w:hAnsi="Times New Roman" w:eastAsia="宋体" w:cs="Times New Roman"/>
              </w:rPr>
            </w:pPr>
            <w:r>
              <w:rPr>
                <w:rFonts w:ascii="Times New Roman" w:hAnsi="Times New Roman" w:eastAsia="宋体" w:cs="Times New Roman"/>
              </w:rPr>
              <w:t>备注</w:t>
            </w:r>
          </w:p>
        </w:tc>
      </w:tr>
      <w:tr w14:paraId="16897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7" w:hRule="atLeast"/>
        </w:trPr>
        <w:tc>
          <w:tcPr>
            <w:tcW w:w="1671" w:type="dxa"/>
            <w:vAlign w:val="top"/>
          </w:tcPr>
          <w:p w14:paraId="4CA04AB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558" w:type="dxa"/>
            <w:vAlign w:val="top"/>
          </w:tcPr>
          <w:p w14:paraId="336866A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558" w:type="dxa"/>
            <w:vAlign w:val="top"/>
          </w:tcPr>
          <w:p w14:paraId="32C1E85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558" w:type="dxa"/>
            <w:vAlign w:val="top"/>
          </w:tcPr>
          <w:p w14:paraId="44AC33B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558" w:type="dxa"/>
            <w:gridSpan w:val="2"/>
            <w:vAlign w:val="top"/>
          </w:tcPr>
          <w:p w14:paraId="1D8B926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044" w:type="dxa"/>
            <w:vAlign w:val="top"/>
          </w:tcPr>
          <w:p w14:paraId="0BCFF16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677C1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7" w:hRule="atLeast"/>
        </w:trPr>
        <w:tc>
          <w:tcPr>
            <w:tcW w:w="1671" w:type="dxa"/>
            <w:vAlign w:val="top"/>
          </w:tcPr>
          <w:p w14:paraId="79D8BFD0">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558" w:type="dxa"/>
            <w:vAlign w:val="top"/>
          </w:tcPr>
          <w:p w14:paraId="3006507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558" w:type="dxa"/>
            <w:vAlign w:val="top"/>
          </w:tcPr>
          <w:p w14:paraId="6050955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558" w:type="dxa"/>
            <w:vAlign w:val="top"/>
          </w:tcPr>
          <w:p w14:paraId="47D76B8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558" w:type="dxa"/>
            <w:gridSpan w:val="2"/>
            <w:vAlign w:val="top"/>
          </w:tcPr>
          <w:p w14:paraId="2701C63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044" w:type="dxa"/>
            <w:vAlign w:val="top"/>
          </w:tcPr>
          <w:p w14:paraId="433C9DA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3EC0F1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7" w:hRule="atLeast"/>
        </w:trPr>
        <w:tc>
          <w:tcPr>
            <w:tcW w:w="1671" w:type="dxa"/>
            <w:vAlign w:val="top"/>
          </w:tcPr>
          <w:p w14:paraId="796E5060">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558" w:type="dxa"/>
            <w:vAlign w:val="top"/>
          </w:tcPr>
          <w:p w14:paraId="45B5CA2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558" w:type="dxa"/>
            <w:vAlign w:val="top"/>
          </w:tcPr>
          <w:p w14:paraId="2E301F3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558" w:type="dxa"/>
            <w:vAlign w:val="top"/>
          </w:tcPr>
          <w:p w14:paraId="4CECE420">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558" w:type="dxa"/>
            <w:gridSpan w:val="2"/>
            <w:vAlign w:val="top"/>
          </w:tcPr>
          <w:p w14:paraId="135FC24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044" w:type="dxa"/>
            <w:vAlign w:val="top"/>
          </w:tcPr>
          <w:p w14:paraId="1754B1E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r w14:paraId="4F4C81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rPr>
        <w:tc>
          <w:tcPr>
            <w:tcW w:w="1671" w:type="dxa"/>
            <w:vAlign w:val="top"/>
          </w:tcPr>
          <w:p w14:paraId="30943F4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558" w:type="dxa"/>
            <w:vAlign w:val="top"/>
          </w:tcPr>
          <w:p w14:paraId="14FB3B1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558" w:type="dxa"/>
            <w:vAlign w:val="top"/>
          </w:tcPr>
          <w:p w14:paraId="1140761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558" w:type="dxa"/>
            <w:vAlign w:val="top"/>
          </w:tcPr>
          <w:p w14:paraId="683E7710">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558" w:type="dxa"/>
            <w:gridSpan w:val="2"/>
            <w:vAlign w:val="top"/>
          </w:tcPr>
          <w:p w14:paraId="42BA494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c>
          <w:tcPr>
            <w:tcW w:w="1044" w:type="dxa"/>
            <w:vAlign w:val="top"/>
          </w:tcPr>
          <w:p w14:paraId="73A43FC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pPr>
          </w:p>
        </w:tc>
      </w:tr>
    </w:tbl>
    <w:p w14:paraId="564B7E27">
      <w:pPr>
        <w:keepNext w:val="0"/>
        <w:keepLines w:val="0"/>
        <w:pageBreakBefore w:val="0"/>
        <w:widowControl/>
        <w:kinsoku w:val="0"/>
        <w:wordWrap w:val="0"/>
        <w:overflowPunct/>
        <w:topLinePunct w:val="0"/>
        <w:autoSpaceDE w:val="0"/>
        <w:autoSpaceDN w:val="0"/>
        <w:bidi w:val="0"/>
        <w:adjustRightInd w:val="0"/>
        <w:snapToGrid w:val="0"/>
        <w:spacing w:line="360" w:lineRule="exact"/>
        <w:textAlignment w:val="baseline"/>
        <w:rPr>
          <w:sz w:val="22"/>
          <w:szCs w:val="22"/>
        </w:rPr>
      </w:pPr>
      <w:r>
        <w:rPr>
          <w:sz w:val="22"/>
          <w:szCs w:val="22"/>
        </w:rPr>
        <w:t>附：</w:t>
      </w:r>
    </w:p>
    <w:p w14:paraId="69AC78DE">
      <w:pPr>
        <w:keepNext w:val="0"/>
        <w:keepLines w:val="0"/>
        <w:pageBreakBefore w:val="0"/>
        <w:widowControl/>
        <w:kinsoku w:val="0"/>
        <w:wordWrap w:val="0"/>
        <w:overflowPunct/>
        <w:topLinePunct w:val="0"/>
        <w:autoSpaceDE w:val="0"/>
        <w:autoSpaceDN w:val="0"/>
        <w:bidi w:val="0"/>
        <w:adjustRightInd w:val="0"/>
        <w:snapToGrid w:val="0"/>
        <w:spacing w:line="360" w:lineRule="exact"/>
        <w:textAlignment w:val="baseline"/>
        <w:rPr>
          <w:sz w:val="22"/>
          <w:szCs w:val="22"/>
        </w:rPr>
      </w:pPr>
      <w:r>
        <w:rPr>
          <w:sz w:val="22"/>
          <w:szCs w:val="22"/>
        </w:rPr>
        <w:t>1、根据评审表的要求提交相应资料。</w:t>
      </w:r>
    </w:p>
    <w:p w14:paraId="6BDAD144">
      <w:pPr>
        <w:keepNext w:val="0"/>
        <w:keepLines w:val="0"/>
        <w:pageBreakBefore w:val="0"/>
        <w:widowControl/>
        <w:kinsoku w:val="0"/>
        <w:wordWrap w:val="0"/>
        <w:overflowPunct/>
        <w:topLinePunct w:val="0"/>
        <w:autoSpaceDE w:val="0"/>
        <w:autoSpaceDN w:val="0"/>
        <w:bidi w:val="0"/>
        <w:adjustRightInd w:val="0"/>
        <w:snapToGrid w:val="0"/>
        <w:spacing w:line="360" w:lineRule="exact"/>
        <w:textAlignment w:val="baseline"/>
        <w:rPr>
          <w:sz w:val="22"/>
          <w:szCs w:val="22"/>
        </w:rPr>
      </w:pPr>
      <w:r>
        <w:rPr>
          <w:sz w:val="22"/>
          <w:szCs w:val="22"/>
        </w:rPr>
        <w:t>2、业绩证明以合同或中标通知书为准，在投标文件中附合同（协议）扫描件（合同须包含合同首页、金额页、服务内容页、签字盖章页）和中标（成交）通知书扫描件加盖单位公章。证明材料须反映项目负责人。</w:t>
      </w:r>
    </w:p>
    <w:p w14:paraId="0AC8EE61">
      <w:pPr>
        <w:keepNext w:val="0"/>
        <w:keepLines w:val="0"/>
        <w:pageBreakBefore w:val="0"/>
        <w:widowControl/>
        <w:kinsoku w:val="0"/>
        <w:wordWrap w:val="0"/>
        <w:overflowPunct/>
        <w:topLinePunct w:val="0"/>
        <w:autoSpaceDE w:val="0"/>
        <w:autoSpaceDN w:val="0"/>
        <w:bidi w:val="0"/>
        <w:adjustRightInd w:val="0"/>
        <w:snapToGrid w:val="0"/>
        <w:spacing w:line="360" w:lineRule="exact"/>
        <w:textAlignment w:val="baseline"/>
      </w:pPr>
      <w:r>
        <w:rPr>
          <w:sz w:val="22"/>
          <w:szCs w:val="22"/>
        </w:rPr>
        <w:t>注：各供应商应对其业绩的真实性负责，招标结束后采购人有权核实其业绩的真实性，如有不实其后果由供应商自行承担，成交供应商将取消其成交资格。</w:t>
      </w:r>
    </w:p>
    <w:p w14:paraId="3900CC04">
      <w:pPr>
        <w:bidi w:val="0"/>
      </w:pPr>
    </w:p>
    <w:p w14:paraId="3465DDE5">
      <w:pPr>
        <w:bidi w:val="0"/>
      </w:pPr>
      <w:r>
        <w:t>供应商名称：（盖章）</w:t>
      </w:r>
    </w:p>
    <w:p w14:paraId="2405420E">
      <w:pPr>
        <w:bidi w:val="0"/>
      </w:pPr>
      <w:r>
        <w:t>法定代表人或授权代表（签字或盖章）：</w:t>
      </w:r>
    </w:p>
    <w:p w14:paraId="77EEB921">
      <w:pPr>
        <w:bidi w:val="0"/>
        <w:rPr>
          <w:rFonts w:ascii="宋体" w:hAnsi="宋体" w:eastAsia="宋体" w:cs="宋体"/>
          <w:szCs w:val="24"/>
        </w:rPr>
      </w:pPr>
      <w:r>
        <w:t>日期:</w:t>
      </w:r>
    </w:p>
    <w:p w14:paraId="11072EA0">
      <w:pPr>
        <w:pStyle w:val="3"/>
        <w:bidi w:val="0"/>
        <w:rPr>
          <w:rFonts w:ascii="宋体" w:hAnsi="宋体" w:eastAsia="宋体" w:cs="宋体"/>
          <w:szCs w:val="24"/>
        </w:rPr>
      </w:pPr>
      <w:bookmarkStart w:id="18" w:name="_Toc6060"/>
      <w:r>
        <w:t>七、供应商资格证明文件及供应商认为需要提供的</w:t>
      </w:r>
      <w:bookmarkEnd w:id="18"/>
    </w:p>
    <w:p w14:paraId="1E5F5BD0">
      <w:pPr>
        <w:bidi w:val="0"/>
        <w:ind w:left="0" w:leftChars="0" w:firstLine="0" w:firstLineChars="0"/>
        <w:jc w:val="center"/>
        <w:rPr>
          <w:rFonts w:hint="eastAsia" w:eastAsia="宋体"/>
          <w:lang w:eastAsia="zh-CN"/>
        </w:rPr>
      </w:pPr>
      <w:r>
        <w:rPr>
          <w:b/>
          <w:bCs/>
          <w:sz w:val="28"/>
          <w:szCs w:val="28"/>
        </w:rPr>
        <w:t>其他文件</w:t>
      </w:r>
    </w:p>
    <w:p w14:paraId="70A54BFA">
      <w:pPr>
        <w:bidi w:val="0"/>
      </w:pPr>
      <w:r>
        <w:t>1、具有独立承担民事责任的能力；【法人或者其他组织投标需提供营业执照等证明文件，自然人投标需提供自然人的身份证明】</w:t>
      </w:r>
    </w:p>
    <w:p w14:paraId="7508FAC0">
      <w:pPr>
        <w:bidi w:val="0"/>
      </w:pPr>
      <w:r>
        <w:t>2、具有良好的商业信誉和健全的财务会计制度；【须提供银行出具的近1年内资信证明或第三方审计机构出具的财务报告，新成立企业按注册年份提供财务报表。】</w:t>
      </w:r>
    </w:p>
    <w:p w14:paraId="0CF68C7F">
      <w:pPr>
        <w:bidi w:val="0"/>
      </w:pPr>
      <w:r>
        <w:t>3、具有履行合同所必需的专业技术能力与人员队伍；【须提供承诺书】</w:t>
      </w:r>
    </w:p>
    <w:p w14:paraId="7C25B794">
      <w:pPr>
        <w:bidi w:val="0"/>
      </w:pPr>
      <w:r>
        <w:t>4、具有依法缴纳税收和社会保障资金的良好记录；【须提供：①公司近6个月内（任意1个月）已依法缴纳税收的凭据；②公司近6个月内（任意1个月）已依法缴纳社会保险的凭据。（依法免税或不需要缴纳社会保障资金的供应商，应提供相应证明文件，新成立企业无需提供。）】</w:t>
      </w:r>
    </w:p>
    <w:p w14:paraId="6CE11D5A">
      <w:pPr>
        <w:bidi w:val="0"/>
      </w:pPr>
      <w:r>
        <w:t>5、参与投标的单位前三年内，在经营活动中没有重大违法记录；【需提供书面声明（供应商自行承诺并承担后果，声明不实的，按《政府采购法》有关提供虚假材料的有关规定给予处罚。）】</w:t>
      </w:r>
    </w:p>
    <w:p w14:paraId="78A1DB65">
      <w:pPr>
        <w:bidi w:val="0"/>
      </w:pPr>
      <w:r>
        <w:t>6、法律、行政法规规定的其他条件；【须提供承诺书】</w:t>
      </w:r>
    </w:p>
    <w:p w14:paraId="008594B8">
      <w:pPr>
        <w:bidi w:val="0"/>
      </w:pPr>
      <w:r>
        <w:t>7、具有建设行政主管部门核发的</w:t>
      </w:r>
      <w:r>
        <w:rPr>
          <w:rFonts w:ascii="Times New Roman" w:hAnsi="Times New Roman" w:eastAsia="宋体" w:cs="Times New Roman"/>
        </w:rPr>
        <w:t>建筑工程施工总承包</w:t>
      </w:r>
      <w:r>
        <w:rPr>
          <w:rFonts w:hint="eastAsia" w:cs="Times New Roman"/>
          <w:lang w:eastAsia="zh-CN"/>
        </w:rPr>
        <w:t>三</w:t>
      </w:r>
      <w:r>
        <w:rPr>
          <w:rFonts w:ascii="Times New Roman" w:hAnsi="Times New Roman" w:eastAsia="宋体" w:cs="Times New Roman"/>
        </w:rPr>
        <w:t>级（含）及以上资质或建筑装修装饰工程专业承包</w:t>
      </w:r>
      <w:r>
        <w:rPr>
          <w:rFonts w:hint="eastAsia" w:cs="Times New Roman"/>
          <w:lang w:eastAsia="zh-CN"/>
        </w:rPr>
        <w:t>二</w:t>
      </w:r>
      <w:r>
        <w:rPr>
          <w:rFonts w:ascii="Times New Roman" w:hAnsi="Times New Roman" w:eastAsia="宋体" w:cs="Times New Roman"/>
        </w:rPr>
        <w:t>级（含）及以上资质，且证书合格、有效；</w:t>
      </w:r>
      <w:r>
        <w:t>【须提供建设行政主管部门核发的资质等级证书扫描件】</w:t>
      </w:r>
    </w:p>
    <w:p w14:paraId="34DAA366">
      <w:pPr>
        <w:bidi w:val="0"/>
      </w:pPr>
      <w:r>
        <w:t>8、具有建设行政主管部门核发的安全生产许可证，且证书合格、有效；【须提供建设行政主管部门核发的安全生产许可证复印件】</w:t>
      </w:r>
    </w:p>
    <w:p w14:paraId="6E6F0890">
      <w:pPr>
        <w:bidi w:val="0"/>
      </w:pPr>
      <w:r>
        <w:t>9、项目负责人的资格要求：项二级注册建造师（</w:t>
      </w:r>
      <w:r>
        <w:rPr>
          <w:rFonts w:hint="eastAsia"/>
          <w:lang w:eastAsia="zh-CN"/>
        </w:rPr>
        <w:t>建筑</w:t>
      </w:r>
      <w:r>
        <w:t>工程），本单位注册，不接受临时注册；【须提供建设行政主管部门核发的建造师执业资格证书、注册证书扫描件】</w:t>
      </w:r>
    </w:p>
    <w:p w14:paraId="7EDBB40D">
      <w:pPr>
        <w:bidi w:val="0"/>
      </w:pPr>
      <w:r>
        <w:t>10、其他说明：单位负责人为同一人或者存在直接控股、管理关系的不同供应商，不得参加同一合同项下的政府采购活动；【须提供承诺书】</w:t>
      </w:r>
    </w:p>
    <w:p w14:paraId="459640B0">
      <w:pPr>
        <w:bidi w:val="0"/>
      </w:pPr>
      <w:r>
        <w:t>11、落实政府采购政策需满足的资格要求：本项目专门面向中小企业，请根据要求单独上传《中小企业声明函》。格式以采购文件要求为准。</w:t>
      </w:r>
    </w:p>
    <w:p w14:paraId="6E0A6072">
      <w:pPr>
        <w:bidi w:val="0"/>
      </w:pPr>
    </w:p>
    <w:p w14:paraId="167AE2E6">
      <w:pPr>
        <w:bidi w:val="0"/>
      </w:pPr>
    </w:p>
    <w:p w14:paraId="12251E1A">
      <w:pPr>
        <w:spacing w:line="249" w:lineRule="auto"/>
        <w:ind w:left="0" w:leftChars="0" w:firstLine="0" w:firstLineChars="0"/>
      </w:pPr>
    </w:p>
    <w:p w14:paraId="31793162">
      <w:pPr>
        <w:pStyle w:val="3"/>
        <w:bidi w:val="0"/>
        <w:rPr>
          <w:rFonts w:ascii="宋体" w:hAnsi="宋体" w:eastAsia="宋体" w:cs="宋体"/>
          <w:szCs w:val="24"/>
        </w:rPr>
      </w:pPr>
      <w:bookmarkStart w:id="19" w:name="_Toc32070"/>
      <w:r>
        <w:t>八、保证金缴纳银行回执</w:t>
      </w:r>
      <w:bookmarkEnd w:id="19"/>
    </w:p>
    <w:p w14:paraId="125D5E57">
      <w:pPr>
        <w:spacing w:line="281" w:lineRule="auto"/>
      </w:pPr>
    </w:p>
    <w:p w14:paraId="03FDD660">
      <w:pPr>
        <w:bidi w:val="0"/>
      </w:pPr>
    </w:p>
    <w:p w14:paraId="3B3E4A31">
      <w:pPr>
        <w:bidi w:val="0"/>
      </w:pPr>
    </w:p>
    <w:p w14:paraId="1D42B011">
      <w:pPr>
        <w:bidi w:val="0"/>
      </w:pPr>
    </w:p>
    <w:p w14:paraId="42139057">
      <w:pPr>
        <w:bidi w:val="0"/>
      </w:pPr>
    </w:p>
    <w:p w14:paraId="0CD2A2C1">
      <w:pPr>
        <w:bidi w:val="0"/>
      </w:pPr>
    </w:p>
    <w:p w14:paraId="64BCE54B">
      <w:pPr>
        <w:bidi w:val="0"/>
      </w:pPr>
    </w:p>
    <w:p w14:paraId="1575E776">
      <w:pPr>
        <w:bidi w:val="0"/>
      </w:pPr>
    </w:p>
    <w:p w14:paraId="4EF93B07">
      <w:pPr>
        <w:bidi w:val="0"/>
      </w:pPr>
    </w:p>
    <w:p w14:paraId="1E96CD83">
      <w:pPr>
        <w:bidi w:val="0"/>
      </w:pPr>
    </w:p>
    <w:p w14:paraId="1D97FC32">
      <w:pPr>
        <w:bidi w:val="0"/>
      </w:pPr>
    </w:p>
    <w:p w14:paraId="301C81F2">
      <w:pPr>
        <w:bidi w:val="0"/>
      </w:pPr>
    </w:p>
    <w:p w14:paraId="3E0E3D2A">
      <w:pPr>
        <w:bidi w:val="0"/>
      </w:pPr>
    </w:p>
    <w:p w14:paraId="3CD3C5B8">
      <w:pPr>
        <w:bidi w:val="0"/>
      </w:pPr>
    </w:p>
    <w:p w14:paraId="1A958E7B">
      <w:pPr>
        <w:bidi w:val="0"/>
      </w:pPr>
    </w:p>
    <w:p w14:paraId="3DCC4563">
      <w:pPr>
        <w:bidi w:val="0"/>
      </w:pPr>
    </w:p>
    <w:p w14:paraId="13AECB09">
      <w:pPr>
        <w:bidi w:val="0"/>
      </w:pPr>
    </w:p>
    <w:p w14:paraId="1A80A1EA">
      <w:pPr>
        <w:bidi w:val="0"/>
      </w:pPr>
    </w:p>
    <w:p w14:paraId="6CEB5A7E">
      <w:pPr>
        <w:bidi w:val="0"/>
      </w:pPr>
    </w:p>
    <w:p w14:paraId="02851176">
      <w:pPr>
        <w:bidi w:val="0"/>
      </w:pPr>
    </w:p>
    <w:p w14:paraId="527F030B">
      <w:pPr>
        <w:bidi w:val="0"/>
      </w:pPr>
    </w:p>
    <w:p w14:paraId="128FB605">
      <w:pPr>
        <w:bidi w:val="0"/>
      </w:pPr>
    </w:p>
    <w:p w14:paraId="4C5CD48A">
      <w:pPr>
        <w:bidi w:val="0"/>
      </w:pPr>
    </w:p>
    <w:p w14:paraId="4AB33047">
      <w:pPr>
        <w:bidi w:val="0"/>
      </w:pPr>
    </w:p>
    <w:p w14:paraId="324D534B">
      <w:pPr>
        <w:bidi w:val="0"/>
      </w:pPr>
    </w:p>
    <w:p w14:paraId="446DABAE">
      <w:pPr>
        <w:bidi w:val="0"/>
      </w:pPr>
    </w:p>
    <w:p w14:paraId="1E988DA7">
      <w:pPr>
        <w:bidi w:val="0"/>
      </w:pPr>
    </w:p>
    <w:p w14:paraId="27D7B2C5">
      <w:pPr>
        <w:bidi w:val="0"/>
      </w:pPr>
    </w:p>
    <w:p w14:paraId="2C3A3B12">
      <w:pPr>
        <w:bidi w:val="0"/>
      </w:pPr>
    </w:p>
    <w:p w14:paraId="0C2DFC15">
      <w:pPr>
        <w:bidi w:val="0"/>
      </w:pPr>
    </w:p>
    <w:p w14:paraId="33F476E7">
      <w:pPr>
        <w:bidi w:val="0"/>
      </w:pPr>
    </w:p>
    <w:p w14:paraId="20D70A58">
      <w:pPr>
        <w:bidi w:val="0"/>
        <w:ind w:left="0" w:leftChars="0" w:firstLine="0" w:firstLineChars="0"/>
      </w:pPr>
    </w:p>
    <w:p w14:paraId="7CFCE7B3">
      <w:pPr>
        <w:bidi w:val="0"/>
        <w:rPr>
          <w:rFonts w:ascii="宋体" w:hAnsi="宋体" w:eastAsia="宋体" w:cs="宋体"/>
          <w:szCs w:val="24"/>
        </w:rPr>
      </w:pPr>
      <w:r>
        <w:rPr>
          <w:b/>
          <w:bCs/>
          <w:u w:val="single"/>
        </w:rPr>
        <w:t>响应文件封面示例</w:t>
      </w:r>
    </w:p>
    <w:p w14:paraId="3E42B3CA">
      <w:pPr>
        <w:spacing w:line="242" w:lineRule="auto"/>
      </w:pPr>
    </w:p>
    <w:p w14:paraId="0F1864F1">
      <w:pPr>
        <w:spacing w:line="242" w:lineRule="auto"/>
      </w:pPr>
    </w:p>
    <w:p w14:paraId="3D00177E">
      <w:pPr>
        <w:spacing w:line="243" w:lineRule="auto"/>
      </w:pPr>
    </w:p>
    <w:p w14:paraId="6FF5A997">
      <w:pPr>
        <w:spacing w:line="243" w:lineRule="auto"/>
      </w:pPr>
    </w:p>
    <w:p w14:paraId="43AFFCCA">
      <w:pPr>
        <w:spacing w:line="243" w:lineRule="auto"/>
      </w:pPr>
    </w:p>
    <w:p w14:paraId="63152910">
      <w:pPr>
        <w:spacing w:line="243" w:lineRule="auto"/>
      </w:pPr>
    </w:p>
    <w:p w14:paraId="18128CAB">
      <w:pPr>
        <w:spacing w:line="243" w:lineRule="auto"/>
      </w:pPr>
    </w:p>
    <w:p w14:paraId="2DD3054E">
      <w:pPr>
        <w:spacing w:before="156" w:line="220" w:lineRule="auto"/>
        <w:ind w:left="0" w:leftChars="0" w:firstLine="0" w:firstLineChars="0"/>
        <w:jc w:val="center"/>
        <w:rPr>
          <w:rFonts w:ascii="宋体" w:hAnsi="宋体" w:eastAsia="宋体" w:cs="宋体"/>
          <w:sz w:val="48"/>
          <w:szCs w:val="48"/>
        </w:rPr>
      </w:pPr>
      <w:r>
        <w:rPr>
          <w:rFonts w:ascii="宋体" w:hAnsi="宋体" w:eastAsia="宋体" w:cs="宋体"/>
          <w:b/>
          <w:bCs/>
          <w:spacing w:val="-9"/>
          <w:sz w:val="48"/>
          <w:szCs w:val="48"/>
        </w:rPr>
        <w:t>响应文件技术部分</w:t>
      </w:r>
    </w:p>
    <w:p w14:paraId="2C2CC8DA">
      <w:pPr>
        <w:spacing w:line="248" w:lineRule="auto"/>
      </w:pPr>
    </w:p>
    <w:p w14:paraId="140E16A7">
      <w:pPr>
        <w:spacing w:line="248" w:lineRule="auto"/>
      </w:pPr>
    </w:p>
    <w:p w14:paraId="5F1BB440">
      <w:pPr>
        <w:spacing w:line="248" w:lineRule="auto"/>
      </w:pPr>
    </w:p>
    <w:p w14:paraId="4F0CC5B8">
      <w:pPr>
        <w:spacing w:line="248" w:lineRule="auto"/>
      </w:pPr>
    </w:p>
    <w:p w14:paraId="3A75627F">
      <w:pPr>
        <w:spacing w:line="248" w:lineRule="auto"/>
      </w:pPr>
    </w:p>
    <w:p w14:paraId="2D72C846">
      <w:pPr>
        <w:spacing w:line="248" w:lineRule="auto"/>
      </w:pPr>
    </w:p>
    <w:p w14:paraId="07CE00DA">
      <w:pPr>
        <w:spacing w:line="248" w:lineRule="auto"/>
      </w:pPr>
    </w:p>
    <w:p w14:paraId="08CDF44B">
      <w:pPr>
        <w:spacing w:line="248" w:lineRule="auto"/>
      </w:pPr>
    </w:p>
    <w:p w14:paraId="585E1F79">
      <w:pPr>
        <w:spacing w:line="248" w:lineRule="auto"/>
      </w:pPr>
    </w:p>
    <w:p w14:paraId="4D9B0A61">
      <w:pPr>
        <w:spacing w:line="248" w:lineRule="auto"/>
      </w:pPr>
    </w:p>
    <w:p w14:paraId="58447134">
      <w:pPr>
        <w:spacing w:line="248" w:lineRule="auto"/>
      </w:pPr>
    </w:p>
    <w:p w14:paraId="1C725CC8">
      <w:pPr>
        <w:spacing w:line="248" w:lineRule="auto"/>
      </w:pPr>
    </w:p>
    <w:p w14:paraId="66B5978B">
      <w:pPr>
        <w:spacing w:line="248" w:lineRule="auto"/>
      </w:pPr>
    </w:p>
    <w:p w14:paraId="4AF6A3A5">
      <w:pPr>
        <w:spacing w:line="248" w:lineRule="auto"/>
      </w:pPr>
    </w:p>
    <w:p w14:paraId="62E9B4E7">
      <w:pPr>
        <w:spacing w:line="248" w:lineRule="auto"/>
      </w:pPr>
    </w:p>
    <w:p w14:paraId="7ACB6A5F">
      <w:pPr>
        <w:spacing w:line="249" w:lineRule="auto"/>
      </w:pPr>
    </w:p>
    <w:p w14:paraId="019C165A">
      <w:pPr>
        <w:bidi w:val="0"/>
      </w:pPr>
      <w:r>
        <w:t>项目名称：×××××</w:t>
      </w:r>
    </w:p>
    <w:p w14:paraId="0980B85B">
      <w:pPr>
        <w:bidi w:val="0"/>
      </w:pPr>
      <w:r>
        <w:t>供应商名称：×××××（盖章）</w:t>
      </w:r>
    </w:p>
    <w:p w14:paraId="1AD87E69">
      <w:pPr>
        <w:bidi w:val="0"/>
      </w:pPr>
      <w:r>
        <w:t>法定代表人：（签字或盖章）</w:t>
      </w:r>
    </w:p>
    <w:p w14:paraId="60B416AE">
      <w:pPr>
        <w:bidi w:val="0"/>
      </w:pPr>
      <w:r>
        <w:t>联系人：</w:t>
      </w:r>
    </w:p>
    <w:p w14:paraId="02A045BF">
      <w:pPr>
        <w:bidi w:val="0"/>
      </w:pPr>
      <w:r>
        <w:t>联系电话：</w:t>
      </w:r>
    </w:p>
    <w:p w14:paraId="091CD654">
      <w:pPr>
        <w:bidi w:val="0"/>
      </w:pPr>
      <w:r>
        <w:t>联系地址：</w:t>
      </w:r>
    </w:p>
    <w:p w14:paraId="28FE16D6">
      <w:pPr>
        <w:spacing w:line="241" w:lineRule="auto"/>
      </w:pPr>
    </w:p>
    <w:p w14:paraId="5DCA2F2B">
      <w:pPr>
        <w:spacing w:line="241" w:lineRule="auto"/>
      </w:pPr>
    </w:p>
    <w:p w14:paraId="4A7FB8AF">
      <w:pPr>
        <w:spacing w:line="241" w:lineRule="auto"/>
      </w:pPr>
    </w:p>
    <w:p w14:paraId="51E4E3A6">
      <w:pPr>
        <w:spacing w:line="241" w:lineRule="auto"/>
      </w:pPr>
    </w:p>
    <w:p w14:paraId="675EBBED">
      <w:pPr>
        <w:spacing w:line="242" w:lineRule="auto"/>
      </w:pPr>
    </w:p>
    <w:p w14:paraId="2CA07910">
      <w:pPr>
        <w:spacing w:line="242" w:lineRule="auto"/>
      </w:pPr>
    </w:p>
    <w:p w14:paraId="62F5E158">
      <w:pPr>
        <w:spacing w:line="242" w:lineRule="auto"/>
      </w:pPr>
    </w:p>
    <w:p w14:paraId="1D6F8154">
      <w:pPr>
        <w:spacing w:line="242" w:lineRule="auto"/>
      </w:pPr>
    </w:p>
    <w:p w14:paraId="523538A8">
      <w:pPr>
        <w:spacing w:line="242" w:lineRule="auto"/>
      </w:pPr>
    </w:p>
    <w:p w14:paraId="3025D163">
      <w:pPr>
        <w:spacing w:line="242" w:lineRule="auto"/>
      </w:pPr>
    </w:p>
    <w:p w14:paraId="323E819D">
      <w:pPr>
        <w:spacing w:line="242" w:lineRule="auto"/>
      </w:pPr>
    </w:p>
    <w:p w14:paraId="2118B1E5">
      <w:pPr>
        <w:spacing w:line="242" w:lineRule="auto"/>
      </w:pPr>
    </w:p>
    <w:p w14:paraId="103FD5CB">
      <w:pPr>
        <w:bidi w:val="0"/>
        <w:jc w:val="center"/>
      </w:pPr>
      <w:r>
        <w:rPr>
          <w:b/>
          <w:bCs/>
        </w:rPr>
        <w:t>响应文件目录</w:t>
      </w:r>
    </w:p>
    <w:p w14:paraId="4B477715">
      <w:pPr>
        <w:bidi w:val="0"/>
      </w:pPr>
      <w:r>
        <w:t>施工组织设计</w:t>
      </w:r>
    </w:p>
    <w:p w14:paraId="64BE528D">
      <w:pPr>
        <w:bidi w:val="0"/>
      </w:pPr>
      <w:r>
        <w:t>一、供应商应根据招标工程的具体情况，编织相应的施工组织设计。</w:t>
      </w:r>
    </w:p>
    <w:p w14:paraId="7D0097F4">
      <w:pPr>
        <w:bidi w:val="0"/>
      </w:pPr>
      <w:r>
        <w:t>二、施工组织设计包括下列内容：</w:t>
      </w:r>
    </w:p>
    <w:p w14:paraId="3509F37A">
      <w:pPr>
        <w:bidi w:val="0"/>
      </w:pPr>
      <w:r>
        <w:t>1、工程概况及特点</w:t>
      </w:r>
    </w:p>
    <w:p w14:paraId="69891BBF">
      <w:pPr>
        <w:bidi w:val="0"/>
      </w:pPr>
      <w:r>
        <w:t>（1）工程建设概况</w:t>
      </w:r>
    </w:p>
    <w:p w14:paraId="2A4D4878">
      <w:pPr>
        <w:bidi w:val="0"/>
      </w:pPr>
      <w:r>
        <w:t>（2）建筑设计特点</w:t>
      </w:r>
    </w:p>
    <w:p w14:paraId="61D3207A">
      <w:pPr>
        <w:bidi w:val="0"/>
      </w:pPr>
      <w:r>
        <w:t>（3）结构设计特点</w:t>
      </w:r>
    </w:p>
    <w:p w14:paraId="65291221">
      <w:pPr>
        <w:bidi w:val="0"/>
      </w:pPr>
      <w:r>
        <w:t>（4）设备安装设计特点</w:t>
      </w:r>
    </w:p>
    <w:p w14:paraId="6DE1E635">
      <w:pPr>
        <w:bidi w:val="0"/>
      </w:pPr>
      <w:r>
        <w:t>（5）工程施工特点</w:t>
      </w:r>
    </w:p>
    <w:p w14:paraId="6C90BF7C">
      <w:pPr>
        <w:bidi w:val="0"/>
      </w:pPr>
      <w:r>
        <w:t>（6）建设地点特征</w:t>
      </w:r>
    </w:p>
    <w:p w14:paraId="5D4D2EA4">
      <w:pPr>
        <w:bidi w:val="0"/>
      </w:pPr>
      <w:r>
        <w:t>2、施工准备工作计划</w:t>
      </w:r>
    </w:p>
    <w:p w14:paraId="06C1EA31">
      <w:pPr>
        <w:bidi w:val="0"/>
      </w:pPr>
      <w:r>
        <w:t>3、施工方案</w:t>
      </w:r>
    </w:p>
    <w:p w14:paraId="2AF11B5F">
      <w:pPr>
        <w:bidi w:val="0"/>
      </w:pPr>
      <w:r>
        <w:t>3.1施工现场扬尘防治方案</w:t>
      </w:r>
    </w:p>
    <w:p w14:paraId="2F6CAEE3">
      <w:pPr>
        <w:bidi w:val="0"/>
      </w:pPr>
      <w:r>
        <w:t>4、工程施工进度计划</w:t>
      </w:r>
    </w:p>
    <w:p w14:paraId="5EB3306E">
      <w:pPr>
        <w:bidi w:val="0"/>
      </w:pPr>
      <w:r>
        <w:t>（1）施工流水作业横道图</w:t>
      </w:r>
    </w:p>
    <w:p w14:paraId="6A3D89AA">
      <w:pPr>
        <w:bidi w:val="0"/>
      </w:pPr>
      <w:r>
        <w:t>（2）施工进度计划网络图</w:t>
      </w:r>
    </w:p>
    <w:p w14:paraId="6AF8DE9A">
      <w:pPr>
        <w:bidi w:val="0"/>
      </w:pPr>
      <w:r>
        <w:t>上述两种图表，可选任意一种，但推荐做（2）的图表形式</w:t>
      </w:r>
    </w:p>
    <w:p w14:paraId="135F8148">
      <w:pPr>
        <w:bidi w:val="0"/>
      </w:pPr>
      <w:r>
        <w:t>5、劳动力、材料、施工机械设备等需要量计划</w:t>
      </w:r>
    </w:p>
    <w:p w14:paraId="42F03E3A">
      <w:pPr>
        <w:bidi w:val="0"/>
      </w:pPr>
      <w:r>
        <w:t>6、施工平面图</w:t>
      </w:r>
    </w:p>
    <w:p w14:paraId="4B2CE7ED">
      <w:pPr>
        <w:bidi w:val="0"/>
      </w:pPr>
      <w:r>
        <w:t>7、质量保证技术组织措施和保证体系</w:t>
      </w:r>
    </w:p>
    <w:p w14:paraId="593025CE">
      <w:pPr>
        <w:bidi w:val="0"/>
      </w:pPr>
      <w:r>
        <w:t>8、安全保证技术组织措施和保证体系</w:t>
      </w:r>
    </w:p>
    <w:p w14:paraId="7E9AAC63">
      <w:pPr>
        <w:bidi w:val="0"/>
      </w:pPr>
      <w:r>
        <w:t>9、进度保证技术组织措施和保证体系</w:t>
      </w:r>
    </w:p>
    <w:p w14:paraId="06D1C433">
      <w:pPr>
        <w:bidi w:val="0"/>
      </w:pPr>
      <w:r>
        <w:t>10、现场文明施工措施</w:t>
      </w:r>
    </w:p>
    <w:p w14:paraId="57099696">
      <w:pPr>
        <w:bidi w:val="0"/>
      </w:pPr>
    </w:p>
    <w:p w14:paraId="5C226EDC">
      <w:pPr>
        <w:bidi w:val="0"/>
        <w:rPr>
          <w:b/>
          <w:bCs/>
        </w:rPr>
      </w:pPr>
      <w:r>
        <w:rPr>
          <w:b/>
          <w:bCs/>
        </w:rPr>
        <w:t>注：但不仅限于上述内容，可结合工程实际自行增减。为了便于查找，请按上述顺序编排响应文件内容，并在目录中标明每项内容的起始页码。</w:t>
      </w:r>
    </w:p>
    <w:p w14:paraId="3D437B1A">
      <w:pPr>
        <w:bidi w:val="0"/>
        <w:rPr>
          <w:rFonts w:ascii="宋体" w:hAnsi="宋体" w:eastAsia="宋体" w:cs="宋体"/>
          <w:b/>
          <w:bCs/>
          <w:szCs w:val="24"/>
        </w:rPr>
      </w:pPr>
      <w:r>
        <w:rPr>
          <w:b/>
          <w:bCs/>
        </w:rPr>
        <w:t>未提供格式的，由供应商自行编制。</w:t>
      </w:r>
    </w:p>
    <w:p w14:paraId="60FD6A53">
      <w:pPr>
        <w:spacing w:line="281" w:lineRule="auto"/>
      </w:pPr>
    </w:p>
    <w:p w14:paraId="6ED950E6">
      <w:pPr>
        <w:spacing w:line="281" w:lineRule="auto"/>
      </w:pPr>
    </w:p>
    <w:p w14:paraId="27E5F955">
      <w:pPr>
        <w:spacing w:line="281" w:lineRule="auto"/>
      </w:pPr>
    </w:p>
    <w:p w14:paraId="040629D1">
      <w:pPr>
        <w:bidi w:val="0"/>
        <w:ind w:left="0" w:leftChars="0" w:firstLine="0" w:firstLineChars="0"/>
      </w:pPr>
      <w:r>
        <w:rPr>
          <w:b/>
          <w:bCs/>
          <w:u w:val="single"/>
        </w:rPr>
        <w:t>响应文件封面示例</w:t>
      </w:r>
    </w:p>
    <w:p w14:paraId="54852F87">
      <w:pPr>
        <w:bidi w:val="0"/>
      </w:pPr>
    </w:p>
    <w:p w14:paraId="05A36333">
      <w:pPr>
        <w:bidi w:val="0"/>
      </w:pPr>
    </w:p>
    <w:p w14:paraId="7F56CEB6">
      <w:pPr>
        <w:bidi w:val="0"/>
      </w:pPr>
    </w:p>
    <w:p w14:paraId="3F7914DD">
      <w:pPr>
        <w:bidi w:val="0"/>
      </w:pPr>
    </w:p>
    <w:p w14:paraId="039DC011">
      <w:pPr>
        <w:bidi w:val="0"/>
      </w:pPr>
    </w:p>
    <w:p w14:paraId="56673A65">
      <w:pPr>
        <w:bidi w:val="0"/>
      </w:pPr>
    </w:p>
    <w:p w14:paraId="7AEBD429">
      <w:pPr>
        <w:bidi w:val="0"/>
      </w:pPr>
    </w:p>
    <w:p w14:paraId="6659F409">
      <w:pPr>
        <w:bidi w:val="0"/>
        <w:ind w:left="0" w:leftChars="0" w:firstLine="0" w:firstLineChars="0"/>
        <w:jc w:val="center"/>
        <w:rPr>
          <w:b/>
          <w:bCs/>
          <w:sz w:val="48"/>
          <w:szCs w:val="48"/>
        </w:rPr>
      </w:pPr>
      <w:r>
        <w:rPr>
          <w:b/>
          <w:bCs/>
          <w:sz w:val="48"/>
          <w:szCs w:val="48"/>
        </w:rPr>
        <w:t>响应文件报价部分</w:t>
      </w:r>
    </w:p>
    <w:p w14:paraId="04C4C29D">
      <w:pPr>
        <w:bidi w:val="0"/>
      </w:pPr>
    </w:p>
    <w:p w14:paraId="63D1F21B">
      <w:pPr>
        <w:bidi w:val="0"/>
      </w:pPr>
    </w:p>
    <w:p w14:paraId="1E65D6EA">
      <w:pPr>
        <w:bidi w:val="0"/>
      </w:pPr>
    </w:p>
    <w:p w14:paraId="47EA799A">
      <w:pPr>
        <w:bidi w:val="0"/>
      </w:pPr>
    </w:p>
    <w:p w14:paraId="3D416282">
      <w:pPr>
        <w:bidi w:val="0"/>
      </w:pPr>
    </w:p>
    <w:p w14:paraId="1DE68174">
      <w:pPr>
        <w:bidi w:val="0"/>
      </w:pPr>
    </w:p>
    <w:p w14:paraId="6AF4221C">
      <w:pPr>
        <w:bidi w:val="0"/>
      </w:pPr>
    </w:p>
    <w:p w14:paraId="0E0D992A">
      <w:pPr>
        <w:spacing w:line="249" w:lineRule="auto"/>
        <w:ind w:left="0" w:leftChars="0" w:firstLine="0" w:firstLineChars="0"/>
      </w:pPr>
    </w:p>
    <w:p w14:paraId="655A3162">
      <w:pPr>
        <w:spacing w:line="249" w:lineRule="auto"/>
      </w:pPr>
    </w:p>
    <w:p w14:paraId="226FD4DB">
      <w:pPr>
        <w:bidi w:val="0"/>
      </w:pPr>
      <w:r>
        <w:t>项目名称：×××××</w:t>
      </w:r>
    </w:p>
    <w:p w14:paraId="38CF62D2">
      <w:pPr>
        <w:bidi w:val="0"/>
      </w:pPr>
      <w:r>
        <w:t>供应商名称：×××××（盖章）</w:t>
      </w:r>
    </w:p>
    <w:p w14:paraId="2108ADA2">
      <w:pPr>
        <w:bidi w:val="0"/>
      </w:pPr>
      <w:r>
        <w:t>法定代表人：（签字或盖章）</w:t>
      </w:r>
    </w:p>
    <w:p w14:paraId="36F506A1">
      <w:pPr>
        <w:bidi w:val="0"/>
      </w:pPr>
      <w:r>
        <w:t>联系人：</w:t>
      </w:r>
    </w:p>
    <w:p w14:paraId="57E34448">
      <w:pPr>
        <w:bidi w:val="0"/>
      </w:pPr>
      <w:r>
        <w:t>联系电话：</w:t>
      </w:r>
    </w:p>
    <w:p w14:paraId="5E4B47F4">
      <w:pPr>
        <w:bidi w:val="0"/>
      </w:pPr>
      <w:r>
        <w:t>联系地址：</w:t>
      </w:r>
    </w:p>
    <w:p w14:paraId="10BAD476">
      <w:pPr>
        <w:spacing w:line="243" w:lineRule="auto"/>
      </w:pPr>
    </w:p>
    <w:p w14:paraId="7BF48321">
      <w:pPr>
        <w:spacing w:line="243" w:lineRule="auto"/>
      </w:pPr>
    </w:p>
    <w:p w14:paraId="75DF1F2F">
      <w:pPr>
        <w:spacing w:line="243" w:lineRule="auto"/>
      </w:pPr>
    </w:p>
    <w:p w14:paraId="136162BE">
      <w:pPr>
        <w:spacing w:line="243" w:lineRule="auto"/>
      </w:pPr>
    </w:p>
    <w:p w14:paraId="54DDA0C8">
      <w:pPr>
        <w:spacing w:line="243" w:lineRule="auto"/>
      </w:pPr>
    </w:p>
    <w:p w14:paraId="74B0B6F5">
      <w:pPr>
        <w:spacing w:line="243" w:lineRule="auto"/>
      </w:pPr>
    </w:p>
    <w:p w14:paraId="621169E3">
      <w:pPr>
        <w:spacing w:line="243" w:lineRule="auto"/>
      </w:pPr>
    </w:p>
    <w:p w14:paraId="7D94D20A">
      <w:pPr>
        <w:spacing w:line="243" w:lineRule="auto"/>
      </w:pPr>
    </w:p>
    <w:p w14:paraId="7BF10065">
      <w:pPr>
        <w:spacing w:line="243" w:lineRule="auto"/>
      </w:pPr>
    </w:p>
    <w:p w14:paraId="553B1852">
      <w:pPr>
        <w:spacing w:line="243" w:lineRule="auto"/>
      </w:pPr>
    </w:p>
    <w:p w14:paraId="02A0FD02">
      <w:pPr>
        <w:spacing w:line="243" w:lineRule="auto"/>
      </w:pPr>
    </w:p>
    <w:p w14:paraId="0536A762">
      <w:pPr>
        <w:spacing w:line="244" w:lineRule="auto"/>
        <w:ind w:left="0" w:leftChars="0" w:firstLine="0" w:firstLineChars="0"/>
      </w:pPr>
    </w:p>
    <w:p w14:paraId="191E8B96">
      <w:pPr>
        <w:bidi w:val="0"/>
        <w:jc w:val="center"/>
        <w:rPr>
          <w:b/>
          <w:bCs/>
        </w:rPr>
      </w:pPr>
      <w:r>
        <w:rPr>
          <w:b/>
          <w:bCs/>
        </w:rPr>
        <w:t>报价内容（以</w:t>
      </w:r>
      <w:r>
        <w:rPr>
          <w:rFonts w:hint="eastAsia"/>
          <w:b/>
          <w:bCs/>
          <w:lang w:eastAsia="zh-CN"/>
        </w:rPr>
        <w:t>招标</w:t>
      </w:r>
      <w:r>
        <w:rPr>
          <w:b/>
          <w:bCs/>
        </w:rPr>
        <w:t>工程量清单为准）</w:t>
      </w:r>
    </w:p>
    <w:p w14:paraId="56543926">
      <w:pPr>
        <w:spacing w:line="256" w:lineRule="auto"/>
      </w:pPr>
    </w:p>
    <w:p w14:paraId="39B2F9A4">
      <w:pPr>
        <w:spacing w:line="257" w:lineRule="auto"/>
        <w:ind w:left="0" w:leftChars="0" w:firstLine="0" w:firstLineChars="0"/>
      </w:pPr>
    </w:p>
    <w:p w14:paraId="70506606">
      <w:pPr>
        <w:spacing w:line="257" w:lineRule="auto"/>
        <w:ind w:left="0" w:leftChars="0" w:firstLine="0" w:firstLineChars="0"/>
      </w:pPr>
    </w:p>
    <w:p w14:paraId="2D3D332A">
      <w:pPr>
        <w:spacing w:line="257" w:lineRule="auto"/>
        <w:ind w:left="0" w:leftChars="0" w:firstLine="0" w:firstLineChars="0"/>
      </w:pPr>
    </w:p>
    <w:p w14:paraId="0474E050">
      <w:pPr>
        <w:spacing w:line="257" w:lineRule="auto"/>
        <w:ind w:left="0" w:leftChars="0" w:firstLine="0" w:firstLineChars="0"/>
      </w:pPr>
    </w:p>
    <w:p w14:paraId="4B4F03B0">
      <w:pPr>
        <w:spacing w:line="257" w:lineRule="auto"/>
        <w:ind w:left="0" w:leftChars="0" w:firstLine="0" w:firstLineChars="0"/>
      </w:pPr>
    </w:p>
    <w:p w14:paraId="5C713EA4">
      <w:pPr>
        <w:spacing w:line="257" w:lineRule="auto"/>
        <w:ind w:left="0" w:leftChars="0" w:firstLine="0" w:firstLineChars="0"/>
      </w:pPr>
    </w:p>
    <w:p w14:paraId="6C2B9548">
      <w:pPr>
        <w:spacing w:line="257" w:lineRule="auto"/>
        <w:ind w:left="0" w:leftChars="0" w:firstLine="0" w:firstLineChars="0"/>
      </w:pPr>
    </w:p>
    <w:p w14:paraId="089661E6">
      <w:pPr>
        <w:spacing w:line="257" w:lineRule="auto"/>
        <w:ind w:left="0" w:leftChars="0" w:firstLine="0" w:firstLineChars="0"/>
      </w:pPr>
    </w:p>
    <w:p w14:paraId="59CE861D">
      <w:pPr>
        <w:spacing w:line="257" w:lineRule="auto"/>
        <w:ind w:left="0" w:leftChars="0" w:firstLine="0" w:firstLineChars="0"/>
      </w:pPr>
    </w:p>
    <w:p w14:paraId="5100A279">
      <w:pPr>
        <w:spacing w:line="257" w:lineRule="auto"/>
        <w:ind w:left="0" w:leftChars="0" w:firstLine="0" w:firstLineChars="0"/>
      </w:pPr>
    </w:p>
    <w:p w14:paraId="201454E1">
      <w:pPr>
        <w:spacing w:line="257" w:lineRule="auto"/>
        <w:ind w:left="0" w:leftChars="0" w:firstLine="0" w:firstLineChars="0"/>
      </w:pPr>
    </w:p>
    <w:p w14:paraId="10CA1333">
      <w:pPr>
        <w:spacing w:line="257" w:lineRule="auto"/>
        <w:ind w:left="0" w:leftChars="0" w:firstLine="0" w:firstLineChars="0"/>
      </w:pPr>
    </w:p>
    <w:p w14:paraId="733F5067">
      <w:pPr>
        <w:spacing w:line="257" w:lineRule="auto"/>
        <w:ind w:left="0" w:leftChars="0" w:firstLine="0" w:firstLineChars="0"/>
      </w:pPr>
    </w:p>
    <w:p w14:paraId="150CCA98">
      <w:pPr>
        <w:spacing w:line="257" w:lineRule="auto"/>
        <w:ind w:left="0" w:leftChars="0" w:firstLine="0" w:firstLineChars="0"/>
      </w:pPr>
    </w:p>
    <w:p w14:paraId="2F3C632C">
      <w:pPr>
        <w:spacing w:line="257" w:lineRule="auto"/>
        <w:ind w:left="0" w:leftChars="0" w:firstLine="0" w:firstLineChars="0"/>
      </w:pPr>
    </w:p>
    <w:p w14:paraId="4FC01CA7">
      <w:pPr>
        <w:spacing w:line="257" w:lineRule="auto"/>
        <w:ind w:left="0" w:leftChars="0" w:firstLine="0" w:firstLineChars="0"/>
      </w:pPr>
    </w:p>
    <w:p w14:paraId="4DE7C73E">
      <w:pPr>
        <w:spacing w:line="257" w:lineRule="auto"/>
        <w:ind w:left="0" w:leftChars="0" w:firstLine="0" w:firstLineChars="0"/>
      </w:pPr>
    </w:p>
    <w:p w14:paraId="705CD786">
      <w:pPr>
        <w:spacing w:line="257" w:lineRule="auto"/>
        <w:ind w:left="0" w:leftChars="0" w:firstLine="0" w:firstLineChars="0"/>
      </w:pPr>
    </w:p>
    <w:p w14:paraId="38BB3C61">
      <w:pPr>
        <w:spacing w:line="257" w:lineRule="auto"/>
        <w:ind w:left="0" w:leftChars="0" w:firstLine="0" w:firstLineChars="0"/>
      </w:pPr>
    </w:p>
    <w:p w14:paraId="1F70A8A6">
      <w:pPr>
        <w:spacing w:line="257" w:lineRule="auto"/>
        <w:ind w:left="0" w:leftChars="0" w:firstLine="0" w:firstLineChars="0"/>
      </w:pPr>
    </w:p>
    <w:p w14:paraId="1C272570">
      <w:pPr>
        <w:spacing w:line="257" w:lineRule="auto"/>
        <w:ind w:left="0" w:leftChars="0" w:firstLine="0" w:firstLineChars="0"/>
      </w:pPr>
    </w:p>
    <w:p w14:paraId="2B1AD5E3">
      <w:pPr>
        <w:spacing w:line="257" w:lineRule="auto"/>
        <w:ind w:left="0" w:leftChars="0" w:firstLine="0" w:firstLineChars="0"/>
      </w:pPr>
    </w:p>
    <w:p w14:paraId="66598521">
      <w:pPr>
        <w:spacing w:line="257" w:lineRule="auto"/>
        <w:ind w:left="0" w:leftChars="0" w:firstLine="0" w:firstLineChars="0"/>
      </w:pPr>
    </w:p>
    <w:p w14:paraId="1BAA8CEC">
      <w:pPr>
        <w:spacing w:line="257" w:lineRule="auto"/>
        <w:ind w:left="0" w:leftChars="0" w:firstLine="0" w:firstLineChars="0"/>
      </w:pPr>
    </w:p>
    <w:p w14:paraId="0526DB7A">
      <w:pPr>
        <w:spacing w:line="257" w:lineRule="auto"/>
        <w:ind w:left="0" w:leftChars="0" w:firstLine="0" w:firstLineChars="0"/>
      </w:pPr>
    </w:p>
    <w:p w14:paraId="2C2B97FB">
      <w:pPr>
        <w:spacing w:line="257" w:lineRule="auto"/>
        <w:ind w:left="0" w:leftChars="0" w:firstLine="0" w:firstLineChars="0"/>
      </w:pPr>
    </w:p>
    <w:p w14:paraId="478D7B3C">
      <w:pPr>
        <w:spacing w:line="257" w:lineRule="auto"/>
        <w:ind w:left="0" w:leftChars="0" w:firstLine="0" w:firstLineChars="0"/>
      </w:pPr>
    </w:p>
    <w:p w14:paraId="5A4F123C">
      <w:pPr>
        <w:spacing w:line="257" w:lineRule="auto"/>
        <w:ind w:left="0" w:leftChars="0" w:firstLine="0" w:firstLineChars="0"/>
      </w:pPr>
    </w:p>
    <w:p w14:paraId="14094835">
      <w:pPr>
        <w:spacing w:line="257" w:lineRule="auto"/>
        <w:ind w:left="0" w:leftChars="0" w:firstLine="0" w:firstLineChars="0"/>
      </w:pPr>
    </w:p>
    <w:p w14:paraId="5F5791B2">
      <w:pPr>
        <w:spacing w:line="257" w:lineRule="auto"/>
        <w:ind w:left="0" w:leftChars="0" w:firstLine="0" w:firstLineChars="0"/>
      </w:pPr>
    </w:p>
    <w:p w14:paraId="26ED0C07">
      <w:pPr>
        <w:spacing w:line="257" w:lineRule="auto"/>
        <w:ind w:left="0" w:leftChars="0" w:firstLine="0" w:firstLineChars="0"/>
      </w:pPr>
    </w:p>
    <w:p w14:paraId="4DBFD3F2">
      <w:pPr>
        <w:spacing w:line="257" w:lineRule="auto"/>
        <w:ind w:left="0" w:leftChars="0" w:firstLine="0" w:firstLineChars="0"/>
      </w:pPr>
    </w:p>
    <w:p w14:paraId="03C4EA8B">
      <w:pPr>
        <w:spacing w:line="257" w:lineRule="auto"/>
        <w:ind w:left="0" w:leftChars="0" w:firstLine="0" w:firstLineChars="0"/>
      </w:pPr>
    </w:p>
    <w:p w14:paraId="31B2006C">
      <w:pPr>
        <w:spacing w:line="257" w:lineRule="auto"/>
        <w:ind w:left="0" w:leftChars="0" w:firstLine="0" w:firstLineChars="0"/>
      </w:pPr>
    </w:p>
    <w:p w14:paraId="2CC0F56D">
      <w:pPr>
        <w:spacing w:line="257" w:lineRule="auto"/>
        <w:ind w:left="0" w:leftChars="0" w:firstLine="0" w:firstLineChars="0"/>
      </w:pPr>
    </w:p>
    <w:p w14:paraId="45C8EBD3">
      <w:pPr>
        <w:spacing w:line="257" w:lineRule="auto"/>
        <w:ind w:left="0" w:leftChars="0" w:firstLine="0" w:firstLineChars="0"/>
      </w:pPr>
    </w:p>
    <w:p w14:paraId="32D7D4ED">
      <w:pPr>
        <w:spacing w:line="257" w:lineRule="auto"/>
        <w:ind w:left="0" w:leftChars="0" w:firstLine="0" w:firstLineChars="0"/>
      </w:pPr>
    </w:p>
    <w:p w14:paraId="3758EF50">
      <w:pPr>
        <w:spacing w:line="257" w:lineRule="auto"/>
        <w:ind w:left="0" w:leftChars="0" w:firstLine="0" w:firstLineChars="0"/>
      </w:pPr>
    </w:p>
    <w:p w14:paraId="0AB9C6AB">
      <w:pPr>
        <w:spacing w:line="257" w:lineRule="auto"/>
        <w:ind w:left="0" w:leftChars="0" w:firstLine="0" w:firstLineChars="0"/>
      </w:pPr>
    </w:p>
    <w:p w14:paraId="098246B6">
      <w:pPr>
        <w:spacing w:line="257" w:lineRule="auto"/>
        <w:ind w:left="0" w:leftChars="0" w:firstLine="0" w:firstLineChars="0"/>
      </w:pPr>
    </w:p>
    <w:p w14:paraId="5A1EE19E">
      <w:pPr>
        <w:spacing w:line="257" w:lineRule="auto"/>
        <w:ind w:left="0" w:leftChars="0" w:firstLine="0" w:firstLineChars="0"/>
      </w:pPr>
    </w:p>
    <w:p w14:paraId="69CFA44F">
      <w:pPr>
        <w:spacing w:line="257" w:lineRule="auto"/>
        <w:ind w:left="0" w:leftChars="0" w:firstLine="0" w:firstLineChars="0"/>
      </w:pPr>
    </w:p>
    <w:p w14:paraId="1BC9DD11">
      <w:pPr>
        <w:spacing w:line="257" w:lineRule="auto"/>
        <w:ind w:left="0" w:leftChars="0" w:firstLine="0" w:firstLineChars="0"/>
      </w:pPr>
    </w:p>
    <w:p w14:paraId="2F8C3B2A">
      <w:pPr>
        <w:spacing w:line="257" w:lineRule="auto"/>
        <w:ind w:left="0" w:leftChars="0" w:firstLine="0" w:firstLineChars="0"/>
      </w:pPr>
    </w:p>
    <w:p w14:paraId="709A27C6">
      <w:pPr>
        <w:bidi w:val="0"/>
      </w:pPr>
      <w:r>
        <w:t>附件1：</w:t>
      </w:r>
    </w:p>
    <w:p w14:paraId="771E081E">
      <w:pPr>
        <w:bidi w:val="0"/>
        <w:jc w:val="center"/>
        <w:outlineLvl w:val="2"/>
      </w:pPr>
      <w:r>
        <w:rPr>
          <w:b/>
          <w:bCs/>
          <w:sz w:val="28"/>
          <w:szCs w:val="28"/>
        </w:rPr>
        <w:t>中小企业声明函（符合本声明函填写）</w:t>
      </w:r>
    </w:p>
    <w:p w14:paraId="5A8DA095">
      <w:pPr>
        <w:bidi w:val="0"/>
      </w:pPr>
      <w:r>
        <w:t>本公司(联合体)郑重声明，根据《政府采购促进中小企业发展管理办法》(财库﹝2020﹞46号)的规定，本公司(联合体)参加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15097D0C">
      <w:pPr>
        <w:bidi w:val="0"/>
      </w:pPr>
      <w:r>
        <w:t>1.</w:t>
      </w:r>
      <w:r>
        <w:rPr>
          <w:u w:val="single"/>
        </w:rPr>
        <w:t>(标的名称)</w:t>
      </w:r>
      <w:r>
        <w:t>，属于</w:t>
      </w:r>
      <w:r>
        <w:rPr>
          <w:u w:val="single"/>
        </w:rPr>
        <w:t>(采购文件中明确的所属行业)</w:t>
      </w:r>
      <w:r>
        <w:t>；承建(承接)企业为</w:t>
      </w:r>
      <w:r>
        <w:rPr>
          <w:u w:val="single"/>
        </w:rPr>
        <w:t>(企业名称)</w:t>
      </w:r>
      <w:r>
        <w:t>，从业人员</w:t>
      </w:r>
      <w:r>
        <w:rPr>
          <w:rFonts w:hint="eastAsia"/>
          <w:u w:val="single"/>
          <w:lang w:val="en-US" w:eastAsia="zh-CN"/>
        </w:rPr>
        <w:t xml:space="preserve">      </w:t>
      </w:r>
      <w:r>
        <w:t>人，营业收入为</w:t>
      </w:r>
      <w:r>
        <w:rPr>
          <w:rFonts w:hint="eastAsia"/>
          <w:u w:val="single"/>
          <w:lang w:val="en-US" w:eastAsia="zh-CN"/>
        </w:rPr>
        <w:t xml:space="preserve">      </w:t>
      </w:r>
      <w:r>
        <w:t>万元，资产总额为</w:t>
      </w:r>
      <w:r>
        <w:rPr>
          <w:rFonts w:hint="eastAsia"/>
          <w:u w:val="single"/>
          <w:lang w:val="en-US" w:eastAsia="zh-CN"/>
        </w:rPr>
        <w:t xml:space="preserve">      </w:t>
      </w:r>
      <w:r>
        <w:t>万元1，属于</w:t>
      </w:r>
      <w:r>
        <w:rPr>
          <w:u w:val="single"/>
        </w:rPr>
        <w:t>(中型企业、小型企业、微型企业</w:t>
      </w:r>
      <w:r>
        <w:t>)；</w:t>
      </w:r>
    </w:p>
    <w:p w14:paraId="2EBDF3F3">
      <w:pPr>
        <w:bidi w:val="0"/>
      </w:pPr>
      <w:r>
        <w:t>2.</w:t>
      </w:r>
      <w:r>
        <w:rPr>
          <w:u w:val="single"/>
        </w:rPr>
        <w:t>(标的名称)</w:t>
      </w:r>
      <w:r>
        <w:t>，属于</w:t>
      </w:r>
      <w:r>
        <w:rPr>
          <w:u w:val="single"/>
        </w:rPr>
        <w:t>(采购文件中明确的所属行业)</w:t>
      </w:r>
      <w:r>
        <w:t>；承建(承接)企业为(企业名称)，从业人员</w:t>
      </w:r>
      <w:r>
        <w:rPr>
          <w:rFonts w:hint="eastAsia"/>
          <w:u w:val="single"/>
          <w:lang w:val="en-US" w:eastAsia="zh-CN"/>
        </w:rPr>
        <w:t xml:space="preserve">      </w:t>
      </w:r>
      <w:r>
        <w:t>人，营业收入为</w:t>
      </w:r>
      <w:r>
        <w:rPr>
          <w:rFonts w:hint="eastAsia"/>
          <w:u w:val="single"/>
          <w:lang w:val="en-US" w:eastAsia="zh-CN"/>
        </w:rPr>
        <w:t xml:space="preserve">      </w:t>
      </w:r>
      <w:r>
        <w:t>万元，资产总额为</w:t>
      </w:r>
      <w:r>
        <w:rPr>
          <w:rFonts w:hint="eastAsia"/>
          <w:u w:val="single"/>
          <w:lang w:val="en-US" w:eastAsia="zh-CN"/>
        </w:rPr>
        <w:t xml:space="preserve">      </w:t>
      </w:r>
      <w:r>
        <w:t>万元，属于</w:t>
      </w:r>
      <w:r>
        <w:rPr>
          <w:u w:val="single"/>
        </w:rPr>
        <w:t>(中型企业、小型企业、微型企业)</w:t>
      </w:r>
      <w:r>
        <w:t>；</w:t>
      </w:r>
    </w:p>
    <w:p w14:paraId="6FDD99FC">
      <w:pPr>
        <w:bidi w:val="0"/>
      </w:pPr>
      <w:r>
        <w:t>……</w:t>
      </w:r>
    </w:p>
    <w:p w14:paraId="66710612">
      <w:pPr>
        <w:bidi w:val="0"/>
      </w:pPr>
      <w:r>
        <w:t>以上企业，不属于大企业的分支机构，不存在控股股东为大企业的情形，也不存在与大企业的负责人为同一人的情形。</w:t>
      </w:r>
    </w:p>
    <w:p w14:paraId="6E306363">
      <w:pPr>
        <w:bidi w:val="0"/>
      </w:pPr>
      <w:r>
        <w:t>本企业对上述声明内容的真实性负责。如有虚假，将依法承担相应责任。</w:t>
      </w:r>
    </w:p>
    <w:p w14:paraId="44BD4A60">
      <w:pPr>
        <w:bidi w:val="0"/>
        <w:jc w:val="right"/>
      </w:pPr>
    </w:p>
    <w:p w14:paraId="291B4A12">
      <w:pPr>
        <w:bidi w:val="0"/>
        <w:jc w:val="right"/>
      </w:pPr>
      <w:r>
        <w:t>企业名称：(电子签章)</w:t>
      </w:r>
    </w:p>
    <w:p w14:paraId="2D893A42">
      <w:pPr>
        <w:bidi w:val="0"/>
        <w:jc w:val="right"/>
      </w:pPr>
      <w:r>
        <w:t>日期：年月日</w:t>
      </w:r>
    </w:p>
    <w:p w14:paraId="691B201C">
      <w:pPr>
        <w:bidi w:val="0"/>
      </w:pPr>
    </w:p>
    <w:p w14:paraId="393CD250">
      <w:pPr>
        <w:bidi w:val="0"/>
      </w:pPr>
      <w:r>
        <w:t>从业人员、营业收入、资产总额填报上一年度数据，无上一年度数据的新成立企业可不填报。</w:t>
      </w:r>
    </w:p>
    <w:p w14:paraId="0CEA8E7A">
      <w:pPr>
        <w:spacing w:line="242" w:lineRule="auto"/>
      </w:pPr>
    </w:p>
    <w:p w14:paraId="30D9F7CD">
      <w:pPr>
        <w:spacing w:line="243" w:lineRule="auto"/>
      </w:pPr>
    </w:p>
    <w:p w14:paraId="4FD57AE3">
      <w:pPr>
        <w:spacing w:line="243" w:lineRule="auto"/>
      </w:pPr>
    </w:p>
    <w:p w14:paraId="4F9FFAC6">
      <w:pPr>
        <w:spacing w:line="243" w:lineRule="auto"/>
      </w:pPr>
    </w:p>
    <w:p w14:paraId="74C8B1FA">
      <w:pPr>
        <w:spacing w:line="243" w:lineRule="auto"/>
      </w:pPr>
    </w:p>
    <w:p w14:paraId="63136D18">
      <w:pPr>
        <w:spacing w:line="243" w:lineRule="auto"/>
      </w:pPr>
    </w:p>
    <w:p w14:paraId="66A3600D">
      <w:pPr>
        <w:spacing w:line="243" w:lineRule="auto"/>
      </w:pPr>
    </w:p>
    <w:p w14:paraId="0B1CF4D9">
      <w:pPr>
        <w:spacing w:line="243" w:lineRule="auto"/>
      </w:pPr>
    </w:p>
    <w:p w14:paraId="438FFA45">
      <w:pPr>
        <w:spacing w:line="243" w:lineRule="auto"/>
      </w:pPr>
    </w:p>
    <w:p w14:paraId="765FF01F">
      <w:pPr>
        <w:spacing w:line="243" w:lineRule="auto"/>
      </w:pPr>
    </w:p>
    <w:p w14:paraId="3055D559">
      <w:pPr>
        <w:spacing w:line="243" w:lineRule="auto"/>
      </w:pPr>
    </w:p>
    <w:p w14:paraId="57BC61A6">
      <w:pPr>
        <w:bidi w:val="0"/>
      </w:pPr>
      <w:r>
        <w:t>附件2：</w:t>
      </w:r>
    </w:p>
    <w:p w14:paraId="0968684C">
      <w:pPr>
        <w:bidi w:val="0"/>
        <w:jc w:val="center"/>
        <w:outlineLvl w:val="2"/>
        <w:rPr>
          <w:rFonts w:ascii="宋体" w:hAnsi="宋体" w:eastAsia="宋体" w:cs="宋体"/>
          <w:szCs w:val="24"/>
        </w:rPr>
      </w:pPr>
      <w:r>
        <w:rPr>
          <w:b/>
          <w:bCs/>
          <w:sz w:val="28"/>
          <w:szCs w:val="28"/>
        </w:rPr>
        <w:t>监狱企业声明函(监狱企业适用)</w:t>
      </w:r>
    </w:p>
    <w:p w14:paraId="725E1368">
      <w:pPr>
        <w:bidi w:val="0"/>
      </w:pPr>
      <w:r>
        <w:t>本公司郑重声明，根据《关于政府采购支持监狱企业发展有关问题的通知》(财库</w:t>
      </w:r>
    </w:p>
    <w:p w14:paraId="5225E9D2">
      <w:pPr>
        <w:bidi w:val="0"/>
      </w:pPr>
      <w:r>
        <w:t>[2014]68号)的规定，本公司为监狱企业。</w:t>
      </w:r>
    </w:p>
    <w:p w14:paraId="044E46CF">
      <w:pPr>
        <w:bidi w:val="0"/>
      </w:pPr>
      <w:r>
        <w:t>本公司参加单位的项目采购活动，采购活动提供本企业(填写制造的货物，由本企业承担工程、提供服务)。</w:t>
      </w:r>
    </w:p>
    <w:p w14:paraId="30806A84">
      <w:pPr>
        <w:bidi w:val="0"/>
      </w:pPr>
      <w:r>
        <w:t>本条所称货物不包括使用大型企业注册商标的货物和服务。</w:t>
      </w:r>
    </w:p>
    <w:p w14:paraId="094ACB4F">
      <w:pPr>
        <w:bidi w:val="0"/>
      </w:pPr>
      <w:r>
        <w:t>本公司对上述声明的真实性负责。如有虚假，将依法承担相应责任。</w:t>
      </w:r>
    </w:p>
    <w:p w14:paraId="31A79B10">
      <w:pPr>
        <w:bidi w:val="0"/>
      </w:pPr>
    </w:p>
    <w:p w14:paraId="3260BF80">
      <w:pPr>
        <w:bidi w:val="0"/>
      </w:pPr>
    </w:p>
    <w:p w14:paraId="1C4376DE">
      <w:pPr>
        <w:bidi w:val="0"/>
      </w:pPr>
      <w:r>
        <w:t>投标人(电子签章)：</w:t>
      </w:r>
    </w:p>
    <w:p w14:paraId="51281A0D">
      <w:pPr>
        <w:bidi w:val="0"/>
        <w:rPr>
          <w:rFonts w:hint="eastAsia"/>
          <w:lang w:eastAsia="zh-CN"/>
        </w:rPr>
      </w:pPr>
      <w:r>
        <w:t>法定代表人或其授权代表(电子签章或电子签名)：</w:t>
      </w:r>
    </w:p>
    <w:p w14:paraId="21538170">
      <w:pPr>
        <w:bidi w:val="0"/>
      </w:pPr>
      <w:r>
        <w:t>日期：年月日</w:t>
      </w:r>
    </w:p>
    <w:p w14:paraId="28F55C80">
      <w:pPr>
        <w:spacing w:line="275" w:lineRule="auto"/>
      </w:pPr>
    </w:p>
    <w:p w14:paraId="147E2009">
      <w:pPr>
        <w:spacing w:line="275" w:lineRule="auto"/>
      </w:pPr>
    </w:p>
    <w:p w14:paraId="0CC1EBD1">
      <w:pPr>
        <w:bidi w:val="0"/>
      </w:pPr>
    </w:p>
    <w:p w14:paraId="12773BF2">
      <w:pPr>
        <w:bidi w:val="0"/>
      </w:pPr>
    </w:p>
    <w:p w14:paraId="5EC660A1">
      <w:pPr>
        <w:bidi w:val="0"/>
      </w:pPr>
    </w:p>
    <w:p w14:paraId="7AE0415F">
      <w:pPr>
        <w:bidi w:val="0"/>
      </w:pPr>
    </w:p>
    <w:p w14:paraId="162E4877">
      <w:pPr>
        <w:bidi w:val="0"/>
      </w:pPr>
    </w:p>
    <w:p w14:paraId="1A2DDB56">
      <w:pPr>
        <w:bidi w:val="0"/>
      </w:pPr>
    </w:p>
    <w:p w14:paraId="247D915A">
      <w:pPr>
        <w:bidi w:val="0"/>
      </w:pPr>
    </w:p>
    <w:p w14:paraId="70EBE5B0">
      <w:pPr>
        <w:bidi w:val="0"/>
      </w:pPr>
    </w:p>
    <w:p w14:paraId="6D39FDA8">
      <w:pPr>
        <w:bidi w:val="0"/>
      </w:pPr>
    </w:p>
    <w:p w14:paraId="572D2868">
      <w:pPr>
        <w:bidi w:val="0"/>
      </w:pPr>
    </w:p>
    <w:p w14:paraId="4C61869E">
      <w:pPr>
        <w:bidi w:val="0"/>
      </w:pPr>
    </w:p>
    <w:p w14:paraId="4C7FB4D1">
      <w:pPr>
        <w:bidi w:val="0"/>
      </w:pPr>
    </w:p>
    <w:p w14:paraId="47A4C7B8">
      <w:pPr>
        <w:bidi w:val="0"/>
      </w:pPr>
    </w:p>
    <w:p w14:paraId="64D57C0A">
      <w:pPr>
        <w:bidi w:val="0"/>
      </w:pPr>
    </w:p>
    <w:p w14:paraId="07A292B3">
      <w:pPr>
        <w:bidi w:val="0"/>
      </w:pPr>
    </w:p>
    <w:p w14:paraId="3934EC20">
      <w:pPr>
        <w:bidi w:val="0"/>
      </w:pPr>
    </w:p>
    <w:p w14:paraId="6C7F8E66">
      <w:pPr>
        <w:bidi w:val="0"/>
      </w:pPr>
    </w:p>
    <w:p w14:paraId="0117A174">
      <w:pPr>
        <w:bidi w:val="0"/>
      </w:pPr>
    </w:p>
    <w:p w14:paraId="5FB39EBA">
      <w:pPr>
        <w:bidi w:val="0"/>
      </w:pPr>
      <w:r>
        <w:t>附件3：</w:t>
      </w:r>
    </w:p>
    <w:p w14:paraId="46D63DE1">
      <w:pPr>
        <w:bidi w:val="0"/>
        <w:ind w:left="0" w:leftChars="0" w:firstLine="0" w:firstLineChars="0"/>
        <w:jc w:val="center"/>
        <w:outlineLvl w:val="2"/>
      </w:pPr>
      <w:r>
        <w:rPr>
          <w:b/>
          <w:bCs/>
          <w:sz w:val="28"/>
          <w:szCs w:val="28"/>
        </w:rPr>
        <w:t>残疾人福利性单位声明函</w:t>
      </w:r>
    </w:p>
    <w:p w14:paraId="46EE633B">
      <w:pPr>
        <w:bidi w:val="0"/>
      </w:pPr>
      <w:r>
        <w:t>本单位郑重声明，根据《财政部民政部中国残疾人联合会关于促进残疾人就业政府采购政策的通知》(财库〔2017〕141号)的规定，本单位为符合条件的残疾人福利</w:t>
      </w:r>
    </w:p>
    <w:p w14:paraId="3026F04F">
      <w:pPr>
        <w:bidi w:val="0"/>
      </w:pPr>
      <w:r>
        <w:t>本单位对上述声明的真实性负责。如有虚假，将依法承担相应责任。</w:t>
      </w:r>
    </w:p>
    <w:p w14:paraId="655103C8">
      <w:pPr>
        <w:bidi w:val="0"/>
      </w:pPr>
    </w:p>
    <w:p w14:paraId="1306A033">
      <w:pPr>
        <w:bidi w:val="0"/>
      </w:pPr>
    </w:p>
    <w:p w14:paraId="3A278141">
      <w:pPr>
        <w:bidi w:val="0"/>
      </w:pPr>
      <w:r>
        <w:t>单位名称：(电子签章)</w:t>
      </w:r>
    </w:p>
    <w:p w14:paraId="783F39AB">
      <w:pPr>
        <w:bidi w:val="0"/>
      </w:pPr>
      <w:r>
        <w:t>日期：年月日</w:t>
      </w:r>
    </w:p>
    <w:p w14:paraId="2CE5C8F6">
      <w:pPr>
        <w:bidi w:val="0"/>
      </w:pPr>
    </w:p>
    <w:p w14:paraId="5C626F62">
      <w:pPr>
        <w:bidi w:val="0"/>
      </w:pPr>
    </w:p>
    <w:p w14:paraId="18B6B993">
      <w:pPr>
        <w:bidi w:val="0"/>
      </w:pPr>
    </w:p>
    <w:p w14:paraId="14BDA1C5">
      <w:pPr>
        <w:bidi w:val="0"/>
        <w:rPr>
          <w:rFonts w:ascii="宋体" w:hAnsi="宋体" w:eastAsia="宋体" w:cs="宋体"/>
          <w:szCs w:val="24"/>
        </w:rPr>
      </w:pPr>
      <w:r>
        <w:t>注：．投标人根据情况自行选择，不享受相关政策的投标人无需提供附件</w:t>
      </w:r>
    </w:p>
    <w:p w14:paraId="2FA2A691">
      <w:pPr>
        <w:spacing w:line="273" w:lineRule="auto"/>
      </w:pPr>
    </w:p>
    <w:p w14:paraId="27A346D4">
      <w:pPr>
        <w:spacing w:line="273" w:lineRule="auto"/>
      </w:pPr>
    </w:p>
    <w:p w14:paraId="75A1806D">
      <w:pPr>
        <w:spacing w:line="274" w:lineRule="auto"/>
      </w:pPr>
    </w:p>
    <w:p w14:paraId="2794FBA6">
      <w:pPr>
        <w:spacing w:line="274" w:lineRule="auto"/>
      </w:pPr>
    </w:p>
    <w:p w14:paraId="3AF5346E">
      <w:pPr>
        <w:spacing w:line="274" w:lineRule="auto"/>
      </w:pPr>
    </w:p>
    <w:p w14:paraId="5AD7FE9E">
      <w:pPr>
        <w:spacing w:line="274" w:lineRule="auto"/>
      </w:pPr>
    </w:p>
    <w:p w14:paraId="4518794A">
      <w:pPr>
        <w:spacing w:line="274" w:lineRule="auto"/>
      </w:pPr>
    </w:p>
    <w:p w14:paraId="3A46D11F">
      <w:pPr>
        <w:spacing w:line="274" w:lineRule="auto"/>
      </w:pPr>
    </w:p>
    <w:p w14:paraId="4294B431">
      <w:pPr>
        <w:spacing w:line="274" w:lineRule="auto"/>
      </w:pPr>
    </w:p>
    <w:p w14:paraId="47B1854C">
      <w:pPr>
        <w:spacing w:line="274" w:lineRule="auto"/>
      </w:pPr>
    </w:p>
    <w:p w14:paraId="79E1A257">
      <w:pPr>
        <w:spacing w:line="274" w:lineRule="auto"/>
      </w:pPr>
    </w:p>
    <w:p w14:paraId="0316DC9D">
      <w:pPr>
        <w:spacing w:line="274" w:lineRule="auto"/>
      </w:pPr>
    </w:p>
    <w:p w14:paraId="7E5889D4">
      <w:pPr>
        <w:spacing w:line="274" w:lineRule="auto"/>
      </w:pPr>
    </w:p>
    <w:p w14:paraId="5C9F2600">
      <w:pPr>
        <w:spacing w:line="274" w:lineRule="auto"/>
      </w:pPr>
    </w:p>
    <w:p w14:paraId="7C7127F7">
      <w:pPr>
        <w:spacing w:line="274" w:lineRule="auto"/>
      </w:pPr>
    </w:p>
    <w:p w14:paraId="1189637A">
      <w:pPr>
        <w:spacing w:line="274" w:lineRule="auto"/>
      </w:pPr>
    </w:p>
    <w:p w14:paraId="03F12B01">
      <w:pPr>
        <w:spacing w:line="274" w:lineRule="auto"/>
      </w:pPr>
    </w:p>
    <w:p w14:paraId="5EE0C81A">
      <w:pPr>
        <w:spacing w:line="274" w:lineRule="auto"/>
      </w:pPr>
    </w:p>
    <w:p w14:paraId="7BE34A4B">
      <w:pPr>
        <w:spacing w:line="274" w:lineRule="auto"/>
      </w:pPr>
    </w:p>
    <w:p w14:paraId="111BE867">
      <w:pPr>
        <w:spacing w:line="274" w:lineRule="auto"/>
      </w:pPr>
    </w:p>
    <w:p w14:paraId="393EE39F">
      <w:pPr>
        <w:spacing w:line="274" w:lineRule="auto"/>
      </w:pPr>
    </w:p>
    <w:p w14:paraId="161C1F7E">
      <w:pPr>
        <w:spacing w:line="274" w:lineRule="auto"/>
      </w:pPr>
    </w:p>
    <w:p w14:paraId="4A5A9944">
      <w:pPr>
        <w:spacing w:line="274" w:lineRule="auto"/>
      </w:pPr>
    </w:p>
    <w:p w14:paraId="79982AB9">
      <w:pPr>
        <w:spacing w:line="274" w:lineRule="auto"/>
      </w:pPr>
    </w:p>
    <w:p w14:paraId="314B7618">
      <w:pPr>
        <w:spacing w:line="274" w:lineRule="auto"/>
      </w:pPr>
    </w:p>
    <w:p w14:paraId="25AB9B5F">
      <w:pPr>
        <w:pStyle w:val="2"/>
        <w:bidi w:val="0"/>
      </w:pPr>
      <w:bookmarkStart w:id="20" w:name="_Toc19209"/>
      <w:r>
        <w:rPr>
          <w:rFonts w:ascii="宋体" w:hAnsi="宋体" w:eastAsia="宋体" w:cs="宋体"/>
          <w:b/>
          <w:bCs/>
          <w:spacing w:val="-3"/>
          <w:sz w:val="28"/>
          <w:szCs w:val="28"/>
        </w:rPr>
        <w:t>第四章</w:t>
      </w:r>
      <w:r>
        <w:rPr>
          <w:rFonts w:hint="eastAsia" w:ascii="宋体" w:hAnsi="宋体" w:eastAsia="宋体" w:cs="宋体"/>
          <w:b/>
          <w:bCs/>
          <w:spacing w:val="-3"/>
          <w:sz w:val="28"/>
          <w:szCs w:val="28"/>
          <w:lang w:val="en-US" w:eastAsia="zh-CN"/>
        </w:rPr>
        <w:t xml:space="preserve">  </w:t>
      </w:r>
      <w:r>
        <w:rPr>
          <w:rFonts w:ascii="宋体" w:hAnsi="宋体" w:eastAsia="宋体" w:cs="宋体"/>
          <w:b/>
          <w:bCs/>
          <w:spacing w:val="-3"/>
          <w:sz w:val="28"/>
          <w:szCs w:val="28"/>
        </w:rPr>
        <w:t>供应商的资格要求</w:t>
      </w:r>
      <w:bookmarkEnd w:id="20"/>
    </w:p>
    <w:p w14:paraId="7F06CE79">
      <w:pPr>
        <w:bidi w:val="0"/>
      </w:pPr>
      <w:r>
        <w:t>一、符合《中华人民共和国政府采购法》第二十二条及采购文件要求的供应商资格要求。</w:t>
      </w:r>
    </w:p>
    <w:p w14:paraId="32D094AD">
      <w:pPr>
        <w:bidi w:val="0"/>
      </w:pPr>
      <w:r>
        <w:t>1、具有独立承担民事责任的能力；【法人或者其他组织投标需提供营业执照等证明文件，自然人投标需提供自然人的身份证明】</w:t>
      </w:r>
    </w:p>
    <w:p w14:paraId="796E50C8">
      <w:pPr>
        <w:bidi w:val="0"/>
      </w:pPr>
      <w:r>
        <w:t>2、具有良好的商业信誉和健全的财务会计制度；【须提供银行出具的近1年内资信证明或第三方审计机构出具的财务报告，新成立企业按注册年份提供财务报表。】</w:t>
      </w:r>
    </w:p>
    <w:p w14:paraId="2644B3FB">
      <w:pPr>
        <w:bidi w:val="0"/>
      </w:pPr>
      <w:r>
        <w:t>3、具有履行合同所必需的专业技术能力与人员队伍；【须提供承诺书】</w:t>
      </w:r>
    </w:p>
    <w:p w14:paraId="4C0CC585">
      <w:pPr>
        <w:bidi w:val="0"/>
      </w:pPr>
      <w:r>
        <w:t>4、具有依法缴纳税收和社会保障资金的良好记录；【须提供：①公司近6个月内（任意1个月）已依法缴纳税收的凭据；②公司近6个月内（任意1个月）已依法缴纳社会保险的凭据。（依法免税或不需要缴纳社会保障资金的供应商，应提供相应证明文件，新成立企业无需提供。）】</w:t>
      </w:r>
    </w:p>
    <w:p w14:paraId="5A9E1F12">
      <w:pPr>
        <w:bidi w:val="0"/>
      </w:pPr>
      <w:r>
        <w:t>5、参与投标的单位前三年内，在经营活动中没有重大违法记录；【需提供书面声明（供应商自行承诺并承担后果，声明不实的，按《政府采购法》有关提供虚假材料的有关规定给予处罚。）】</w:t>
      </w:r>
    </w:p>
    <w:p w14:paraId="19B1D0BE">
      <w:pPr>
        <w:bidi w:val="0"/>
      </w:pPr>
      <w:r>
        <w:t>6、法律、行政法规规定的其他条件；【须提供承诺书】</w:t>
      </w:r>
    </w:p>
    <w:p w14:paraId="29E9C845">
      <w:pPr>
        <w:bidi w:val="0"/>
      </w:pPr>
      <w:r>
        <w:t>7、具有建设行政主管部门核发的</w:t>
      </w:r>
      <w:r>
        <w:rPr>
          <w:rFonts w:ascii="Times New Roman" w:hAnsi="Times New Roman" w:eastAsia="宋体" w:cs="Times New Roman"/>
        </w:rPr>
        <w:t>建筑工程施工总承包</w:t>
      </w:r>
      <w:r>
        <w:rPr>
          <w:rFonts w:hint="eastAsia" w:cs="Times New Roman"/>
          <w:lang w:eastAsia="zh-CN"/>
        </w:rPr>
        <w:t>三</w:t>
      </w:r>
      <w:r>
        <w:rPr>
          <w:rFonts w:ascii="Times New Roman" w:hAnsi="Times New Roman" w:eastAsia="宋体" w:cs="Times New Roman"/>
        </w:rPr>
        <w:t>级（含）及以上资质或建筑装修装饰工程专业承包</w:t>
      </w:r>
      <w:r>
        <w:rPr>
          <w:rFonts w:hint="eastAsia" w:cs="Times New Roman"/>
          <w:lang w:eastAsia="zh-CN"/>
        </w:rPr>
        <w:t>二</w:t>
      </w:r>
      <w:r>
        <w:rPr>
          <w:rFonts w:ascii="Times New Roman" w:hAnsi="Times New Roman" w:eastAsia="宋体" w:cs="Times New Roman"/>
        </w:rPr>
        <w:t>级（含）及以上资质，且证书合格、有效；</w:t>
      </w:r>
      <w:r>
        <w:t>【须提供建设行政主管部门核发的资质等级证书扫描件】</w:t>
      </w:r>
    </w:p>
    <w:p w14:paraId="17550199">
      <w:pPr>
        <w:bidi w:val="0"/>
      </w:pPr>
      <w:r>
        <w:t>8、具有建设行政主管部门核发的安全生产许可证，且证书合格、有效；【须提供建设行政主管部门核发的安全生产许可证复印件】</w:t>
      </w:r>
    </w:p>
    <w:p w14:paraId="0840CE59">
      <w:pPr>
        <w:bidi w:val="0"/>
      </w:pPr>
      <w:r>
        <w:t>9、项目负责人的资格要求：项二级注册建造师（</w:t>
      </w:r>
      <w:r>
        <w:rPr>
          <w:rFonts w:hint="eastAsia"/>
          <w:lang w:eastAsia="zh-CN"/>
        </w:rPr>
        <w:t>建筑</w:t>
      </w:r>
      <w:r>
        <w:t>工程</w:t>
      </w:r>
      <w:r>
        <w:rPr>
          <w:rFonts w:hint="eastAsia"/>
          <w:lang w:eastAsia="zh-CN"/>
        </w:rPr>
        <w:t>专业</w:t>
      </w:r>
      <w:r>
        <w:t>），本单位注册，不接受临时注册；【须提供建设行政主管部门核发的建造师执业资格证书、注册证书扫描件】</w:t>
      </w:r>
    </w:p>
    <w:p w14:paraId="141B26B6">
      <w:pPr>
        <w:bidi w:val="0"/>
      </w:pPr>
      <w:r>
        <w:t>10、其他说明：单位负责人为同一人或者存在直接控股、管理关系的不同供应商，不得参加同一合同项下的政府采购活动；【须提供承诺书】</w:t>
      </w:r>
    </w:p>
    <w:p w14:paraId="796E2425">
      <w:pPr>
        <w:bidi w:val="0"/>
        <w:rPr>
          <w:rFonts w:ascii="宋体" w:hAnsi="宋体" w:eastAsia="宋体" w:cs="宋体"/>
          <w:szCs w:val="24"/>
        </w:rPr>
      </w:pPr>
      <w:r>
        <w:t>11、落实政府采购政策需满足的资格要求：本项目专门面向中小企业，请根据要求单独上传《中小企业声明函》。格式以采购文件要求为准。</w:t>
      </w:r>
    </w:p>
    <w:p w14:paraId="3E819103">
      <w:pPr>
        <w:spacing w:line="243" w:lineRule="auto"/>
      </w:pPr>
    </w:p>
    <w:p w14:paraId="0883272C">
      <w:pPr>
        <w:spacing w:line="243" w:lineRule="auto"/>
        <w:ind w:left="0" w:leftChars="0" w:firstLine="0" w:firstLineChars="0"/>
      </w:pPr>
    </w:p>
    <w:p w14:paraId="3989B1B2">
      <w:pPr>
        <w:pStyle w:val="2"/>
        <w:bidi w:val="0"/>
      </w:pPr>
      <w:bookmarkStart w:id="21" w:name="_Toc19833"/>
      <w:r>
        <w:t>第五章</w:t>
      </w:r>
      <w:r>
        <w:rPr>
          <w:rFonts w:hint="eastAsia"/>
          <w:lang w:val="en-US" w:eastAsia="zh-CN"/>
        </w:rPr>
        <w:t xml:space="preserve">  </w:t>
      </w:r>
      <w:r>
        <w:t>采购项目采购需求</w:t>
      </w:r>
      <w:bookmarkEnd w:id="21"/>
    </w:p>
    <w:p w14:paraId="60909151">
      <w:pPr>
        <w:bidi w:val="0"/>
        <w:rPr>
          <w:rFonts w:hint="eastAsia" w:eastAsia="宋体"/>
          <w:lang w:eastAsia="zh-CN"/>
        </w:rPr>
      </w:pPr>
      <w:r>
        <w:t>1、项目名称：</w:t>
      </w:r>
      <w:r>
        <w:rPr>
          <w:rFonts w:hint="eastAsia"/>
          <w:lang w:eastAsia="zh-CN"/>
        </w:rPr>
        <w:t>乌鲁木齐市水磨沟区某单位大厅装修工程</w:t>
      </w:r>
    </w:p>
    <w:p w14:paraId="53B4F8B2">
      <w:pPr>
        <w:bidi w:val="0"/>
      </w:pPr>
      <w:r>
        <w:t>2、建设规模及内容：</w:t>
      </w:r>
      <w:r>
        <w:rPr>
          <w:rFonts w:hint="eastAsia"/>
          <w:lang w:eastAsia="zh-CN"/>
        </w:rPr>
        <w:t>大厅装修包括拆除、建筑与装饰、电气设备安装等工程量清单范围内的全部工作内容。</w:t>
      </w:r>
    </w:p>
    <w:p w14:paraId="20857D27">
      <w:pPr>
        <w:bidi w:val="0"/>
        <w:rPr>
          <w:rFonts w:hint="eastAsia" w:ascii="Times New Roman" w:hAnsi="Times New Roman" w:eastAsia="宋体" w:cs="Times New Roman"/>
          <w:color w:val="auto"/>
          <w:kern w:val="0"/>
          <w:sz w:val="24"/>
          <w:szCs w:val="24"/>
          <w:highlight w:val="none"/>
          <w:lang w:eastAsia="zh-CN"/>
        </w:rPr>
      </w:pPr>
      <w:r>
        <w:rPr>
          <w:highlight w:val="none"/>
        </w:rPr>
        <w:t>3、工期：</w:t>
      </w:r>
      <w:r>
        <w:rPr>
          <w:rFonts w:hint="default" w:ascii="Times New Roman" w:hAnsi="Times New Roman" w:eastAsia="宋体" w:cs="Times New Roman"/>
          <w:color w:val="auto"/>
          <w:kern w:val="0"/>
          <w:sz w:val="24"/>
          <w:szCs w:val="24"/>
          <w:highlight w:val="none"/>
        </w:rPr>
        <w:t>自合同签订之日起</w:t>
      </w:r>
      <w:r>
        <w:rPr>
          <w:rFonts w:hint="eastAsia" w:ascii="Times New Roman" w:hAnsi="Times New Roman" w:eastAsia="宋体" w:cs="Times New Roman"/>
          <w:color w:val="auto"/>
          <w:kern w:val="0"/>
          <w:sz w:val="24"/>
          <w:szCs w:val="24"/>
          <w:highlight w:val="none"/>
          <w:lang w:val="en-US" w:eastAsia="zh-CN"/>
        </w:rPr>
        <w:t>15</w:t>
      </w:r>
      <w:r>
        <w:rPr>
          <w:rFonts w:hint="default" w:ascii="Times New Roman" w:hAnsi="Times New Roman" w:eastAsia="宋体" w:cs="Times New Roman"/>
          <w:color w:val="auto"/>
          <w:kern w:val="0"/>
          <w:sz w:val="24"/>
          <w:szCs w:val="24"/>
          <w:highlight w:val="none"/>
        </w:rPr>
        <w:t>日</w:t>
      </w:r>
      <w:r>
        <w:rPr>
          <w:rFonts w:hint="eastAsia" w:ascii="Times New Roman" w:hAnsi="Times New Roman" w:eastAsia="宋体" w:cs="Times New Roman"/>
          <w:color w:val="auto"/>
          <w:kern w:val="0"/>
          <w:sz w:val="24"/>
          <w:szCs w:val="24"/>
          <w:highlight w:val="none"/>
          <w:lang w:eastAsia="zh-CN"/>
        </w:rPr>
        <w:t>内完成全部施工内容。</w:t>
      </w:r>
    </w:p>
    <w:p w14:paraId="1C35FF6F">
      <w:pPr>
        <w:bidi w:val="0"/>
        <w:rPr>
          <w:rFonts w:hint="default" w:ascii="Times New Roman" w:hAnsi="Times New Roman" w:eastAsia="宋体" w:cs="Times New Roman"/>
          <w:color w:val="auto"/>
          <w:kern w:val="0"/>
          <w:sz w:val="24"/>
          <w:szCs w:val="24"/>
          <w:highlight w:val="none"/>
          <w:lang w:val="en-US" w:eastAsia="zh-CN"/>
        </w:rPr>
      </w:pPr>
      <w:r>
        <w:rPr>
          <w:rFonts w:hint="eastAsia" w:ascii="Times New Roman" w:hAnsi="Times New Roman" w:eastAsia="宋体" w:cs="Times New Roman"/>
          <w:color w:val="auto"/>
          <w:kern w:val="0"/>
          <w:sz w:val="24"/>
          <w:szCs w:val="24"/>
          <w:highlight w:val="none"/>
          <w:lang w:val="en-US" w:eastAsia="zh-CN"/>
        </w:rPr>
        <w:t>4、质量要求：</w:t>
      </w:r>
      <w:r>
        <w:rPr>
          <w:rFonts w:hint="eastAsia"/>
          <w:sz w:val="24"/>
          <w:szCs w:val="24"/>
          <w:lang w:eastAsia="zh-CN"/>
        </w:rPr>
        <w:t>合格，</w:t>
      </w:r>
      <w:r>
        <w:rPr>
          <w:sz w:val="24"/>
          <w:szCs w:val="24"/>
        </w:rPr>
        <w:t>满足现行规范要求。</w:t>
      </w:r>
    </w:p>
    <w:p w14:paraId="7D73BF7F">
      <w:pPr>
        <w:bidi w:val="0"/>
      </w:pPr>
      <w:r>
        <w:rPr>
          <w:rFonts w:hint="eastAsia"/>
          <w:lang w:val="en-US" w:eastAsia="zh-CN"/>
        </w:rPr>
        <w:t>5</w:t>
      </w:r>
      <w:r>
        <w:t>、</w:t>
      </w:r>
      <w:r>
        <w:rPr>
          <w:highlight w:val="none"/>
        </w:rPr>
        <w:t>具体工作内容以</w:t>
      </w:r>
      <w:r>
        <w:rPr>
          <w:rFonts w:hint="eastAsia"/>
          <w:highlight w:val="none"/>
          <w:lang w:eastAsia="zh-CN"/>
        </w:rPr>
        <w:t>招标</w:t>
      </w:r>
      <w:r>
        <w:rPr>
          <w:highlight w:val="none"/>
        </w:rPr>
        <w:t>工程量清单为准</w:t>
      </w:r>
      <w:r>
        <w:rPr>
          <w:rFonts w:hint="eastAsia"/>
          <w:highlight w:val="none"/>
          <w:lang w:eastAsia="zh-CN"/>
        </w:rPr>
        <w:t>，</w:t>
      </w:r>
      <w:r>
        <w:rPr>
          <w:rFonts w:hint="eastAsia"/>
          <w:b/>
          <w:bCs/>
          <w:lang w:val="en-US" w:eastAsia="zh-CN"/>
        </w:rPr>
        <w:t>招标工程量清单（另卷）</w:t>
      </w:r>
      <w:r>
        <w:t>。</w:t>
      </w:r>
    </w:p>
    <w:p w14:paraId="4DC90147">
      <w:pPr>
        <w:bidi w:val="0"/>
      </w:pPr>
    </w:p>
    <w:p w14:paraId="67EE1D29">
      <w:pPr>
        <w:bidi w:val="0"/>
      </w:pPr>
    </w:p>
    <w:p w14:paraId="06A66DE3">
      <w:pPr>
        <w:bidi w:val="0"/>
      </w:pPr>
    </w:p>
    <w:p w14:paraId="11D2DCA0">
      <w:pPr>
        <w:bidi w:val="0"/>
      </w:pPr>
    </w:p>
    <w:p w14:paraId="3F41373B">
      <w:pPr>
        <w:bidi w:val="0"/>
      </w:pPr>
    </w:p>
    <w:p w14:paraId="16CEC1FB">
      <w:pPr>
        <w:bidi w:val="0"/>
      </w:pPr>
    </w:p>
    <w:p w14:paraId="37E77751">
      <w:pPr>
        <w:bidi w:val="0"/>
      </w:pPr>
    </w:p>
    <w:p w14:paraId="7F2B8CA6">
      <w:pPr>
        <w:bidi w:val="0"/>
      </w:pPr>
    </w:p>
    <w:p w14:paraId="5602F48B">
      <w:pPr>
        <w:bidi w:val="0"/>
      </w:pPr>
    </w:p>
    <w:p w14:paraId="3FE22C0F">
      <w:pPr>
        <w:bidi w:val="0"/>
      </w:pPr>
    </w:p>
    <w:p w14:paraId="03365D93">
      <w:pPr>
        <w:bidi w:val="0"/>
      </w:pPr>
    </w:p>
    <w:p w14:paraId="1EF52665">
      <w:pPr>
        <w:bidi w:val="0"/>
      </w:pPr>
    </w:p>
    <w:p w14:paraId="1113DB83">
      <w:pPr>
        <w:bidi w:val="0"/>
      </w:pPr>
    </w:p>
    <w:p w14:paraId="7158B6B3">
      <w:pPr>
        <w:bidi w:val="0"/>
      </w:pPr>
    </w:p>
    <w:p w14:paraId="42A04FD0">
      <w:pPr>
        <w:bidi w:val="0"/>
      </w:pPr>
    </w:p>
    <w:p w14:paraId="44644EC3">
      <w:pPr>
        <w:bidi w:val="0"/>
      </w:pPr>
    </w:p>
    <w:p w14:paraId="1DD7676C">
      <w:pPr>
        <w:bidi w:val="0"/>
      </w:pPr>
    </w:p>
    <w:p w14:paraId="48030488">
      <w:pPr>
        <w:bidi w:val="0"/>
      </w:pPr>
    </w:p>
    <w:p w14:paraId="4E7FF86E">
      <w:pPr>
        <w:bidi w:val="0"/>
      </w:pPr>
    </w:p>
    <w:p w14:paraId="68C4BE31">
      <w:pPr>
        <w:bidi w:val="0"/>
      </w:pPr>
    </w:p>
    <w:p w14:paraId="1B011A04">
      <w:pPr>
        <w:bidi w:val="0"/>
      </w:pPr>
    </w:p>
    <w:p w14:paraId="09B729A5">
      <w:pPr>
        <w:bidi w:val="0"/>
      </w:pPr>
    </w:p>
    <w:p w14:paraId="66C682F0">
      <w:pPr>
        <w:bidi w:val="0"/>
      </w:pPr>
    </w:p>
    <w:p w14:paraId="09EB13BD">
      <w:pPr>
        <w:bidi w:val="0"/>
      </w:pPr>
    </w:p>
    <w:p w14:paraId="7E57BFDE">
      <w:pPr>
        <w:bidi w:val="0"/>
        <w:ind w:left="0" w:leftChars="0" w:firstLine="0" w:firstLineChars="0"/>
      </w:pPr>
    </w:p>
    <w:p w14:paraId="15B23BFD">
      <w:pPr>
        <w:pStyle w:val="2"/>
        <w:bidi w:val="0"/>
      </w:pPr>
      <w:bookmarkStart w:id="22" w:name="_Toc3253"/>
      <w:r>
        <w:t>第六章</w:t>
      </w:r>
      <w:r>
        <w:rPr>
          <w:rFonts w:hint="eastAsia"/>
          <w:lang w:val="en-US" w:eastAsia="zh-CN"/>
        </w:rPr>
        <w:t xml:space="preserve">  </w:t>
      </w:r>
      <w:r>
        <w:t>评标办法</w:t>
      </w:r>
      <w:bookmarkEnd w:id="22"/>
    </w:p>
    <w:p w14:paraId="1D98C44E">
      <w:pPr>
        <w:bidi w:val="0"/>
      </w:pPr>
      <w:r>
        <w:rPr>
          <w:rFonts w:hint="eastAsia" w:ascii="黑体" w:hAnsi="黑体" w:eastAsia="黑体" w:cs="黑体"/>
          <w:b/>
          <w:bCs/>
        </w:rPr>
        <w:t>1.总则</w:t>
      </w:r>
    </w:p>
    <w:p w14:paraId="7BF94933">
      <w:pPr>
        <w:bidi w:val="0"/>
        <w:ind w:firstLine="480"/>
        <w:rPr>
          <w:rFonts w:ascii="Times New Roman" w:hAnsi="Times New Roman" w:eastAsia="宋体" w:cs="Times New Roman"/>
        </w:rPr>
      </w:pPr>
      <w:r>
        <w:rPr>
          <w:rFonts w:ascii="Times New Roman" w:hAnsi="Times New Roman" w:eastAsia="宋体" w:cs="Times New Roman"/>
        </w:rPr>
        <w:t>1.1根据《中华人民共和国政府采购法》</w:t>
      </w:r>
      <w:r>
        <w:rPr>
          <w:rFonts w:hint="eastAsia" w:ascii="Times New Roman" w:hAnsi="Times New Roman" w:eastAsia="宋体" w:cs="Times New Roman"/>
          <w:lang w:eastAsia="zh-CN"/>
        </w:rPr>
        <w:t>、</w:t>
      </w:r>
      <w:r>
        <w:rPr>
          <w:rFonts w:ascii="Times New Roman" w:hAnsi="Times New Roman" w:eastAsia="宋体" w:cs="Times New Roman"/>
        </w:rPr>
        <w:t>《中华人民共和国政府采购法</w:t>
      </w:r>
      <w:r>
        <w:rPr>
          <w:rFonts w:hint="eastAsia" w:ascii="Times New Roman" w:hAnsi="Times New Roman" w:eastAsia="宋体" w:cs="Times New Roman"/>
          <w:lang w:eastAsia="zh-CN"/>
        </w:rPr>
        <w:t>实施条例</w:t>
      </w:r>
      <w:r>
        <w:rPr>
          <w:rFonts w:ascii="Times New Roman" w:hAnsi="Times New Roman" w:eastAsia="宋体" w:cs="Times New Roman"/>
        </w:rPr>
        <w:t>》</w:t>
      </w:r>
      <w:r>
        <w:rPr>
          <w:rFonts w:hint="eastAsia" w:ascii="Times New Roman" w:hAnsi="Times New Roman" w:eastAsia="宋体" w:cs="Times New Roman"/>
          <w:lang w:eastAsia="zh-CN"/>
        </w:rPr>
        <w:t>、</w:t>
      </w:r>
      <w:r>
        <w:rPr>
          <w:rFonts w:ascii="Times New Roman" w:hAnsi="Times New Roman" w:eastAsia="宋体" w:cs="Times New Roman"/>
        </w:rPr>
        <w:t>《政府采购货物和服务招标投标管理办法》（财政部第87号令）</w:t>
      </w:r>
      <w:r>
        <w:rPr>
          <w:rFonts w:hint="eastAsia" w:ascii="Times New Roman" w:hAnsi="Times New Roman" w:eastAsia="宋体" w:cs="Times New Roman"/>
          <w:lang w:eastAsia="zh-CN"/>
        </w:rPr>
        <w:t>、</w:t>
      </w:r>
      <w:r>
        <w:rPr>
          <w:rFonts w:hint="default" w:ascii="Times New Roman" w:hAnsi="Times New Roman" w:eastAsia="宋体" w:cs="Times New Roman"/>
        </w:rPr>
        <w:t>《政府采购竞争性磋商采购方式管理暂行办法》（财库〔2014〕214号）</w:t>
      </w:r>
      <w:r>
        <w:rPr>
          <w:rFonts w:ascii="Times New Roman" w:hAnsi="Times New Roman" w:eastAsia="宋体" w:cs="Times New Roman"/>
        </w:rPr>
        <w:t>等法律规章，结合采购项目特点制定本评标办法。</w:t>
      </w:r>
    </w:p>
    <w:p w14:paraId="2A439DFB">
      <w:pPr>
        <w:bidi w:val="0"/>
      </w:pPr>
      <w:r>
        <w:t>1.2评标工作由采购人负责组织，具体评标事务由采购人依法组建的磋商小组负责。磋商小组由采购人代表和有关技术、经济等方面的专家组成。</w:t>
      </w:r>
    </w:p>
    <w:p w14:paraId="61FA3337">
      <w:pPr>
        <w:bidi w:val="0"/>
      </w:pPr>
      <w:r>
        <w:t>1.3评标工作应遵循公平、公正、科学及择优的原则，并以相同的评标程序和标准对待所有的供应商。</w:t>
      </w:r>
    </w:p>
    <w:p w14:paraId="50D4669F">
      <w:pPr>
        <w:bidi w:val="0"/>
      </w:pPr>
      <w:r>
        <w:t>1.4磋商小组按照磋商文件规定的评标方法和标准进行评标，并独立履行下列职责：</w:t>
      </w:r>
    </w:p>
    <w:p w14:paraId="18D9FCE5">
      <w:pPr>
        <w:bidi w:val="0"/>
      </w:pPr>
      <w:r>
        <w:t>（1）审查响应文件是否符合磋商文件要求，并作出评价；</w:t>
      </w:r>
    </w:p>
    <w:p w14:paraId="4341C588">
      <w:pPr>
        <w:bidi w:val="0"/>
      </w:pPr>
      <w:r>
        <w:t>（2）要求投标供应商对响应文件有关事项作出解释或者澄清；</w:t>
      </w:r>
    </w:p>
    <w:p w14:paraId="2766F501">
      <w:pPr>
        <w:bidi w:val="0"/>
      </w:pPr>
      <w:r>
        <w:t>（3）推荐成交候选供应商名单，或者受采购人委托按照事先确定的办法直接确定成交供应商；</w:t>
      </w:r>
    </w:p>
    <w:p w14:paraId="13EC4607">
      <w:pPr>
        <w:bidi w:val="0"/>
      </w:pPr>
      <w:r>
        <w:t>（4）向采购单位或者有关部门报告非法干预评标工作的行为。</w:t>
      </w:r>
    </w:p>
    <w:p w14:paraId="6232C166">
      <w:pPr>
        <w:bidi w:val="0"/>
      </w:pPr>
      <w:r>
        <w:t>1.5评标过程严格保密。供应商对磋商小组的评标过程或合同授予决定施加影响的任何行为都可能导致其投标被拒绝。</w:t>
      </w:r>
    </w:p>
    <w:p w14:paraId="04951F3D">
      <w:pPr>
        <w:bidi w:val="0"/>
      </w:pPr>
      <w:r>
        <w:t>1.6磋商小组决定响应文件的响应性依据响应文件本身的内容，而不寻求外部的证据。</w:t>
      </w:r>
    </w:p>
    <w:p w14:paraId="4BA60825">
      <w:pPr>
        <w:bidi w:val="0"/>
      </w:pPr>
      <w:r>
        <w:t>1.7磋商小组发现磋商文件表述不明确或需要说明的事项，可提请采购单位书面解释说明。发现磋商文件违反有关法律、法规和规章的，可以拒绝评标，并向采购单位书面说明情况。</w:t>
      </w:r>
    </w:p>
    <w:p w14:paraId="1DD36487">
      <w:pPr>
        <w:bidi w:val="0"/>
      </w:pPr>
      <w:r>
        <w:rPr>
          <w:rFonts w:hint="eastAsia" w:ascii="黑体" w:hAnsi="黑体" w:eastAsia="黑体" w:cs="黑体"/>
          <w:b/>
          <w:bCs/>
        </w:rPr>
        <w:t>2.评标方法</w:t>
      </w:r>
    </w:p>
    <w:p w14:paraId="49F8B2E9">
      <w:pPr>
        <w:bidi w:val="0"/>
      </w:pPr>
      <w:r>
        <w:t>本项目评标方法为：综合评分法。</w:t>
      </w:r>
    </w:p>
    <w:p w14:paraId="5AA4D460">
      <w:pPr>
        <w:bidi w:val="0"/>
      </w:pPr>
      <w:r>
        <w:rPr>
          <w:rFonts w:hint="eastAsia" w:ascii="黑体" w:hAnsi="黑体" w:eastAsia="黑体" w:cs="黑体"/>
          <w:b/>
          <w:bCs/>
        </w:rPr>
        <w:t>3.评标程序</w:t>
      </w:r>
    </w:p>
    <w:p w14:paraId="3C0B7F71">
      <w:pPr>
        <w:bidi w:val="0"/>
      </w:pPr>
      <w:r>
        <w:t>3.1资格性审查</w:t>
      </w:r>
    </w:p>
    <w:p w14:paraId="30ED7EF7">
      <w:pPr>
        <w:bidi w:val="0"/>
      </w:pPr>
      <w:r>
        <w:t>3.2信用记录审查：</w:t>
      </w:r>
    </w:p>
    <w:p w14:paraId="51A30535">
      <w:pPr>
        <w:bidi w:val="0"/>
      </w:pPr>
      <w:r>
        <w:t>根据《财政部关于在政府采购活动中查询及使用信用记录有关问题的通知》（财</w:t>
      </w:r>
    </w:p>
    <w:p w14:paraId="132507D6">
      <w:pPr>
        <w:bidi w:val="0"/>
        <w:ind w:left="0" w:leftChars="0" w:firstLine="0" w:firstLineChars="0"/>
      </w:pPr>
      <w:r>
        <w:t>库〔2016〕125号）规定，投标截止时间后，采购人或采购代理机构将通过“信用中国”网站(www.creditchina.gov.cn)、中国政府采购网(www.ccgp.gov.cn)，对投标人截止到投标截止时间的信用记录进行审查，对列入失信被执行人、重大税收违法案件当事人名单、政府采购严重违法失信行为记录名单及其他不符合《中华人民共和国政府采购法》第二十二条规定条件的供应商，其投标将被拒绝。</w:t>
      </w:r>
    </w:p>
    <w:p w14:paraId="7DF625F0">
      <w:pPr>
        <w:bidi w:val="0"/>
      </w:pPr>
      <w:r>
        <w:t>3.3对投标人政采云资格响应文件模块资格响应文件进行审查。</w:t>
      </w:r>
    </w:p>
    <w:tbl>
      <w:tblPr>
        <w:tblStyle w:val="10"/>
        <w:tblW w:w="89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9"/>
        <w:gridCol w:w="534"/>
        <w:gridCol w:w="6456"/>
        <w:gridCol w:w="750"/>
        <w:gridCol w:w="770"/>
      </w:tblGrid>
      <w:tr w14:paraId="032EBF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29" w:type="dxa"/>
            <w:vMerge w:val="restart"/>
            <w:tcBorders>
              <w:left w:val="single" w:color="auto" w:sz="4" w:space="0"/>
            </w:tcBorders>
            <w:textDirection w:val="tbRlV"/>
            <w:vAlign w:val="center"/>
          </w:tcPr>
          <w:p w14:paraId="444A41D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项目</w:t>
            </w:r>
          </w:p>
        </w:tc>
        <w:tc>
          <w:tcPr>
            <w:tcW w:w="6990" w:type="dxa"/>
            <w:gridSpan w:val="2"/>
            <w:vMerge w:val="restart"/>
            <w:tcBorders>
              <w:bottom w:val="nil"/>
            </w:tcBorders>
            <w:vAlign w:val="center"/>
          </w:tcPr>
          <w:p w14:paraId="2D7F1DF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评审内容</w:t>
            </w:r>
          </w:p>
        </w:tc>
        <w:tc>
          <w:tcPr>
            <w:tcW w:w="1520" w:type="dxa"/>
            <w:gridSpan w:val="2"/>
            <w:vAlign w:val="center"/>
          </w:tcPr>
          <w:p w14:paraId="187B541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评审方法</w:t>
            </w:r>
          </w:p>
        </w:tc>
      </w:tr>
      <w:tr w14:paraId="47663F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29" w:type="dxa"/>
            <w:vMerge w:val="continue"/>
            <w:tcBorders>
              <w:left w:val="single" w:color="auto" w:sz="4" w:space="0"/>
            </w:tcBorders>
            <w:textDirection w:val="tbRlV"/>
            <w:vAlign w:val="center"/>
          </w:tcPr>
          <w:p w14:paraId="4164506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6990" w:type="dxa"/>
            <w:gridSpan w:val="2"/>
            <w:vMerge w:val="continue"/>
            <w:tcBorders>
              <w:top w:val="nil"/>
            </w:tcBorders>
            <w:vAlign w:val="center"/>
          </w:tcPr>
          <w:p w14:paraId="73BB4AA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750" w:type="dxa"/>
            <w:vAlign w:val="center"/>
          </w:tcPr>
          <w:p w14:paraId="74A4961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符合</w:t>
            </w:r>
          </w:p>
        </w:tc>
        <w:tc>
          <w:tcPr>
            <w:tcW w:w="770" w:type="dxa"/>
            <w:vAlign w:val="center"/>
          </w:tcPr>
          <w:p w14:paraId="5A82220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不符合</w:t>
            </w:r>
          </w:p>
        </w:tc>
      </w:tr>
      <w:tr w14:paraId="436983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29" w:type="dxa"/>
            <w:vMerge w:val="continue"/>
            <w:tcBorders>
              <w:left w:val="single" w:color="auto" w:sz="4" w:space="0"/>
            </w:tcBorders>
            <w:textDirection w:val="tbRlV"/>
            <w:vAlign w:val="center"/>
          </w:tcPr>
          <w:p w14:paraId="557DBDA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534" w:type="dxa"/>
            <w:vAlign w:val="center"/>
          </w:tcPr>
          <w:p w14:paraId="62D3525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1</w:t>
            </w:r>
          </w:p>
        </w:tc>
        <w:tc>
          <w:tcPr>
            <w:tcW w:w="6456" w:type="dxa"/>
            <w:vAlign w:val="center"/>
          </w:tcPr>
          <w:p w14:paraId="2DBA582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具有独立承担民事责任的能力；【法人或者其他组织投标需提供营业执照等证明文件，自然人投标需提供自然人的身份证明】</w:t>
            </w:r>
          </w:p>
        </w:tc>
        <w:tc>
          <w:tcPr>
            <w:tcW w:w="750" w:type="dxa"/>
            <w:vAlign w:val="center"/>
          </w:tcPr>
          <w:p w14:paraId="0593CBE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770" w:type="dxa"/>
            <w:vAlign w:val="center"/>
          </w:tcPr>
          <w:p w14:paraId="6EE5219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r>
      <w:tr w14:paraId="1870EF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29" w:type="dxa"/>
            <w:vMerge w:val="continue"/>
            <w:tcBorders>
              <w:left w:val="single" w:color="auto" w:sz="4" w:space="0"/>
            </w:tcBorders>
            <w:textDirection w:val="tbRlV"/>
            <w:vAlign w:val="center"/>
          </w:tcPr>
          <w:p w14:paraId="597E040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534" w:type="dxa"/>
            <w:vAlign w:val="center"/>
          </w:tcPr>
          <w:p w14:paraId="3A0D7D0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2</w:t>
            </w:r>
          </w:p>
        </w:tc>
        <w:tc>
          <w:tcPr>
            <w:tcW w:w="6456" w:type="dxa"/>
            <w:vAlign w:val="center"/>
          </w:tcPr>
          <w:p w14:paraId="65D20C1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具有良好的商业信誉和健全的财务会计制度；【须提供银行出具的近1年内资信证明或第三方审计机构出具的财务报告，新成立企业按注册年份提供财务报表。】</w:t>
            </w:r>
          </w:p>
        </w:tc>
        <w:tc>
          <w:tcPr>
            <w:tcW w:w="750" w:type="dxa"/>
            <w:vAlign w:val="center"/>
          </w:tcPr>
          <w:p w14:paraId="63766E9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770" w:type="dxa"/>
            <w:vAlign w:val="center"/>
          </w:tcPr>
          <w:p w14:paraId="28B7215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r>
      <w:tr w14:paraId="51888F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29" w:type="dxa"/>
            <w:vMerge w:val="continue"/>
            <w:tcBorders>
              <w:left w:val="single" w:color="auto" w:sz="4" w:space="0"/>
            </w:tcBorders>
            <w:textDirection w:val="tbRlV"/>
            <w:vAlign w:val="center"/>
          </w:tcPr>
          <w:p w14:paraId="4B80966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534" w:type="dxa"/>
            <w:vAlign w:val="center"/>
          </w:tcPr>
          <w:p w14:paraId="6947550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3</w:t>
            </w:r>
          </w:p>
        </w:tc>
        <w:tc>
          <w:tcPr>
            <w:tcW w:w="6456" w:type="dxa"/>
            <w:vAlign w:val="center"/>
          </w:tcPr>
          <w:p w14:paraId="46C85BE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具有履行合同所必需的专业技术能力与人员队伍；【须提供承诺书】</w:t>
            </w:r>
          </w:p>
        </w:tc>
        <w:tc>
          <w:tcPr>
            <w:tcW w:w="750" w:type="dxa"/>
            <w:vAlign w:val="center"/>
          </w:tcPr>
          <w:p w14:paraId="1E0EE9F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770" w:type="dxa"/>
            <w:vAlign w:val="center"/>
          </w:tcPr>
          <w:p w14:paraId="1420AA1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r>
      <w:tr w14:paraId="6B5ED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29" w:type="dxa"/>
            <w:vMerge w:val="continue"/>
            <w:tcBorders>
              <w:left w:val="single" w:color="auto" w:sz="4" w:space="0"/>
            </w:tcBorders>
            <w:textDirection w:val="tbRlV"/>
            <w:vAlign w:val="center"/>
          </w:tcPr>
          <w:p w14:paraId="3D1E199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534" w:type="dxa"/>
            <w:vAlign w:val="center"/>
          </w:tcPr>
          <w:p w14:paraId="405CCA8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4</w:t>
            </w:r>
          </w:p>
        </w:tc>
        <w:tc>
          <w:tcPr>
            <w:tcW w:w="6456" w:type="dxa"/>
            <w:vAlign w:val="center"/>
          </w:tcPr>
          <w:p w14:paraId="5CDC9A9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具有依法缴纳税收和社会保障资金的良好记录；【须提供：①公司近6个月内（任意1个月）已依法缴纳税收的凭据；②公司近6个月内（任意1个月）已依法缴纳社会保险的凭据。（依法免税或不需要缴纳社会保障资金的供应商，应提供相应证明文件，新成立企业无需提供。）】</w:t>
            </w:r>
          </w:p>
        </w:tc>
        <w:tc>
          <w:tcPr>
            <w:tcW w:w="750" w:type="dxa"/>
            <w:vAlign w:val="center"/>
          </w:tcPr>
          <w:p w14:paraId="32A26F1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770" w:type="dxa"/>
            <w:vAlign w:val="center"/>
          </w:tcPr>
          <w:p w14:paraId="71DA618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r>
      <w:tr w14:paraId="6AAED3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29" w:type="dxa"/>
            <w:vMerge w:val="continue"/>
            <w:tcBorders>
              <w:left w:val="single" w:color="auto" w:sz="4" w:space="0"/>
            </w:tcBorders>
            <w:textDirection w:val="tbRlV"/>
            <w:vAlign w:val="center"/>
          </w:tcPr>
          <w:p w14:paraId="1CA195C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534" w:type="dxa"/>
            <w:vAlign w:val="center"/>
          </w:tcPr>
          <w:p w14:paraId="1D6EAE4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5</w:t>
            </w:r>
          </w:p>
        </w:tc>
        <w:tc>
          <w:tcPr>
            <w:tcW w:w="6456" w:type="dxa"/>
            <w:vAlign w:val="center"/>
          </w:tcPr>
          <w:p w14:paraId="1F8EA63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参与投标的单位前三年内，在经营活动中没有重大违法记录；【需提供书面声明（供应商自行承诺并承担后果，声明不实的，按《政府采购法》有关提供虚假材料的有关规定给予处罚。）】</w:t>
            </w:r>
          </w:p>
        </w:tc>
        <w:tc>
          <w:tcPr>
            <w:tcW w:w="750" w:type="dxa"/>
            <w:vAlign w:val="center"/>
          </w:tcPr>
          <w:p w14:paraId="0023E35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770" w:type="dxa"/>
            <w:vAlign w:val="center"/>
          </w:tcPr>
          <w:p w14:paraId="35D7302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r>
      <w:tr w14:paraId="434819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29" w:type="dxa"/>
            <w:vMerge w:val="continue"/>
            <w:tcBorders>
              <w:left w:val="single" w:color="auto" w:sz="4" w:space="0"/>
            </w:tcBorders>
            <w:textDirection w:val="tbRlV"/>
            <w:vAlign w:val="center"/>
          </w:tcPr>
          <w:p w14:paraId="3B15C5D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534" w:type="dxa"/>
            <w:vAlign w:val="center"/>
          </w:tcPr>
          <w:p w14:paraId="059B588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6</w:t>
            </w:r>
          </w:p>
        </w:tc>
        <w:tc>
          <w:tcPr>
            <w:tcW w:w="6456" w:type="dxa"/>
            <w:vAlign w:val="center"/>
          </w:tcPr>
          <w:p w14:paraId="7BFB251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法律、行政法规规定的其他条件；【须提供承诺书】</w:t>
            </w:r>
          </w:p>
        </w:tc>
        <w:tc>
          <w:tcPr>
            <w:tcW w:w="750" w:type="dxa"/>
            <w:vAlign w:val="center"/>
          </w:tcPr>
          <w:p w14:paraId="1538C0B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770" w:type="dxa"/>
            <w:vAlign w:val="center"/>
          </w:tcPr>
          <w:p w14:paraId="29EFD71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r>
      <w:tr w14:paraId="617D1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29" w:type="dxa"/>
            <w:vMerge w:val="continue"/>
            <w:tcBorders>
              <w:left w:val="single" w:color="auto" w:sz="4" w:space="0"/>
            </w:tcBorders>
            <w:textDirection w:val="tbRlV"/>
            <w:vAlign w:val="center"/>
          </w:tcPr>
          <w:p w14:paraId="7515BB3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534" w:type="dxa"/>
            <w:vAlign w:val="center"/>
          </w:tcPr>
          <w:p w14:paraId="215866C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7</w:t>
            </w:r>
          </w:p>
        </w:tc>
        <w:tc>
          <w:tcPr>
            <w:tcW w:w="6456" w:type="dxa"/>
            <w:vAlign w:val="center"/>
          </w:tcPr>
          <w:p w14:paraId="6888641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rPr>
                <w:color w:val="auto"/>
              </w:rPr>
            </w:pPr>
            <w:r>
              <w:rPr>
                <w:color w:val="auto"/>
              </w:rPr>
              <w:t>具有建设行政主管部门核发的</w:t>
            </w:r>
            <w:r>
              <w:rPr>
                <w:rFonts w:ascii="Times New Roman" w:hAnsi="Times New Roman" w:eastAsia="宋体" w:cs="Times New Roman"/>
                <w:color w:val="auto"/>
              </w:rPr>
              <w:t>建筑工程施工总承包</w:t>
            </w:r>
            <w:r>
              <w:rPr>
                <w:rFonts w:hint="eastAsia" w:cs="Times New Roman"/>
                <w:color w:val="auto"/>
                <w:lang w:eastAsia="zh-CN"/>
              </w:rPr>
              <w:t>三</w:t>
            </w:r>
            <w:r>
              <w:rPr>
                <w:rFonts w:ascii="Times New Roman" w:hAnsi="Times New Roman" w:eastAsia="宋体" w:cs="Times New Roman"/>
                <w:color w:val="auto"/>
              </w:rPr>
              <w:t>级（含）及以上资质或建筑装修装饰工程专业承包</w:t>
            </w:r>
            <w:r>
              <w:rPr>
                <w:rFonts w:hint="eastAsia" w:cs="Times New Roman"/>
                <w:color w:val="auto"/>
                <w:lang w:eastAsia="zh-CN"/>
              </w:rPr>
              <w:t>二</w:t>
            </w:r>
            <w:r>
              <w:rPr>
                <w:rFonts w:ascii="Times New Roman" w:hAnsi="Times New Roman" w:eastAsia="宋体" w:cs="Times New Roman"/>
                <w:color w:val="auto"/>
              </w:rPr>
              <w:t>级（含）及以上资质，且证书合格、有效；</w:t>
            </w:r>
            <w:r>
              <w:rPr>
                <w:color w:val="auto"/>
              </w:rPr>
              <w:t>【须提供建设行政主管部门核发的资质等级证书扫描件】</w:t>
            </w:r>
          </w:p>
        </w:tc>
        <w:tc>
          <w:tcPr>
            <w:tcW w:w="750" w:type="dxa"/>
            <w:vAlign w:val="center"/>
          </w:tcPr>
          <w:p w14:paraId="1D0F2EA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770" w:type="dxa"/>
            <w:vAlign w:val="center"/>
          </w:tcPr>
          <w:p w14:paraId="0ABA74F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r>
      <w:tr w14:paraId="72FB8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29" w:type="dxa"/>
            <w:vMerge w:val="continue"/>
            <w:tcBorders>
              <w:left w:val="single" w:color="auto" w:sz="4" w:space="0"/>
            </w:tcBorders>
            <w:textDirection w:val="tbRlV"/>
            <w:vAlign w:val="center"/>
          </w:tcPr>
          <w:p w14:paraId="004B48C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534" w:type="dxa"/>
            <w:tcBorders>
              <w:bottom w:val="single" w:color="auto" w:sz="4" w:space="0"/>
            </w:tcBorders>
            <w:vAlign w:val="center"/>
          </w:tcPr>
          <w:p w14:paraId="60BFF47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8</w:t>
            </w:r>
          </w:p>
        </w:tc>
        <w:tc>
          <w:tcPr>
            <w:tcW w:w="6456" w:type="dxa"/>
            <w:vAlign w:val="center"/>
          </w:tcPr>
          <w:p w14:paraId="635A7A2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rPr>
                <w:color w:val="auto"/>
              </w:rPr>
            </w:pPr>
            <w:r>
              <w:rPr>
                <w:color w:val="auto"/>
              </w:rPr>
              <w:t>具有建设行政主管部门核发的安全生产许可证，且证书合格、有效；【须提供建设行政主管部门核发的安全生产许可证复印件】</w:t>
            </w:r>
          </w:p>
        </w:tc>
        <w:tc>
          <w:tcPr>
            <w:tcW w:w="750" w:type="dxa"/>
            <w:vAlign w:val="center"/>
          </w:tcPr>
          <w:p w14:paraId="02B421A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770" w:type="dxa"/>
            <w:vAlign w:val="center"/>
          </w:tcPr>
          <w:p w14:paraId="1825445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r>
      <w:tr w14:paraId="67E796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29" w:type="dxa"/>
            <w:vMerge w:val="continue"/>
            <w:tcBorders>
              <w:left w:val="single" w:color="auto" w:sz="4" w:space="0"/>
            </w:tcBorders>
            <w:textDirection w:val="tbRlV"/>
            <w:vAlign w:val="center"/>
          </w:tcPr>
          <w:p w14:paraId="7A3099B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534" w:type="dxa"/>
            <w:tcBorders>
              <w:top w:val="single" w:color="auto" w:sz="4" w:space="0"/>
              <w:left w:val="single" w:color="auto" w:sz="4" w:space="0"/>
              <w:bottom w:val="single" w:color="auto" w:sz="4" w:space="0"/>
              <w:right w:val="single" w:color="auto" w:sz="4" w:space="0"/>
            </w:tcBorders>
            <w:vAlign w:val="center"/>
          </w:tcPr>
          <w:p w14:paraId="47F388B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9</w:t>
            </w:r>
          </w:p>
        </w:tc>
        <w:tc>
          <w:tcPr>
            <w:tcW w:w="6456" w:type="dxa"/>
            <w:tcBorders>
              <w:left w:val="single" w:color="auto" w:sz="4" w:space="0"/>
            </w:tcBorders>
            <w:vAlign w:val="center"/>
          </w:tcPr>
          <w:p w14:paraId="6520AA3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rPr>
                <w:color w:val="auto"/>
              </w:rPr>
            </w:pPr>
            <w:r>
              <w:rPr>
                <w:color w:val="auto"/>
              </w:rPr>
              <w:t>项目负责人的资格要求：二级注册建造师（</w:t>
            </w:r>
            <w:r>
              <w:rPr>
                <w:rFonts w:hint="eastAsia"/>
                <w:color w:val="auto"/>
                <w:lang w:eastAsia="zh-CN"/>
              </w:rPr>
              <w:t>建筑</w:t>
            </w:r>
            <w:r>
              <w:rPr>
                <w:color w:val="auto"/>
              </w:rPr>
              <w:t>工程</w:t>
            </w:r>
            <w:r>
              <w:rPr>
                <w:rFonts w:hint="eastAsia"/>
                <w:color w:val="auto"/>
                <w:lang w:eastAsia="zh-CN"/>
              </w:rPr>
              <w:t>专业</w:t>
            </w:r>
            <w:r>
              <w:rPr>
                <w:color w:val="auto"/>
              </w:rPr>
              <w:t>），本单位注册，不接受临时注册；【须提供建设行政主管部门核发的建造师执业资格证书、注册证书扫描件】</w:t>
            </w:r>
          </w:p>
        </w:tc>
        <w:tc>
          <w:tcPr>
            <w:tcW w:w="750" w:type="dxa"/>
            <w:vAlign w:val="center"/>
          </w:tcPr>
          <w:p w14:paraId="30CEAEA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770" w:type="dxa"/>
            <w:vAlign w:val="center"/>
          </w:tcPr>
          <w:p w14:paraId="5F80E4D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r>
      <w:tr w14:paraId="27062E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29" w:type="dxa"/>
            <w:vMerge w:val="continue"/>
            <w:tcBorders>
              <w:left w:val="single" w:color="auto" w:sz="4" w:space="0"/>
            </w:tcBorders>
            <w:textDirection w:val="tbRlV"/>
            <w:vAlign w:val="center"/>
          </w:tcPr>
          <w:p w14:paraId="4D247EE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534" w:type="dxa"/>
            <w:tcBorders>
              <w:top w:val="single" w:color="auto" w:sz="4" w:space="0"/>
              <w:left w:val="single" w:color="auto" w:sz="4" w:space="0"/>
              <w:bottom w:val="single" w:color="auto" w:sz="4" w:space="0"/>
              <w:right w:val="single" w:color="auto" w:sz="4" w:space="0"/>
            </w:tcBorders>
            <w:vAlign w:val="center"/>
          </w:tcPr>
          <w:p w14:paraId="259F7C2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10</w:t>
            </w:r>
          </w:p>
        </w:tc>
        <w:tc>
          <w:tcPr>
            <w:tcW w:w="6456" w:type="dxa"/>
            <w:tcBorders>
              <w:left w:val="single" w:color="auto" w:sz="4" w:space="0"/>
            </w:tcBorders>
            <w:vAlign w:val="center"/>
          </w:tcPr>
          <w:p w14:paraId="3605B07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rPr>
                <w:color w:val="auto"/>
              </w:rPr>
            </w:pPr>
            <w:r>
              <w:rPr>
                <w:color w:val="auto"/>
              </w:rPr>
              <w:t>其他说明：单位负责人为同一人或者存在直接控股、管理关系的不同供应商，不得参加同一合同项下的政府采购活动；【须提供承诺书】</w:t>
            </w:r>
          </w:p>
        </w:tc>
        <w:tc>
          <w:tcPr>
            <w:tcW w:w="750" w:type="dxa"/>
            <w:vAlign w:val="center"/>
          </w:tcPr>
          <w:p w14:paraId="4DD327E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770" w:type="dxa"/>
            <w:vAlign w:val="center"/>
          </w:tcPr>
          <w:p w14:paraId="2974AE8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r>
      <w:tr w14:paraId="0A39F6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29" w:type="dxa"/>
            <w:vMerge w:val="continue"/>
            <w:tcBorders>
              <w:left w:val="single" w:color="auto" w:sz="4" w:space="0"/>
              <w:bottom w:val="single" w:color="auto" w:sz="4" w:space="0"/>
            </w:tcBorders>
            <w:textDirection w:val="tbRlV"/>
            <w:vAlign w:val="center"/>
          </w:tcPr>
          <w:p w14:paraId="131A45C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534" w:type="dxa"/>
            <w:tcBorders>
              <w:top w:val="single" w:color="auto" w:sz="4" w:space="0"/>
              <w:left w:val="single" w:color="auto" w:sz="4" w:space="0"/>
              <w:bottom w:val="single" w:color="auto" w:sz="4" w:space="0"/>
              <w:right w:val="single" w:color="auto" w:sz="4" w:space="0"/>
            </w:tcBorders>
            <w:shd w:val="clear" w:color="auto" w:fill="auto"/>
            <w:vAlign w:val="center"/>
          </w:tcPr>
          <w:p w14:paraId="075775A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lang w:val="en-US" w:eastAsia="en-US"/>
              </w:rPr>
            </w:pPr>
            <w:r>
              <w:t>11</w:t>
            </w:r>
          </w:p>
        </w:tc>
        <w:tc>
          <w:tcPr>
            <w:tcW w:w="6456" w:type="dxa"/>
            <w:tcBorders>
              <w:left w:val="single" w:color="auto" w:sz="4" w:space="0"/>
            </w:tcBorders>
            <w:shd w:val="clear" w:color="auto" w:fill="auto"/>
            <w:vAlign w:val="center"/>
          </w:tcPr>
          <w:p w14:paraId="2C2F81C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rPr>
                <w:color w:val="auto"/>
                <w:lang w:val="en-US" w:eastAsia="en-US"/>
              </w:rPr>
            </w:pPr>
            <w:r>
              <w:rPr>
                <w:color w:val="auto"/>
              </w:rPr>
              <w:t>落实政府采购政策需满足的资格要求：本项目专门面向中小企业，请根据要求单独上传《中小企业声明函》。格式以采购文件要求为准。</w:t>
            </w:r>
          </w:p>
        </w:tc>
        <w:tc>
          <w:tcPr>
            <w:tcW w:w="750" w:type="dxa"/>
            <w:vAlign w:val="center"/>
          </w:tcPr>
          <w:p w14:paraId="59F02F5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c>
          <w:tcPr>
            <w:tcW w:w="770" w:type="dxa"/>
            <w:vAlign w:val="center"/>
          </w:tcPr>
          <w:p w14:paraId="54CFC2B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p>
        </w:tc>
      </w:tr>
      <w:tr w14:paraId="4103D8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939" w:type="dxa"/>
            <w:gridSpan w:val="5"/>
            <w:tcBorders>
              <w:top w:val="nil"/>
            </w:tcBorders>
            <w:vAlign w:val="center"/>
          </w:tcPr>
          <w:p w14:paraId="0F058C2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备注：如果响应文件中有一项未通过上述审查标准，磋商小组将认定整个响应文件不响应磋商文件而予以无效处理，并且不允许供应商通过修改或撤销其不符合要求的差异或保留，使之成为具有响应性的投标。</w:t>
            </w:r>
          </w:p>
        </w:tc>
      </w:tr>
    </w:tbl>
    <w:p w14:paraId="53F375FC">
      <w:pPr>
        <w:keepNext w:val="0"/>
        <w:keepLines w:val="0"/>
        <w:pageBreakBefore w:val="0"/>
        <w:widowControl/>
        <w:kinsoku w:val="0"/>
        <w:wordWrap w:val="0"/>
        <w:overflowPunct/>
        <w:topLinePunct w:val="0"/>
        <w:autoSpaceDE w:val="0"/>
        <w:autoSpaceDN w:val="0"/>
        <w:bidi w:val="0"/>
        <w:adjustRightInd w:val="0"/>
        <w:snapToGrid w:val="0"/>
        <w:spacing w:before="0" w:beforeLines="50"/>
        <w:ind w:left="0" w:leftChars="0" w:firstLine="480" w:firstLineChars="200"/>
        <w:textAlignment w:val="baseline"/>
      </w:pPr>
      <w:r>
        <w:t>3.2符合性检查。依据磋商文件的规定，从响应文件的有效性、完整性和对磋商文件的响应程度进行审查，以确定是否对磋商文件的实质性要求作出响应。供应商响应文件属于下列情况之一的，在符合性检查时按照无效投标处理：</w:t>
      </w:r>
    </w:p>
    <w:p w14:paraId="406D148E">
      <w:pPr>
        <w:bidi w:val="0"/>
        <w:ind w:left="0" w:leftChars="0" w:firstLine="0" w:firstLineChars="0"/>
        <w:jc w:val="center"/>
        <w:outlineLvl w:val="2"/>
      </w:pPr>
      <w:bookmarkStart w:id="23" w:name="_Toc7756"/>
      <w:r>
        <w:rPr>
          <w:b/>
          <w:bCs/>
          <w:sz w:val="28"/>
          <w:szCs w:val="28"/>
        </w:rPr>
        <w:t>商务部分完备性及符合性审查</w:t>
      </w:r>
      <w:bookmarkEnd w:id="23"/>
    </w:p>
    <w:tbl>
      <w:tblPr>
        <w:tblStyle w:val="10"/>
        <w:tblW w:w="89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54"/>
        <w:gridCol w:w="484"/>
        <w:gridCol w:w="5515"/>
        <w:gridCol w:w="786"/>
        <w:gridCol w:w="899"/>
      </w:tblGrid>
      <w:tr w14:paraId="317B06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4" w:hRule="atLeast"/>
          <w:jc w:val="center"/>
        </w:trPr>
        <w:tc>
          <w:tcPr>
            <w:tcW w:w="1254" w:type="dxa"/>
            <w:vMerge w:val="restart"/>
            <w:tcBorders>
              <w:bottom w:val="nil"/>
            </w:tcBorders>
            <w:vAlign w:val="center"/>
          </w:tcPr>
          <w:p w14:paraId="47C2326A">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r>
              <w:t>项目</w:t>
            </w:r>
          </w:p>
        </w:tc>
        <w:tc>
          <w:tcPr>
            <w:tcW w:w="5999" w:type="dxa"/>
            <w:gridSpan w:val="2"/>
            <w:vMerge w:val="restart"/>
            <w:tcBorders>
              <w:bottom w:val="nil"/>
            </w:tcBorders>
            <w:vAlign w:val="center"/>
          </w:tcPr>
          <w:p w14:paraId="425E5853">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r>
              <w:t>评审内容</w:t>
            </w:r>
          </w:p>
        </w:tc>
        <w:tc>
          <w:tcPr>
            <w:tcW w:w="1685" w:type="dxa"/>
            <w:gridSpan w:val="2"/>
            <w:vAlign w:val="center"/>
          </w:tcPr>
          <w:p w14:paraId="62ACE9AD">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r>
              <w:t>评审方法</w:t>
            </w:r>
          </w:p>
        </w:tc>
      </w:tr>
      <w:tr w14:paraId="22BB0C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jc w:val="center"/>
        </w:trPr>
        <w:tc>
          <w:tcPr>
            <w:tcW w:w="1254" w:type="dxa"/>
            <w:vMerge w:val="continue"/>
            <w:tcBorders>
              <w:top w:val="nil"/>
              <w:bottom w:val="nil"/>
            </w:tcBorders>
            <w:vAlign w:val="top"/>
          </w:tcPr>
          <w:p w14:paraId="329F7FA8">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textAlignment w:val="baseline"/>
            </w:pPr>
          </w:p>
        </w:tc>
        <w:tc>
          <w:tcPr>
            <w:tcW w:w="5999" w:type="dxa"/>
            <w:gridSpan w:val="2"/>
            <w:vMerge w:val="continue"/>
            <w:tcBorders>
              <w:top w:val="nil"/>
            </w:tcBorders>
            <w:vAlign w:val="top"/>
          </w:tcPr>
          <w:p w14:paraId="576D9EC9">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textAlignment w:val="baseline"/>
            </w:pPr>
          </w:p>
        </w:tc>
        <w:tc>
          <w:tcPr>
            <w:tcW w:w="786" w:type="dxa"/>
            <w:vAlign w:val="center"/>
          </w:tcPr>
          <w:p w14:paraId="7084BE4B">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r>
              <w:t>符合</w:t>
            </w:r>
          </w:p>
        </w:tc>
        <w:tc>
          <w:tcPr>
            <w:tcW w:w="899" w:type="dxa"/>
            <w:vAlign w:val="center"/>
          </w:tcPr>
          <w:p w14:paraId="3A778E5F">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r>
              <w:t>不符合</w:t>
            </w:r>
          </w:p>
        </w:tc>
      </w:tr>
      <w:tr w14:paraId="7C500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8" w:hRule="atLeast"/>
          <w:jc w:val="center"/>
        </w:trPr>
        <w:tc>
          <w:tcPr>
            <w:tcW w:w="1254" w:type="dxa"/>
            <w:vMerge w:val="continue"/>
            <w:tcBorders>
              <w:top w:val="nil"/>
              <w:bottom w:val="nil"/>
            </w:tcBorders>
            <w:vAlign w:val="top"/>
          </w:tcPr>
          <w:p w14:paraId="1C9B8A3D">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textAlignment w:val="baseline"/>
            </w:pPr>
          </w:p>
        </w:tc>
        <w:tc>
          <w:tcPr>
            <w:tcW w:w="484" w:type="dxa"/>
            <w:vAlign w:val="center"/>
          </w:tcPr>
          <w:p w14:paraId="6F9A182D">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r>
              <w:t>1</w:t>
            </w:r>
          </w:p>
        </w:tc>
        <w:tc>
          <w:tcPr>
            <w:tcW w:w="5515" w:type="dxa"/>
            <w:vAlign w:val="center"/>
          </w:tcPr>
          <w:p w14:paraId="3A66CAAC">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both"/>
              <w:textAlignment w:val="baseline"/>
              <w:rPr>
                <w:rFonts w:ascii="Times New Roman" w:hAnsi="Times New Roman" w:eastAsia="宋体" w:cs="Times New Roman"/>
              </w:rPr>
            </w:pPr>
            <w:r>
              <w:rPr>
                <w:rFonts w:ascii="Times New Roman" w:hAnsi="Times New Roman" w:eastAsia="宋体" w:cs="Times New Roman"/>
              </w:rPr>
              <w:t>按照磋商文件规定和要求加密、盖章；</w:t>
            </w:r>
          </w:p>
        </w:tc>
        <w:tc>
          <w:tcPr>
            <w:tcW w:w="786" w:type="dxa"/>
            <w:vAlign w:val="center"/>
          </w:tcPr>
          <w:p w14:paraId="7B992738">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p>
        </w:tc>
        <w:tc>
          <w:tcPr>
            <w:tcW w:w="899" w:type="dxa"/>
            <w:vAlign w:val="center"/>
          </w:tcPr>
          <w:p w14:paraId="4FEA6F0E">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p>
        </w:tc>
      </w:tr>
      <w:tr w14:paraId="23E8FC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jc w:val="center"/>
        </w:trPr>
        <w:tc>
          <w:tcPr>
            <w:tcW w:w="1254" w:type="dxa"/>
            <w:vMerge w:val="continue"/>
            <w:tcBorders>
              <w:top w:val="nil"/>
              <w:bottom w:val="nil"/>
            </w:tcBorders>
            <w:vAlign w:val="top"/>
          </w:tcPr>
          <w:p w14:paraId="680D9480">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textAlignment w:val="baseline"/>
            </w:pPr>
          </w:p>
        </w:tc>
        <w:tc>
          <w:tcPr>
            <w:tcW w:w="484" w:type="dxa"/>
            <w:vAlign w:val="center"/>
          </w:tcPr>
          <w:p w14:paraId="0461A34A">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r>
              <w:t>2</w:t>
            </w:r>
          </w:p>
        </w:tc>
        <w:tc>
          <w:tcPr>
            <w:tcW w:w="5515" w:type="dxa"/>
            <w:vAlign w:val="center"/>
          </w:tcPr>
          <w:p w14:paraId="1F8351E4">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both"/>
              <w:textAlignment w:val="baseline"/>
              <w:rPr>
                <w:rFonts w:ascii="Times New Roman" w:hAnsi="Times New Roman" w:eastAsia="宋体" w:cs="Times New Roman"/>
              </w:rPr>
            </w:pPr>
            <w:r>
              <w:rPr>
                <w:rFonts w:ascii="Times New Roman" w:hAnsi="Times New Roman" w:eastAsia="宋体" w:cs="Times New Roman"/>
              </w:rPr>
              <w:t>按照磋商文件规定交纳投标保证金；</w:t>
            </w:r>
          </w:p>
        </w:tc>
        <w:tc>
          <w:tcPr>
            <w:tcW w:w="786" w:type="dxa"/>
            <w:vAlign w:val="center"/>
          </w:tcPr>
          <w:p w14:paraId="0AAA2454">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p>
        </w:tc>
        <w:tc>
          <w:tcPr>
            <w:tcW w:w="899" w:type="dxa"/>
            <w:vAlign w:val="center"/>
          </w:tcPr>
          <w:p w14:paraId="0C807B98">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p>
        </w:tc>
      </w:tr>
      <w:tr w14:paraId="09922E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jc w:val="center"/>
        </w:trPr>
        <w:tc>
          <w:tcPr>
            <w:tcW w:w="1254" w:type="dxa"/>
            <w:vMerge w:val="continue"/>
            <w:tcBorders>
              <w:top w:val="nil"/>
              <w:bottom w:val="nil"/>
            </w:tcBorders>
            <w:vAlign w:val="top"/>
          </w:tcPr>
          <w:p w14:paraId="0927482A">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textAlignment w:val="baseline"/>
            </w:pPr>
          </w:p>
        </w:tc>
        <w:tc>
          <w:tcPr>
            <w:tcW w:w="484" w:type="dxa"/>
            <w:vAlign w:val="center"/>
          </w:tcPr>
          <w:p w14:paraId="3AE145BD">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r>
              <w:t>3</w:t>
            </w:r>
          </w:p>
        </w:tc>
        <w:tc>
          <w:tcPr>
            <w:tcW w:w="5515" w:type="dxa"/>
            <w:vAlign w:val="center"/>
          </w:tcPr>
          <w:p w14:paraId="1F1CC84E">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both"/>
              <w:textAlignment w:val="baseline"/>
              <w:rPr>
                <w:rFonts w:ascii="Times New Roman" w:hAnsi="Times New Roman" w:eastAsia="宋体" w:cs="Times New Roman"/>
              </w:rPr>
            </w:pPr>
            <w:r>
              <w:rPr>
                <w:rFonts w:ascii="Times New Roman" w:hAnsi="Times New Roman" w:eastAsia="宋体" w:cs="Times New Roman"/>
              </w:rPr>
              <w:t>投标报价不高于设定的最高限价；</w:t>
            </w:r>
          </w:p>
        </w:tc>
        <w:tc>
          <w:tcPr>
            <w:tcW w:w="786" w:type="dxa"/>
            <w:vAlign w:val="center"/>
          </w:tcPr>
          <w:p w14:paraId="6DEBF97C">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p>
        </w:tc>
        <w:tc>
          <w:tcPr>
            <w:tcW w:w="899" w:type="dxa"/>
            <w:vAlign w:val="center"/>
          </w:tcPr>
          <w:p w14:paraId="59EC1329">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p>
        </w:tc>
      </w:tr>
      <w:tr w14:paraId="658F28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jc w:val="center"/>
        </w:trPr>
        <w:tc>
          <w:tcPr>
            <w:tcW w:w="1254" w:type="dxa"/>
            <w:vMerge w:val="continue"/>
            <w:tcBorders>
              <w:top w:val="nil"/>
              <w:bottom w:val="nil"/>
            </w:tcBorders>
            <w:vAlign w:val="top"/>
          </w:tcPr>
          <w:p w14:paraId="27423282">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textAlignment w:val="baseline"/>
            </w:pPr>
          </w:p>
        </w:tc>
        <w:tc>
          <w:tcPr>
            <w:tcW w:w="484" w:type="dxa"/>
            <w:vAlign w:val="center"/>
          </w:tcPr>
          <w:p w14:paraId="426D8EEF">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r>
              <w:t>4</w:t>
            </w:r>
          </w:p>
        </w:tc>
        <w:tc>
          <w:tcPr>
            <w:tcW w:w="5515" w:type="dxa"/>
            <w:vAlign w:val="center"/>
          </w:tcPr>
          <w:p w14:paraId="191B3369">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both"/>
              <w:textAlignment w:val="baseline"/>
              <w:rPr>
                <w:rFonts w:ascii="Times New Roman" w:hAnsi="Times New Roman" w:eastAsia="宋体" w:cs="Times New Roman"/>
              </w:rPr>
            </w:pPr>
            <w:r>
              <w:rPr>
                <w:rFonts w:ascii="Times New Roman" w:hAnsi="Times New Roman" w:eastAsia="宋体" w:cs="Times New Roman"/>
              </w:rPr>
              <w:t>工期符合磋商文件规定期限；</w:t>
            </w:r>
          </w:p>
        </w:tc>
        <w:tc>
          <w:tcPr>
            <w:tcW w:w="786" w:type="dxa"/>
            <w:vAlign w:val="center"/>
          </w:tcPr>
          <w:p w14:paraId="2C7E63F2">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p>
        </w:tc>
        <w:tc>
          <w:tcPr>
            <w:tcW w:w="899" w:type="dxa"/>
            <w:vAlign w:val="center"/>
          </w:tcPr>
          <w:p w14:paraId="76E7FEEE">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p>
        </w:tc>
      </w:tr>
      <w:tr w14:paraId="5981B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4" w:hRule="atLeast"/>
          <w:jc w:val="center"/>
        </w:trPr>
        <w:tc>
          <w:tcPr>
            <w:tcW w:w="1254" w:type="dxa"/>
            <w:vMerge w:val="continue"/>
            <w:tcBorders>
              <w:top w:val="nil"/>
              <w:bottom w:val="nil"/>
            </w:tcBorders>
            <w:vAlign w:val="top"/>
          </w:tcPr>
          <w:p w14:paraId="5F5DF9DA">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textAlignment w:val="baseline"/>
            </w:pPr>
          </w:p>
        </w:tc>
        <w:tc>
          <w:tcPr>
            <w:tcW w:w="484" w:type="dxa"/>
            <w:vAlign w:val="center"/>
          </w:tcPr>
          <w:p w14:paraId="3DC4F5FE">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r>
              <w:t>5</w:t>
            </w:r>
          </w:p>
        </w:tc>
        <w:tc>
          <w:tcPr>
            <w:tcW w:w="5515" w:type="dxa"/>
            <w:vAlign w:val="center"/>
          </w:tcPr>
          <w:p w14:paraId="0DD47EAD">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both"/>
              <w:textAlignment w:val="baseline"/>
              <w:rPr>
                <w:rFonts w:ascii="Times New Roman" w:hAnsi="Times New Roman" w:eastAsia="宋体" w:cs="Times New Roman"/>
              </w:rPr>
            </w:pPr>
            <w:r>
              <w:rPr>
                <w:rFonts w:ascii="Times New Roman" w:hAnsi="Times New Roman" w:eastAsia="宋体" w:cs="Times New Roman"/>
              </w:rPr>
              <w:t>按照磋商文件规定的格式要求编制响应文件，实质性响应磋商文件内容；</w:t>
            </w:r>
          </w:p>
        </w:tc>
        <w:tc>
          <w:tcPr>
            <w:tcW w:w="786" w:type="dxa"/>
            <w:vAlign w:val="center"/>
          </w:tcPr>
          <w:p w14:paraId="56005FAF">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p>
        </w:tc>
        <w:tc>
          <w:tcPr>
            <w:tcW w:w="899" w:type="dxa"/>
            <w:vAlign w:val="center"/>
          </w:tcPr>
          <w:p w14:paraId="2BEDF5AB">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p>
        </w:tc>
      </w:tr>
      <w:tr w14:paraId="08891A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jc w:val="center"/>
        </w:trPr>
        <w:tc>
          <w:tcPr>
            <w:tcW w:w="1254" w:type="dxa"/>
            <w:vMerge w:val="continue"/>
            <w:tcBorders>
              <w:top w:val="nil"/>
              <w:bottom w:val="nil"/>
            </w:tcBorders>
            <w:vAlign w:val="top"/>
          </w:tcPr>
          <w:p w14:paraId="2132ED82">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textAlignment w:val="baseline"/>
            </w:pPr>
          </w:p>
        </w:tc>
        <w:tc>
          <w:tcPr>
            <w:tcW w:w="484" w:type="dxa"/>
            <w:vAlign w:val="center"/>
          </w:tcPr>
          <w:p w14:paraId="6D9A582B">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r>
              <w:t>6</w:t>
            </w:r>
          </w:p>
        </w:tc>
        <w:tc>
          <w:tcPr>
            <w:tcW w:w="5515" w:type="dxa"/>
            <w:vAlign w:val="center"/>
          </w:tcPr>
          <w:p w14:paraId="2BAF24EB">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both"/>
              <w:textAlignment w:val="baseline"/>
              <w:rPr>
                <w:rFonts w:ascii="Times New Roman" w:hAnsi="Times New Roman" w:eastAsia="宋体" w:cs="Times New Roman"/>
              </w:rPr>
            </w:pPr>
            <w:r>
              <w:rPr>
                <w:rFonts w:ascii="Times New Roman" w:hAnsi="Times New Roman" w:eastAsia="宋体" w:cs="Times New Roman"/>
              </w:rPr>
              <w:t>响应文件不得附有采购人不能接受的条件；</w:t>
            </w:r>
          </w:p>
        </w:tc>
        <w:tc>
          <w:tcPr>
            <w:tcW w:w="786" w:type="dxa"/>
            <w:vAlign w:val="center"/>
          </w:tcPr>
          <w:p w14:paraId="5B1E21EA">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p>
        </w:tc>
        <w:tc>
          <w:tcPr>
            <w:tcW w:w="899" w:type="dxa"/>
            <w:vAlign w:val="center"/>
          </w:tcPr>
          <w:p w14:paraId="6F1D0C81">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p>
        </w:tc>
      </w:tr>
      <w:tr w14:paraId="24395E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jc w:val="center"/>
        </w:trPr>
        <w:tc>
          <w:tcPr>
            <w:tcW w:w="1254" w:type="dxa"/>
            <w:vMerge w:val="continue"/>
            <w:tcBorders>
              <w:top w:val="nil"/>
            </w:tcBorders>
            <w:vAlign w:val="top"/>
          </w:tcPr>
          <w:p w14:paraId="4DF769D0">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textAlignment w:val="baseline"/>
            </w:pPr>
          </w:p>
        </w:tc>
        <w:tc>
          <w:tcPr>
            <w:tcW w:w="484" w:type="dxa"/>
            <w:vAlign w:val="center"/>
          </w:tcPr>
          <w:p w14:paraId="4AC73309">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r>
              <w:t>7</w:t>
            </w:r>
          </w:p>
        </w:tc>
        <w:tc>
          <w:tcPr>
            <w:tcW w:w="5515" w:type="dxa"/>
            <w:vAlign w:val="center"/>
          </w:tcPr>
          <w:p w14:paraId="0FF8666B">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both"/>
              <w:textAlignment w:val="baseline"/>
              <w:rPr>
                <w:rFonts w:ascii="Times New Roman" w:hAnsi="Times New Roman" w:eastAsia="宋体" w:cs="Times New Roman"/>
              </w:rPr>
            </w:pPr>
            <w:r>
              <w:rPr>
                <w:rFonts w:ascii="Times New Roman" w:hAnsi="Times New Roman" w:eastAsia="宋体" w:cs="Times New Roman"/>
              </w:rPr>
              <w:t>响应文件实质性响应磋商文件要求。</w:t>
            </w:r>
          </w:p>
        </w:tc>
        <w:tc>
          <w:tcPr>
            <w:tcW w:w="786" w:type="dxa"/>
            <w:vAlign w:val="center"/>
          </w:tcPr>
          <w:p w14:paraId="4C030A8B">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p>
        </w:tc>
        <w:tc>
          <w:tcPr>
            <w:tcW w:w="899" w:type="dxa"/>
            <w:vAlign w:val="center"/>
          </w:tcPr>
          <w:p w14:paraId="0A8289A0">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jc w:val="center"/>
              <w:textAlignment w:val="baseline"/>
            </w:pPr>
          </w:p>
        </w:tc>
      </w:tr>
      <w:tr w14:paraId="47EFC3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0" w:hRule="atLeast"/>
          <w:jc w:val="center"/>
        </w:trPr>
        <w:tc>
          <w:tcPr>
            <w:tcW w:w="8938" w:type="dxa"/>
            <w:gridSpan w:val="5"/>
            <w:vAlign w:val="top"/>
          </w:tcPr>
          <w:p w14:paraId="035B089C">
            <w:pPr>
              <w:keepNext w:val="0"/>
              <w:keepLines w:val="0"/>
              <w:pageBreakBefore w:val="0"/>
              <w:widowControl/>
              <w:kinsoku w:val="0"/>
              <w:wordWrap w:val="0"/>
              <w:overflowPunct/>
              <w:topLinePunct w:val="0"/>
              <w:autoSpaceDE w:val="0"/>
              <w:autoSpaceDN w:val="0"/>
              <w:bidi w:val="0"/>
              <w:adjustRightInd w:val="0"/>
              <w:snapToGrid w:val="0"/>
              <w:spacing w:after="0" w:line="360" w:lineRule="exact"/>
              <w:ind w:firstLine="0" w:firstLineChars="0"/>
              <w:textAlignment w:val="baseline"/>
            </w:pPr>
            <w:r>
              <w:t>备注：如果响应文件中有一项未通过上述审查标准，磋商小组将认定整个响应文件不响应磋商文件而予以无效处理，并且不允许供应商通过修改或撤销其不符合要求的差异或保留，使之成为具有响应性的投标。</w:t>
            </w:r>
          </w:p>
        </w:tc>
      </w:tr>
    </w:tbl>
    <w:p w14:paraId="53326730">
      <w:pPr>
        <w:bidi w:val="0"/>
      </w:pPr>
      <w:r>
        <w:t>3.2.1在响应文件符合性检查过程中，如果出现磋商小组成员意见不一致的情况，按照少数服从多数的原则确定，但不得违背政府采购基本原则和磋商文件规定。</w:t>
      </w:r>
    </w:p>
    <w:p w14:paraId="17D6A484">
      <w:pPr>
        <w:bidi w:val="0"/>
      </w:pPr>
      <w:r>
        <w:t>3.3澄清有关问题。对响应文件中含义不明确、同类问题表述不一致或者有明显文字和计算错误的内容，磋商小组可以书面形式（应当由磋商小组成员签字）要求供应商作出必要的澄清、说明或者纠正。供应商的澄清、说明或者补正应当采用书面形式，由其授权的代表签字，并不得超出响应文件的范围或者改变响应文件的实质性内容。</w:t>
      </w:r>
    </w:p>
    <w:p w14:paraId="66121D43">
      <w:pPr>
        <w:bidi w:val="0"/>
      </w:pPr>
      <w:r>
        <w:t>3.4磋商。磋商小组所有成员按响应文件递交逆顺序集中与通过符合性检查的单一供应商分别进行磋商，并给予所有通过符合性检查的供应商平等的磋商机会。</w:t>
      </w:r>
    </w:p>
    <w:p w14:paraId="004BEA0D">
      <w:pPr>
        <w:bidi w:val="0"/>
      </w:pPr>
      <w:r>
        <w:t>3.4.1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14:paraId="37F9EFE9">
      <w:pPr>
        <w:bidi w:val="0"/>
      </w:pPr>
      <w:r>
        <w:t>3.4.2磋商文件不能够详细列明采购标的的技术、服务要求的，须经磋商由供应商提供的最终供货方案或解决方案的，磋商结束后，磋商小组应当按照少数服从多数的原则投票推荐3家以上供应商的供货方案或者解决方案，并要求其在规定时间内提交最后报价。最后报价是供应商响应文件的有效组成部分。</w:t>
      </w:r>
    </w:p>
    <w:p w14:paraId="067D5710">
      <w:pPr>
        <w:bidi w:val="0"/>
      </w:pPr>
      <w:r>
        <w:t>3.5比较、评价。经磋商确定最终采购需求和提交最后报价的供应商后，由磋商小组采用综合评分法对提交最后报价的供应商的响应文件和最后报价进行综合评分，并推荐成交候选供应商名单。</w:t>
      </w:r>
    </w:p>
    <w:p w14:paraId="4E7497FD">
      <w:pPr>
        <w:bidi w:val="0"/>
      </w:pPr>
      <w:r>
        <w:t>3.5.1本项目采用综合评分法，评标结果按评审后得分由高到低顺序排列。得分相同的，按投标报价由低到高顺序排列。得分且投标报价相同的排序并列。</w:t>
      </w:r>
    </w:p>
    <w:p w14:paraId="656936FD">
      <w:pPr>
        <w:bidi w:val="0"/>
      </w:pPr>
      <w:r>
        <w:t>3.6编写评标报告。评标报告是磋商小组根据全体评标成员签字的原始评标记录和评标结果编写的报告，其主要内容包括：</w:t>
      </w:r>
    </w:p>
    <w:p w14:paraId="39C10DA1">
      <w:pPr>
        <w:bidi w:val="0"/>
      </w:pPr>
      <w:r>
        <w:t>（1）项目概况、开标日期和地点；</w:t>
      </w:r>
    </w:p>
    <w:p w14:paraId="6EE041F5">
      <w:pPr>
        <w:bidi w:val="0"/>
      </w:pPr>
      <w:r>
        <w:t>（2）购买磋商文件的供应商名单和磋商小组成员名单；</w:t>
      </w:r>
    </w:p>
    <w:p w14:paraId="13DACE4A">
      <w:pPr>
        <w:bidi w:val="0"/>
      </w:pPr>
      <w:r>
        <w:t>（3）评标方法和标准；</w:t>
      </w:r>
    </w:p>
    <w:p w14:paraId="38081790">
      <w:pPr>
        <w:bidi w:val="0"/>
      </w:pPr>
      <w:r>
        <w:t>（4）开标记录和评标情况及说明，包括投标无效供应商名单及原因；</w:t>
      </w:r>
    </w:p>
    <w:p w14:paraId="549827B7">
      <w:pPr>
        <w:bidi w:val="0"/>
      </w:pPr>
      <w:r>
        <w:t>（5）评标结果和成交候选供应商排序。</w:t>
      </w:r>
    </w:p>
    <w:p w14:paraId="1DF5D4E3">
      <w:pPr>
        <w:bidi w:val="0"/>
      </w:pPr>
      <w:r>
        <w:rPr>
          <w:rFonts w:hint="eastAsia"/>
        </w:rPr>
        <w:t>4.评标细则及标准</w:t>
      </w:r>
    </w:p>
    <w:p w14:paraId="4BEA4E2E">
      <w:pPr>
        <w:bidi w:val="0"/>
      </w:pPr>
      <w:r>
        <w:t>4.1磋商小组只对通过符合性检查的响应文件，根据磋商文件的要求采用相同的评标程序、评分办法及标准进行评价和比较。</w:t>
      </w:r>
    </w:p>
    <w:p w14:paraId="5589454D">
      <w:pPr>
        <w:bidi w:val="0"/>
      </w:pPr>
      <w:r>
        <w:t>4.2本次综合评分的因素是：价格、服务、信誉、业绩、对磋商文件的响应程度和（如涉及）节能、环境标志产品及响应文件规范性等。</w:t>
      </w:r>
    </w:p>
    <w:p w14:paraId="4F4E21F2">
      <w:pPr>
        <w:bidi w:val="0"/>
      </w:pPr>
      <w:r>
        <w:t>4.3除价格因素外，磋商小组成员应依据响应文件规定的评分标准和方法独立对其他因素进行比较打分。</w:t>
      </w:r>
    </w:p>
    <w:p w14:paraId="4E925C7D">
      <w:pPr>
        <w:bidi w:val="0"/>
      </w:pPr>
      <w:r>
        <w:t>4.4在评标过程中，响应文件有下列情况之一，磋商小组成员应当按照磋商文件规定的非实质性偏离进行扣分：</w:t>
      </w:r>
    </w:p>
    <w:p w14:paraId="1EE3BD77">
      <w:pPr>
        <w:bidi w:val="0"/>
      </w:pPr>
      <w:r>
        <w:t>（1）文字表述的内容含义不明确，或者同类问题表述不一致，或者有明显文字和计算错误，或者提供的技术信息和数据资料不完整，供应商拒不或在规定的时间内没有进行澄清、说明或补正或澄清、说明、补正的内容也不能说明问题的；</w:t>
      </w:r>
    </w:p>
    <w:p w14:paraId="24D6A2BB">
      <w:pPr>
        <w:bidi w:val="0"/>
      </w:pPr>
      <w:r>
        <w:t>（2）响应文件未编制目录、页码；</w:t>
      </w:r>
    </w:p>
    <w:p w14:paraId="6DBDD11E">
      <w:pPr>
        <w:bidi w:val="0"/>
      </w:pPr>
      <w:r>
        <w:t>（3）认定的与磋商文件第五章规定的技术、商务和其他规定要求不符的非实质性偏离</w:t>
      </w:r>
    </w:p>
    <w:p w14:paraId="5C7D89CD">
      <w:pPr>
        <w:bidi w:val="0"/>
      </w:pPr>
      <w:r>
        <w:t>（4）认定的其他非实质性偏离。</w:t>
      </w:r>
    </w:p>
    <w:p w14:paraId="0CCE5725">
      <w:pPr>
        <w:bidi w:val="0"/>
      </w:pPr>
      <w:r>
        <w:t>4.5综合评分明细表</w:t>
      </w:r>
    </w:p>
    <w:p w14:paraId="48294F5A">
      <w:pPr>
        <w:bidi w:val="0"/>
      </w:pPr>
      <w:r>
        <w:t>4.5.1综合评分明细表的制定以科学合理、降低磋商小组自由裁量权为原则。</w:t>
      </w:r>
    </w:p>
    <w:p w14:paraId="68C8960A">
      <w:pPr>
        <w:bidi w:val="0"/>
      </w:pPr>
      <w:r>
        <w:t>4.5.2磋商小组将按照下述评分标准对通过符合性检查的响应文件进行详细评审，供应商评审得分等于所有评委评分的算术平均值，结果保留两位小数。</w:t>
      </w:r>
    </w:p>
    <w:p w14:paraId="02D073C2">
      <w:pPr>
        <w:bidi w:val="0"/>
        <w:outlineLvl w:val="2"/>
      </w:pPr>
      <w:r>
        <w:t>评标因素权重表：</w:t>
      </w:r>
    </w:p>
    <w:p w14:paraId="68EBDE05">
      <w:pPr>
        <w:spacing w:line="66" w:lineRule="exact"/>
      </w:pPr>
    </w:p>
    <w:tbl>
      <w:tblPr>
        <w:tblStyle w:val="10"/>
        <w:tblW w:w="90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97"/>
        <w:gridCol w:w="1587"/>
        <w:gridCol w:w="1802"/>
        <w:gridCol w:w="2170"/>
        <w:gridCol w:w="2176"/>
      </w:tblGrid>
      <w:tr w14:paraId="203DBF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jc w:val="center"/>
        </w:trPr>
        <w:tc>
          <w:tcPr>
            <w:tcW w:w="1297" w:type="dxa"/>
            <w:vAlign w:val="center"/>
          </w:tcPr>
          <w:p w14:paraId="1C95B31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序号</w:t>
            </w:r>
          </w:p>
        </w:tc>
        <w:tc>
          <w:tcPr>
            <w:tcW w:w="1587" w:type="dxa"/>
            <w:vAlign w:val="center"/>
          </w:tcPr>
          <w:p w14:paraId="050129C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1</w:t>
            </w:r>
          </w:p>
        </w:tc>
        <w:tc>
          <w:tcPr>
            <w:tcW w:w="1802" w:type="dxa"/>
            <w:vAlign w:val="center"/>
          </w:tcPr>
          <w:p w14:paraId="1BB234A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2</w:t>
            </w:r>
          </w:p>
        </w:tc>
        <w:tc>
          <w:tcPr>
            <w:tcW w:w="2170" w:type="dxa"/>
            <w:vAlign w:val="center"/>
          </w:tcPr>
          <w:p w14:paraId="1497524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3</w:t>
            </w:r>
          </w:p>
        </w:tc>
        <w:tc>
          <w:tcPr>
            <w:tcW w:w="2176" w:type="dxa"/>
            <w:vAlign w:val="center"/>
          </w:tcPr>
          <w:p w14:paraId="67E4734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4</w:t>
            </w:r>
          </w:p>
        </w:tc>
      </w:tr>
      <w:tr w14:paraId="76BE6D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1297" w:type="dxa"/>
            <w:vAlign w:val="center"/>
          </w:tcPr>
          <w:p w14:paraId="7334005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评标因素</w:t>
            </w:r>
          </w:p>
        </w:tc>
        <w:tc>
          <w:tcPr>
            <w:tcW w:w="1587" w:type="dxa"/>
            <w:vAlign w:val="center"/>
          </w:tcPr>
          <w:p w14:paraId="4DE601B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投标报价</w:t>
            </w:r>
          </w:p>
        </w:tc>
        <w:tc>
          <w:tcPr>
            <w:tcW w:w="1802" w:type="dxa"/>
            <w:vAlign w:val="center"/>
          </w:tcPr>
          <w:p w14:paraId="4A5336C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商务部分</w:t>
            </w:r>
          </w:p>
        </w:tc>
        <w:tc>
          <w:tcPr>
            <w:tcW w:w="2170" w:type="dxa"/>
            <w:vAlign w:val="center"/>
          </w:tcPr>
          <w:p w14:paraId="0C75526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技术部分</w:t>
            </w:r>
          </w:p>
        </w:tc>
        <w:tc>
          <w:tcPr>
            <w:tcW w:w="2176" w:type="dxa"/>
            <w:vAlign w:val="center"/>
          </w:tcPr>
          <w:p w14:paraId="6DC68F7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合计</w:t>
            </w:r>
          </w:p>
        </w:tc>
      </w:tr>
      <w:tr w14:paraId="6DECCA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jc w:val="center"/>
        </w:trPr>
        <w:tc>
          <w:tcPr>
            <w:tcW w:w="1297" w:type="dxa"/>
            <w:vAlign w:val="center"/>
          </w:tcPr>
          <w:p w14:paraId="782FB77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pPr>
            <w:r>
              <w:t>权重</w:t>
            </w:r>
          </w:p>
        </w:tc>
        <w:tc>
          <w:tcPr>
            <w:tcW w:w="1587" w:type="dxa"/>
            <w:vAlign w:val="center"/>
          </w:tcPr>
          <w:p w14:paraId="574950F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b/>
                <w:bCs/>
                <w:highlight w:val="none"/>
              </w:rPr>
            </w:pPr>
            <w:r>
              <w:rPr>
                <w:rFonts w:hint="eastAsia"/>
                <w:b/>
                <w:bCs/>
                <w:highlight w:val="none"/>
                <w:lang w:val="en-US" w:eastAsia="zh-CN"/>
              </w:rPr>
              <w:t>2</w:t>
            </w:r>
            <w:r>
              <w:rPr>
                <w:b/>
                <w:bCs/>
                <w:highlight w:val="none"/>
              </w:rPr>
              <w:t>0%</w:t>
            </w:r>
          </w:p>
        </w:tc>
        <w:tc>
          <w:tcPr>
            <w:tcW w:w="1802" w:type="dxa"/>
            <w:vAlign w:val="center"/>
          </w:tcPr>
          <w:p w14:paraId="1FF81EA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b/>
                <w:bCs/>
                <w:highlight w:val="none"/>
              </w:rPr>
            </w:pPr>
            <w:r>
              <w:rPr>
                <w:rFonts w:hint="eastAsia"/>
                <w:b/>
                <w:bCs/>
                <w:highlight w:val="none"/>
                <w:lang w:val="en-US" w:eastAsia="zh-CN"/>
              </w:rPr>
              <w:t>2</w:t>
            </w:r>
            <w:r>
              <w:rPr>
                <w:b/>
                <w:bCs/>
                <w:highlight w:val="none"/>
              </w:rPr>
              <w:t>0%</w:t>
            </w:r>
          </w:p>
        </w:tc>
        <w:tc>
          <w:tcPr>
            <w:tcW w:w="2170" w:type="dxa"/>
            <w:vAlign w:val="center"/>
          </w:tcPr>
          <w:p w14:paraId="25D371E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b/>
                <w:bCs/>
                <w:highlight w:val="none"/>
              </w:rPr>
            </w:pPr>
            <w:r>
              <w:rPr>
                <w:b/>
                <w:bCs/>
                <w:highlight w:val="none"/>
              </w:rPr>
              <w:t>60%</w:t>
            </w:r>
          </w:p>
        </w:tc>
        <w:tc>
          <w:tcPr>
            <w:tcW w:w="2176" w:type="dxa"/>
            <w:vAlign w:val="center"/>
          </w:tcPr>
          <w:p w14:paraId="57CDCA9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b/>
                <w:bCs/>
              </w:rPr>
            </w:pPr>
            <w:r>
              <w:rPr>
                <w:b/>
                <w:bCs/>
              </w:rPr>
              <w:t>100%</w:t>
            </w:r>
          </w:p>
        </w:tc>
      </w:tr>
    </w:tbl>
    <w:p w14:paraId="3C6DC62F">
      <w:pPr>
        <w:keepNext w:val="0"/>
        <w:keepLines w:val="0"/>
        <w:pageBreakBefore w:val="0"/>
        <w:widowControl/>
        <w:kinsoku w:val="0"/>
        <w:wordWrap w:val="0"/>
        <w:overflowPunct/>
        <w:topLinePunct w:val="0"/>
        <w:autoSpaceDE w:val="0"/>
        <w:autoSpaceDN w:val="0"/>
        <w:bidi w:val="0"/>
        <w:adjustRightInd w:val="0"/>
        <w:snapToGrid w:val="0"/>
        <w:spacing w:before="0" w:beforeLines="50"/>
        <w:ind w:left="0" w:leftChars="0" w:firstLine="0" w:firstLineChars="0"/>
        <w:jc w:val="center"/>
        <w:textAlignment w:val="baseline"/>
        <w:outlineLvl w:val="2"/>
        <w:rPr>
          <w:rFonts w:ascii="宋体" w:hAnsi="宋体" w:eastAsia="宋体" w:cs="宋体"/>
          <w:szCs w:val="24"/>
          <w:highlight w:val="none"/>
        </w:rPr>
      </w:pPr>
      <w:r>
        <w:rPr>
          <w:b/>
          <w:bCs/>
          <w:sz w:val="28"/>
          <w:szCs w:val="28"/>
          <w:highlight w:val="none"/>
        </w:rPr>
        <w:t>商务部分评分标准</w:t>
      </w:r>
    </w:p>
    <w:p w14:paraId="603B36EF">
      <w:pPr>
        <w:spacing w:line="66" w:lineRule="exact"/>
      </w:pPr>
    </w:p>
    <w:tbl>
      <w:tblPr>
        <w:tblStyle w:val="10"/>
        <w:tblW w:w="903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7"/>
        <w:gridCol w:w="1412"/>
        <w:gridCol w:w="1471"/>
        <w:gridCol w:w="5421"/>
      </w:tblGrid>
      <w:tr w14:paraId="231EEC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727" w:type="dxa"/>
            <w:vAlign w:val="center"/>
          </w:tcPr>
          <w:p w14:paraId="2D56BB9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b/>
                <w:bCs/>
              </w:rPr>
            </w:pPr>
            <w:r>
              <w:rPr>
                <w:b/>
                <w:bCs/>
              </w:rPr>
              <w:t>序号</w:t>
            </w:r>
          </w:p>
        </w:tc>
        <w:tc>
          <w:tcPr>
            <w:tcW w:w="1412" w:type="dxa"/>
            <w:vAlign w:val="center"/>
          </w:tcPr>
          <w:p w14:paraId="108758D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b/>
                <w:bCs/>
              </w:rPr>
            </w:pPr>
            <w:r>
              <w:rPr>
                <w:b/>
                <w:bCs/>
              </w:rPr>
              <w:t>内容</w:t>
            </w:r>
          </w:p>
        </w:tc>
        <w:tc>
          <w:tcPr>
            <w:tcW w:w="1471" w:type="dxa"/>
            <w:vAlign w:val="center"/>
          </w:tcPr>
          <w:p w14:paraId="122D880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b/>
                <w:bCs/>
              </w:rPr>
            </w:pPr>
            <w:r>
              <w:rPr>
                <w:b/>
                <w:bCs/>
              </w:rPr>
              <w:t>分值</w:t>
            </w:r>
          </w:p>
        </w:tc>
        <w:tc>
          <w:tcPr>
            <w:tcW w:w="5421" w:type="dxa"/>
            <w:vAlign w:val="center"/>
          </w:tcPr>
          <w:p w14:paraId="637C135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b/>
                <w:bCs/>
              </w:rPr>
            </w:pPr>
            <w:r>
              <w:rPr>
                <w:b/>
                <w:bCs/>
              </w:rPr>
              <w:t>评分规则</w:t>
            </w:r>
          </w:p>
        </w:tc>
      </w:tr>
      <w:tr w14:paraId="65F29A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27" w:type="dxa"/>
            <w:vAlign w:val="center"/>
          </w:tcPr>
          <w:p w14:paraId="74CB564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1</w:t>
            </w:r>
          </w:p>
        </w:tc>
        <w:tc>
          <w:tcPr>
            <w:tcW w:w="1412" w:type="dxa"/>
            <w:vAlign w:val="center"/>
          </w:tcPr>
          <w:p w14:paraId="2270307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投标人业绩</w:t>
            </w:r>
          </w:p>
        </w:tc>
        <w:tc>
          <w:tcPr>
            <w:tcW w:w="1471" w:type="dxa"/>
            <w:vAlign w:val="center"/>
          </w:tcPr>
          <w:p w14:paraId="3B15FF9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rPr>
                <w:rFonts w:hint="eastAsia"/>
                <w:lang w:val="en-US" w:eastAsia="zh-CN"/>
              </w:rPr>
              <w:t>12</w:t>
            </w:r>
            <w:r>
              <w:t>分</w:t>
            </w:r>
          </w:p>
        </w:tc>
        <w:tc>
          <w:tcPr>
            <w:tcW w:w="5421" w:type="dxa"/>
            <w:vAlign w:val="top"/>
          </w:tcPr>
          <w:p w14:paraId="3F5C2B5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近三年2021年1月1日至今承担过类似工程施工业绩（需提供中标通知书或合同）每提供一项得</w:t>
            </w:r>
            <w:r>
              <w:rPr>
                <w:rFonts w:hint="eastAsia"/>
                <w:lang w:val="en-US" w:eastAsia="zh-CN"/>
              </w:rPr>
              <w:t>3</w:t>
            </w:r>
            <w:r>
              <w:t>分</w:t>
            </w:r>
            <w:r>
              <w:rPr>
                <w:rFonts w:hint="eastAsia"/>
                <w:lang w:eastAsia="zh-CN"/>
              </w:rPr>
              <w:t>，</w:t>
            </w:r>
            <w:r>
              <w:t>最高得</w:t>
            </w:r>
            <w:r>
              <w:rPr>
                <w:rFonts w:hint="eastAsia"/>
                <w:lang w:val="en-US" w:eastAsia="zh-CN"/>
              </w:rPr>
              <w:t>4</w:t>
            </w:r>
            <w:r>
              <w:t>分。</w:t>
            </w:r>
          </w:p>
        </w:tc>
      </w:tr>
      <w:tr w14:paraId="711F5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27" w:type="dxa"/>
            <w:vAlign w:val="center"/>
          </w:tcPr>
          <w:p w14:paraId="7F1B858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2</w:t>
            </w:r>
          </w:p>
        </w:tc>
        <w:tc>
          <w:tcPr>
            <w:tcW w:w="1412" w:type="dxa"/>
            <w:vAlign w:val="center"/>
          </w:tcPr>
          <w:p w14:paraId="4132E84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项目负责人</w:t>
            </w:r>
          </w:p>
        </w:tc>
        <w:tc>
          <w:tcPr>
            <w:tcW w:w="1471" w:type="dxa"/>
            <w:vAlign w:val="center"/>
          </w:tcPr>
          <w:p w14:paraId="0F245D4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rPr>
                <w:rFonts w:hint="eastAsia"/>
                <w:lang w:val="en-US" w:eastAsia="zh-CN"/>
              </w:rPr>
              <w:t>5</w:t>
            </w:r>
            <w:r>
              <w:t>分</w:t>
            </w:r>
          </w:p>
        </w:tc>
        <w:tc>
          <w:tcPr>
            <w:tcW w:w="5421" w:type="dxa"/>
            <w:vAlign w:val="top"/>
          </w:tcPr>
          <w:p w14:paraId="16EC591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根据拟投入本项目项目负责人：</w:t>
            </w:r>
          </w:p>
          <w:p w14:paraId="10DB607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①专业技术水平职称证情况：相关专业中级及以上得2分；</w:t>
            </w:r>
          </w:p>
          <w:p w14:paraId="1D3B1D0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②业绩情况：近3年（2021年01月01日-至今）承担过的类似工程施工业绩（须提供合同或中标通知书，需反应项目负责人）每提供一项业绩得</w:t>
            </w:r>
            <w:r>
              <w:rPr>
                <w:rFonts w:hint="eastAsia"/>
                <w:lang w:val="en-US" w:eastAsia="zh-CN"/>
              </w:rPr>
              <w:t>1</w:t>
            </w:r>
            <w:r>
              <w:t>分最高得</w:t>
            </w:r>
            <w:r>
              <w:rPr>
                <w:rFonts w:hint="eastAsia"/>
                <w:lang w:val="en-US" w:eastAsia="zh-CN"/>
              </w:rPr>
              <w:t>3</w:t>
            </w:r>
            <w:r>
              <w:t>分；不提供不得分。</w:t>
            </w:r>
          </w:p>
        </w:tc>
      </w:tr>
      <w:tr w14:paraId="1C68D1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727" w:type="dxa"/>
            <w:vAlign w:val="center"/>
          </w:tcPr>
          <w:p w14:paraId="75E6D8F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rFonts w:hint="eastAsia" w:eastAsia="宋体"/>
                <w:lang w:val="en-US" w:eastAsia="zh-CN"/>
              </w:rPr>
            </w:pPr>
            <w:r>
              <w:rPr>
                <w:rFonts w:hint="eastAsia"/>
                <w:lang w:val="en-US" w:eastAsia="zh-CN"/>
              </w:rPr>
              <w:t>3</w:t>
            </w:r>
          </w:p>
        </w:tc>
        <w:tc>
          <w:tcPr>
            <w:tcW w:w="1412" w:type="dxa"/>
            <w:vAlign w:val="center"/>
          </w:tcPr>
          <w:p w14:paraId="7983DF7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rPr>
                <w:spacing w:val="-3"/>
              </w:rPr>
              <w:t>拟投入</w:t>
            </w:r>
            <w:r>
              <w:rPr>
                <w:rFonts w:ascii="Times New Roman" w:hAnsi="Times New Roman" w:eastAsia="宋体" w:cs="Times New Roman"/>
              </w:rPr>
              <w:t>人员</w:t>
            </w:r>
          </w:p>
        </w:tc>
        <w:tc>
          <w:tcPr>
            <w:tcW w:w="1471" w:type="dxa"/>
            <w:vAlign w:val="center"/>
          </w:tcPr>
          <w:p w14:paraId="3BCB6F5C">
            <w:pPr>
              <w:spacing w:before="78" w:line="220" w:lineRule="auto"/>
              <w:ind w:left="0" w:leftChars="0" w:firstLine="0" w:firstLineChars="0"/>
              <w:jc w:val="center"/>
            </w:pPr>
            <w:r>
              <w:rPr>
                <w:rFonts w:hint="eastAsia"/>
                <w:spacing w:val="-6"/>
                <w:lang w:val="en-US" w:eastAsia="zh-CN"/>
              </w:rPr>
              <w:t>3</w:t>
            </w:r>
            <w:r>
              <w:rPr>
                <w:spacing w:val="-6"/>
              </w:rPr>
              <w:t>分</w:t>
            </w:r>
          </w:p>
        </w:tc>
        <w:tc>
          <w:tcPr>
            <w:tcW w:w="5421" w:type="dxa"/>
            <w:vAlign w:val="top"/>
          </w:tcPr>
          <w:p w14:paraId="6B11A4B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rPr>
                <w:rFonts w:hint="eastAsia" w:eastAsia="宋体"/>
                <w:lang w:val="en-US" w:eastAsia="zh-CN"/>
              </w:rPr>
            </w:pPr>
            <w:r>
              <w:rPr>
                <w:rFonts w:ascii="宋体" w:hAnsi="宋体" w:eastAsia="宋体" w:cs="宋体"/>
                <w:spacing w:val="-3"/>
                <w:sz w:val="24"/>
                <w:szCs w:val="24"/>
              </w:rPr>
              <w:t>技术负责人</w:t>
            </w:r>
            <w:r>
              <w:rPr>
                <w:rFonts w:hint="eastAsia"/>
                <w:lang w:val="en-US" w:eastAsia="zh-CN"/>
              </w:rPr>
              <w:t>、质量管理员、安全管理员、材料管理员、计划管理员、资料管理员等要配备齐全，其中</w:t>
            </w:r>
            <w:r>
              <w:rPr>
                <w:rFonts w:ascii="宋体" w:hAnsi="宋体" w:eastAsia="宋体" w:cs="宋体"/>
                <w:spacing w:val="-3"/>
                <w:sz w:val="24"/>
                <w:szCs w:val="24"/>
              </w:rPr>
              <w:t>技术负责人</w:t>
            </w:r>
            <w:r>
              <w:rPr>
                <w:rFonts w:hint="eastAsia"/>
                <w:lang w:val="en-US" w:eastAsia="zh-CN"/>
              </w:rPr>
              <w:t>须附职称证书，其他人员如果有上岗证复印件也应附带，共计3分，每少提供1名人员扣0.5分，扣完为止。</w:t>
            </w:r>
          </w:p>
        </w:tc>
      </w:tr>
      <w:tr w14:paraId="0E44CE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610" w:type="dxa"/>
            <w:gridSpan w:val="3"/>
            <w:vAlign w:val="top"/>
          </w:tcPr>
          <w:p w14:paraId="0F7A1418">
            <w:pPr>
              <w:spacing w:before="123" w:line="221" w:lineRule="auto"/>
              <w:ind w:left="0" w:leftChars="0" w:firstLine="0" w:firstLineChars="0"/>
              <w:jc w:val="center"/>
              <w:rPr>
                <w:rFonts w:hint="eastAsia" w:eastAsia="宋体"/>
                <w:lang w:eastAsia="zh-CN"/>
              </w:rPr>
            </w:pPr>
            <w:r>
              <w:rPr>
                <w:rFonts w:hint="eastAsia"/>
                <w:lang w:eastAsia="zh-CN"/>
              </w:rPr>
              <w:t>合计</w:t>
            </w:r>
          </w:p>
        </w:tc>
        <w:tc>
          <w:tcPr>
            <w:tcW w:w="5421" w:type="dxa"/>
            <w:vAlign w:val="top"/>
          </w:tcPr>
          <w:p w14:paraId="0D6BC2B5">
            <w:pPr>
              <w:spacing w:before="123" w:line="220" w:lineRule="auto"/>
              <w:ind w:left="2408" w:leftChars="0" w:firstLine="460" w:firstLineChars="200"/>
              <w:rPr>
                <w:rFonts w:hint="eastAsia" w:eastAsia="宋体"/>
                <w:lang w:val="en-US" w:eastAsia="zh-CN"/>
              </w:rPr>
            </w:pPr>
            <w:r>
              <w:rPr>
                <w:rFonts w:hint="eastAsia"/>
                <w:spacing w:val="-5"/>
                <w:lang w:val="en-US" w:eastAsia="zh-CN"/>
              </w:rPr>
              <w:t>20</w:t>
            </w:r>
            <w:r>
              <w:rPr>
                <w:spacing w:val="-5"/>
              </w:rPr>
              <w:t>分</w:t>
            </w:r>
          </w:p>
        </w:tc>
      </w:tr>
    </w:tbl>
    <w:p w14:paraId="57038545">
      <w:pPr>
        <w:keepNext w:val="0"/>
        <w:keepLines w:val="0"/>
        <w:pageBreakBefore w:val="0"/>
        <w:widowControl/>
        <w:kinsoku w:val="0"/>
        <w:wordWrap w:val="0"/>
        <w:overflowPunct/>
        <w:topLinePunct w:val="0"/>
        <w:autoSpaceDE w:val="0"/>
        <w:autoSpaceDN w:val="0"/>
        <w:bidi w:val="0"/>
        <w:adjustRightInd w:val="0"/>
        <w:snapToGrid w:val="0"/>
        <w:spacing w:before="0" w:beforeLines="50"/>
        <w:ind w:left="0" w:leftChars="0" w:firstLine="0" w:firstLineChars="0"/>
        <w:jc w:val="center"/>
        <w:textAlignment w:val="baseline"/>
        <w:outlineLvl w:val="2"/>
        <w:rPr>
          <w:rFonts w:ascii="Times New Roman" w:hAnsi="Times New Roman" w:eastAsia="宋体" w:cs="Times New Roman"/>
          <w:b/>
          <w:bCs/>
          <w:sz w:val="28"/>
          <w:szCs w:val="28"/>
        </w:rPr>
      </w:pPr>
      <w:r>
        <w:rPr>
          <w:rFonts w:ascii="Times New Roman" w:hAnsi="Times New Roman" w:eastAsia="宋体" w:cs="Times New Roman"/>
          <w:b/>
          <w:bCs/>
          <w:sz w:val="28"/>
          <w:szCs w:val="28"/>
        </w:rPr>
        <w:t>技术部分评分标准</w:t>
      </w:r>
    </w:p>
    <w:tbl>
      <w:tblPr>
        <w:tblStyle w:val="10"/>
        <w:tblW w:w="89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2"/>
        <w:gridCol w:w="1582"/>
        <w:gridCol w:w="961"/>
        <w:gridCol w:w="5632"/>
      </w:tblGrid>
      <w:tr w14:paraId="72D38C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22" w:type="dxa"/>
            <w:vAlign w:val="center"/>
          </w:tcPr>
          <w:p w14:paraId="0E3FF65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b/>
                <w:bCs/>
              </w:rPr>
            </w:pPr>
            <w:r>
              <w:rPr>
                <w:b/>
                <w:bCs/>
              </w:rPr>
              <w:t>序号</w:t>
            </w:r>
          </w:p>
        </w:tc>
        <w:tc>
          <w:tcPr>
            <w:tcW w:w="1582" w:type="dxa"/>
            <w:vAlign w:val="center"/>
          </w:tcPr>
          <w:p w14:paraId="45D2BD1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b/>
                <w:bCs/>
              </w:rPr>
            </w:pPr>
            <w:r>
              <w:rPr>
                <w:b/>
                <w:bCs/>
              </w:rPr>
              <w:t>评审项目</w:t>
            </w:r>
          </w:p>
        </w:tc>
        <w:tc>
          <w:tcPr>
            <w:tcW w:w="961" w:type="dxa"/>
            <w:vAlign w:val="center"/>
          </w:tcPr>
          <w:p w14:paraId="50389FE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b/>
                <w:bCs/>
              </w:rPr>
            </w:pPr>
            <w:r>
              <w:rPr>
                <w:b/>
                <w:bCs/>
              </w:rPr>
              <w:t>评分</w:t>
            </w:r>
          </w:p>
        </w:tc>
        <w:tc>
          <w:tcPr>
            <w:tcW w:w="5632" w:type="dxa"/>
            <w:vAlign w:val="center"/>
          </w:tcPr>
          <w:p w14:paraId="2974B19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b/>
                <w:bCs/>
              </w:rPr>
            </w:pPr>
            <w:r>
              <w:rPr>
                <w:b/>
                <w:bCs/>
              </w:rPr>
              <w:t>评审内容</w:t>
            </w:r>
          </w:p>
        </w:tc>
      </w:tr>
      <w:tr w14:paraId="64E64C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22" w:type="dxa"/>
            <w:vAlign w:val="center"/>
          </w:tcPr>
          <w:p w14:paraId="58A2282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1</w:t>
            </w:r>
          </w:p>
        </w:tc>
        <w:tc>
          <w:tcPr>
            <w:tcW w:w="1582" w:type="dxa"/>
            <w:vAlign w:val="center"/>
          </w:tcPr>
          <w:p w14:paraId="2A11D29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工程概况及特点</w:t>
            </w:r>
          </w:p>
        </w:tc>
        <w:tc>
          <w:tcPr>
            <w:tcW w:w="961" w:type="dxa"/>
            <w:vAlign w:val="center"/>
          </w:tcPr>
          <w:p w14:paraId="633EF30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2分</w:t>
            </w:r>
          </w:p>
        </w:tc>
        <w:tc>
          <w:tcPr>
            <w:tcW w:w="5632" w:type="dxa"/>
            <w:vAlign w:val="center"/>
          </w:tcPr>
          <w:p w14:paraId="2C6D0CC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工程概况及特点叙述正确，符合实际得2分；每存在一处叙述不正确，不符合实际扣1分扣完为止。</w:t>
            </w:r>
          </w:p>
        </w:tc>
      </w:tr>
      <w:tr w14:paraId="4A639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22" w:type="dxa"/>
            <w:vAlign w:val="center"/>
          </w:tcPr>
          <w:p w14:paraId="1434A02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2</w:t>
            </w:r>
          </w:p>
        </w:tc>
        <w:tc>
          <w:tcPr>
            <w:tcW w:w="1582" w:type="dxa"/>
            <w:vAlign w:val="center"/>
          </w:tcPr>
          <w:p w14:paraId="234D38B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施工准备计划</w:t>
            </w:r>
          </w:p>
        </w:tc>
        <w:tc>
          <w:tcPr>
            <w:tcW w:w="961" w:type="dxa"/>
            <w:vAlign w:val="center"/>
          </w:tcPr>
          <w:p w14:paraId="0F72B6F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6分</w:t>
            </w:r>
          </w:p>
        </w:tc>
        <w:tc>
          <w:tcPr>
            <w:tcW w:w="5632" w:type="dxa"/>
            <w:vAlign w:val="center"/>
          </w:tcPr>
          <w:p w14:paraId="0F5A20B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施工准备计划应包含但不限于施工技术、现场、物资与机械、队伍准备计划，以上内容完整能充分保证工程需要，目标明确，切实可行得6分；每有一处内容缺陷扣1分（缺陷是指：存在不适用项目实际情况的情形、凭空编造、内容前后不一致、前后逻辑错误、涉及的规范及标准错误、内容遗漏、不符合本项目实际需求）扣完为止。</w:t>
            </w:r>
          </w:p>
        </w:tc>
      </w:tr>
      <w:tr w14:paraId="711D2F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22" w:type="dxa"/>
            <w:vAlign w:val="center"/>
          </w:tcPr>
          <w:p w14:paraId="3C511CC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3</w:t>
            </w:r>
          </w:p>
        </w:tc>
        <w:tc>
          <w:tcPr>
            <w:tcW w:w="1582" w:type="dxa"/>
            <w:vAlign w:val="center"/>
          </w:tcPr>
          <w:p w14:paraId="376906A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施工方案</w:t>
            </w:r>
          </w:p>
        </w:tc>
        <w:tc>
          <w:tcPr>
            <w:tcW w:w="961" w:type="dxa"/>
            <w:vAlign w:val="center"/>
          </w:tcPr>
          <w:p w14:paraId="4992C99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6分</w:t>
            </w:r>
          </w:p>
        </w:tc>
        <w:tc>
          <w:tcPr>
            <w:tcW w:w="5632" w:type="dxa"/>
            <w:vAlign w:val="center"/>
          </w:tcPr>
          <w:p w14:paraId="1FDFF54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施工方案应能符合工程实际情况，提高生产率、缩短工期、提高质量、降低消耗满足要求，切实可行得6分；每有一处内容缺陷扣1分（缺陷是指：存在不适用项目实际情况的情形、凭空编造、内容前后不一致、前后逻辑错误、涉及的规范及标准错误、内容遗漏、不符合本项目实际需求）扣完为止。</w:t>
            </w:r>
          </w:p>
        </w:tc>
      </w:tr>
      <w:tr w14:paraId="4FBA12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822" w:type="dxa"/>
            <w:vAlign w:val="center"/>
          </w:tcPr>
          <w:p w14:paraId="69C1DC3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4</w:t>
            </w:r>
          </w:p>
        </w:tc>
        <w:tc>
          <w:tcPr>
            <w:tcW w:w="1582" w:type="dxa"/>
            <w:vAlign w:val="center"/>
          </w:tcPr>
          <w:p w14:paraId="4C8A78A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施工进度计划</w:t>
            </w:r>
          </w:p>
        </w:tc>
        <w:tc>
          <w:tcPr>
            <w:tcW w:w="961" w:type="dxa"/>
            <w:vAlign w:val="center"/>
          </w:tcPr>
          <w:p w14:paraId="73F3F6E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6分</w:t>
            </w:r>
          </w:p>
        </w:tc>
        <w:tc>
          <w:tcPr>
            <w:tcW w:w="5632" w:type="dxa"/>
            <w:vAlign w:val="center"/>
          </w:tcPr>
          <w:p w14:paraId="332BD3E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进度计划应在空间和时间上做合理的统筹安排且符合施工的科学规律满足要求，切实可行得6分；每有一处内容缺陷扣1分（缺陷是指：存在不适用项目实际情况的情形、凭空编造、内容前后不一致、前后逻辑错误、涉及的规范及标准错误、内容遗漏、不符合本项目实际需求）扣完为止。</w:t>
            </w:r>
          </w:p>
        </w:tc>
      </w:tr>
      <w:tr w14:paraId="5D555A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22" w:type="dxa"/>
            <w:shd w:val="clear" w:color="auto" w:fill="auto"/>
            <w:vAlign w:val="center"/>
          </w:tcPr>
          <w:p w14:paraId="45BE086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rFonts w:ascii="Times New Roman" w:hAnsi="Times New Roman" w:eastAsia="宋体" w:cs="Times New Roman"/>
                <w:snapToGrid w:val="0"/>
                <w:color w:val="000000"/>
                <w:kern w:val="0"/>
                <w:sz w:val="24"/>
                <w:szCs w:val="24"/>
                <w:lang w:val="en-US" w:eastAsia="en-US" w:bidi="ar-SA"/>
              </w:rPr>
            </w:pPr>
            <w:r>
              <w:t>5</w:t>
            </w:r>
          </w:p>
        </w:tc>
        <w:tc>
          <w:tcPr>
            <w:tcW w:w="1582" w:type="dxa"/>
            <w:shd w:val="clear" w:color="auto" w:fill="auto"/>
            <w:vAlign w:val="center"/>
          </w:tcPr>
          <w:p w14:paraId="1D2B682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rFonts w:ascii="Times New Roman" w:hAnsi="Times New Roman" w:eastAsia="宋体" w:cs="Times New Roman"/>
                <w:snapToGrid w:val="0"/>
                <w:color w:val="000000"/>
                <w:kern w:val="0"/>
                <w:sz w:val="24"/>
                <w:szCs w:val="24"/>
                <w:lang w:val="en-US" w:eastAsia="en-US" w:bidi="ar-SA"/>
              </w:rPr>
            </w:pPr>
            <w:r>
              <w:t>施工平面图</w:t>
            </w:r>
          </w:p>
        </w:tc>
        <w:tc>
          <w:tcPr>
            <w:tcW w:w="961" w:type="dxa"/>
            <w:shd w:val="clear" w:color="auto" w:fill="auto"/>
            <w:vAlign w:val="center"/>
          </w:tcPr>
          <w:p w14:paraId="4478138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rFonts w:ascii="Times New Roman" w:hAnsi="Times New Roman" w:eastAsia="宋体" w:cs="Times New Roman"/>
                <w:snapToGrid w:val="0"/>
                <w:color w:val="000000"/>
                <w:kern w:val="0"/>
                <w:sz w:val="24"/>
                <w:szCs w:val="24"/>
                <w:lang w:val="en-US" w:eastAsia="en-US" w:bidi="ar-SA"/>
              </w:rPr>
            </w:pPr>
            <w:r>
              <w:t>6分</w:t>
            </w:r>
          </w:p>
        </w:tc>
        <w:tc>
          <w:tcPr>
            <w:tcW w:w="5632" w:type="dxa"/>
            <w:shd w:val="clear" w:color="auto" w:fill="auto"/>
            <w:vAlign w:val="center"/>
          </w:tcPr>
          <w:p w14:paraId="413E71A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rPr>
                <w:rFonts w:ascii="Times New Roman" w:hAnsi="Times New Roman" w:eastAsia="宋体" w:cs="Times New Roman"/>
                <w:snapToGrid w:val="0"/>
                <w:color w:val="000000"/>
                <w:kern w:val="0"/>
                <w:sz w:val="24"/>
                <w:szCs w:val="24"/>
                <w:lang w:val="en-US" w:eastAsia="en-US" w:bidi="ar-SA"/>
              </w:rPr>
            </w:pPr>
            <w:r>
              <w:t>施工平面图应符合工程实际，布置紧凑，便于施工和管理并符合劳保、安全要求。满足要求，切实可行得6分；每有一处内容缺陷扣1分（缺陷是指：存在不适用项目实际情况的情形、凭空编造、内容前后不一致、前后逻辑错误、涉及的规范及标准错误、内容遗漏、不符合本项目实际需求）扣完为止。</w:t>
            </w:r>
          </w:p>
        </w:tc>
      </w:tr>
      <w:tr w14:paraId="4BACA4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22" w:type="dxa"/>
            <w:vAlign w:val="center"/>
          </w:tcPr>
          <w:p w14:paraId="52C7F4A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6</w:t>
            </w:r>
          </w:p>
        </w:tc>
        <w:tc>
          <w:tcPr>
            <w:tcW w:w="1582" w:type="dxa"/>
            <w:vAlign w:val="center"/>
          </w:tcPr>
          <w:p w14:paraId="67C977F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劳动力需用量计划</w:t>
            </w:r>
          </w:p>
        </w:tc>
        <w:tc>
          <w:tcPr>
            <w:tcW w:w="961" w:type="dxa"/>
            <w:vAlign w:val="center"/>
          </w:tcPr>
          <w:p w14:paraId="3C233E8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5分</w:t>
            </w:r>
          </w:p>
        </w:tc>
        <w:tc>
          <w:tcPr>
            <w:tcW w:w="5632" w:type="dxa"/>
            <w:vMerge w:val="restart"/>
            <w:vAlign w:val="center"/>
          </w:tcPr>
          <w:p w14:paraId="71374BA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需用量计划应是根据工程进度计划的安排计算出的，并与工程进度计划相一致。满足要求，切实可行每项可得5分；每项每有一处内容缺陷扣1分（缺陷是指：存在不适用项目实际情况的情形、凭空编造、内容前后不一致、前后逻辑错误、涉及的规范及标准错误、内容遗漏、不符合本项目实际需求）扣完为止；不提供不得分。</w:t>
            </w:r>
          </w:p>
        </w:tc>
      </w:tr>
      <w:tr w14:paraId="7C12FB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22" w:type="dxa"/>
            <w:vAlign w:val="center"/>
          </w:tcPr>
          <w:p w14:paraId="624135A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7</w:t>
            </w:r>
          </w:p>
        </w:tc>
        <w:tc>
          <w:tcPr>
            <w:tcW w:w="1582" w:type="dxa"/>
            <w:vAlign w:val="center"/>
          </w:tcPr>
          <w:p w14:paraId="333C54E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材料需用量计划</w:t>
            </w:r>
          </w:p>
        </w:tc>
        <w:tc>
          <w:tcPr>
            <w:tcW w:w="961" w:type="dxa"/>
            <w:vAlign w:val="center"/>
          </w:tcPr>
          <w:p w14:paraId="1EB9A77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5分</w:t>
            </w:r>
          </w:p>
        </w:tc>
        <w:tc>
          <w:tcPr>
            <w:tcW w:w="5632" w:type="dxa"/>
            <w:vMerge w:val="continue"/>
            <w:vAlign w:val="center"/>
          </w:tcPr>
          <w:p w14:paraId="7F98B56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p>
        </w:tc>
      </w:tr>
      <w:tr w14:paraId="63C5D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22" w:type="dxa"/>
            <w:vAlign w:val="center"/>
          </w:tcPr>
          <w:p w14:paraId="11AFC75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8</w:t>
            </w:r>
          </w:p>
        </w:tc>
        <w:tc>
          <w:tcPr>
            <w:tcW w:w="1582" w:type="dxa"/>
            <w:vAlign w:val="center"/>
          </w:tcPr>
          <w:p w14:paraId="343D352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机械需用量计划</w:t>
            </w:r>
          </w:p>
        </w:tc>
        <w:tc>
          <w:tcPr>
            <w:tcW w:w="961" w:type="dxa"/>
            <w:vAlign w:val="center"/>
          </w:tcPr>
          <w:p w14:paraId="222A8AE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5分</w:t>
            </w:r>
          </w:p>
        </w:tc>
        <w:tc>
          <w:tcPr>
            <w:tcW w:w="5632" w:type="dxa"/>
            <w:vMerge w:val="continue"/>
            <w:vAlign w:val="center"/>
          </w:tcPr>
          <w:p w14:paraId="1DA2CEE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p>
        </w:tc>
      </w:tr>
      <w:tr w14:paraId="15244E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22" w:type="dxa"/>
            <w:shd w:val="clear" w:color="auto" w:fill="auto"/>
            <w:vAlign w:val="center"/>
          </w:tcPr>
          <w:p w14:paraId="112E1B5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rFonts w:ascii="Times New Roman" w:hAnsi="Times New Roman" w:eastAsia="宋体" w:cs="Times New Roman"/>
                <w:snapToGrid w:val="0"/>
                <w:color w:val="000000"/>
                <w:kern w:val="0"/>
                <w:sz w:val="24"/>
                <w:szCs w:val="24"/>
                <w:lang w:val="en-US" w:eastAsia="en-US" w:bidi="ar-SA"/>
              </w:rPr>
            </w:pPr>
            <w:r>
              <w:t>9</w:t>
            </w:r>
          </w:p>
        </w:tc>
        <w:tc>
          <w:tcPr>
            <w:tcW w:w="1582" w:type="dxa"/>
            <w:shd w:val="clear" w:color="auto" w:fill="auto"/>
            <w:vAlign w:val="center"/>
          </w:tcPr>
          <w:p w14:paraId="124A615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rFonts w:ascii="Times New Roman" w:hAnsi="Times New Roman" w:eastAsia="宋体" w:cs="Times New Roman"/>
                <w:snapToGrid w:val="0"/>
                <w:color w:val="000000"/>
                <w:kern w:val="0"/>
                <w:sz w:val="24"/>
                <w:szCs w:val="24"/>
                <w:lang w:val="en-US" w:eastAsia="en-US" w:bidi="ar-SA"/>
              </w:rPr>
            </w:pPr>
            <w:r>
              <w:t>质量保证措施和体系</w:t>
            </w:r>
          </w:p>
        </w:tc>
        <w:tc>
          <w:tcPr>
            <w:tcW w:w="961" w:type="dxa"/>
            <w:shd w:val="clear" w:color="auto" w:fill="auto"/>
            <w:vAlign w:val="center"/>
          </w:tcPr>
          <w:p w14:paraId="0527DE7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rFonts w:ascii="Times New Roman" w:hAnsi="Times New Roman" w:eastAsia="宋体" w:cs="Times New Roman"/>
                <w:snapToGrid w:val="0"/>
                <w:color w:val="000000"/>
                <w:kern w:val="0"/>
                <w:sz w:val="24"/>
                <w:szCs w:val="24"/>
                <w:lang w:val="en-US" w:eastAsia="en-US" w:bidi="ar-SA"/>
              </w:rPr>
            </w:pPr>
            <w:r>
              <w:t>5分</w:t>
            </w:r>
          </w:p>
        </w:tc>
        <w:tc>
          <w:tcPr>
            <w:tcW w:w="5632" w:type="dxa"/>
            <w:vMerge w:val="restart"/>
            <w:vAlign w:val="center"/>
          </w:tcPr>
          <w:p w14:paraId="6C40BBB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保证措施应符合科学的施工规律、国家规定的强制性标准并有针对性，同时要符合实际情况。满足要求，充分合理、切实可行每项可得5分；每项每有一处内容缺陷扣1分（缺陷是指：存在不适用项目实际情况的情形、凭空编造、内容前后不一致、前后逻辑错误、涉及的规范及标准错误、内容遗漏、不符合本项目实际需求）扣完为止；不提供不得分。</w:t>
            </w:r>
          </w:p>
        </w:tc>
      </w:tr>
      <w:tr w14:paraId="778075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22" w:type="dxa"/>
            <w:shd w:val="clear" w:color="auto" w:fill="auto"/>
            <w:vAlign w:val="center"/>
          </w:tcPr>
          <w:p w14:paraId="1B4806F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rFonts w:ascii="Times New Roman" w:hAnsi="Times New Roman" w:eastAsia="宋体" w:cs="Times New Roman"/>
                <w:snapToGrid w:val="0"/>
                <w:color w:val="000000"/>
                <w:kern w:val="0"/>
                <w:sz w:val="24"/>
                <w:szCs w:val="24"/>
                <w:lang w:val="en-US" w:eastAsia="en-US" w:bidi="ar-SA"/>
              </w:rPr>
            </w:pPr>
            <w:r>
              <w:t>10</w:t>
            </w:r>
          </w:p>
        </w:tc>
        <w:tc>
          <w:tcPr>
            <w:tcW w:w="1582" w:type="dxa"/>
            <w:shd w:val="clear" w:color="auto" w:fill="auto"/>
            <w:vAlign w:val="center"/>
          </w:tcPr>
          <w:p w14:paraId="76545AD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rFonts w:ascii="Times New Roman" w:hAnsi="Times New Roman" w:eastAsia="宋体" w:cs="Times New Roman"/>
                <w:snapToGrid w:val="0"/>
                <w:color w:val="000000"/>
                <w:kern w:val="0"/>
                <w:sz w:val="24"/>
                <w:szCs w:val="24"/>
                <w:lang w:val="en-US" w:eastAsia="en-US" w:bidi="ar-SA"/>
              </w:rPr>
            </w:pPr>
            <w:r>
              <w:t>进度保证措施和体系</w:t>
            </w:r>
          </w:p>
        </w:tc>
        <w:tc>
          <w:tcPr>
            <w:tcW w:w="961" w:type="dxa"/>
            <w:shd w:val="clear" w:color="auto" w:fill="auto"/>
            <w:vAlign w:val="center"/>
          </w:tcPr>
          <w:p w14:paraId="180CA12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rFonts w:ascii="Times New Roman" w:hAnsi="Times New Roman" w:eastAsia="宋体" w:cs="Times New Roman"/>
                <w:snapToGrid w:val="0"/>
                <w:color w:val="000000"/>
                <w:kern w:val="0"/>
                <w:sz w:val="24"/>
                <w:szCs w:val="24"/>
                <w:lang w:val="en-US" w:eastAsia="en-US" w:bidi="ar-SA"/>
              </w:rPr>
            </w:pPr>
            <w:r>
              <w:t>5分</w:t>
            </w:r>
          </w:p>
        </w:tc>
        <w:tc>
          <w:tcPr>
            <w:tcW w:w="5632" w:type="dxa"/>
            <w:vMerge w:val="continue"/>
            <w:vAlign w:val="center"/>
          </w:tcPr>
          <w:p w14:paraId="2927345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p>
        </w:tc>
      </w:tr>
      <w:tr w14:paraId="3534EA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22" w:type="dxa"/>
            <w:shd w:val="clear" w:color="auto" w:fill="auto"/>
            <w:vAlign w:val="center"/>
          </w:tcPr>
          <w:p w14:paraId="7432832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rFonts w:ascii="Times New Roman" w:hAnsi="Times New Roman" w:eastAsia="宋体" w:cs="Times New Roman"/>
                <w:snapToGrid w:val="0"/>
                <w:color w:val="000000"/>
                <w:kern w:val="0"/>
                <w:sz w:val="24"/>
                <w:szCs w:val="24"/>
                <w:lang w:val="en-US" w:eastAsia="en-US" w:bidi="ar-SA"/>
              </w:rPr>
            </w:pPr>
            <w:r>
              <w:t>11</w:t>
            </w:r>
          </w:p>
        </w:tc>
        <w:tc>
          <w:tcPr>
            <w:tcW w:w="1582" w:type="dxa"/>
            <w:shd w:val="clear" w:color="auto" w:fill="auto"/>
            <w:vAlign w:val="center"/>
          </w:tcPr>
          <w:p w14:paraId="288AD38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rFonts w:ascii="Times New Roman" w:hAnsi="Times New Roman" w:eastAsia="宋体" w:cs="Times New Roman"/>
                <w:snapToGrid w:val="0"/>
                <w:color w:val="000000"/>
                <w:kern w:val="0"/>
                <w:sz w:val="24"/>
                <w:szCs w:val="24"/>
                <w:lang w:val="en-US" w:eastAsia="en-US" w:bidi="ar-SA"/>
              </w:rPr>
            </w:pPr>
            <w:r>
              <w:t>安全保证措施和体系</w:t>
            </w:r>
          </w:p>
        </w:tc>
        <w:tc>
          <w:tcPr>
            <w:tcW w:w="961" w:type="dxa"/>
            <w:shd w:val="clear" w:color="auto" w:fill="auto"/>
            <w:vAlign w:val="center"/>
          </w:tcPr>
          <w:p w14:paraId="66DD357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rFonts w:ascii="Times New Roman" w:hAnsi="Times New Roman" w:eastAsia="宋体" w:cs="Times New Roman"/>
                <w:snapToGrid w:val="0"/>
                <w:color w:val="000000"/>
                <w:kern w:val="0"/>
                <w:sz w:val="24"/>
                <w:szCs w:val="24"/>
                <w:lang w:val="en-US" w:eastAsia="en-US" w:bidi="ar-SA"/>
              </w:rPr>
            </w:pPr>
            <w:r>
              <w:t>5分</w:t>
            </w:r>
          </w:p>
        </w:tc>
        <w:tc>
          <w:tcPr>
            <w:tcW w:w="5632" w:type="dxa"/>
            <w:vMerge w:val="continue"/>
            <w:vAlign w:val="center"/>
          </w:tcPr>
          <w:p w14:paraId="28EC3A2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p>
        </w:tc>
      </w:tr>
      <w:tr w14:paraId="0E7B67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22" w:type="dxa"/>
            <w:vAlign w:val="center"/>
          </w:tcPr>
          <w:p w14:paraId="4435EBA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12</w:t>
            </w:r>
          </w:p>
        </w:tc>
        <w:tc>
          <w:tcPr>
            <w:tcW w:w="1582" w:type="dxa"/>
            <w:vAlign w:val="center"/>
          </w:tcPr>
          <w:p w14:paraId="488F18A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现场文明施工</w:t>
            </w:r>
          </w:p>
        </w:tc>
        <w:tc>
          <w:tcPr>
            <w:tcW w:w="961" w:type="dxa"/>
            <w:vAlign w:val="center"/>
          </w:tcPr>
          <w:p w14:paraId="1D690AC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2分</w:t>
            </w:r>
          </w:p>
        </w:tc>
        <w:tc>
          <w:tcPr>
            <w:tcW w:w="5632" w:type="dxa"/>
            <w:vAlign w:val="center"/>
          </w:tcPr>
          <w:p w14:paraId="64827C3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根据投标供应商提供的现场文明施工措施方案进行综合打分：方案符合工程实际情况，切实可行得2分；方案基本符合工程实际情况，切实可行得1分；无方案不得分。</w:t>
            </w:r>
          </w:p>
        </w:tc>
      </w:tr>
      <w:tr w14:paraId="1C54A0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22" w:type="dxa"/>
            <w:vAlign w:val="center"/>
          </w:tcPr>
          <w:p w14:paraId="24F689B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bookmarkStart w:id="29" w:name="_GoBack" w:colFirst="1" w:colLast="3"/>
            <w:r>
              <w:t>13</w:t>
            </w:r>
          </w:p>
        </w:tc>
        <w:tc>
          <w:tcPr>
            <w:tcW w:w="1582" w:type="dxa"/>
            <w:vAlign w:val="center"/>
          </w:tcPr>
          <w:p w14:paraId="5BBD30A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施工现场扬尘防治方案</w:t>
            </w:r>
          </w:p>
        </w:tc>
        <w:tc>
          <w:tcPr>
            <w:tcW w:w="961" w:type="dxa"/>
            <w:vAlign w:val="center"/>
          </w:tcPr>
          <w:p w14:paraId="3A9D368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2分</w:t>
            </w:r>
          </w:p>
        </w:tc>
        <w:tc>
          <w:tcPr>
            <w:tcW w:w="5632" w:type="dxa"/>
            <w:vAlign w:val="center"/>
          </w:tcPr>
          <w:p w14:paraId="53BB95F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left"/>
              <w:textAlignment w:val="baseline"/>
            </w:pPr>
            <w:r>
              <w:t>根据《建筑工程施工现场扬尘污染防治标准》（XJJ119-2020）文件要求编制施工现场扬尘防治方案得2分。</w:t>
            </w:r>
          </w:p>
        </w:tc>
      </w:tr>
      <w:bookmarkEnd w:id="29"/>
      <w:tr w14:paraId="029A62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3365" w:type="dxa"/>
            <w:gridSpan w:val="3"/>
            <w:vAlign w:val="center"/>
          </w:tcPr>
          <w:p w14:paraId="7DA308B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合计</w:t>
            </w:r>
          </w:p>
        </w:tc>
        <w:tc>
          <w:tcPr>
            <w:tcW w:w="5632" w:type="dxa"/>
            <w:vAlign w:val="center"/>
          </w:tcPr>
          <w:p w14:paraId="1F448F0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60分</w:t>
            </w:r>
          </w:p>
        </w:tc>
      </w:tr>
    </w:tbl>
    <w:p w14:paraId="350720CC">
      <w:pPr>
        <w:keepNext w:val="0"/>
        <w:keepLines w:val="0"/>
        <w:pageBreakBefore w:val="0"/>
        <w:widowControl/>
        <w:kinsoku w:val="0"/>
        <w:wordWrap w:val="0"/>
        <w:overflowPunct/>
        <w:topLinePunct w:val="0"/>
        <w:autoSpaceDE w:val="0"/>
        <w:autoSpaceDN w:val="0"/>
        <w:bidi w:val="0"/>
        <w:adjustRightInd w:val="0"/>
        <w:snapToGrid w:val="0"/>
        <w:spacing w:before="0" w:beforeLines="50"/>
        <w:ind w:left="0" w:leftChars="0" w:firstLine="0" w:firstLineChars="0"/>
        <w:jc w:val="center"/>
        <w:textAlignment w:val="baseline"/>
        <w:outlineLvl w:val="2"/>
        <w:rPr>
          <w:rFonts w:ascii="宋体" w:hAnsi="宋体" w:eastAsia="宋体" w:cs="宋体"/>
          <w:sz w:val="24"/>
          <w:szCs w:val="24"/>
          <w:highlight w:val="yellow"/>
        </w:rPr>
      </w:pPr>
      <w:r>
        <w:rPr>
          <w:rFonts w:ascii="Times New Roman" w:hAnsi="Times New Roman" w:eastAsia="宋体" w:cs="Times New Roman"/>
          <w:b/>
          <w:bCs/>
          <w:sz w:val="28"/>
          <w:szCs w:val="28"/>
          <w:highlight w:val="none"/>
        </w:rPr>
        <w:t>报价部分评分标准</w:t>
      </w:r>
    </w:p>
    <w:p w14:paraId="786EBA60">
      <w:pPr>
        <w:spacing w:line="68" w:lineRule="exact"/>
      </w:pPr>
    </w:p>
    <w:tbl>
      <w:tblPr>
        <w:tblStyle w:val="10"/>
        <w:tblW w:w="903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3"/>
        <w:gridCol w:w="1242"/>
        <w:gridCol w:w="6806"/>
      </w:tblGrid>
      <w:tr w14:paraId="154650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83" w:type="dxa"/>
            <w:vAlign w:val="center"/>
          </w:tcPr>
          <w:p w14:paraId="1280073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b/>
                <w:bCs/>
              </w:rPr>
            </w:pPr>
            <w:r>
              <w:rPr>
                <w:b/>
                <w:bCs/>
              </w:rPr>
              <w:t>序号</w:t>
            </w:r>
          </w:p>
        </w:tc>
        <w:tc>
          <w:tcPr>
            <w:tcW w:w="1242" w:type="dxa"/>
            <w:vAlign w:val="center"/>
          </w:tcPr>
          <w:p w14:paraId="167FC9D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b/>
                <w:bCs/>
              </w:rPr>
            </w:pPr>
            <w:r>
              <w:rPr>
                <w:b/>
                <w:bCs/>
              </w:rPr>
              <w:t>评审项目</w:t>
            </w:r>
          </w:p>
        </w:tc>
        <w:tc>
          <w:tcPr>
            <w:tcW w:w="6806" w:type="dxa"/>
            <w:vAlign w:val="center"/>
          </w:tcPr>
          <w:p w14:paraId="2337C8E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rPr>
                <w:b/>
                <w:bCs/>
              </w:rPr>
            </w:pPr>
            <w:r>
              <w:rPr>
                <w:b/>
                <w:bCs/>
              </w:rPr>
              <w:t>评分标准</w:t>
            </w:r>
          </w:p>
        </w:tc>
      </w:tr>
      <w:tr w14:paraId="01BFFB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83" w:type="dxa"/>
            <w:vAlign w:val="center"/>
          </w:tcPr>
          <w:p w14:paraId="0B2A5D2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1</w:t>
            </w:r>
          </w:p>
        </w:tc>
        <w:tc>
          <w:tcPr>
            <w:tcW w:w="1242" w:type="dxa"/>
            <w:vAlign w:val="center"/>
          </w:tcPr>
          <w:p w14:paraId="7FCB9A8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投标报价</w:t>
            </w:r>
          </w:p>
        </w:tc>
        <w:tc>
          <w:tcPr>
            <w:tcW w:w="6806" w:type="dxa"/>
            <w:vAlign w:val="top"/>
          </w:tcPr>
          <w:p w14:paraId="052C548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pPr>
            <w:r>
              <w:t>评标基准价即满足磋商文件要求且投标价格最低的投标报价。投标报价得分=（评标基准价/投标报价）×</w:t>
            </w:r>
            <w:r>
              <w:rPr>
                <w:rFonts w:hint="eastAsia"/>
                <w:lang w:val="en-US" w:eastAsia="zh-CN"/>
              </w:rPr>
              <w:t>2</w:t>
            </w:r>
            <w:r>
              <w:t>0×100%</w:t>
            </w:r>
          </w:p>
        </w:tc>
      </w:tr>
      <w:tr w14:paraId="460131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83" w:type="dxa"/>
            <w:vAlign w:val="center"/>
          </w:tcPr>
          <w:p w14:paraId="3E5BCDB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政府采</w:t>
            </w:r>
          </w:p>
          <w:p w14:paraId="71333FC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购价格</w:t>
            </w:r>
          </w:p>
          <w:p w14:paraId="74022DB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折扣优</w:t>
            </w:r>
          </w:p>
          <w:p w14:paraId="5E94E85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惠政策</w:t>
            </w:r>
          </w:p>
          <w:p w14:paraId="6121F20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说明</w:t>
            </w:r>
          </w:p>
        </w:tc>
        <w:tc>
          <w:tcPr>
            <w:tcW w:w="1242" w:type="dxa"/>
            <w:vAlign w:val="center"/>
          </w:tcPr>
          <w:p w14:paraId="71896FA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jc w:val="center"/>
              <w:textAlignment w:val="baseline"/>
            </w:pPr>
            <w:r>
              <w:t>中小企业</w:t>
            </w:r>
          </w:p>
        </w:tc>
        <w:tc>
          <w:tcPr>
            <w:tcW w:w="6806" w:type="dxa"/>
            <w:vAlign w:val="top"/>
          </w:tcPr>
          <w:p w14:paraId="06C66B0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pPr>
            <w:r>
              <w:t>专门面向中小企业采购的项目或者采购包，不再执行价格评审优惠的扶持政策。</w:t>
            </w:r>
          </w:p>
        </w:tc>
      </w:tr>
    </w:tbl>
    <w:p w14:paraId="0AB3161D">
      <w:pPr>
        <w:keepNext w:val="0"/>
        <w:keepLines w:val="0"/>
        <w:pageBreakBefore w:val="0"/>
        <w:widowControl/>
        <w:kinsoku w:val="0"/>
        <w:wordWrap w:val="0"/>
        <w:overflowPunct/>
        <w:topLinePunct w:val="0"/>
        <w:autoSpaceDE w:val="0"/>
        <w:autoSpaceDN w:val="0"/>
        <w:bidi w:val="0"/>
        <w:adjustRightInd w:val="0"/>
        <w:snapToGrid w:val="0"/>
        <w:spacing w:before="0" w:beforeLines="50"/>
        <w:textAlignment w:val="baseline"/>
      </w:pPr>
      <w:r>
        <w:t>4.5.3供应商总分=报价部分得分+技术部分+商务部分得分，结果保留两位小数。</w:t>
      </w:r>
    </w:p>
    <w:p w14:paraId="09123F81">
      <w:pPr>
        <w:bidi w:val="0"/>
      </w:pPr>
      <w:r>
        <w:t>5.废标</w:t>
      </w:r>
    </w:p>
    <w:p w14:paraId="3094FE50">
      <w:pPr>
        <w:bidi w:val="0"/>
      </w:pPr>
      <w:r>
        <w:t>本次政府采购活动中，出现下列情形之一的，予以废标：</w:t>
      </w:r>
    </w:p>
    <w:p w14:paraId="4068223F">
      <w:pPr>
        <w:bidi w:val="0"/>
      </w:pPr>
      <w:r>
        <w:t>（1）符合专业条件的供应商或者对磋商文件作实质响应的供应商不足三家的；</w:t>
      </w:r>
    </w:p>
    <w:p w14:paraId="16A03C4A">
      <w:pPr>
        <w:bidi w:val="0"/>
      </w:pPr>
      <w:r>
        <w:t>（2）出现影响采购公正的违法、违规行为的；</w:t>
      </w:r>
    </w:p>
    <w:p w14:paraId="38B6E184">
      <w:pPr>
        <w:bidi w:val="0"/>
      </w:pPr>
      <w:r>
        <w:t>（3）供应商的报价均超过了采购预算，采购人不能支付的；</w:t>
      </w:r>
    </w:p>
    <w:p w14:paraId="044615FD">
      <w:pPr>
        <w:bidi w:val="0"/>
      </w:pPr>
      <w:r>
        <w:t>（4）因重大变故，采购任务取消的。</w:t>
      </w:r>
    </w:p>
    <w:p w14:paraId="5CE9592E">
      <w:pPr>
        <w:bidi w:val="0"/>
      </w:pPr>
      <w:r>
        <w:t>废标后，采购代理机构应在发布采购公告的媒体上发布废标公告，并公告废标的详细理由。</w:t>
      </w:r>
    </w:p>
    <w:p w14:paraId="18E94874">
      <w:pPr>
        <w:bidi w:val="0"/>
      </w:pPr>
      <w:r>
        <w:t>6.定标</w:t>
      </w:r>
    </w:p>
    <w:p w14:paraId="5B505A3A">
      <w:pPr>
        <w:bidi w:val="0"/>
      </w:pPr>
      <w:r>
        <w:t>6.1.定标原则：本项目根据磋商小组推荐的成交候选人名单，按顺序确定成交人。6.2.定标程序</w:t>
      </w:r>
    </w:p>
    <w:p w14:paraId="62C39F52">
      <w:pPr>
        <w:bidi w:val="0"/>
      </w:pPr>
      <w:r>
        <w:t>6.2.1磋商小组将评标情况写出书面报告，推荐成交候选人，并按照综合得分高低标明排列顺序。本项目采用综合评分法，评标结果按评审后得分由高到低顺序排列。得分相同的，按投标报价由低到高顺序排列。得分且投标报价相同的排序并列。</w:t>
      </w:r>
    </w:p>
    <w:p w14:paraId="6A778E12">
      <w:pPr>
        <w:bidi w:val="0"/>
      </w:pPr>
      <w:r>
        <w:t>6.2.2采购代理机构在评标结束后两个工作日内将评标报告送至采购人。</w:t>
      </w:r>
    </w:p>
    <w:p w14:paraId="357D6501">
      <w:pPr>
        <w:bidi w:val="0"/>
      </w:pPr>
      <w:r>
        <w:t>6.2.3采购人应当自收到评审报告之日起5个工作日内在评审报告推荐的成交候选人中按顺序确定成交供应商。</w:t>
      </w:r>
    </w:p>
    <w:p w14:paraId="44842357">
      <w:pPr>
        <w:bidi w:val="0"/>
      </w:pPr>
      <w:r>
        <w:t>6.2.4根据采购人确定的成交人，采购人在采购公告发布的媒体上发布成交公告，同时向成交人发出成交通知书。</w:t>
      </w:r>
    </w:p>
    <w:p w14:paraId="34EDAB1B">
      <w:pPr>
        <w:bidi w:val="0"/>
      </w:pPr>
      <w:r>
        <w:t>6.2.5采购单位不退回响应文件和其他投标资料。</w:t>
      </w:r>
    </w:p>
    <w:p w14:paraId="31A0CF32">
      <w:pPr>
        <w:bidi w:val="0"/>
      </w:pPr>
      <w:r>
        <w:t>7.评标专家在政府采购活动中承担以下义务：</w:t>
      </w:r>
    </w:p>
    <w:p w14:paraId="79AE8E42">
      <w:pPr>
        <w:bidi w:val="0"/>
      </w:pPr>
      <w:r>
        <w:t>7.1遵纪守法，客观、公正、廉洁地履行职责。</w:t>
      </w:r>
    </w:p>
    <w:p w14:paraId="39B4A7E1">
      <w:pPr>
        <w:bidi w:val="0"/>
      </w:pPr>
      <w:r>
        <w:t>7.2按照政府采购法律法规和采购文件的规定要求对供应商的资格条件和供应商提供的产品价格、技术、服务等方面严格进行评判，提供科学合理、公平公正的评审意见，参与起草评审报告，并予签字确认。</w:t>
      </w:r>
    </w:p>
    <w:p w14:paraId="35B9D172">
      <w:pPr>
        <w:bidi w:val="0"/>
      </w:pPr>
      <w:r>
        <w:t>7.3保守秘密。不得透露采购文件咨询情况，不得泄漏供应商的响应文件及知悉的商业秘密，不得向供应商透露评审情况。</w:t>
      </w:r>
    </w:p>
    <w:p w14:paraId="554555C9">
      <w:pPr>
        <w:bidi w:val="0"/>
      </w:pPr>
      <w:r>
        <w:t>7.4发现供应商在政府采购活动中有不正当竞争或恶意串通等违规行为，及时向政府采购评审工作的组织者或财政部门报告并加以制止。</w:t>
      </w:r>
    </w:p>
    <w:p w14:paraId="587C1CD3">
      <w:pPr>
        <w:bidi w:val="0"/>
      </w:pPr>
      <w:r>
        <w:t>发现采购人、政府采购代理机构及其工作人员在政府采购活动中有干预评审、发表倾向性和歧视性言论、受贿或者接受供应商的其他好处及其他违法违规行为，及时向财政部门报告。</w:t>
      </w:r>
    </w:p>
    <w:p w14:paraId="22C59F9E">
      <w:pPr>
        <w:bidi w:val="0"/>
      </w:pPr>
      <w:r>
        <w:t>7.5解答有关方面对政府采购评审工作中有关问题的询问，配合采购人或者政府采购代理机构答复供应商质疑，配合财政部门的投诉处理工作等事宜。</w:t>
      </w:r>
    </w:p>
    <w:p w14:paraId="79C9E564">
      <w:pPr>
        <w:bidi w:val="0"/>
      </w:pPr>
      <w:r>
        <w:t>7.6法律、法规和规章规定的其他义务。</w:t>
      </w:r>
    </w:p>
    <w:p w14:paraId="41300D65">
      <w:pPr>
        <w:bidi w:val="0"/>
      </w:pPr>
      <w:r>
        <w:t>8.评审专家在政府采购活动中应当遵守以下工作纪律：</w:t>
      </w:r>
    </w:p>
    <w:p w14:paraId="12E7A6C5">
      <w:pPr>
        <w:bidi w:val="0"/>
      </w:pPr>
      <w:r>
        <w:t>8.1应邀按时参加评审和咨询活动。遇特殊情况不能出席或途中遇阻不能按时参加评审或咨询的，应及时告知财政部门或者采购人或者政府采购代理机构，不得私自转托他人。</w:t>
      </w:r>
    </w:p>
    <w:p w14:paraId="21426FF9">
      <w:pPr>
        <w:bidi w:val="0"/>
      </w:pPr>
      <w:r>
        <w:t>8.2不得参加与自己有利害关系的政府采购项目的评审活动。对与自己有利害关系的评审项目，如受到邀请，应主动提出回避。财政部门、采购人或政府采购代理机构也可要求该评审专家回避。</w:t>
      </w:r>
    </w:p>
    <w:p w14:paraId="4EDE2213">
      <w:pPr>
        <w:bidi w:val="0"/>
      </w:pPr>
      <w:r>
        <w:t>有利害关系主要是指三年内曾在参加该采购项目供应商中任职(包括一般工作)或担任顾问，配偶或直系亲属在参加该采购项目的供应商中任职或担任顾问，与参加该采购项目供应商发生过法律纠纷，以及其他可能影响公正评审的情况。</w:t>
      </w:r>
    </w:p>
    <w:p w14:paraId="314FD45F">
      <w:pPr>
        <w:bidi w:val="0"/>
      </w:pPr>
      <w:r>
        <w:t>8.3评审或咨询过程中关闭通讯设备，不得与外界联系。因发生不可预见情况，确实需要与外界联系的，应当有在场工作人员陪同。</w:t>
      </w:r>
    </w:p>
    <w:p w14:paraId="4AE948E3">
      <w:pPr>
        <w:bidi w:val="0"/>
      </w:pPr>
      <w:r>
        <w:t>8.4评审过程中，不得发表影响评审公正的倾向性、歧视性言论；不得征询或者接受采购人的倾向性意见；不得以任何明示或暗示的方式要求参加该采购项目的供应商以澄清、说明或补正为借口，表达与其原响应文件原意不同的新意见；不得以采购文件没有规定的方法和标准作为评审的依据；不得违反规定的评审格式评分和撰写评审意见；不得拒绝对自己的评审意见签字确认。</w:t>
      </w:r>
    </w:p>
    <w:p w14:paraId="6129B353">
      <w:pPr>
        <w:bidi w:val="0"/>
      </w:pPr>
      <w:r>
        <w:t>8.5在咨询工作中，严格执行国家产业政策和产品标准，认真听取咨询方的合理要求，提出科学合理的、无倾向性和歧视性的咨询方案，并对所提出的意见和建议承担个人责任。</w:t>
      </w:r>
    </w:p>
    <w:p w14:paraId="01013058">
      <w:pPr>
        <w:bidi w:val="0"/>
      </w:pPr>
      <w:r>
        <w:t>9.保密和披露</w:t>
      </w:r>
    </w:p>
    <w:p w14:paraId="669A24DA">
      <w:pPr>
        <w:bidi w:val="0"/>
      </w:pPr>
      <w:r>
        <w:t>9.1投标人自领取磋商文件之日起，须承担本招标项目保密义务，不得将因本次招标获得的信息向第三人外传。由采购人向投标人提供的图纸、详细资料、样品、模型、模件和所有其它资料，被视为保密资料，仅被用于它所规定的用途。除非得到采购人的同意，不能向任何第三方透露。开标结束后，应采购人要求，投标人应归还所有从采购人处获得的保密资料。</w:t>
      </w:r>
    </w:p>
    <w:p w14:paraId="6251B5A8">
      <w:pPr>
        <w:bidi w:val="0"/>
      </w:pPr>
      <w:r>
        <w:t>9.2采购代理机构有权将投标人提供的所有资料向有关政府部门或评审标书的有关人员披露。</w:t>
      </w:r>
    </w:p>
    <w:p w14:paraId="6CD3702E">
      <w:pPr>
        <w:bidi w:val="0"/>
        <w:rPr>
          <w:rFonts w:ascii="宋体" w:hAnsi="宋体" w:eastAsia="宋体" w:cs="宋体"/>
          <w:szCs w:val="24"/>
        </w:rPr>
      </w:pPr>
      <w:r>
        <w:t>9.3在采购代理机构认为适当时、国家机关调查、审查、审计时以及其他符合法律规定的情形下，采购代理机构无须事先征求投标人同意而可以披露关于采购过程、合同文本、签署情况的资料、投标人的名称及地址、响应文件的有关信息以及补充条款等，但应当在合理的必要范围内。对任何已经公布过的内容或与之内容相同的资料，以及投标人已经泄露或公开的，无须再承担保密责任。</w:t>
      </w:r>
    </w:p>
    <w:p w14:paraId="3C6D6C59">
      <w:pPr>
        <w:spacing w:line="259" w:lineRule="auto"/>
      </w:pPr>
    </w:p>
    <w:p w14:paraId="03B6C6C9">
      <w:pPr>
        <w:spacing w:line="260" w:lineRule="auto"/>
      </w:pPr>
    </w:p>
    <w:p w14:paraId="6708A162">
      <w:pPr>
        <w:spacing w:line="260" w:lineRule="auto"/>
      </w:pPr>
    </w:p>
    <w:p w14:paraId="33E949B2">
      <w:pPr>
        <w:spacing w:line="260" w:lineRule="auto"/>
      </w:pPr>
    </w:p>
    <w:p w14:paraId="1CE75FC5">
      <w:pPr>
        <w:spacing w:line="260" w:lineRule="auto"/>
      </w:pPr>
    </w:p>
    <w:p w14:paraId="17B8E99D">
      <w:pPr>
        <w:spacing w:line="260" w:lineRule="auto"/>
      </w:pPr>
    </w:p>
    <w:p w14:paraId="420BDCA8">
      <w:pPr>
        <w:spacing w:line="260" w:lineRule="auto"/>
      </w:pPr>
    </w:p>
    <w:p w14:paraId="676EFAD2">
      <w:pPr>
        <w:spacing w:line="260" w:lineRule="auto"/>
      </w:pPr>
    </w:p>
    <w:p w14:paraId="2BF53202">
      <w:pPr>
        <w:spacing w:line="260" w:lineRule="auto"/>
      </w:pPr>
    </w:p>
    <w:p w14:paraId="0C7B0DF7">
      <w:pPr>
        <w:spacing w:line="260" w:lineRule="auto"/>
      </w:pPr>
    </w:p>
    <w:p w14:paraId="1A5D870D">
      <w:pPr>
        <w:spacing w:line="260" w:lineRule="auto"/>
      </w:pPr>
    </w:p>
    <w:p w14:paraId="1406F99F">
      <w:pPr>
        <w:spacing w:line="260" w:lineRule="auto"/>
      </w:pPr>
    </w:p>
    <w:p w14:paraId="10DB81E0">
      <w:pPr>
        <w:spacing w:line="260" w:lineRule="auto"/>
      </w:pPr>
    </w:p>
    <w:p w14:paraId="0DC2C77E">
      <w:pPr>
        <w:spacing w:line="260" w:lineRule="auto"/>
      </w:pPr>
    </w:p>
    <w:p w14:paraId="30A7C28E">
      <w:pPr>
        <w:spacing w:line="260" w:lineRule="auto"/>
      </w:pPr>
    </w:p>
    <w:p w14:paraId="5D7A4E0A">
      <w:pPr>
        <w:spacing w:line="260" w:lineRule="auto"/>
      </w:pPr>
    </w:p>
    <w:p w14:paraId="3EA3E92F">
      <w:pPr>
        <w:spacing w:line="260" w:lineRule="auto"/>
      </w:pPr>
    </w:p>
    <w:p w14:paraId="392C9452">
      <w:pPr>
        <w:spacing w:line="260" w:lineRule="auto"/>
      </w:pPr>
    </w:p>
    <w:p w14:paraId="7E210C10">
      <w:pPr>
        <w:spacing w:line="260" w:lineRule="auto"/>
      </w:pPr>
    </w:p>
    <w:p w14:paraId="3B5943AA">
      <w:pPr>
        <w:spacing w:line="260" w:lineRule="auto"/>
      </w:pPr>
    </w:p>
    <w:p w14:paraId="1FEC6DB9">
      <w:pPr>
        <w:spacing w:line="260" w:lineRule="auto"/>
      </w:pPr>
    </w:p>
    <w:p w14:paraId="289F6BFF">
      <w:pPr>
        <w:spacing w:line="260" w:lineRule="auto"/>
      </w:pPr>
    </w:p>
    <w:p w14:paraId="495CEBB4">
      <w:pPr>
        <w:spacing w:line="260" w:lineRule="auto"/>
      </w:pPr>
    </w:p>
    <w:p w14:paraId="15779131">
      <w:pPr>
        <w:spacing w:line="260" w:lineRule="auto"/>
      </w:pPr>
    </w:p>
    <w:p w14:paraId="4C0CA990">
      <w:pPr>
        <w:pStyle w:val="2"/>
        <w:bidi w:val="0"/>
        <w:rPr>
          <w:rFonts w:ascii="宋体" w:hAnsi="宋体" w:eastAsia="宋体" w:cs="宋体"/>
          <w:szCs w:val="28"/>
        </w:rPr>
      </w:pPr>
      <w:bookmarkStart w:id="24" w:name="_Toc21203"/>
      <w:r>
        <w:t>第七章</w:t>
      </w:r>
      <w:r>
        <w:rPr>
          <w:rFonts w:hint="eastAsia"/>
          <w:lang w:val="en-US" w:eastAsia="zh-CN"/>
        </w:rPr>
        <w:t xml:space="preserve">  </w:t>
      </w:r>
      <w:r>
        <w:t>合同主要条款</w:t>
      </w:r>
      <w:bookmarkEnd w:id="24"/>
    </w:p>
    <w:p w14:paraId="3AC9DFB0">
      <w:pPr>
        <w:bidi w:val="0"/>
        <w:ind w:left="0" w:leftChars="0" w:firstLine="0" w:firstLineChars="0"/>
        <w:rPr>
          <w:rFonts w:ascii="宋体" w:hAnsi="宋体" w:eastAsia="宋体" w:cs="宋体"/>
          <w:sz w:val="32"/>
          <w:szCs w:val="32"/>
        </w:rPr>
      </w:pPr>
      <w:r>
        <w:rPr>
          <w:rFonts w:ascii="宋体" w:hAnsi="宋体" w:eastAsia="宋体" w:cs="宋体"/>
          <w:spacing w:val="-2"/>
          <w:sz w:val="32"/>
          <w:szCs w:val="32"/>
        </w:rPr>
        <w:t>（</w:t>
      </w:r>
      <w:r>
        <w:rPr>
          <w:rFonts w:ascii="Times New Roman" w:hAnsi="Times New Roman" w:eastAsia="Times New Roman" w:cs="Times New Roman"/>
          <w:spacing w:val="-2"/>
          <w:sz w:val="32"/>
          <w:szCs w:val="32"/>
        </w:rPr>
        <w:t>GF</w:t>
      </w:r>
      <w:r>
        <w:rPr>
          <w:rFonts w:ascii="宋体" w:hAnsi="宋体" w:eastAsia="宋体" w:cs="宋体"/>
          <w:spacing w:val="-2"/>
          <w:sz w:val="32"/>
          <w:szCs w:val="32"/>
        </w:rPr>
        <w:t>—</w:t>
      </w:r>
      <w:r>
        <w:rPr>
          <w:rFonts w:ascii="Times New Roman" w:hAnsi="Times New Roman" w:eastAsia="Times New Roman" w:cs="Times New Roman"/>
          <w:spacing w:val="-2"/>
          <w:sz w:val="32"/>
          <w:szCs w:val="32"/>
        </w:rPr>
        <w:t>2017</w:t>
      </w:r>
      <w:r>
        <w:rPr>
          <w:rFonts w:ascii="宋体" w:hAnsi="宋体" w:eastAsia="宋体" w:cs="宋体"/>
          <w:spacing w:val="-2"/>
          <w:sz w:val="32"/>
          <w:szCs w:val="32"/>
        </w:rPr>
        <w:t>—</w:t>
      </w:r>
      <w:r>
        <w:rPr>
          <w:rFonts w:ascii="Times New Roman" w:hAnsi="Times New Roman" w:eastAsia="Times New Roman" w:cs="Times New Roman"/>
          <w:spacing w:val="-2"/>
          <w:sz w:val="32"/>
          <w:szCs w:val="32"/>
        </w:rPr>
        <w:t>0201</w:t>
      </w:r>
      <w:r>
        <w:rPr>
          <w:rFonts w:ascii="宋体" w:hAnsi="宋体" w:eastAsia="宋体" w:cs="宋体"/>
          <w:spacing w:val="-2"/>
          <w:sz w:val="32"/>
          <w:szCs w:val="32"/>
        </w:rPr>
        <w:t>）</w:t>
      </w:r>
    </w:p>
    <w:p w14:paraId="77EC528D">
      <w:pPr>
        <w:spacing w:line="258" w:lineRule="auto"/>
      </w:pPr>
    </w:p>
    <w:p w14:paraId="538348A4">
      <w:pPr>
        <w:spacing w:line="258" w:lineRule="auto"/>
      </w:pPr>
    </w:p>
    <w:p w14:paraId="435D1FE8">
      <w:pPr>
        <w:spacing w:line="258" w:lineRule="auto"/>
      </w:pPr>
    </w:p>
    <w:p w14:paraId="6A23C9F6">
      <w:pPr>
        <w:spacing w:line="259" w:lineRule="auto"/>
        <w:ind w:left="0" w:leftChars="0" w:firstLine="0" w:firstLineChars="0"/>
      </w:pPr>
    </w:p>
    <w:p w14:paraId="2AD86873">
      <w:pPr>
        <w:spacing w:line="259" w:lineRule="auto"/>
        <w:ind w:left="0" w:leftChars="0" w:firstLine="0" w:firstLineChars="0"/>
      </w:pPr>
    </w:p>
    <w:p w14:paraId="7212D1DC">
      <w:pPr>
        <w:spacing w:line="259" w:lineRule="auto"/>
        <w:ind w:left="0" w:leftChars="0" w:firstLine="0" w:firstLineChars="0"/>
      </w:pPr>
    </w:p>
    <w:p w14:paraId="4162C3E3">
      <w:pPr>
        <w:spacing w:line="259" w:lineRule="auto"/>
        <w:ind w:left="0" w:leftChars="0" w:firstLine="0" w:firstLineChars="0"/>
      </w:pPr>
    </w:p>
    <w:p w14:paraId="3E318794">
      <w:pPr>
        <w:spacing w:before="234" w:line="220" w:lineRule="auto"/>
        <w:ind w:left="0" w:leftChars="0" w:firstLine="0" w:firstLineChars="0"/>
        <w:jc w:val="center"/>
        <w:rPr>
          <w:rFonts w:ascii="宋体" w:hAnsi="宋体" w:eastAsia="宋体" w:cs="宋体"/>
          <w:sz w:val="72"/>
          <w:szCs w:val="72"/>
        </w:rPr>
      </w:pPr>
      <w:r>
        <w:rPr>
          <w:rFonts w:ascii="宋体" w:hAnsi="宋体" w:eastAsia="宋体" w:cs="宋体"/>
          <w:b/>
          <w:bCs/>
          <w:spacing w:val="-10"/>
          <w:sz w:val="72"/>
          <w:szCs w:val="72"/>
        </w:rPr>
        <w:t>建设工程施工合同</w:t>
      </w:r>
    </w:p>
    <w:p w14:paraId="29E88680">
      <w:pPr>
        <w:spacing w:before="174" w:line="219" w:lineRule="auto"/>
        <w:ind w:left="0" w:leftChars="0" w:firstLine="0" w:firstLineChars="0"/>
        <w:jc w:val="center"/>
        <w:rPr>
          <w:rFonts w:ascii="宋体" w:hAnsi="宋体" w:eastAsia="宋体" w:cs="宋体"/>
          <w:sz w:val="52"/>
          <w:szCs w:val="52"/>
        </w:rPr>
      </w:pPr>
      <w:r>
        <w:rPr>
          <w:rFonts w:ascii="宋体" w:hAnsi="宋体" w:eastAsia="宋体" w:cs="宋体"/>
          <w:b/>
          <w:bCs/>
          <w:spacing w:val="-10"/>
          <w:sz w:val="52"/>
          <w:szCs w:val="52"/>
        </w:rPr>
        <w:t>（示范文本）</w:t>
      </w:r>
    </w:p>
    <w:p w14:paraId="3AE07CE3">
      <w:pPr>
        <w:spacing w:line="268" w:lineRule="auto"/>
      </w:pPr>
    </w:p>
    <w:p w14:paraId="57D97F4E">
      <w:pPr>
        <w:spacing w:line="268" w:lineRule="auto"/>
      </w:pPr>
    </w:p>
    <w:p w14:paraId="0EB07763">
      <w:pPr>
        <w:spacing w:line="268" w:lineRule="auto"/>
      </w:pPr>
    </w:p>
    <w:p w14:paraId="61DCE08E">
      <w:pPr>
        <w:spacing w:line="268" w:lineRule="auto"/>
      </w:pPr>
    </w:p>
    <w:p w14:paraId="36A94A41">
      <w:pPr>
        <w:spacing w:line="268" w:lineRule="auto"/>
      </w:pPr>
    </w:p>
    <w:p w14:paraId="6C0465FE">
      <w:pPr>
        <w:spacing w:line="268" w:lineRule="auto"/>
      </w:pPr>
    </w:p>
    <w:p w14:paraId="5EC88014">
      <w:pPr>
        <w:spacing w:line="268" w:lineRule="auto"/>
      </w:pPr>
    </w:p>
    <w:p w14:paraId="4283EC7B">
      <w:pPr>
        <w:spacing w:line="268" w:lineRule="auto"/>
      </w:pPr>
    </w:p>
    <w:p w14:paraId="32DBC84B">
      <w:pPr>
        <w:spacing w:line="268" w:lineRule="auto"/>
      </w:pPr>
    </w:p>
    <w:p w14:paraId="345BD040">
      <w:pPr>
        <w:spacing w:line="268" w:lineRule="auto"/>
      </w:pPr>
    </w:p>
    <w:p w14:paraId="7EE502F1">
      <w:pPr>
        <w:spacing w:line="268" w:lineRule="auto"/>
      </w:pPr>
    </w:p>
    <w:p w14:paraId="39E74DBF">
      <w:pPr>
        <w:spacing w:line="268" w:lineRule="auto"/>
      </w:pPr>
    </w:p>
    <w:p w14:paraId="40494C38">
      <w:pPr>
        <w:spacing w:line="268" w:lineRule="auto"/>
      </w:pPr>
    </w:p>
    <w:p w14:paraId="36E9B339">
      <w:pPr>
        <w:spacing w:line="268" w:lineRule="auto"/>
      </w:pPr>
    </w:p>
    <w:p w14:paraId="3BE78CD6">
      <w:pPr>
        <w:spacing w:line="268" w:lineRule="auto"/>
      </w:pPr>
    </w:p>
    <w:p w14:paraId="138A7F36">
      <w:pPr>
        <w:spacing w:line="268" w:lineRule="auto"/>
      </w:pPr>
    </w:p>
    <w:p w14:paraId="3CD50790">
      <w:pPr>
        <w:spacing w:line="268" w:lineRule="auto"/>
      </w:pPr>
    </w:p>
    <w:p w14:paraId="086D7F7C">
      <w:pPr>
        <w:spacing w:line="268" w:lineRule="auto"/>
        <w:ind w:left="0" w:leftChars="0" w:firstLine="0" w:firstLineChars="0"/>
      </w:pPr>
    </w:p>
    <w:p w14:paraId="07CB5EA7">
      <w:pPr>
        <w:spacing w:line="268" w:lineRule="auto"/>
      </w:pPr>
    </w:p>
    <w:p w14:paraId="09E9A45E">
      <w:pPr>
        <w:spacing w:line="268" w:lineRule="auto"/>
      </w:pPr>
    </w:p>
    <w:p w14:paraId="74AD9703">
      <w:pPr>
        <w:spacing w:line="268" w:lineRule="auto"/>
      </w:pPr>
    </w:p>
    <w:p w14:paraId="58C24568">
      <w:pPr>
        <w:spacing w:line="268" w:lineRule="auto"/>
      </w:pPr>
    </w:p>
    <w:p w14:paraId="6FC4C070">
      <w:pPr>
        <w:spacing w:line="268" w:lineRule="auto"/>
      </w:pPr>
    </w:p>
    <w:p w14:paraId="1FCADA07">
      <w:pPr>
        <w:spacing w:line="268" w:lineRule="auto"/>
      </w:pPr>
    </w:p>
    <w:p w14:paraId="004ACCAB">
      <w:pPr>
        <w:spacing w:line="268" w:lineRule="auto"/>
      </w:pPr>
    </w:p>
    <w:p w14:paraId="6CC38796">
      <w:pPr>
        <w:spacing w:line="268" w:lineRule="auto"/>
      </w:pPr>
    </w:p>
    <w:p w14:paraId="61BA558D">
      <w:pPr>
        <w:spacing w:line="268" w:lineRule="auto"/>
      </w:pPr>
    </w:p>
    <w:p w14:paraId="110992AA">
      <w:pPr>
        <w:pStyle w:val="3"/>
        <w:bidi w:val="0"/>
      </w:pPr>
      <w:bookmarkStart w:id="25" w:name="_Toc13257"/>
      <w:r>
        <w:t>第一部分</w:t>
      </w:r>
      <w:r>
        <w:rPr>
          <w:rFonts w:hint="eastAsia"/>
          <w:lang w:val="en-US" w:eastAsia="zh-CN"/>
        </w:rPr>
        <w:t xml:space="preserve">  </w:t>
      </w:r>
      <w:r>
        <w:t>合同协议书</w:t>
      </w:r>
      <w:bookmarkEnd w:id="25"/>
    </w:p>
    <w:p w14:paraId="11CDD522">
      <w:pPr>
        <w:bidi w:val="0"/>
      </w:pPr>
      <w:r>
        <w:t>发包人（全称）：</w:t>
      </w:r>
    </w:p>
    <w:p w14:paraId="0E448DF1">
      <w:pPr>
        <w:bidi w:val="0"/>
        <w:rPr>
          <w:rFonts w:hint="eastAsia"/>
          <w:lang w:eastAsia="zh-CN"/>
        </w:rPr>
      </w:pPr>
      <w:r>
        <w:t>承包人（全称）：</w:t>
      </w:r>
    </w:p>
    <w:p w14:paraId="02B16F7C">
      <w:pPr>
        <w:bidi w:val="0"/>
      </w:pPr>
      <w:r>
        <w:t>根据《中华人民共和国民法典》、《中华人民共和国建筑法》及有关法律规定，遵循平等、自愿、公平和诚实信用的原则，双方就</w:t>
      </w:r>
      <w:r>
        <w:rPr>
          <w:rFonts w:hint="eastAsia"/>
          <w:u w:val="single"/>
          <w:lang w:val="en-US" w:eastAsia="zh-CN"/>
        </w:rPr>
        <w:t xml:space="preserve">                           </w:t>
      </w:r>
      <w:r>
        <w:t>工程施工及有关事项协商一致，共同达成如下协议：</w:t>
      </w:r>
    </w:p>
    <w:p w14:paraId="6ED8D69C">
      <w:pPr>
        <w:bidi w:val="0"/>
      </w:pPr>
      <w:r>
        <w:t>一、工程概况</w:t>
      </w:r>
    </w:p>
    <w:p w14:paraId="0EDF3F9E">
      <w:pPr>
        <w:bidi w:val="0"/>
      </w:pPr>
      <w:r>
        <w:t>1.工程名称：</w:t>
      </w:r>
      <w:r>
        <w:rPr>
          <w:rFonts w:hint="eastAsia"/>
          <w:u w:val="single"/>
          <w:lang w:val="en-US" w:eastAsia="zh-CN"/>
        </w:rPr>
        <w:t xml:space="preserve">                                      </w:t>
      </w:r>
      <w:r>
        <w:rPr>
          <w:rFonts w:hint="eastAsia"/>
          <w:lang w:val="en-US" w:eastAsia="zh-CN"/>
        </w:rPr>
        <w:t xml:space="preserve"> </w:t>
      </w:r>
      <w:r>
        <w:t>。</w:t>
      </w:r>
    </w:p>
    <w:p w14:paraId="1DC9EE6E">
      <w:pPr>
        <w:bidi w:val="0"/>
      </w:pPr>
      <w:r>
        <w:t>2.工程地点：</w:t>
      </w:r>
      <w:r>
        <w:rPr>
          <w:rFonts w:hint="eastAsia"/>
          <w:u w:val="single"/>
          <w:lang w:val="en-US" w:eastAsia="zh-CN"/>
        </w:rPr>
        <w:t xml:space="preserve">                                      </w:t>
      </w:r>
      <w:r>
        <w:rPr>
          <w:rFonts w:hint="eastAsia"/>
          <w:lang w:val="en-US" w:eastAsia="zh-CN"/>
        </w:rPr>
        <w:t xml:space="preserve"> </w:t>
      </w:r>
      <w:r>
        <w:t>。</w:t>
      </w:r>
    </w:p>
    <w:p w14:paraId="3BFE63BE">
      <w:pPr>
        <w:bidi w:val="0"/>
      </w:pPr>
      <w:r>
        <w:t>3.工程立项批准文号：</w:t>
      </w:r>
      <w:r>
        <w:rPr>
          <w:rFonts w:hint="eastAsia"/>
          <w:u w:val="single"/>
          <w:lang w:val="en-US" w:eastAsia="zh-CN"/>
        </w:rPr>
        <w:t xml:space="preserve">                       </w:t>
      </w:r>
      <w:r>
        <w:t>。</w:t>
      </w:r>
    </w:p>
    <w:p w14:paraId="68243383">
      <w:pPr>
        <w:bidi w:val="0"/>
      </w:pPr>
      <w:r>
        <w:t>4.资金来源：</w:t>
      </w:r>
      <w:r>
        <w:rPr>
          <w:rFonts w:hint="eastAsia"/>
          <w:u w:val="single"/>
          <w:lang w:val="en-US" w:eastAsia="zh-CN"/>
        </w:rPr>
        <w:t xml:space="preserve">                                      </w:t>
      </w:r>
      <w:r>
        <w:rPr>
          <w:rFonts w:hint="eastAsia"/>
          <w:lang w:val="en-US" w:eastAsia="zh-CN"/>
        </w:rPr>
        <w:t xml:space="preserve"> </w:t>
      </w:r>
      <w:r>
        <w:t>。</w:t>
      </w:r>
    </w:p>
    <w:p w14:paraId="08054EAA">
      <w:pPr>
        <w:bidi w:val="0"/>
      </w:pPr>
      <w:r>
        <w:t>5.工程内容：</w:t>
      </w:r>
      <w:r>
        <w:rPr>
          <w:rFonts w:hint="eastAsia"/>
          <w:u w:val="single"/>
          <w:lang w:val="en-US" w:eastAsia="zh-CN"/>
        </w:rPr>
        <w:t xml:space="preserve">                                      </w:t>
      </w:r>
      <w:r>
        <w:rPr>
          <w:rFonts w:hint="eastAsia"/>
          <w:lang w:val="en-US" w:eastAsia="zh-CN"/>
        </w:rPr>
        <w:t xml:space="preserve"> </w:t>
      </w:r>
      <w:r>
        <w:t>。</w:t>
      </w:r>
    </w:p>
    <w:p w14:paraId="36C1A203">
      <w:pPr>
        <w:bidi w:val="0"/>
      </w:pPr>
      <w:r>
        <w:t>群体工程应附《承包人承揽工程项目一览表》（附件1）。</w:t>
      </w:r>
    </w:p>
    <w:p w14:paraId="57FA46C4">
      <w:pPr>
        <w:bidi w:val="0"/>
      </w:pPr>
      <w:r>
        <w:t>6.工程承包范围：</w:t>
      </w:r>
      <w:r>
        <w:rPr>
          <w:rFonts w:hint="eastAsia"/>
          <w:u w:val="single"/>
          <w:lang w:val="en-US" w:eastAsia="zh-CN"/>
        </w:rPr>
        <w:t xml:space="preserve">                              </w:t>
      </w:r>
      <w:r>
        <w:rPr>
          <w:rFonts w:hint="eastAsia"/>
          <w:u w:val="none"/>
          <w:lang w:val="en-US" w:eastAsia="zh-CN"/>
        </w:rPr>
        <w:t xml:space="preserve"> </w:t>
      </w:r>
      <w:r>
        <w:t>。</w:t>
      </w:r>
    </w:p>
    <w:p w14:paraId="373625C8">
      <w:pPr>
        <w:bidi w:val="0"/>
      </w:pPr>
      <w:r>
        <w:t>二、合同工期</w:t>
      </w:r>
    </w:p>
    <w:p w14:paraId="3805E67B">
      <w:pPr>
        <w:bidi w:val="0"/>
      </w:pPr>
      <w:r>
        <w:t>计划开工日期：</w:t>
      </w:r>
      <w:r>
        <w:rPr>
          <w:rFonts w:hint="eastAsia"/>
          <w:u w:val="single"/>
          <w:lang w:val="en-US" w:eastAsia="zh-CN"/>
        </w:rPr>
        <w:t xml:space="preserve">          </w:t>
      </w:r>
      <w:r>
        <w:t>年</w:t>
      </w:r>
      <w:r>
        <w:rPr>
          <w:rFonts w:hint="eastAsia"/>
          <w:u w:val="single"/>
          <w:lang w:val="en-US" w:eastAsia="zh-CN"/>
        </w:rPr>
        <w:t xml:space="preserve">          </w:t>
      </w:r>
      <w:r>
        <w:t>月</w:t>
      </w:r>
      <w:r>
        <w:rPr>
          <w:rFonts w:hint="eastAsia"/>
          <w:u w:val="single"/>
          <w:lang w:val="en-US" w:eastAsia="zh-CN"/>
        </w:rPr>
        <w:t xml:space="preserve">          </w:t>
      </w:r>
      <w:r>
        <w:t>日。</w:t>
      </w:r>
    </w:p>
    <w:p w14:paraId="23D40CC6">
      <w:pPr>
        <w:bidi w:val="0"/>
      </w:pPr>
      <w:r>
        <w:t>计划竣工日期：</w:t>
      </w:r>
      <w:r>
        <w:rPr>
          <w:rFonts w:hint="eastAsia"/>
          <w:u w:val="single"/>
          <w:lang w:val="en-US" w:eastAsia="zh-CN"/>
        </w:rPr>
        <w:t xml:space="preserve">          </w:t>
      </w:r>
      <w:r>
        <w:t>年</w:t>
      </w:r>
      <w:r>
        <w:rPr>
          <w:rFonts w:hint="eastAsia"/>
          <w:u w:val="single"/>
          <w:lang w:val="en-US" w:eastAsia="zh-CN"/>
        </w:rPr>
        <w:t xml:space="preserve">          </w:t>
      </w:r>
      <w:r>
        <w:t>月</w:t>
      </w:r>
      <w:r>
        <w:rPr>
          <w:rFonts w:hint="eastAsia"/>
          <w:u w:val="single"/>
          <w:lang w:val="en-US" w:eastAsia="zh-CN"/>
        </w:rPr>
        <w:t xml:space="preserve">          </w:t>
      </w:r>
      <w:r>
        <w:t>日。</w:t>
      </w:r>
    </w:p>
    <w:p w14:paraId="37007497">
      <w:pPr>
        <w:bidi w:val="0"/>
      </w:pPr>
      <w:r>
        <w:t>工期总日历天数：</w:t>
      </w:r>
      <w:r>
        <w:rPr>
          <w:rFonts w:hint="eastAsia"/>
          <w:u w:val="single"/>
          <w:lang w:val="en-US" w:eastAsia="zh-CN"/>
        </w:rPr>
        <w:t xml:space="preserve">          </w:t>
      </w:r>
      <w:r>
        <w:t>天。</w:t>
      </w:r>
    </w:p>
    <w:p w14:paraId="2AE48EA0">
      <w:pPr>
        <w:bidi w:val="0"/>
      </w:pPr>
      <w:r>
        <w:t>工期总日历天数与根据前述计划开竣工日期计算的工期天数不一致的，以工期总日历天数为准。</w:t>
      </w:r>
    </w:p>
    <w:p w14:paraId="51EBFFDC">
      <w:pPr>
        <w:bidi w:val="0"/>
      </w:pPr>
      <w:r>
        <w:t>三、质量标准</w:t>
      </w:r>
    </w:p>
    <w:p w14:paraId="0E0189FC">
      <w:pPr>
        <w:bidi w:val="0"/>
      </w:pPr>
      <w:r>
        <w:t>工程质量符合标准。</w:t>
      </w:r>
    </w:p>
    <w:p w14:paraId="5D1835FA">
      <w:pPr>
        <w:bidi w:val="0"/>
      </w:pPr>
      <w:r>
        <w:t>四、签约合同价与合同价格形式</w:t>
      </w:r>
    </w:p>
    <w:p w14:paraId="38DC9ECA">
      <w:pPr>
        <w:bidi w:val="0"/>
      </w:pPr>
      <w:r>
        <w:t>1.签约合同价为：</w:t>
      </w:r>
    </w:p>
    <w:p w14:paraId="605C3C6A">
      <w:pPr>
        <w:bidi w:val="0"/>
      </w:pPr>
      <w:r>
        <w:t>人民币（大写）(¥元)；其中：</w:t>
      </w:r>
    </w:p>
    <w:p w14:paraId="266DA288">
      <w:pPr>
        <w:bidi w:val="0"/>
      </w:pPr>
      <w:r>
        <w:t>（1）安全文明施工费：</w:t>
      </w:r>
    </w:p>
    <w:p w14:paraId="19A865DD">
      <w:pPr>
        <w:bidi w:val="0"/>
      </w:pPr>
      <w:r>
        <w:t>人民币（大写）(¥元)；</w:t>
      </w:r>
    </w:p>
    <w:p w14:paraId="7AF6A79C">
      <w:pPr>
        <w:bidi w:val="0"/>
      </w:pPr>
      <w:r>
        <w:t>（2）材料和工程设备暂估价金额：</w:t>
      </w:r>
    </w:p>
    <w:p w14:paraId="563651D4">
      <w:pPr>
        <w:bidi w:val="0"/>
      </w:pPr>
      <w:r>
        <w:t>人民币（大写）(¥元)；</w:t>
      </w:r>
    </w:p>
    <w:p w14:paraId="2C8C8397">
      <w:pPr>
        <w:bidi w:val="0"/>
      </w:pPr>
      <w:r>
        <w:t>（3）专业工程暂估价金额：</w:t>
      </w:r>
    </w:p>
    <w:p w14:paraId="4ED76C6B">
      <w:pPr>
        <w:bidi w:val="0"/>
      </w:pPr>
      <w:r>
        <w:t>人民币（大写）(¥元)；</w:t>
      </w:r>
    </w:p>
    <w:p w14:paraId="0CAE33D9">
      <w:pPr>
        <w:bidi w:val="0"/>
      </w:pPr>
      <w:r>
        <w:t>（4）暂列金额：</w:t>
      </w:r>
    </w:p>
    <w:p w14:paraId="34D6EF2B">
      <w:pPr>
        <w:bidi w:val="0"/>
      </w:pPr>
      <w:r>
        <w:t>人民币（大写）(¥元)。</w:t>
      </w:r>
    </w:p>
    <w:p w14:paraId="45C50244">
      <w:pPr>
        <w:bidi w:val="0"/>
      </w:pPr>
      <w:r>
        <w:t>2.合同价格形式：</w:t>
      </w:r>
      <w:r>
        <w:rPr>
          <w:rFonts w:hint="eastAsia"/>
          <w:u w:val="single"/>
          <w:lang w:val="en-US" w:eastAsia="zh-CN"/>
        </w:rPr>
        <w:t xml:space="preserve">                   </w:t>
      </w:r>
      <w:r>
        <w:t>。</w:t>
      </w:r>
    </w:p>
    <w:p w14:paraId="5FED664B">
      <w:pPr>
        <w:bidi w:val="0"/>
      </w:pPr>
      <w:r>
        <w:t>五、项目经理</w:t>
      </w:r>
    </w:p>
    <w:p w14:paraId="4DFFDAE9">
      <w:pPr>
        <w:bidi w:val="0"/>
      </w:pPr>
      <w:r>
        <w:t>承包人项目经理：</w:t>
      </w:r>
      <w:r>
        <w:rPr>
          <w:rFonts w:hint="eastAsia"/>
          <w:u w:val="single"/>
          <w:lang w:val="en-US" w:eastAsia="zh-CN"/>
        </w:rPr>
        <w:t xml:space="preserve">                   </w:t>
      </w:r>
      <w:r>
        <w:t>。</w:t>
      </w:r>
    </w:p>
    <w:p w14:paraId="480B1F31">
      <w:pPr>
        <w:bidi w:val="0"/>
      </w:pPr>
      <w:r>
        <w:t>六、合同文件构成</w:t>
      </w:r>
    </w:p>
    <w:p w14:paraId="23DF0BB7">
      <w:pPr>
        <w:bidi w:val="0"/>
      </w:pPr>
      <w:r>
        <w:t>本协议书与下列文件一起构成合同文件：</w:t>
      </w:r>
    </w:p>
    <w:p w14:paraId="6E9C0BE8">
      <w:pPr>
        <w:bidi w:val="0"/>
      </w:pPr>
      <w:r>
        <w:t>（1）</w:t>
      </w:r>
      <w:r>
        <w:rPr>
          <w:rFonts w:hint="eastAsia"/>
          <w:lang w:eastAsia="zh-CN"/>
        </w:rPr>
        <w:t>中标</w:t>
      </w:r>
      <w:r>
        <w:t>通知书（如果有）；</w:t>
      </w:r>
    </w:p>
    <w:p w14:paraId="5A7EEBD6">
      <w:pPr>
        <w:bidi w:val="0"/>
      </w:pPr>
      <w:r>
        <w:t>（2）投标函及其附录（如果有）；</w:t>
      </w:r>
    </w:p>
    <w:p w14:paraId="0EC32512">
      <w:pPr>
        <w:bidi w:val="0"/>
      </w:pPr>
      <w:r>
        <w:t>（3）专用合同条款及其附件；</w:t>
      </w:r>
    </w:p>
    <w:p w14:paraId="0623BFCC">
      <w:pPr>
        <w:bidi w:val="0"/>
      </w:pPr>
      <w:r>
        <w:t>（4）通用合同条款；</w:t>
      </w:r>
    </w:p>
    <w:p w14:paraId="44F268CF">
      <w:pPr>
        <w:bidi w:val="0"/>
      </w:pPr>
      <w:r>
        <w:t>（5）技术标准和要求；</w:t>
      </w:r>
    </w:p>
    <w:p w14:paraId="155F8A9C">
      <w:pPr>
        <w:bidi w:val="0"/>
      </w:pPr>
      <w:r>
        <w:t>（6）图纸；</w:t>
      </w:r>
    </w:p>
    <w:p w14:paraId="3E838C93">
      <w:pPr>
        <w:bidi w:val="0"/>
      </w:pPr>
      <w:r>
        <w:t>（7）已标价工程量清单或预算书；</w:t>
      </w:r>
    </w:p>
    <w:p w14:paraId="4B66FF11">
      <w:pPr>
        <w:bidi w:val="0"/>
      </w:pPr>
      <w:r>
        <w:t>（8）其他合同文件。</w:t>
      </w:r>
    </w:p>
    <w:p w14:paraId="1DDF7854">
      <w:pPr>
        <w:bidi w:val="0"/>
      </w:pPr>
      <w:r>
        <w:t>在合同订立及履行过程中形成的与合同有关的文件均构成合同文件组成部分。</w:t>
      </w:r>
    </w:p>
    <w:p w14:paraId="28975924">
      <w:pPr>
        <w:bidi w:val="0"/>
      </w:pPr>
      <w:r>
        <w:t>上述各项合同文件包括合同当事人就该项合同文件所作出的补充和修改，属于同一类内容的文件，应以最新签署的为准。专用合同条款及其附件须经合同当事人签字或盖章。</w:t>
      </w:r>
    </w:p>
    <w:p w14:paraId="7F89A300">
      <w:pPr>
        <w:bidi w:val="0"/>
      </w:pPr>
      <w:r>
        <w:t>七、承诺</w:t>
      </w:r>
    </w:p>
    <w:p w14:paraId="72FADD73">
      <w:pPr>
        <w:bidi w:val="0"/>
      </w:pPr>
      <w:r>
        <w:t>1.发包人承诺按照法律规定履行项目审批手续、筹集工程建设资金并按照合同约定的期限和方式支付合同价款。</w:t>
      </w:r>
    </w:p>
    <w:p w14:paraId="13039115">
      <w:pPr>
        <w:bidi w:val="0"/>
      </w:pPr>
      <w:r>
        <w:t>2.承包人承诺按照法律规定及合同约定组织完成工程施工，确保工程质量和安全，不进行转包及违法分包，并在缺陷责任期及保修期内承担相应的工程维修责任。</w:t>
      </w:r>
    </w:p>
    <w:p w14:paraId="3F75F314">
      <w:pPr>
        <w:bidi w:val="0"/>
      </w:pPr>
      <w:r>
        <w:t>3.发包人和承包人通过招投标形式签订合同的，双方理解并承诺不再就同一工程另行签订与合同实质性内容相背离的协议。</w:t>
      </w:r>
    </w:p>
    <w:p w14:paraId="6BE4B6C5">
      <w:pPr>
        <w:bidi w:val="0"/>
      </w:pPr>
      <w:r>
        <w:t>八、词语含义</w:t>
      </w:r>
    </w:p>
    <w:p w14:paraId="16FBD5E4">
      <w:pPr>
        <w:bidi w:val="0"/>
      </w:pPr>
      <w:r>
        <w:t>本协议书中词语含义与第二部分通用合同条款中赋予的含义相同。</w:t>
      </w:r>
    </w:p>
    <w:p w14:paraId="15D79894">
      <w:pPr>
        <w:bidi w:val="0"/>
      </w:pPr>
      <w:r>
        <w:t>九、签订时间</w:t>
      </w:r>
    </w:p>
    <w:p w14:paraId="7BB21B64">
      <w:pPr>
        <w:bidi w:val="0"/>
      </w:pPr>
      <w:r>
        <w:t>本合同于</w:t>
      </w:r>
      <w:r>
        <w:rPr>
          <w:rFonts w:hint="eastAsia"/>
          <w:u w:val="single"/>
          <w:lang w:val="en-US" w:eastAsia="zh-CN"/>
        </w:rPr>
        <w:t xml:space="preserve">          </w:t>
      </w:r>
      <w:r>
        <w:t>年</w:t>
      </w:r>
      <w:r>
        <w:rPr>
          <w:rFonts w:hint="eastAsia"/>
          <w:u w:val="single"/>
          <w:lang w:val="en-US" w:eastAsia="zh-CN"/>
        </w:rPr>
        <w:t xml:space="preserve">          </w:t>
      </w:r>
      <w:r>
        <w:t>月</w:t>
      </w:r>
      <w:r>
        <w:rPr>
          <w:rFonts w:hint="eastAsia"/>
          <w:u w:val="single"/>
          <w:lang w:val="en-US" w:eastAsia="zh-CN"/>
        </w:rPr>
        <w:t xml:space="preserve">          </w:t>
      </w:r>
      <w:r>
        <w:t>日签订。</w:t>
      </w:r>
    </w:p>
    <w:p w14:paraId="078B1744">
      <w:pPr>
        <w:bidi w:val="0"/>
      </w:pPr>
      <w:r>
        <w:t>十、签订地点</w:t>
      </w:r>
    </w:p>
    <w:p w14:paraId="443D7D6E">
      <w:pPr>
        <w:bidi w:val="0"/>
      </w:pPr>
      <w:r>
        <w:t>本合同在</w:t>
      </w:r>
      <w:r>
        <w:rPr>
          <w:rFonts w:hint="eastAsia"/>
          <w:u w:val="single"/>
          <w:lang w:val="en-US" w:eastAsia="zh-CN"/>
        </w:rPr>
        <w:t xml:space="preserve">                              </w:t>
      </w:r>
      <w:r>
        <w:rPr>
          <w:rFonts w:hint="eastAsia"/>
          <w:lang w:val="en-US" w:eastAsia="zh-CN"/>
        </w:rPr>
        <w:t xml:space="preserve"> </w:t>
      </w:r>
      <w:r>
        <w:t>签订。</w:t>
      </w:r>
    </w:p>
    <w:p w14:paraId="17E66E59">
      <w:pPr>
        <w:bidi w:val="0"/>
      </w:pPr>
      <w:r>
        <w:t>十一、补充协议</w:t>
      </w:r>
    </w:p>
    <w:p w14:paraId="15968D7B">
      <w:pPr>
        <w:bidi w:val="0"/>
      </w:pPr>
      <w:r>
        <w:t>合同未尽事宜，合同当事人另行签订补充协议，补充协议是合同的组成部分。</w:t>
      </w:r>
    </w:p>
    <w:p w14:paraId="23DBFCC9">
      <w:pPr>
        <w:bidi w:val="0"/>
      </w:pPr>
      <w:r>
        <w:t>十二、合同生效</w:t>
      </w:r>
    </w:p>
    <w:p w14:paraId="178BC403">
      <w:pPr>
        <w:bidi w:val="0"/>
      </w:pPr>
      <w:r>
        <w:t>本合同自生效。</w:t>
      </w:r>
    </w:p>
    <w:p w14:paraId="77969FF4">
      <w:pPr>
        <w:bidi w:val="0"/>
      </w:pPr>
      <w:r>
        <w:t>十三、合同份数</w:t>
      </w:r>
    </w:p>
    <w:p w14:paraId="23436D86">
      <w:pPr>
        <w:bidi w:val="0"/>
      </w:pPr>
      <w:r>
        <w:t>本合同一式</w:t>
      </w:r>
      <w:r>
        <w:rPr>
          <w:rFonts w:hint="eastAsia"/>
          <w:u w:val="single"/>
          <w:lang w:val="en-US" w:eastAsia="zh-CN"/>
        </w:rPr>
        <w:t xml:space="preserve">         </w:t>
      </w:r>
      <w:r>
        <w:t>份，均具有同等法律效力，发包人执</w:t>
      </w:r>
      <w:r>
        <w:rPr>
          <w:rFonts w:hint="eastAsia"/>
          <w:u w:val="single"/>
          <w:lang w:val="en-US" w:eastAsia="zh-CN"/>
        </w:rPr>
        <w:t xml:space="preserve">         </w:t>
      </w:r>
      <w:r>
        <w:t>份，承包人执</w:t>
      </w:r>
      <w:r>
        <w:rPr>
          <w:rFonts w:hint="eastAsia"/>
          <w:u w:val="single"/>
          <w:lang w:val="en-US" w:eastAsia="zh-CN"/>
        </w:rPr>
        <w:t xml:space="preserve">         </w:t>
      </w:r>
      <w:r>
        <w:t>份。</w:t>
      </w:r>
    </w:p>
    <w:p w14:paraId="284BBDE4">
      <w:pPr>
        <w:bidi w:val="0"/>
      </w:pPr>
      <w:r>
        <w:t>发包人：(公章)</w:t>
      </w:r>
      <w:r>
        <w:rPr>
          <w:rFonts w:hint="eastAsia"/>
          <w:lang w:val="en-US" w:eastAsia="zh-CN"/>
        </w:rPr>
        <w:t xml:space="preserve">                                                </w:t>
      </w:r>
      <w:r>
        <w:t>承包人：(公章)</w:t>
      </w:r>
    </w:p>
    <w:p w14:paraId="54315C29">
      <w:pPr>
        <w:bidi w:val="0"/>
      </w:pPr>
      <w:r>
        <w:t>法定代表人或其委托代理人：（签字）</w:t>
      </w:r>
      <w:r>
        <w:rPr>
          <w:rFonts w:hint="eastAsia"/>
          <w:lang w:val="en-US" w:eastAsia="zh-CN"/>
        </w:rPr>
        <w:t xml:space="preserve">       </w:t>
      </w:r>
      <w:r>
        <w:t>法定代表人或其委托代理人：（签字）</w:t>
      </w:r>
    </w:p>
    <w:p w14:paraId="4F1237CC">
      <w:pPr>
        <w:bidi w:val="0"/>
        <w:rPr>
          <w:rFonts w:hint="eastAsia"/>
          <w:lang w:eastAsia="zh-CN"/>
        </w:rPr>
      </w:pPr>
      <w:r>
        <w:t>组织机构代码：</w:t>
      </w:r>
      <w:r>
        <w:rPr>
          <w:rFonts w:hint="eastAsia"/>
          <w:lang w:val="en-US" w:eastAsia="zh-CN"/>
        </w:rPr>
        <w:t xml:space="preserve">                                               </w:t>
      </w:r>
      <w:r>
        <w:t>组织机构代码：</w:t>
      </w:r>
    </w:p>
    <w:p w14:paraId="43BE4FF8">
      <w:pPr>
        <w:bidi w:val="0"/>
        <w:rPr>
          <w:rFonts w:hint="eastAsia"/>
          <w:lang w:eastAsia="zh-CN"/>
        </w:rPr>
      </w:pPr>
      <w:r>
        <w:t>地址：</w:t>
      </w:r>
      <w:r>
        <w:rPr>
          <w:rFonts w:hint="eastAsia"/>
          <w:lang w:val="en-US" w:eastAsia="zh-CN"/>
        </w:rPr>
        <w:t xml:space="preserve">                                                               </w:t>
      </w:r>
      <w:r>
        <w:t>地址：</w:t>
      </w:r>
    </w:p>
    <w:p w14:paraId="75E68972">
      <w:pPr>
        <w:bidi w:val="0"/>
      </w:pPr>
      <w:r>
        <w:t>邮政编码：</w:t>
      </w:r>
      <w:r>
        <w:rPr>
          <w:rFonts w:hint="eastAsia"/>
          <w:lang w:val="en-US" w:eastAsia="zh-CN"/>
        </w:rPr>
        <w:t xml:space="preserve">                                                        </w:t>
      </w:r>
      <w:r>
        <w:t>邮政编码：</w:t>
      </w:r>
    </w:p>
    <w:p w14:paraId="61F6E06F">
      <w:pPr>
        <w:bidi w:val="0"/>
        <w:rPr>
          <w:rFonts w:hint="eastAsia"/>
          <w:lang w:eastAsia="zh-CN"/>
        </w:rPr>
      </w:pPr>
      <w:r>
        <w:t>法定代表人：</w:t>
      </w:r>
      <w:r>
        <w:rPr>
          <w:rFonts w:hint="eastAsia"/>
          <w:lang w:val="en-US" w:eastAsia="zh-CN"/>
        </w:rPr>
        <w:t xml:space="preserve">                                                   </w:t>
      </w:r>
      <w:r>
        <w:t>法定代表人：</w:t>
      </w:r>
    </w:p>
    <w:p w14:paraId="16006062">
      <w:pPr>
        <w:bidi w:val="0"/>
        <w:rPr>
          <w:rFonts w:hint="eastAsia"/>
          <w:lang w:eastAsia="zh-CN"/>
        </w:rPr>
      </w:pPr>
      <w:r>
        <w:t>委托代理人：</w:t>
      </w:r>
      <w:r>
        <w:rPr>
          <w:rFonts w:hint="eastAsia"/>
          <w:lang w:val="en-US" w:eastAsia="zh-CN"/>
        </w:rPr>
        <w:t xml:space="preserve">                                                   </w:t>
      </w:r>
      <w:r>
        <w:t>委托代理人：</w:t>
      </w:r>
    </w:p>
    <w:p w14:paraId="70EA2296">
      <w:pPr>
        <w:bidi w:val="0"/>
        <w:rPr>
          <w:rFonts w:hint="eastAsia"/>
          <w:lang w:eastAsia="zh-CN"/>
        </w:rPr>
      </w:pPr>
      <w:r>
        <w:t>电话：</w:t>
      </w:r>
      <w:r>
        <w:rPr>
          <w:rFonts w:hint="eastAsia"/>
          <w:lang w:val="en-US" w:eastAsia="zh-CN"/>
        </w:rPr>
        <w:t xml:space="preserve">                                                               </w:t>
      </w:r>
      <w:r>
        <w:t>电话：</w:t>
      </w:r>
    </w:p>
    <w:p w14:paraId="6197CBF0">
      <w:pPr>
        <w:bidi w:val="0"/>
        <w:rPr>
          <w:rFonts w:hint="eastAsia"/>
          <w:lang w:eastAsia="zh-CN"/>
        </w:rPr>
      </w:pPr>
      <w:r>
        <w:t>传真：</w:t>
      </w:r>
      <w:r>
        <w:rPr>
          <w:rFonts w:hint="eastAsia"/>
          <w:lang w:val="en-US" w:eastAsia="zh-CN"/>
        </w:rPr>
        <w:t xml:space="preserve">                                                                </w:t>
      </w:r>
      <w:r>
        <w:t>传真：</w:t>
      </w:r>
    </w:p>
    <w:p w14:paraId="06285BCE">
      <w:pPr>
        <w:bidi w:val="0"/>
        <w:rPr>
          <w:rFonts w:hint="eastAsia"/>
          <w:lang w:eastAsia="zh-CN"/>
        </w:rPr>
      </w:pPr>
      <w:r>
        <w:t>电子信箱：</w:t>
      </w:r>
      <w:r>
        <w:rPr>
          <w:rFonts w:hint="eastAsia"/>
          <w:lang w:val="en-US" w:eastAsia="zh-CN"/>
        </w:rPr>
        <w:t xml:space="preserve">                                                       </w:t>
      </w:r>
      <w:r>
        <w:t>电子信箱：</w:t>
      </w:r>
    </w:p>
    <w:p w14:paraId="1B2C5ED6">
      <w:pPr>
        <w:bidi w:val="0"/>
      </w:pPr>
      <w:r>
        <w:t>开户银行：</w:t>
      </w:r>
      <w:r>
        <w:rPr>
          <w:rFonts w:hint="eastAsia"/>
          <w:lang w:val="en-US" w:eastAsia="zh-CN"/>
        </w:rPr>
        <w:t xml:space="preserve">                                                        </w:t>
      </w:r>
      <w:r>
        <w:t>开户银行：</w:t>
      </w:r>
    </w:p>
    <w:p w14:paraId="5B5E0CDF">
      <w:pPr>
        <w:bidi w:val="0"/>
        <w:rPr>
          <w:rFonts w:hint="eastAsia"/>
          <w:lang w:eastAsia="zh-CN"/>
        </w:rPr>
      </w:pPr>
      <w:r>
        <w:t>账号：</w:t>
      </w:r>
      <w:r>
        <w:rPr>
          <w:rFonts w:hint="eastAsia"/>
          <w:lang w:val="en-US" w:eastAsia="zh-CN"/>
        </w:rPr>
        <w:t xml:space="preserve">                                                                </w:t>
      </w:r>
      <w:r>
        <w:t>账号：</w:t>
      </w:r>
    </w:p>
    <w:p w14:paraId="4C521A3B">
      <w:pPr>
        <w:spacing w:line="284" w:lineRule="auto"/>
      </w:pPr>
    </w:p>
    <w:p w14:paraId="649F640D">
      <w:pPr>
        <w:spacing w:line="285" w:lineRule="auto"/>
      </w:pPr>
    </w:p>
    <w:p w14:paraId="07BE523A">
      <w:pPr>
        <w:spacing w:line="285" w:lineRule="auto"/>
      </w:pPr>
    </w:p>
    <w:p w14:paraId="6E1FB007">
      <w:pPr>
        <w:spacing w:line="285" w:lineRule="auto"/>
      </w:pPr>
    </w:p>
    <w:p w14:paraId="2CE5D08D">
      <w:pPr>
        <w:spacing w:line="285" w:lineRule="auto"/>
      </w:pPr>
    </w:p>
    <w:p w14:paraId="34BB2423">
      <w:pPr>
        <w:spacing w:line="285" w:lineRule="auto"/>
      </w:pPr>
    </w:p>
    <w:p w14:paraId="03EE354E">
      <w:pPr>
        <w:spacing w:line="285" w:lineRule="auto"/>
      </w:pPr>
    </w:p>
    <w:p w14:paraId="21D8FC0D">
      <w:pPr>
        <w:spacing w:line="285" w:lineRule="auto"/>
      </w:pPr>
    </w:p>
    <w:p w14:paraId="20DA3495">
      <w:pPr>
        <w:spacing w:line="285" w:lineRule="auto"/>
      </w:pPr>
    </w:p>
    <w:p w14:paraId="5F19740E">
      <w:pPr>
        <w:spacing w:line="285" w:lineRule="auto"/>
      </w:pPr>
    </w:p>
    <w:p w14:paraId="1307D9D7">
      <w:pPr>
        <w:spacing w:line="285" w:lineRule="auto"/>
      </w:pPr>
    </w:p>
    <w:p w14:paraId="29F528D3">
      <w:pPr>
        <w:spacing w:line="285" w:lineRule="auto"/>
        <w:ind w:left="0" w:leftChars="0" w:firstLine="0" w:firstLineChars="0"/>
      </w:pPr>
    </w:p>
    <w:p w14:paraId="21CB45AE">
      <w:pPr>
        <w:pStyle w:val="3"/>
        <w:bidi w:val="0"/>
      </w:pPr>
      <w:bookmarkStart w:id="26" w:name="_Toc9714"/>
      <w:r>
        <w:t>第二部分</w:t>
      </w:r>
      <w:r>
        <w:rPr>
          <w:rFonts w:hint="eastAsia"/>
          <w:lang w:val="en-US" w:eastAsia="zh-CN"/>
        </w:rPr>
        <w:t xml:space="preserve">  </w:t>
      </w:r>
      <w:r>
        <w:t>通用合同条款</w:t>
      </w:r>
      <w:bookmarkEnd w:id="26"/>
    </w:p>
    <w:p w14:paraId="47FDC399">
      <w:pPr>
        <w:spacing w:line="263" w:lineRule="auto"/>
      </w:pPr>
    </w:p>
    <w:p w14:paraId="76CFAB65">
      <w:pPr>
        <w:bidi w:val="0"/>
        <w:ind w:left="0" w:leftChars="0" w:firstLine="0" w:firstLineChars="0"/>
        <w:jc w:val="center"/>
        <w:rPr>
          <w:rFonts w:ascii="宋体" w:hAnsi="宋体" w:eastAsia="宋体" w:cs="宋体"/>
          <w:szCs w:val="44"/>
        </w:rPr>
      </w:pPr>
      <w:r>
        <w:rPr>
          <w:b/>
          <w:bCs/>
          <w:sz w:val="32"/>
          <w:szCs w:val="32"/>
        </w:rPr>
        <w:t>（</w:t>
      </w:r>
      <w:r>
        <w:rPr>
          <w:rFonts w:hint="eastAsia"/>
          <w:b/>
          <w:bCs/>
          <w:sz w:val="32"/>
          <w:szCs w:val="32"/>
          <w:lang w:eastAsia="zh-CN"/>
        </w:rPr>
        <w:t>执行</w:t>
      </w:r>
      <w:r>
        <w:rPr>
          <w:b/>
          <w:bCs/>
          <w:sz w:val="32"/>
          <w:szCs w:val="32"/>
        </w:rPr>
        <w:t>示范文本GF—2017—0201</w:t>
      </w:r>
      <w:r>
        <w:rPr>
          <w:rFonts w:hint="eastAsia"/>
          <w:b/>
          <w:bCs/>
          <w:sz w:val="32"/>
          <w:szCs w:val="32"/>
          <w:lang w:eastAsia="zh-CN"/>
        </w:rPr>
        <w:t>通用条款</w:t>
      </w:r>
      <w:r>
        <w:rPr>
          <w:b/>
          <w:bCs/>
          <w:sz w:val="32"/>
          <w:szCs w:val="32"/>
        </w:rPr>
        <w:t>）</w:t>
      </w:r>
    </w:p>
    <w:p w14:paraId="1E001F4A">
      <w:pPr>
        <w:spacing w:line="269" w:lineRule="auto"/>
      </w:pPr>
    </w:p>
    <w:p w14:paraId="7C8A272E">
      <w:pPr>
        <w:spacing w:line="269" w:lineRule="auto"/>
      </w:pPr>
    </w:p>
    <w:p w14:paraId="2566FE22">
      <w:pPr>
        <w:spacing w:line="269" w:lineRule="auto"/>
      </w:pPr>
    </w:p>
    <w:p w14:paraId="005433AC">
      <w:pPr>
        <w:spacing w:line="269" w:lineRule="auto"/>
      </w:pPr>
    </w:p>
    <w:p w14:paraId="7DC43AC7">
      <w:pPr>
        <w:spacing w:line="269" w:lineRule="auto"/>
      </w:pPr>
    </w:p>
    <w:p w14:paraId="3E80C5DC">
      <w:pPr>
        <w:spacing w:line="269" w:lineRule="auto"/>
      </w:pPr>
    </w:p>
    <w:p w14:paraId="7C955F22">
      <w:pPr>
        <w:spacing w:line="269" w:lineRule="auto"/>
      </w:pPr>
    </w:p>
    <w:p w14:paraId="145D56C7">
      <w:pPr>
        <w:spacing w:line="269" w:lineRule="auto"/>
      </w:pPr>
    </w:p>
    <w:p w14:paraId="43109BC1">
      <w:pPr>
        <w:spacing w:line="269" w:lineRule="auto"/>
      </w:pPr>
    </w:p>
    <w:p w14:paraId="2D3FAF10">
      <w:pPr>
        <w:spacing w:line="269" w:lineRule="auto"/>
      </w:pPr>
    </w:p>
    <w:p w14:paraId="3BCDA16D">
      <w:pPr>
        <w:spacing w:line="269" w:lineRule="auto"/>
      </w:pPr>
    </w:p>
    <w:p w14:paraId="005A9AEE">
      <w:pPr>
        <w:spacing w:line="269" w:lineRule="auto"/>
      </w:pPr>
    </w:p>
    <w:p w14:paraId="2CC75C6F">
      <w:pPr>
        <w:spacing w:line="269" w:lineRule="auto"/>
      </w:pPr>
    </w:p>
    <w:p w14:paraId="4CA01DB8">
      <w:pPr>
        <w:spacing w:line="269" w:lineRule="auto"/>
      </w:pPr>
    </w:p>
    <w:p w14:paraId="05D78561">
      <w:pPr>
        <w:spacing w:line="269" w:lineRule="auto"/>
      </w:pPr>
    </w:p>
    <w:p w14:paraId="7CF18D66">
      <w:pPr>
        <w:spacing w:line="269" w:lineRule="auto"/>
      </w:pPr>
    </w:p>
    <w:p w14:paraId="199C8994">
      <w:pPr>
        <w:spacing w:line="269" w:lineRule="auto"/>
      </w:pPr>
    </w:p>
    <w:p w14:paraId="7A4CE33D">
      <w:pPr>
        <w:spacing w:line="269" w:lineRule="auto"/>
      </w:pPr>
    </w:p>
    <w:p w14:paraId="51071881">
      <w:pPr>
        <w:spacing w:line="269" w:lineRule="auto"/>
      </w:pPr>
    </w:p>
    <w:p w14:paraId="5EEC2305">
      <w:pPr>
        <w:spacing w:line="269" w:lineRule="auto"/>
      </w:pPr>
    </w:p>
    <w:p w14:paraId="2086666D">
      <w:pPr>
        <w:spacing w:line="269" w:lineRule="auto"/>
      </w:pPr>
    </w:p>
    <w:p w14:paraId="7ABB4F05">
      <w:pPr>
        <w:spacing w:line="269" w:lineRule="auto"/>
      </w:pPr>
    </w:p>
    <w:p w14:paraId="136DDCE2">
      <w:pPr>
        <w:spacing w:line="269" w:lineRule="auto"/>
      </w:pPr>
    </w:p>
    <w:p w14:paraId="5EFACB6B">
      <w:pPr>
        <w:spacing w:line="269" w:lineRule="auto"/>
      </w:pPr>
    </w:p>
    <w:p w14:paraId="29D15DD7">
      <w:pPr>
        <w:spacing w:line="269" w:lineRule="auto"/>
      </w:pPr>
    </w:p>
    <w:p w14:paraId="6FE845BC">
      <w:pPr>
        <w:spacing w:line="269" w:lineRule="auto"/>
      </w:pPr>
    </w:p>
    <w:p w14:paraId="6DA6DD16">
      <w:pPr>
        <w:spacing w:line="269" w:lineRule="auto"/>
      </w:pPr>
    </w:p>
    <w:p w14:paraId="04DD12C7">
      <w:pPr>
        <w:spacing w:line="269" w:lineRule="auto"/>
      </w:pPr>
    </w:p>
    <w:p w14:paraId="7021A96A">
      <w:pPr>
        <w:spacing w:line="269" w:lineRule="auto"/>
      </w:pPr>
    </w:p>
    <w:p w14:paraId="5B13FB69">
      <w:pPr>
        <w:spacing w:line="269" w:lineRule="auto"/>
      </w:pPr>
    </w:p>
    <w:p w14:paraId="1AE8A3D6">
      <w:pPr>
        <w:spacing w:line="269" w:lineRule="auto"/>
      </w:pPr>
    </w:p>
    <w:p w14:paraId="2E337271">
      <w:pPr>
        <w:spacing w:line="269" w:lineRule="auto"/>
      </w:pPr>
    </w:p>
    <w:p w14:paraId="301CCE60">
      <w:pPr>
        <w:spacing w:line="269" w:lineRule="auto"/>
      </w:pPr>
    </w:p>
    <w:p w14:paraId="2D85CCE2">
      <w:pPr>
        <w:spacing w:line="269" w:lineRule="auto"/>
      </w:pPr>
    </w:p>
    <w:p w14:paraId="21976EDA">
      <w:pPr>
        <w:spacing w:line="269" w:lineRule="auto"/>
      </w:pPr>
    </w:p>
    <w:p w14:paraId="24120038">
      <w:pPr>
        <w:spacing w:line="269" w:lineRule="auto"/>
      </w:pPr>
    </w:p>
    <w:p w14:paraId="1D89C92D">
      <w:pPr>
        <w:spacing w:line="269" w:lineRule="auto"/>
      </w:pPr>
    </w:p>
    <w:p w14:paraId="7BC1BBF0">
      <w:pPr>
        <w:spacing w:line="269" w:lineRule="auto"/>
      </w:pPr>
    </w:p>
    <w:p w14:paraId="6A920089">
      <w:pPr>
        <w:spacing w:line="269" w:lineRule="auto"/>
      </w:pPr>
    </w:p>
    <w:p w14:paraId="775A7ED1">
      <w:pPr>
        <w:pStyle w:val="3"/>
        <w:bidi w:val="0"/>
      </w:pPr>
      <w:bookmarkStart w:id="27" w:name="_Toc7751"/>
      <w:r>
        <w:t>第三部分</w:t>
      </w:r>
      <w:r>
        <w:rPr>
          <w:rFonts w:hint="eastAsia"/>
          <w:lang w:val="en-US" w:eastAsia="zh-CN"/>
        </w:rPr>
        <w:t xml:space="preserve">  </w:t>
      </w:r>
      <w:r>
        <w:t>专用合同条款</w:t>
      </w:r>
      <w:bookmarkEnd w:id="27"/>
    </w:p>
    <w:p w14:paraId="6D31102D">
      <w:pPr>
        <w:bidi w:val="0"/>
      </w:pPr>
      <w:r>
        <w:t>1.一般约定</w:t>
      </w:r>
    </w:p>
    <w:p w14:paraId="1770C57E">
      <w:pPr>
        <w:bidi w:val="0"/>
      </w:pPr>
      <w:r>
        <w:t>1.1词语定义</w:t>
      </w:r>
    </w:p>
    <w:p w14:paraId="13FF4149">
      <w:pPr>
        <w:bidi w:val="0"/>
      </w:pPr>
      <w:r>
        <w:t>1.1.1合同</w:t>
      </w:r>
    </w:p>
    <w:p w14:paraId="632807FC">
      <w:pPr>
        <w:bidi w:val="0"/>
      </w:pPr>
      <w:r>
        <w:fldChar w:fldCharType="begin"/>
      </w:r>
      <w:r>
        <w:instrText xml:space="preserve"> HYPERLINK "1.1.1.10" </w:instrText>
      </w:r>
      <w:r>
        <w:fldChar w:fldCharType="separate"/>
      </w:r>
      <w:r>
        <w:t>1.1.1.10</w:t>
      </w:r>
      <w:r>
        <w:fldChar w:fldCharType="end"/>
      </w:r>
      <w:r>
        <w:t>其他合同文件包括：</w:t>
      </w:r>
      <w:r>
        <w:rPr>
          <w:u w:val="single"/>
        </w:rPr>
        <w:t>招标文件（含澄清文件、暂列金、暂估价）、发承包人共同确认的会议纪要、图纸会审记录等</w:t>
      </w:r>
      <w:r>
        <w:t>。</w:t>
      </w:r>
    </w:p>
    <w:p w14:paraId="6A9FC81E">
      <w:pPr>
        <w:bidi w:val="0"/>
      </w:pPr>
      <w:r>
        <w:t>1.1.2合同当事人及其他相关方面</w:t>
      </w:r>
    </w:p>
    <w:p w14:paraId="7EF94CF4">
      <w:pPr>
        <w:bidi w:val="0"/>
      </w:pPr>
      <w:r>
        <w:fldChar w:fldCharType="begin"/>
      </w:r>
      <w:r>
        <w:instrText xml:space="preserve"> HYPERLINK "1.1.2.4" </w:instrText>
      </w:r>
      <w:r>
        <w:fldChar w:fldCharType="separate"/>
      </w:r>
      <w:r>
        <w:t>1.1.2.4</w:t>
      </w:r>
      <w:r>
        <w:fldChar w:fldCharType="end"/>
      </w:r>
      <w:r>
        <w:t>监理人：</w:t>
      </w:r>
    </w:p>
    <w:p w14:paraId="67BC2E44">
      <w:pPr>
        <w:bidi w:val="0"/>
      </w:pPr>
      <w:r>
        <w:t>名称：</w:t>
      </w:r>
      <w:r>
        <w:rPr>
          <w:rFonts w:hint="eastAsia"/>
          <w:u w:val="single"/>
          <w:lang w:val="en-US" w:eastAsia="zh-CN"/>
        </w:rPr>
        <w:t xml:space="preserve">      </w:t>
      </w:r>
      <w:r>
        <w:rPr>
          <w:u w:val="single"/>
        </w:rPr>
        <w:t>/</w:t>
      </w:r>
      <w:r>
        <w:rPr>
          <w:rFonts w:hint="eastAsia"/>
          <w:u w:val="single"/>
          <w:lang w:val="en-US" w:eastAsia="zh-CN"/>
        </w:rPr>
        <w:t xml:space="preserve">      </w:t>
      </w:r>
      <w:r>
        <w:t>；</w:t>
      </w:r>
    </w:p>
    <w:p w14:paraId="55E53283">
      <w:pPr>
        <w:bidi w:val="0"/>
      </w:pPr>
      <w:r>
        <w:t>资质类别和等级：</w:t>
      </w:r>
      <w:r>
        <w:rPr>
          <w:rFonts w:hint="eastAsia"/>
          <w:u w:val="single"/>
          <w:lang w:val="en-US" w:eastAsia="zh-CN"/>
        </w:rPr>
        <w:t xml:space="preserve">      </w:t>
      </w:r>
      <w:r>
        <w:rPr>
          <w:u w:val="single"/>
        </w:rPr>
        <w:t>/</w:t>
      </w:r>
      <w:r>
        <w:rPr>
          <w:rFonts w:hint="eastAsia"/>
          <w:u w:val="single"/>
          <w:lang w:val="en-US" w:eastAsia="zh-CN"/>
        </w:rPr>
        <w:t xml:space="preserve">      </w:t>
      </w:r>
      <w:r>
        <w:t>；</w:t>
      </w:r>
    </w:p>
    <w:p w14:paraId="6CDBBE8C">
      <w:pPr>
        <w:bidi w:val="0"/>
      </w:pPr>
      <w:r>
        <w:t>联系电话：</w:t>
      </w:r>
      <w:r>
        <w:rPr>
          <w:rFonts w:hint="eastAsia"/>
          <w:u w:val="single"/>
          <w:lang w:val="en-US" w:eastAsia="zh-CN"/>
        </w:rPr>
        <w:t xml:space="preserve">      </w:t>
      </w:r>
      <w:r>
        <w:rPr>
          <w:u w:val="single"/>
        </w:rPr>
        <w:t>/</w:t>
      </w:r>
      <w:r>
        <w:rPr>
          <w:rFonts w:hint="eastAsia"/>
          <w:u w:val="single"/>
          <w:lang w:val="en-US" w:eastAsia="zh-CN"/>
        </w:rPr>
        <w:t xml:space="preserve">      </w:t>
      </w:r>
      <w:r>
        <w:t>；</w:t>
      </w:r>
    </w:p>
    <w:p w14:paraId="16E78121">
      <w:pPr>
        <w:bidi w:val="0"/>
      </w:pPr>
      <w:r>
        <w:t>电子信箱：</w:t>
      </w:r>
      <w:r>
        <w:rPr>
          <w:rFonts w:hint="eastAsia"/>
          <w:u w:val="single"/>
          <w:lang w:val="en-US" w:eastAsia="zh-CN"/>
        </w:rPr>
        <w:t xml:space="preserve">      </w:t>
      </w:r>
      <w:r>
        <w:rPr>
          <w:u w:val="single"/>
        </w:rPr>
        <w:t>/</w:t>
      </w:r>
      <w:r>
        <w:rPr>
          <w:rFonts w:hint="eastAsia"/>
          <w:u w:val="single"/>
          <w:lang w:val="en-US" w:eastAsia="zh-CN"/>
        </w:rPr>
        <w:t xml:space="preserve">      </w:t>
      </w:r>
      <w:r>
        <w:t>；</w:t>
      </w:r>
    </w:p>
    <w:p w14:paraId="661CAB42">
      <w:pPr>
        <w:bidi w:val="0"/>
      </w:pPr>
      <w:r>
        <w:t>通信地址：</w:t>
      </w:r>
      <w:r>
        <w:rPr>
          <w:rFonts w:hint="eastAsia"/>
          <w:u w:val="single"/>
          <w:lang w:val="en-US" w:eastAsia="zh-CN"/>
        </w:rPr>
        <w:t xml:space="preserve">      </w:t>
      </w:r>
      <w:r>
        <w:rPr>
          <w:u w:val="single"/>
        </w:rPr>
        <w:t>/</w:t>
      </w:r>
      <w:r>
        <w:rPr>
          <w:rFonts w:hint="eastAsia"/>
          <w:u w:val="single"/>
          <w:lang w:val="en-US" w:eastAsia="zh-CN"/>
        </w:rPr>
        <w:t xml:space="preserve">      </w:t>
      </w:r>
      <w:r>
        <w:t>。</w:t>
      </w:r>
    </w:p>
    <w:p w14:paraId="525689BF">
      <w:pPr>
        <w:bidi w:val="0"/>
      </w:pPr>
      <w:r>
        <w:fldChar w:fldCharType="begin"/>
      </w:r>
      <w:r>
        <w:instrText xml:space="preserve"> HYPERLINK "1.1.2.5" </w:instrText>
      </w:r>
      <w:r>
        <w:fldChar w:fldCharType="separate"/>
      </w:r>
      <w:r>
        <w:t>1.1.2.5</w:t>
      </w:r>
      <w:r>
        <w:fldChar w:fldCharType="end"/>
      </w:r>
      <w:r>
        <w:t>设计人：</w:t>
      </w:r>
    </w:p>
    <w:p w14:paraId="6A4A57B2">
      <w:pPr>
        <w:bidi w:val="0"/>
      </w:pPr>
      <w:r>
        <w:t>名称：</w:t>
      </w:r>
      <w:r>
        <w:rPr>
          <w:rFonts w:hint="eastAsia"/>
          <w:u w:val="single"/>
          <w:lang w:val="en-US" w:eastAsia="zh-CN"/>
        </w:rPr>
        <w:t xml:space="preserve">      </w:t>
      </w:r>
      <w:r>
        <w:rPr>
          <w:u w:val="single"/>
        </w:rPr>
        <w:t>/</w:t>
      </w:r>
      <w:r>
        <w:rPr>
          <w:rFonts w:hint="eastAsia"/>
          <w:u w:val="single"/>
          <w:lang w:val="en-US" w:eastAsia="zh-CN"/>
        </w:rPr>
        <w:t xml:space="preserve">      </w:t>
      </w:r>
      <w:r>
        <w:t>；</w:t>
      </w:r>
    </w:p>
    <w:p w14:paraId="0189DC6C">
      <w:pPr>
        <w:bidi w:val="0"/>
      </w:pPr>
      <w:r>
        <w:t>资质类别和等级：</w:t>
      </w:r>
      <w:r>
        <w:rPr>
          <w:rFonts w:hint="eastAsia"/>
          <w:u w:val="single"/>
          <w:lang w:val="en-US" w:eastAsia="zh-CN"/>
        </w:rPr>
        <w:t xml:space="preserve">      </w:t>
      </w:r>
      <w:r>
        <w:rPr>
          <w:u w:val="single"/>
        </w:rPr>
        <w:t>/</w:t>
      </w:r>
      <w:r>
        <w:rPr>
          <w:rFonts w:hint="eastAsia"/>
          <w:u w:val="single"/>
          <w:lang w:val="en-US" w:eastAsia="zh-CN"/>
        </w:rPr>
        <w:t xml:space="preserve">      </w:t>
      </w:r>
      <w:r>
        <w:t>；</w:t>
      </w:r>
    </w:p>
    <w:p w14:paraId="13CDA700">
      <w:pPr>
        <w:bidi w:val="0"/>
      </w:pPr>
      <w:r>
        <w:t>联系电话：</w:t>
      </w:r>
      <w:r>
        <w:rPr>
          <w:rFonts w:hint="eastAsia"/>
          <w:u w:val="single"/>
          <w:lang w:val="en-US" w:eastAsia="zh-CN"/>
        </w:rPr>
        <w:t xml:space="preserve">      </w:t>
      </w:r>
      <w:r>
        <w:rPr>
          <w:u w:val="single"/>
        </w:rPr>
        <w:t>/</w:t>
      </w:r>
      <w:r>
        <w:rPr>
          <w:rFonts w:hint="eastAsia"/>
          <w:u w:val="single"/>
          <w:lang w:val="en-US" w:eastAsia="zh-CN"/>
        </w:rPr>
        <w:t xml:space="preserve">      </w:t>
      </w:r>
      <w:r>
        <w:t>；</w:t>
      </w:r>
    </w:p>
    <w:p w14:paraId="6EE9B3C2">
      <w:pPr>
        <w:bidi w:val="0"/>
      </w:pPr>
      <w:r>
        <w:t>电子信箱：</w:t>
      </w:r>
      <w:r>
        <w:rPr>
          <w:rFonts w:hint="eastAsia"/>
          <w:u w:val="single"/>
          <w:lang w:val="en-US" w:eastAsia="zh-CN"/>
        </w:rPr>
        <w:t xml:space="preserve">      </w:t>
      </w:r>
      <w:r>
        <w:rPr>
          <w:u w:val="single"/>
        </w:rPr>
        <w:t>/</w:t>
      </w:r>
      <w:r>
        <w:rPr>
          <w:rFonts w:hint="eastAsia"/>
          <w:u w:val="single"/>
          <w:lang w:val="en-US" w:eastAsia="zh-CN"/>
        </w:rPr>
        <w:t xml:space="preserve">      </w:t>
      </w:r>
      <w:r>
        <w:t>；</w:t>
      </w:r>
    </w:p>
    <w:p w14:paraId="6783CFAA">
      <w:pPr>
        <w:bidi w:val="0"/>
      </w:pPr>
      <w:r>
        <w:t>通信地址：</w:t>
      </w:r>
      <w:r>
        <w:rPr>
          <w:rFonts w:hint="eastAsia"/>
          <w:u w:val="single"/>
          <w:lang w:val="en-US" w:eastAsia="zh-CN"/>
        </w:rPr>
        <w:t xml:space="preserve">      </w:t>
      </w:r>
      <w:r>
        <w:rPr>
          <w:u w:val="single"/>
        </w:rPr>
        <w:t>/</w:t>
      </w:r>
      <w:r>
        <w:rPr>
          <w:rFonts w:hint="eastAsia"/>
          <w:u w:val="single"/>
          <w:lang w:val="en-US" w:eastAsia="zh-CN"/>
        </w:rPr>
        <w:t xml:space="preserve">      </w:t>
      </w:r>
      <w:r>
        <w:t>。</w:t>
      </w:r>
    </w:p>
    <w:p w14:paraId="1368E46A">
      <w:pPr>
        <w:bidi w:val="0"/>
      </w:pPr>
      <w:r>
        <w:t>1.1.3工程和设备</w:t>
      </w:r>
    </w:p>
    <w:p w14:paraId="662C81AA">
      <w:pPr>
        <w:bidi w:val="0"/>
      </w:pPr>
      <w:r>
        <w:fldChar w:fldCharType="begin"/>
      </w:r>
      <w:r>
        <w:instrText xml:space="preserve"> HYPERLINK "1.1.3.7" </w:instrText>
      </w:r>
      <w:r>
        <w:fldChar w:fldCharType="separate"/>
      </w:r>
      <w:r>
        <w:t>1.1.3.7</w:t>
      </w:r>
      <w:r>
        <w:fldChar w:fldCharType="end"/>
      </w:r>
      <w:r>
        <w:t>作为施工现场组成部分的其他场所包括：</w:t>
      </w:r>
      <w:r>
        <w:rPr>
          <w:u w:val="single"/>
        </w:rPr>
        <w:t>生活、办公等临时设施及设备、材料加工、堆放场地</w:t>
      </w:r>
      <w:r>
        <w:t>。</w:t>
      </w:r>
    </w:p>
    <w:p w14:paraId="2D572591">
      <w:pPr>
        <w:bidi w:val="0"/>
      </w:pPr>
      <w:r>
        <w:fldChar w:fldCharType="begin"/>
      </w:r>
      <w:r>
        <w:instrText xml:space="preserve"> HYPERLINK "1.1.3.9" </w:instrText>
      </w:r>
      <w:r>
        <w:fldChar w:fldCharType="separate"/>
      </w:r>
      <w:r>
        <w:t>1.1.3.9</w:t>
      </w:r>
      <w:r>
        <w:fldChar w:fldCharType="end"/>
      </w:r>
      <w:r>
        <w:t>永久占地包括：</w:t>
      </w:r>
      <w:r>
        <w:rPr>
          <w:u w:val="single"/>
        </w:rPr>
        <w:t>见规划红线</w:t>
      </w:r>
      <w:r>
        <w:t>。</w:t>
      </w:r>
    </w:p>
    <w:p w14:paraId="051ECCF5">
      <w:pPr>
        <w:bidi w:val="0"/>
      </w:pPr>
      <w:r>
        <w:fldChar w:fldCharType="begin"/>
      </w:r>
      <w:r>
        <w:instrText xml:space="preserve"> HYPERLINK "1.1.3.10" </w:instrText>
      </w:r>
      <w:r>
        <w:fldChar w:fldCharType="separate"/>
      </w:r>
      <w:r>
        <w:t>1.1.3.10</w:t>
      </w:r>
      <w:r>
        <w:fldChar w:fldCharType="end"/>
      </w:r>
      <w:r>
        <w:t>临时占地包括：</w:t>
      </w:r>
      <w:r>
        <w:rPr>
          <w:u w:val="single"/>
        </w:rPr>
        <w:t>生活、办公等临时设施及设备、材料加工，堆放场地</w:t>
      </w:r>
      <w:r>
        <w:t>。</w:t>
      </w:r>
    </w:p>
    <w:p w14:paraId="2BC3DBF4">
      <w:pPr>
        <w:bidi w:val="0"/>
      </w:pPr>
      <w:r>
        <w:t>1.3法律</w:t>
      </w:r>
    </w:p>
    <w:p w14:paraId="757B51D2">
      <w:pPr>
        <w:bidi w:val="0"/>
      </w:pPr>
      <w:r>
        <w:t>适用于合同的其他规范性文件：</w:t>
      </w:r>
      <w:r>
        <w:rPr>
          <w:u w:val="single"/>
        </w:rPr>
        <w:t>GB50500-2013《建设工程工程量清单计价规范》、《2020版新疆维吾尔自治区房屋建筑与装饰工程消耗量定额》、《全国《通用安装工程消耗量定额》（TY02-31-2015）》、《2020版新疆维吾尔自治区安装工程补充消耗量定额》、《2020版新疆维吾尔自治区市政工程消耗量定额》、《2020版新疆维吾尔自治区建筑、安装、市政工程费用定额》、《新疆维吾尔自治区房屋建筑与装饰工程消耗量定额2020年乌鲁木齐地区单位估价表》、《通用安装工程及新疆维吾尔自治区补充消耗量定额2020年乌鲁木齐地区单位估价表》、《市政工程2020年乌鲁木齐地区单位估价表》、《新疆园林绿化工程消耗量定额乌鲁木齐地区单位估价汇总表》（2014）《关于建筑业营业税改增值税调整新疆建设工程计价依据的实施意见》（税率执行新建标【2019】4号文件）、其他规定仍按《关于实施建筑业增值税新税率调整建设工程计价依据的通知》（新建标【2018】6号文件）执行、《建设工程文件归档整理规范》（GB/T50328-2014）、国家重大建设项目文件归档要求与档案整理规范（DA/T28-2002），国家施工质量验收规范、规程、施工技术标准、设计图纸及其他设计文件；现行的施工规范和技术标准及相关定额等</w:t>
      </w:r>
      <w:r>
        <w:t>。</w:t>
      </w:r>
    </w:p>
    <w:p w14:paraId="5BA6DB05">
      <w:pPr>
        <w:bidi w:val="0"/>
      </w:pPr>
      <w:r>
        <w:t>1.4标准和规范</w:t>
      </w:r>
    </w:p>
    <w:p w14:paraId="1D981385">
      <w:pPr>
        <w:bidi w:val="0"/>
      </w:pPr>
      <w:r>
        <w:t>1.4.1适用于工程的标准规范包括：</w:t>
      </w:r>
      <w:r>
        <w:rPr>
          <w:u w:val="single"/>
        </w:rPr>
        <w:t>GB50500-2013《建设工程工程量清单计价规范》、</w:t>
      </w:r>
      <w:r>
        <w:rPr>
          <w:u w:val="single"/>
        </w:rPr>
        <w:tab/>
      </w:r>
      <w:r>
        <w:rPr>
          <w:u w:val="single"/>
        </w:rPr>
        <w:t>《2020版新疆维吾尔自治区房屋建筑与装饰工程消耗量定额》、《全国《通用安装工程消耗量定额》（TY02-31-2015）》、《2020版新疆维吾尔自治区安装工程补充消耗量定额》、《2020版新疆维吾尔自治区市政工程消耗量定额》、《2020版新疆维吾尔自治区建筑、安装、市政工程费用定额》、《新疆维吾尔自治区房屋建筑与装饰工程消耗量定额2020年乌鲁木齐地区单位估价表》、《通用安装工程及新疆维吾尔自治区补充消耗量定额2020年乌鲁木齐地区单位估价表》、《市政工程2020年乌鲁木齐地区单位估价表》、《新疆园林绿化工程消耗量定额乌鲁木齐地区单位估价汇总表》（2014）</w:t>
      </w:r>
      <w:r>
        <w:t>。</w:t>
      </w:r>
    </w:p>
    <w:p w14:paraId="68B18698">
      <w:pPr>
        <w:bidi w:val="0"/>
      </w:pPr>
      <w:r>
        <w:t>1.4.2发包人提供国外标准、规范的名称：</w:t>
      </w:r>
      <w:r>
        <w:rPr>
          <w:rFonts w:hint="eastAsia"/>
          <w:u w:val="single"/>
          <w:lang w:val="en-US" w:eastAsia="zh-CN"/>
        </w:rPr>
        <w:t xml:space="preserve">      </w:t>
      </w:r>
      <w:r>
        <w:rPr>
          <w:u w:val="single"/>
        </w:rPr>
        <w:t>/</w:t>
      </w:r>
      <w:r>
        <w:rPr>
          <w:rFonts w:hint="eastAsia"/>
          <w:u w:val="single"/>
          <w:lang w:val="en-US" w:eastAsia="zh-CN"/>
        </w:rPr>
        <w:t xml:space="preserve">      </w:t>
      </w:r>
      <w:r>
        <w:t>；发包人提供国外标准、规范的份数：</w:t>
      </w:r>
      <w:r>
        <w:rPr>
          <w:rFonts w:hint="eastAsia"/>
          <w:u w:val="single"/>
          <w:lang w:val="en-US" w:eastAsia="zh-CN"/>
        </w:rPr>
        <w:t xml:space="preserve">      </w:t>
      </w:r>
      <w:r>
        <w:rPr>
          <w:u w:val="single"/>
        </w:rPr>
        <w:t>/</w:t>
      </w:r>
      <w:r>
        <w:rPr>
          <w:rFonts w:hint="eastAsia"/>
          <w:u w:val="single"/>
          <w:lang w:val="en-US" w:eastAsia="zh-CN"/>
        </w:rPr>
        <w:t xml:space="preserve">      </w:t>
      </w:r>
      <w:r>
        <w:t>；</w:t>
      </w:r>
    </w:p>
    <w:p w14:paraId="029E17E4">
      <w:pPr>
        <w:bidi w:val="0"/>
      </w:pPr>
      <w:r>
        <w:t>发包人提供国外标准、规范的名称：</w:t>
      </w:r>
      <w:r>
        <w:rPr>
          <w:rFonts w:hint="eastAsia"/>
          <w:u w:val="single"/>
          <w:lang w:val="en-US" w:eastAsia="zh-CN"/>
        </w:rPr>
        <w:t xml:space="preserve">      </w:t>
      </w:r>
      <w:r>
        <w:rPr>
          <w:u w:val="single"/>
        </w:rPr>
        <w:t>/</w:t>
      </w:r>
      <w:r>
        <w:rPr>
          <w:rFonts w:hint="eastAsia"/>
          <w:u w:val="single"/>
          <w:lang w:val="en-US" w:eastAsia="zh-CN"/>
        </w:rPr>
        <w:t xml:space="preserve">      </w:t>
      </w:r>
      <w:r>
        <w:t>。</w:t>
      </w:r>
    </w:p>
    <w:p w14:paraId="0C5B444C">
      <w:pPr>
        <w:bidi w:val="0"/>
      </w:pPr>
      <w:r>
        <w:t>1.4.3发包人对工程的技术标准和功能要求的特殊要求：</w:t>
      </w:r>
      <w:r>
        <w:rPr>
          <w:rFonts w:hint="eastAsia"/>
          <w:u w:val="single"/>
          <w:lang w:val="en-US" w:eastAsia="zh-CN"/>
        </w:rPr>
        <w:t xml:space="preserve">      </w:t>
      </w:r>
      <w:r>
        <w:rPr>
          <w:u w:val="single"/>
        </w:rPr>
        <w:t>/</w:t>
      </w:r>
      <w:r>
        <w:rPr>
          <w:rFonts w:hint="eastAsia"/>
          <w:u w:val="single"/>
          <w:lang w:val="en-US" w:eastAsia="zh-CN"/>
        </w:rPr>
        <w:t xml:space="preserve">      </w:t>
      </w:r>
      <w:r>
        <w:t>。</w:t>
      </w:r>
    </w:p>
    <w:p w14:paraId="366A1B3F">
      <w:pPr>
        <w:bidi w:val="0"/>
      </w:pPr>
      <w:r>
        <w:t>1.5合同文件的优先顺序</w:t>
      </w:r>
    </w:p>
    <w:p w14:paraId="6BCA64E5">
      <w:pPr>
        <w:bidi w:val="0"/>
      </w:pPr>
      <w:r>
        <w:t>合同文件组成及优先顺序为：</w:t>
      </w:r>
      <w:r>
        <w:rPr>
          <w:u w:val="single"/>
        </w:rPr>
        <w:t>按通用条款1.5规定的解释顺序</w:t>
      </w:r>
      <w:r>
        <w:t>。</w:t>
      </w:r>
    </w:p>
    <w:p w14:paraId="3D82FDCD">
      <w:pPr>
        <w:bidi w:val="0"/>
      </w:pPr>
      <w:r>
        <w:t>1.6图纸和承包人文件</w:t>
      </w:r>
    </w:p>
    <w:p w14:paraId="797E89F3">
      <w:pPr>
        <w:bidi w:val="0"/>
      </w:pPr>
      <w:r>
        <w:t>1.6.1图纸的提供</w:t>
      </w:r>
    </w:p>
    <w:p w14:paraId="03EA6822">
      <w:pPr>
        <w:bidi w:val="0"/>
      </w:pPr>
      <w:r>
        <w:t>发包人向承包人提供图纸的期限：</w:t>
      </w:r>
      <w:r>
        <w:rPr>
          <w:u w:val="single"/>
        </w:rPr>
        <w:t>合同签订后七日内提供审查合格的施工图；发包人向承包人提供图纸的数量陆套；</w:t>
      </w:r>
    </w:p>
    <w:p w14:paraId="5150B817">
      <w:pPr>
        <w:bidi w:val="0"/>
      </w:pPr>
      <w:r>
        <w:t>发包人向承包人提供图纸的内容：</w:t>
      </w:r>
      <w:r>
        <w:rPr>
          <w:u w:val="single"/>
        </w:rPr>
        <w:t>本合同发包内容中的全部图纸</w:t>
      </w:r>
      <w:r>
        <w:t>。</w:t>
      </w:r>
    </w:p>
    <w:p w14:paraId="4501A190">
      <w:pPr>
        <w:bidi w:val="0"/>
      </w:pPr>
      <w:r>
        <w:t>1.6.4承包人文件</w:t>
      </w:r>
    </w:p>
    <w:p w14:paraId="451AC0E1">
      <w:pPr>
        <w:bidi w:val="0"/>
      </w:pPr>
      <w:r>
        <w:t>需要由承包人提供的文件，包括：</w:t>
      </w:r>
      <w:r>
        <w:rPr>
          <w:u w:val="single"/>
        </w:rPr>
        <w:t>开工前3日应提供完善的施工组织设计和安全专项方案，每月25日前提供下月完成工程量报表、月进度报表等</w:t>
      </w:r>
      <w:r>
        <w:t>；</w:t>
      </w:r>
    </w:p>
    <w:p w14:paraId="7007272D">
      <w:pPr>
        <w:bidi w:val="0"/>
      </w:pPr>
      <w:r>
        <w:t>承包人提供的文件的期限为：</w:t>
      </w:r>
      <w:r>
        <w:rPr>
          <w:u w:val="single"/>
        </w:rPr>
        <w:t>每月25日前</w:t>
      </w:r>
      <w:r>
        <w:t>；</w:t>
      </w:r>
    </w:p>
    <w:p w14:paraId="301B2F3A">
      <w:pPr>
        <w:bidi w:val="0"/>
      </w:pPr>
      <w:r>
        <w:t>承包人提供的文件的数量为：</w:t>
      </w:r>
      <w:r>
        <w:rPr>
          <w:u w:val="single"/>
        </w:rPr>
        <w:t>8份</w:t>
      </w:r>
      <w:r>
        <w:t>；</w:t>
      </w:r>
    </w:p>
    <w:p w14:paraId="12795721">
      <w:pPr>
        <w:bidi w:val="0"/>
      </w:pPr>
      <w:r>
        <w:t>承包人提供的文件的形式为：</w:t>
      </w:r>
      <w:r>
        <w:rPr>
          <w:u w:val="single"/>
        </w:rPr>
        <w:t>书面形式和电子文档</w:t>
      </w:r>
      <w:r>
        <w:t>；</w:t>
      </w:r>
    </w:p>
    <w:p w14:paraId="036640C0">
      <w:pPr>
        <w:bidi w:val="0"/>
      </w:pPr>
      <w:r>
        <w:t>发包人审批承包人文件的期限：</w:t>
      </w:r>
      <w:r>
        <w:rPr>
          <w:u w:val="single"/>
        </w:rPr>
        <w:t>收到文件后10天内</w:t>
      </w:r>
      <w:r>
        <w:t>。</w:t>
      </w:r>
    </w:p>
    <w:p w14:paraId="2EA724E4">
      <w:pPr>
        <w:bidi w:val="0"/>
      </w:pPr>
      <w:r>
        <w:t>1.6.5现场图纸准备</w:t>
      </w:r>
    </w:p>
    <w:p w14:paraId="7FE70BFA">
      <w:pPr>
        <w:bidi w:val="0"/>
      </w:pPr>
      <w:r>
        <w:t>关于现场图纸准备的约定：</w:t>
      </w:r>
      <w:r>
        <w:rPr>
          <w:u w:val="single"/>
        </w:rPr>
        <w:t>施工现场保留一套完整图纸供发包人、监理人及有关人员使用</w:t>
      </w:r>
      <w:r>
        <w:t>。</w:t>
      </w:r>
    </w:p>
    <w:p w14:paraId="0656939A">
      <w:pPr>
        <w:bidi w:val="0"/>
      </w:pPr>
      <w:r>
        <w:t>1.7联络</w:t>
      </w:r>
    </w:p>
    <w:p w14:paraId="04071151">
      <w:pPr>
        <w:bidi w:val="0"/>
      </w:pPr>
      <w:r>
        <w:t>1.7.1发包人和承包人应当在5天内将与合同有关的通知、批准、证明、证书、指示、指令、要求、请求、同意、意见、确定和决定等书面函件送达对方当事人。</w:t>
      </w:r>
    </w:p>
    <w:p w14:paraId="23DF0F82">
      <w:pPr>
        <w:bidi w:val="0"/>
      </w:pPr>
      <w:r>
        <w:t>1.7.2发包人接收文件的地点：</w:t>
      </w:r>
      <w:r>
        <w:rPr>
          <w:u w:val="single"/>
        </w:rPr>
        <w:t>发包人办公场所</w:t>
      </w:r>
      <w:r>
        <w:t>；</w:t>
      </w:r>
    </w:p>
    <w:p w14:paraId="3C6AD348">
      <w:pPr>
        <w:bidi w:val="0"/>
      </w:pPr>
      <w:r>
        <w:t>发包人指定的接收人为：</w:t>
      </w:r>
      <w:r>
        <w:rPr>
          <w:u w:val="single"/>
        </w:rPr>
        <w:t>发包人代表</w:t>
      </w:r>
      <w:r>
        <w:t>；</w:t>
      </w:r>
    </w:p>
    <w:p w14:paraId="760AE125">
      <w:pPr>
        <w:bidi w:val="0"/>
      </w:pPr>
      <w:r>
        <w:t>承包人接收文件的地点：</w:t>
      </w:r>
      <w:r>
        <w:rPr>
          <w:u w:val="single"/>
        </w:rPr>
        <w:t>项目所在地承包人项目部</w:t>
      </w:r>
      <w:r>
        <w:t>；</w:t>
      </w:r>
    </w:p>
    <w:p w14:paraId="4BC20547">
      <w:pPr>
        <w:bidi w:val="0"/>
      </w:pPr>
      <w:r>
        <w:t>承包人指定的接收人为：</w:t>
      </w:r>
      <w:r>
        <w:rPr>
          <w:u w:val="single"/>
        </w:rPr>
        <w:t>项目经理</w:t>
      </w:r>
      <w:r>
        <w:t>；</w:t>
      </w:r>
    </w:p>
    <w:p w14:paraId="00A37DDF">
      <w:pPr>
        <w:bidi w:val="0"/>
      </w:pPr>
      <w:r>
        <w:t>监理人接收文件的地点：</w:t>
      </w:r>
      <w:r>
        <w:rPr>
          <w:u w:val="single"/>
        </w:rPr>
        <w:t>项目所在地监理人办公室</w:t>
      </w:r>
      <w:r>
        <w:t>；</w:t>
      </w:r>
    </w:p>
    <w:p w14:paraId="0DBB6B32">
      <w:pPr>
        <w:bidi w:val="0"/>
      </w:pPr>
      <w:r>
        <w:t>监理人指定的接收人为：</w:t>
      </w:r>
      <w:r>
        <w:rPr>
          <w:u w:val="single"/>
        </w:rPr>
        <w:t>总监理工程师</w:t>
      </w:r>
      <w:r>
        <w:t>。</w:t>
      </w:r>
    </w:p>
    <w:p w14:paraId="49FCEC01">
      <w:pPr>
        <w:bidi w:val="0"/>
      </w:pPr>
      <w:r>
        <w:t>1.10交通运输</w:t>
      </w:r>
    </w:p>
    <w:p w14:paraId="19AD0AC0">
      <w:pPr>
        <w:bidi w:val="0"/>
      </w:pPr>
      <w:r>
        <w:t>1.10.1出入现场的权利</w:t>
      </w:r>
    </w:p>
    <w:p w14:paraId="23594DC0">
      <w:pPr>
        <w:bidi w:val="0"/>
      </w:pPr>
      <w:r>
        <w:t>关于出入现场的权利的约定：</w:t>
      </w:r>
      <w:r>
        <w:rPr>
          <w:u w:val="single"/>
        </w:rPr>
        <w:t>根据施工需要，由承包方负责办理出入施工现场的相关手续、负责建设并承担相关费用</w:t>
      </w:r>
      <w:r>
        <w:t>。</w:t>
      </w:r>
    </w:p>
    <w:p w14:paraId="3FC7F0B4">
      <w:pPr>
        <w:bidi w:val="0"/>
      </w:pPr>
      <w:r>
        <w:t>1.10.3场内交通</w:t>
      </w:r>
    </w:p>
    <w:p w14:paraId="04F3E0EA">
      <w:pPr>
        <w:bidi w:val="0"/>
      </w:pPr>
      <w:r>
        <w:t>关于场外交通和场内交通的边界的约定：</w:t>
      </w:r>
      <w:r>
        <w:rPr>
          <w:u w:val="single"/>
        </w:rPr>
        <w:t>以规划红线为边界</w:t>
      </w:r>
      <w:r>
        <w:t>。</w:t>
      </w:r>
    </w:p>
    <w:p w14:paraId="59F13519">
      <w:pPr>
        <w:bidi w:val="0"/>
      </w:pPr>
      <w:r>
        <w:t>关于发包人向承包人免费提供满足工程施工需要的场内道路和交通设施的约定：发包方协助，承包方办理并承担相应费用。</w:t>
      </w:r>
    </w:p>
    <w:p w14:paraId="7716A09A">
      <w:pPr>
        <w:bidi w:val="0"/>
      </w:pPr>
      <w:r>
        <w:t>1.10.4超大件和超重件的运输</w:t>
      </w:r>
    </w:p>
    <w:p w14:paraId="69601E07">
      <w:pPr>
        <w:bidi w:val="0"/>
      </w:pPr>
      <w:r>
        <w:t>运输超大件或超重件所需的道路和桥梁临时加固改造费用和其他有关费用由承包人承担。</w:t>
      </w:r>
    </w:p>
    <w:p w14:paraId="4A49D832">
      <w:pPr>
        <w:bidi w:val="0"/>
      </w:pPr>
      <w:r>
        <w:t>1.11知识产权</w:t>
      </w:r>
    </w:p>
    <w:p w14:paraId="3D721995">
      <w:pPr>
        <w:bidi w:val="0"/>
      </w:pPr>
      <w:r>
        <w:t>1.11.1关于发包人提供给承包人的图纸、发包人为实施工程自行编制或委托编制的技术规范以及反映发包人关于合同要求或其他类似性质的文件的著作权的归属：</w:t>
      </w:r>
      <w:r>
        <w:rPr>
          <w:u w:val="single"/>
        </w:rPr>
        <w:t>按通用条款执行</w:t>
      </w:r>
      <w:r>
        <w:t>。</w:t>
      </w:r>
    </w:p>
    <w:p w14:paraId="1FBD7EDD">
      <w:pPr>
        <w:bidi w:val="0"/>
      </w:pPr>
      <w:r>
        <w:t>关于发包人提供的上述文件的使用限制的要求：</w:t>
      </w:r>
      <w:r>
        <w:rPr>
          <w:u w:val="single"/>
        </w:rPr>
        <w:t>按通用条款执行</w:t>
      </w:r>
      <w:r>
        <w:t>。</w:t>
      </w:r>
    </w:p>
    <w:p w14:paraId="218D5E6D">
      <w:pPr>
        <w:bidi w:val="0"/>
      </w:pPr>
      <w:r>
        <w:t>1.11.2关于承包人为实施工程所编制文件的著作权的归属：</w:t>
      </w:r>
      <w:r>
        <w:rPr>
          <w:u w:val="single"/>
        </w:rPr>
        <w:t>按通用条款执行</w:t>
      </w:r>
      <w:r>
        <w:t>。</w:t>
      </w:r>
    </w:p>
    <w:p w14:paraId="40D4A584">
      <w:pPr>
        <w:bidi w:val="0"/>
      </w:pPr>
      <w:r>
        <w:t>关于承包人提供的上述文件的使用限制的要求：</w:t>
      </w:r>
      <w:r>
        <w:rPr>
          <w:u w:val="single"/>
        </w:rPr>
        <w:t>按通用条款执行</w:t>
      </w:r>
      <w:r>
        <w:t>。</w:t>
      </w:r>
    </w:p>
    <w:p w14:paraId="5D57BA27">
      <w:pPr>
        <w:bidi w:val="0"/>
      </w:pPr>
      <w:r>
        <w:t>1.11.4承包人在施工过程中所采用的专利、专有技术、技术秘密的使用费的承担方式：包含在合同价中。</w:t>
      </w:r>
    </w:p>
    <w:p w14:paraId="5F55B783">
      <w:pPr>
        <w:bidi w:val="0"/>
      </w:pPr>
      <w:r>
        <w:t>1.13工程量清单错误的修正</w:t>
      </w:r>
    </w:p>
    <w:p w14:paraId="65E4ECDE">
      <w:pPr>
        <w:bidi w:val="0"/>
      </w:pPr>
      <w:r>
        <w:t>出现工程量清单错误时，是否调整合同价格：</w:t>
      </w:r>
      <w:r>
        <w:rPr>
          <w:u w:val="single"/>
        </w:rPr>
        <w:t>不是</w:t>
      </w:r>
      <w:r>
        <w:t>。</w:t>
      </w:r>
    </w:p>
    <w:p w14:paraId="72B985E2">
      <w:pPr>
        <w:bidi w:val="0"/>
      </w:pPr>
      <w:r>
        <w:t>2.发包人</w:t>
      </w:r>
    </w:p>
    <w:p w14:paraId="6899E872">
      <w:pPr>
        <w:bidi w:val="0"/>
      </w:pPr>
      <w:r>
        <w:t>2.2发包人代表发包人代表：</w:t>
      </w:r>
    </w:p>
    <w:p w14:paraId="654947FD">
      <w:pPr>
        <w:bidi w:val="0"/>
      </w:pPr>
      <w:r>
        <w:t>姓名：</w:t>
      </w:r>
      <w:r>
        <w:rPr>
          <w:rFonts w:hint="eastAsia"/>
          <w:u w:val="single"/>
          <w:lang w:val="en-US" w:eastAsia="zh-CN"/>
        </w:rPr>
        <w:t xml:space="preserve">                   </w:t>
      </w:r>
      <w:r>
        <w:t>；</w:t>
      </w:r>
    </w:p>
    <w:p w14:paraId="6F6DE1B6">
      <w:pPr>
        <w:bidi w:val="0"/>
      </w:pPr>
      <w:r>
        <w:t>身份证号：</w:t>
      </w:r>
      <w:r>
        <w:rPr>
          <w:rFonts w:hint="eastAsia"/>
          <w:u w:val="single"/>
          <w:lang w:val="en-US" w:eastAsia="zh-CN"/>
        </w:rPr>
        <w:t xml:space="preserve">           </w:t>
      </w:r>
      <w:r>
        <w:t>；</w:t>
      </w:r>
    </w:p>
    <w:p w14:paraId="0E8838FF">
      <w:pPr>
        <w:bidi w:val="0"/>
      </w:pPr>
      <w:r>
        <w:t>职务：</w:t>
      </w:r>
      <w:r>
        <w:rPr>
          <w:rFonts w:hint="eastAsia"/>
          <w:u w:val="single"/>
          <w:lang w:val="en-US" w:eastAsia="zh-CN"/>
        </w:rPr>
        <w:t xml:space="preserve">                  </w:t>
      </w:r>
      <w:r>
        <w:t>；</w:t>
      </w:r>
    </w:p>
    <w:p w14:paraId="24EAA11D">
      <w:pPr>
        <w:bidi w:val="0"/>
      </w:pPr>
      <w:r>
        <w:t>联系电话：</w:t>
      </w:r>
      <w:r>
        <w:rPr>
          <w:rFonts w:hint="eastAsia"/>
          <w:u w:val="single"/>
          <w:lang w:val="en-US" w:eastAsia="zh-CN"/>
        </w:rPr>
        <w:t xml:space="preserve">          </w:t>
      </w:r>
      <w:r>
        <w:t>；</w:t>
      </w:r>
    </w:p>
    <w:p w14:paraId="3EA28EAF">
      <w:pPr>
        <w:bidi w:val="0"/>
      </w:pPr>
      <w:r>
        <w:t>电子信箱：</w:t>
      </w:r>
      <w:r>
        <w:rPr>
          <w:rFonts w:hint="eastAsia"/>
          <w:u w:val="single"/>
          <w:lang w:val="en-US" w:eastAsia="zh-CN"/>
        </w:rPr>
        <w:t xml:space="preserve">          </w:t>
      </w:r>
      <w:r>
        <w:t>；</w:t>
      </w:r>
    </w:p>
    <w:p w14:paraId="4EE78C73">
      <w:pPr>
        <w:bidi w:val="0"/>
      </w:pPr>
      <w:r>
        <w:t>通信地址：</w:t>
      </w:r>
      <w:r>
        <w:rPr>
          <w:rFonts w:hint="eastAsia"/>
          <w:u w:val="single"/>
          <w:lang w:val="en-US" w:eastAsia="zh-CN"/>
        </w:rPr>
        <w:t xml:space="preserve">          </w:t>
      </w:r>
      <w:r>
        <w:t>。</w:t>
      </w:r>
    </w:p>
    <w:p w14:paraId="447478CA">
      <w:pPr>
        <w:bidi w:val="0"/>
      </w:pPr>
      <w:r>
        <w:t>发包人对发包人代表的授权范围如下：协调各部门工作，施工现场全过程的质量、进度、安全、投资等进行全面协调管理。</w:t>
      </w:r>
    </w:p>
    <w:p w14:paraId="65AB5346">
      <w:pPr>
        <w:bidi w:val="0"/>
      </w:pPr>
      <w:r>
        <w:t>2.4施工现场、施工条件和基础资料的提供</w:t>
      </w:r>
    </w:p>
    <w:p w14:paraId="733D3A6D">
      <w:pPr>
        <w:bidi w:val="0"/>
      </w:pPr>
      <w:r>
        <w:t>2.4.1提供施工现场</w:t>
      </w:r>
    </w:p>
    <w:p w14:paraId="56114436">
      <w:pPr>
        <w:bidi w:val="0"/>
      </w:pPr>
      <w:r>
        <w:t>关于发包人移交施工现场的期限要求：</w:t>
      </w:r>
      <w:r>
        <w:rPr>
          <w:u w:val="single"/>
        </w:rPr>
        <w:t>开工前七天</w:t>
      </w:r>
      <w:r>
        <w:t>。</w:t>
      </w:r>
    </w:p>
    <w:p w14:paraId="0BFFC432">
      <w:pPr>
        <w:bidi w:val="0"/>
      </w:pPr>
      <w:r>
        <w:t>2.4.2提供施工条件</w:t>
      </w:r>
    </w:p>
    <w:p w14:paraId="55A5D07C">
      <w:pPr>
        <w:bidi w:val="0"/>
      </w:pPr>
      <w:r>
        <w:t>关于发包人应负责提供施工所需要的条件，包括：</w:t>
      </w:r>
      <w:r>
        <w:rPr>
          <w:u w:val="single"/>
        </w:rPr>
        <w:t>发包人协调，承包人完成，费用包含在合同价中</w:t>
      </w:r>
      <w:r>
        <w:t>。</w:t>
      </w:r>
    </w:p>
    <w:p w14:paraId="71A72924">
      <w:pPr>
        <w:bidi w:val="0"/>
      </w:pPr>
      <w:r>
        <w:t>2.5资金来源证明及支付担保</w:t>
      </w:r>
    </w:p>
    <w:p w14:paraId="003DA20B">
      <w:pPr>
        <w:bidi w:val="0"/>
      </w:pPr>
      <w:r>
        <w:t>发包人提供资金来源证明的期限要求：</w:t>
      </w:r>
      <w:r>
        <w:rPr>
          <w:rFonts w:hint="eastAsia"/>
          <w:u w:val="single"/>
          <w:lang w:val="en-US" w:eastAsia="zh-CN"/>
        </w:rPr>
        <w:t xml:space="preserve">     /     </w:t>
      </w:r>
      <w:r>
        <w:t>。</w:t>
      </w:r>
    </w:p>
    <w:p w14:paraId="2C12DCCE">
      <w:pPr>
        <w:bidi w:val="0"/>
      </w:pPr>
      <w:r>
        <w:t>发包人是否提供支付担保：</w:t>
      </w:r>
      <w:r>
        <w:rPr>
          <w:rFonts w:hint="eastAsia"/>
          <w:u w:val="single"/>
          <w:lang w:val="en-US" w:eastAsia="zh-CN"/>
        </w:rPr>
        <w:t xml:space="preserve">     /     </w:t>
      </w:r>
      <w:r>
        <w:t>。</w:t>
      </w:r>
    </w:p>
    <w:p w14:paraId="4C5BE559">
      <w:pPr>
        <w:bidi w:val="0"/>
      </w:pPr>
      <w:r>
        <w:t>发包人提供支付担保的形式：</w:t>
      </w:r>
      <w:r>
        <w:rPr>
          <w:rFonts w:hint="eastAsia"/>
          <w:u w:val="single"/>
          <w:lang w:val="en-US" w:eastAsia="zh-CN"/>
        </w:rPr>
        <w:t xml:space="preserve">     /     </w:t>
      </w:r>
      <w:r>
        <w:t>。</w:t>
      </w:r>
    </w:p>
    <w:p w14:paraId="645EAAAC">
      <w:pPr>
        <w:bidi w:val="0"/>
      </w:pPr>
      <w:r>
        <w:t>3.承包人</w:t>
      </w:r>
    </w:p>
    <w:p w14:paraId="77504F00">
      <w:pPr>
        <w:bidi w:val="0"/>
      </w:pPr>
      <w:r>
        <w:t>3.1承包人的一般义务</w:t>
      </w:r>
    </w:p>
    <w:p w14:paraId="47FE9A86">
      <w:pPr>
        <w:bidi w:val="0"/>
      </w:pPr>
      <w:r>
        <w:t>（9）承包人提交的竣工资料的内容：</w:t>
      </w:r>
      <w:r>
        <w:rPr>
          <w:u w:val="single"/>
        </w:rPr>
        <w:t>符合城建档案馆要求</w:t>
      </w:r>
      <w:r>
        <w:t>。</w:t>
      </w:r>
    </w:p>
    <w:p w14:paraId="1B3B8606">
      <w:pPr>
        <w:bidi w:val="0"/>
      </w:pPr>
      <w:r>
        <w:t>承包人需要提交的竣工资料套数：</w:t>
      </w:r>
      <w:r>
        <w:rPr>
          <w:u w:val="single"/>
        </w:rPr>
        <w:t>原件八套</w:t>
      </w:r>
      <w:r>
        <w:t>。</w:t>
      </w:r>
    </w:p>
    <w:p w14:paraId="70CD3418">
      <w:pPr>
        <w:bidi w:val="0"/>
      </w:pPr>
      <w:r>
        <w:t>承包人提交的竣工资料的费用承担：</w:t>
      </w:r>
      <w:r>
        <w:rPr>
          <w:u w:val="single"/>
        </w:rPr>
        <w:t>由承包人承担</w:t>
      </w:r>
      <w:r>
        <w:t>。</w:t>
      </w:r>
    </w:p>
    <w:p w14:paraId="5D7935A1">
      <w:pPr>
        <w:bidi w:val="0"/>
      </w:pPr>
      <w:r>
        <w:t>承包人提交的竣工资料移交时间：</w:t>
      </w:r>
      <w:r>
        <w:rPr>
          <w:u w:val="single"/>
        </w:rPr>
        <w:t>工程竣工验收合格后1个月内</w:t>
      </w:r>
      <w:r>
        <w:t>。</w:t>
      </w:r>
    </w:p>
    <w:p w14:paraId="5C3E0C83">
      <w:pPr>
        <w:bidi w:val="0"/>
      </w:pPr>
      <w:r>
        <w:t>承包人提交的竣工资料形式要求：</w:t>
      </w:r>
      <w:r>
        <w:rPr>
          <w:u w:val="single"/>
        </w:rPr>
        <w:t>书面和电子文档</w:t>
      </w:r>
      <w:r>
        <w:t>。</w:t>
      </w:r>
    </w:p>
    <w:p w14:paraId="32EBD7F1">
      <w:pPr>
        <w:bidi w:val="0"/>
      </w:pPr>
      <w:r>
        <w:t>（10）承包人应履行的其他义务：</w:t>
      </w:r>
      <w:r>
        <w:rPr>
          <w:u w:val="single"/>
        </w:rPr>
        <w:t>1.配合发包人办理项目前期手续；2.配合发包人办理施工过程所需手续；3.配合发包人办理竣工验收手续；4.配合发包人办理其他相关手续；5.配合费用均含在合同价中</w:t>
      </w:r>
      <w:r>
        <w:t>。</w:t>
      </w:r>
    </w:p>
    <w:p w14:paraId="1430E76B">
      <w:pPr>
        <w:bidi w:val="0"/>
      </w:pPr>
      <w:r>
        <w:t>3.2项目经理</w:t>
      </w:r>
    </w:p>
    <w:p w14:paraId="07E5D691">
      <w:pPr>
        <w:bidi w:val="0"/>
      </w:pPr>
      <w:r>
        <w:t>3.2.1项目经理：</w:t>
      </w:r>
    </w:p>
    <w:p w14:paraId="57BDD159">
      <w:pPr>
        <w:bidi w:val="0"/>
      </w:pPr>
      <w:r>
        <w:t>姓名：</w:t>
      </w:r>
      <w:r>
        <w:rPr>
          <w:rFonts w:hint="eastAsia"/>
          <w:u w:val="single"/>
          <w:lang w:val="en-US" w:eastAsia="zh-CN"/>
        </w:rPr>
        <w:t xml:space="preserve">     /     </w:t>
      </w:r>
      <w:r>
        <w:t>；</w:t>
      </w:r>
    </w:p>
    <w:p w14:paraId="396C877D">
      <w:pPr>
        <w:bidi w:val="0"/>
      </w:pPr>
      <w:r>
        <w:t>身份证号：</w:t>
      </w:r>
      <w:r>
        <w:rPr>
          <w:rFonts w:hint="eastAsia"/>
          <w:u w:val="single"/>
          <w:lang w:val="en-US" w:eastAsia="zh-CN"/>
        </w:rPr>
        <w:t xml:space="preserve">     /     </w:t>
      </w:r>
      <w:r>
        <w:t>；</w:t>
      </w:r>
    </w:p>
    <w:p w14:paraId="6DAFDD66">
      <w:pPr>
        <w:bidi w:val="0"/>
      </w:pPr>
      <w:r>
        <w:t>建造师执业资格等级：</w:t>
      </w:r>
      <w:r>
        <w:rPr>
          <w:rFonts w:hint="eastAsia"/>
          <w:u w:val="single"/>
          <w:lang w:val="en-US" w:eastAsia="zh-CN"/>
        </w:rPr>
        <w:t xml:space="preserve">     /     </w:t>
      </w:r>
      <w:r>
        <w:t>；</w:t>
      </w:r>
    </w:p>
    <w:p w14:paraId="4BB53DCC">
      <w:pPr>
        <w:bidi w:val="0"/>
      </w:pPr>
      <w:r>
        <w:t>建造师注册证书号：</w:t>
      </w:r>
      <w:r>
        <w:rPr>
          <w:rFonts w:hint="eastAsia"/>
          <w:u w:val="single"/>
          <w:lang w:val="en-US" w:eastAsia="zh-CN"/>
        </w:rPr>
        <w:t xml:space="preserve">     /     </w:t>
      </w:r>
      <w:r>
        <w:t>；</w:t>
      </w:r>
    </w:p>
    <w:p w14:paraId="428B4D58">
      <w:pPr>
        <w:bidi w:val="0"/>
      </w:pPr>
      <w:r>
        <w:t>建造师执业印章号：</w:t>
      </w:r>
      <w:r>
        <w:rPr>
          <w:rFonts w:hint="eastAsia"/>
          <w:u w:val="single"/>
          <w:lang w:val="en-US" w:eastAsia="zh-CN"/>
        </w:rPr>
        <w:t xml:space="preserve">     /     </w:t>
      </w:r>
      <w:r>
        <w:t>；</w:t>
      </w:r>
    </w:p>
    <w:p w14:paraId="5F9B5852">
      <w:pPr>
        <w:bidi w:val="0"/>
      </w:pPr>
      <w:r>
        <w:t>安全生产考核合格证书号：</w:t>
      </w:r>
      <w:r>
        <w:rPr>
          <w:rFonts w:hint="eastAsia"/>
          <w:u w:val="single"/>
          <w:lang w:val="en-US" w:eastAsia="zh-CN"/>
        </w:rPr>
        <w:t xml:space="preserve">     /     </w:t>
      </w:r>
      <w:r>
        <w:t>；</w:t>
      </w:r>
    </w:p>
    <w:p w14:paraId="4C47FC7E">
      <w:pPr>
        <w:bidi w:val="0"/>
      </w:pPr>
      <w:r>
        <w:t>联系电话：</w:t>
      </w:r>
      <w:r>
        <w:rPr>
          <w:rFonts w:hint="eastAsia"/>
          <w:u w:val="single"/>
          <w:lang w:val="en-US" w:eastAsia="zh-CN"/>
        </w:rPr>
        <w:t xml:space="preserve">     /     </w:t>
      </w:r>
      <w:r>
        <w:t>；</w:t>
      </w:r>
    </w:p>
    <w:p w14:paraId="22A3107E">
      <w:pPr>
        <w:bidi w:val="0"/>
      </w:pPr>
      <w:r>
        <w:t>电子信箱：</w:t>
      </w:r>
      <w:r>
        <w:rPr>
          <w:rFonts w:hint="eastAsia"/>
          <w:u w:val="single"/>
          <w:lang w:val="en-US" w:eastAsia="zh-CN"/>
        </w:rPr>
        <w:t xml:space="preserve">     /     </w:t>
      </w:r>
      <w:r>
        <w:t>；</w:t>
      </w:r>
    </w:p>
    <w:p w14:paraId="7EF7FFEC">
      <w:pPr>
        <w:bidi w:val="0"/>
      </w:pPr>
      <w:r>
        <w:t>通信地址：</w:t>
      </w:r>
      <w:r>
        <w:rPr>
          <w:rFonts w:hint="eastAsia"/>
          <w:u w:val="single"/>
          <w:lang w:val="en-US" w:eastAsia="zh-CN"/>
        </w:rPr>
        <w:t xml:space="preserve">     /     </w:t>
      </w:r>
      <w:r>
        <w:t>；</w:t>
      </w:r>
    </w:p>
    <w:p w14:paraId="31BE474D">
      <w:pPr>
        <w:bidi w:val="0"/>
      </w:pPr>
      <w:r>
        <w:t>承包人对项目经理的授权范围如下：</w:t>
      </w:r>
      <w:r>
        <w:rPr>
          <w:u w:val="single"/>
        </w:rPr>
        <w:t>执行通用条款</w:t>
      </w:r>
      <w:r>
        <w:t>。</w:t>
      </w:r>
    </w:p>
    <w:p w14:paraId="0A900343">
      <w:pPr>
        <w:bidi w:val="0"/>
      </w:pPr>
      <w:r>
        <w:t>关于项目经理每月在施工现场的时间要求：</w:t>
      </w:r>
      <w:r>
        <w:rPr>
          <w:u w:val="single"/>
        </w:rPr>
        <w:t>项目经理和主要项目管理人员在施工期间现场时间每月不得小于28天，不足以上时限的，按照不履行招标文件及合同约定缴纳违约金2万元</w:t>
      </w:r>
      <w:r>
        <w:t>。</w:t>
      </w:r>
    </w:p>
    <w:p w14:paraId="529616C4">
      <w:pPr>
        <w:bidi w:val="0"/>
      </w:pPr>
      <w:r>
        <w:t>承包人未提交劳动合同，以及没有为项目经理缴纳社会保险证明的违约责任：</w:t>
      </w:r>
      <w:r>
        <w:rPr>
          <w:u w:val="single"/>
        </w:rPr>
        <w:t>向业主缴纳违约金2万元，责令限期提交劳动合同并补缴社会保险</w:t>
      </w:r>
      <w:r>
        <w:t>。</w:t>
      </w:r>
    </w:p>
    <w:p w14:paraId="2B45C102">
      <w:pPr>
        <w:bidi w:val="0"/>
      </w:pPr>
      <w:r>
        <w:t>项目经理未经批准，擅自离开施工现场的违约责任：</w:t>
      </w:r>
      <w:r>
        <w:rPr>
          <w:u w:val="single"/>
        </w:rPr>
        <w:t>项目经理未经批准擅自离场的，</w:t>
      </w:r>
      <w:r>
        <w:rPr>
          <w:u w:val="single"/>
        </w:rPr>
        <w:tab/>
      </w:r>
      <w:r>
        <w:rPr>
          <w:u w:val="single"/>
        </w:rPr>
        <w:t>超过24小时的，按照不履行合同约定缴纳违约金2万元；超过72小时的，建设方有权更换项目经理，并按照不履行招标文件及合同约定扣除10万元违约金</w:t>
      </w:r>
      <w:r>
        <w:t>。</w:t>
      </w:r>
    </w:p>
    <w:p w14:paraId="21B83D6F">
      <w:pPr>
        <w:bidi w:val="0"/>
      </w:pPr>
      <w:r>
        <w:t>3.2.3承包人擅自更换项目经理的违约责任：</w:t>
      </w:r>
      <w:r>
        <w:rPr>
          <w:u w:val="single"/>
        </w:rPr>
        <w:t>项目负责人的姓名、等级在专用条款内写明，且不得随意更换项目负责人，若更换项目负责人需向业主缴纳5万元违约金，承包人承担上述违约给发包人造成的一切损失；若因特殊原因需更换项目负责人的，由承包人提前7日向建设方提出书面申请，将以资质业绩以及信誉不得低于此项目负责人的人员替换，并报业主审查，经审查通过，向业主缴纳5万元（人民币）违约金后，方可更换</w:t>
      </w:r>
      <w:r>
        <w:t>。</w:t>
      </w:r>
    </w:p>
    <w:p w14:paraId="1F8D9D9D">
      <w:pPr>
        <w:bidi w:val="0"/>
        <w:ind w:firstLine="480"/>
      </w:pPr>
      <w:r>
        <w:t>3.2.4承包人无正当理由拒绝更换项目经理的违约责任：</w:t>
      </w:r>
      <w:r>
        <w:rPr>
          <w:u w:val="single"/>
        </w:rPr>
        <w:t>需缴纳5万元违约金，承包人承担上述违约给发包人造成的一切损失</w:t>
      </w:r>
      <w:r>
        <w:t>。</w:t>
      </w:r>
    </w:p>
    <w:p w14:paraId="206900B0">
      <w:pPr>
        <w:bidi w:val="0"/>
      </w:pPr>
      <w:r>
        <w:t>3.3承包人人员</w:t>
      </w:r>
    </w:p>
    <w:p w14:paraId="0C6D4E4B">
      <w:pPr>
        <w:bidi w:val="0"/>
      </w:pPr>
      <w:r>
        <w:t>3.3.1承包人提交项目管理机构及施工现场管理人员安排报告的期限：</w:t>
      </w:r>
      <w:r>
        <w:rPr>
          <w:u w:val="single"/>
        </w:rPr>
        <w:t>开工前三天；承包人的项目管理机构应当具有与承包工程规模、技术复杂程度相适应的技术、管理人员，其中：商务标中约定的项目经理、项目工程师、质量管理员、安全管理员、资料员、预算员必须为本单位自有人员，不允许临时挂靠人员参与中标工程建设</w:t>
      </w:r>
      <w:r>
        <w:t>。</w:t>
      </w:r>
    </w:p>
    <w:p w14:paraId="74DDB990">
      <w:pPr>
        <w:bidi w:val="0"/>
      </w:pPr>
      <w:r>
        <w:t>若承包人违约使用临时挂靠人员，则发包人有权要求更换。</w:t>
      </w:r>
    </w:p>
    <w:p w14:paraId="6654F237">
      <w:pPr>
        <w:bidi w:val="0"/>
      </w:pPr>
      <w:r>
        <w:t>3.3.3承包人无正当理由拒绝撤换主要施工管理人员的违约责任：</w:t>
      </w:r>
      <w:r>
        <w:rPr>
          <w:u w:val="single"/>
        </w:rPr>
        <w:t>需缴纳2万元违约金，承包人承担上述违约给发包人造成的一切损失</w:t>
      </w:r>
      <w:r>
        <w:t>。</w:t>
      </w:r>
    </w:p>
    <w:p w14:paraId="4C773DC2">
      <w:pPr>
        <w:bidi w:val="0"/>
      </w:pPr>
      <w:r>
        <w:t>3.3.4承包人主要施工管理人员离开施工现场的批准要求：</w:t>
      </w:r>
      <w:r>
        <w:rPr>
          <w:u w:val="single"/>
        </w:rPr>
        <w:t>施工单位主要项目管理人员应严格按照合同通用条款约定的在场时限组织施工，不得擅自离场，确需特殊原因离场的，应提前1日向现场监理及发包人代表提出书面申请，且离场时间不能超过24小时</w:t>
      </w:r>
      <w:r>
        <w:t>。</w:t>
      </w:r>
    </w:p>
    <w:p w14:paraId="460090FC">
      <w:pPr>
        <w:bidi w:val="0"/>
      </w:pPr>
      <w:r>
        <w:t>3.3.5承包人擅自更换主要施工管理人员的违约责任：</w:t>
      </w:r>
      <w:r>
        <w:rPr>
          <w:u w:val="single"/>
        </w:rPr>
        <w:t>施工单位项目管理人员原则上不准更换，确需特殊原因更换的，需提前7日向建设方提出书面申请，且更换人员资历及信誉不得低于商务标约定人员；其中，更换项目经理或项目工程师的需缴纳违约金5万元，更换其他人员的需每人缴纳违约金2万元</w:t>
      </w:r>
      <w:r>
        <w:t>。</w:t>
      </w:r>
    </w:p>
    <w:p w14:paraId="191AB9CF">
      <w:pPr>
        <w:bidi w:val="0"/>
        <w:rPr>
          <w:u w:val="single"/>
        </w:rPr>
      </w:pPr>
      <w:r>
        <w:t>承包人主要施工管理人员擅自离开施工现场的违约责任：</w:t>
      </w:r>
      <w:r>
        <w:rPr>
          <w:u w:val="single"/>
        </w:rPr>
        <w:t>主要项目管理人员未经批准擅自离场的，超过24小时的，按照不履行合同约定缴纳违约金2万元；超过72小时</w:t>
      </w:r>
    </w:p>
    <w:p w14:paraId="3F75D2F7">
      <w:pPr>
        <w:bidi w:val="0"/>
        <w:rPr>
          <w:u w:val="single"/>
        </w:rPr>
      </w:pPr>
    </w:p>
    <w:p w14:paraId="2B3CC932">
      <w:pPr>
        <w:bidi w:val="0"/>
        <w:ind w:left="0" w:leftChars="0" w:firstLine="0" w:firstLineChars="0"/>
      </w:pPr>
      <w:r>
        <w:rPr>
          <w:u w:val="single"/>
        </w:rPr>
        <w:t>的，建设方有权更换项目经理，并按照不履行招标文件及合同约定扣除10万元违约金</w:t>
      </w:r>
      <w:r>
        <w:t>。</w:t>
      </w:r>
    </w:p>
    <w:p w14:paraId="638BF7D1">
      <w:pPr>
        <w:bidi w:val="0"/>
      </w:pPr>
      <w:r>
        <w:t>3.5分包</w:t>
      </w:r>
    </w:p>
    <w:p w14:paraId="0CF20465">
      <w:pPr>
        <w:bidi w:val="0"/>
      </w:pPr>
      <w:r>
        <w:t>3.5.1分包的一般约定</w:t>
      </w:r>
    </w:p>
    <w:p w14:paraId="1FC16979">
      <w:pPr>
        <w:bidi w:val="0"/>
      </w:pPr>
      <w:r>
        <w:t>禁止分包的工程包括：</w:t>
      </w:r>
      <w:r>
        <w:rPr>
          <w:u w:val="single"/>
        </w:rPr>
        <w:t>执行通用条款</w:t>
      </w:r>
      <w:r>
        <w:t>。</w:t>
      </w:r>
    </w:p>
    <w:p w14:paraId="23B9BDB4">
      <w:pPr>
        <w:bidi w:val="0"/>
      </w:pPr>
      <w:r>
        <w:t>主体结构、关键性工作的范围：</w:t>
      </w:r>
      <w:r>
        <w:rPr>
          <w:rFonts w:hint="eastAsia"/>
          <w:u w:val="single"/>
          <w:lang w:val="en-US" w:eastAsia="zh-CN"/>
        </w:rPr>
        <w:t xml:space="preserve">     /     </w:t>
      </w:r>
      <w:r>
        <w:t>。</w:t>
      </w:r>
    </w:p>
    <w:p w14:paraId="64F0A345">
      <w:pPr>
        <w:bidi w:val="0"/>
      </w:pPr>
      <w:r>
        <w:t>3.5.2分包的确定</w:t>
      </w:r>
    </w:p>
    <w:p w14:paraId="7ADE477C">
      <w:pPr>
        <w:bidi w:val="0"/>
      </w:pPr>
      <w:r>
        <w:t>允许分包的专业工程包括：</w:t>
      </w:r>
      <w:r>
        <w:rPr>
          <w:u w:val="single"/>
        </w:rPr>
        <w:t>本工程不得分包</w:t>
      </w:r>
      <w:r>
        <w:t>。</w:t>
      </w:r>
    </w:p>
    <w:p w14:paraId="068F2E57">
      <w:pPr>
        <w:bidi w:val="0"/>
      </w:pPr>
      <w:r>
        <w:t>其他关于分包的约定：</w:t>
      </w:r>
      <w:r>
        <w:rPr>
          <w:u w:val="single"/>
        </w:rPr>
        <w:t>无</w:t>
      </w:r>
      <w:r>
        <w:t>（根据实际情况确定）。</w:t>
      </w:r>
    </w:p>
    <w:p w14:paraId="10DF9C5C">
      <w:pPr>
        <w:bidi w:val="0"/>
      </w:pPr>
      <w:r>
        <w:t>3.5.4分包合同价款</w:t>
      </w:r>
    </w:p>
    <w:p w14:paraId="5033DED4">
      <w:pPr>
        <w:bidi w:val="0"/>
      </w:pPr>
      <w:r>
        <w:t>关于分包合同价款支付的约定：</w:t>
      </w:r>
      <w:r>
        <w:rPr>
          <w:rFonts w:hint="eastAsia"/>
          <w:u w:val="single"/>
          <w:lang w:val="en-US" w:eastAsia="zh-CN"/>
        </w:rPr>
        <w:t xml:space="preserve">     /     </w:t>
      </w:r>
      <w:r>
        <w:t>。</w:t>
      </w:r>
    </w:p>
    <w:p w14:paraId="1884DC54">
      <w:pPr>
        <w:bidi w:val="0"/>
      </w:pPr>
      <w:r>
        <w:t>3.6工程照管与成品、半成品保护</w:t>
      </w:r>
    </w:p>
    <w:p w14:paraId="6C2344EB">
      <w:pPr>
        <w:bidi w:val="0"/>
      </w:pPr>
      <w:r>
        <w:t>承包人负责照管工程及工程相关的材料、工程设备的起始时间：</w:t>
      </w:r>
      <w:r>
        <w:rPr>
          <w:u w:val="single"/>
        </w:rPr>
        <w:t>设备、人员进场至竣工验收并交付使用前由承包人负责保修，无其它特殊要求的，费用由承包人承担</w:t>
      </w:r>
      <w:r>
        <w:t>。</w:t>
      </w:r>
    </w:p>
    <w:p w14:paraId="15D9ABC3">
      <w:pPr>
        <w:bidi w:val="0"/>
      </w:pPr>
      <w:r>
        <w:t>3.7履约担保</w:t>
      </w:r>
    </w:p>
    <w:p w14:paraId="1CD1DECA">
      <w:pPr>
        <w:bidi w:val="0"/>
      </w:pPr>
      <w:r>
        <w:t>承包人是否提供履约担保：</w:t>
      </w:r>
      <w:r>
        <w:rPr>
          <w:u w:val="single"/>
        </w:rPr>
        <w:t>提供</w:t>
      </w:r>
      <w:r>
        <w:t>。</w:t>
      </w:r>
    </w:p>
    <w:p w14:paraId="01764885">
      <w:pPr>
        <w:bidi w:val="0"/>
      </w:pPr>
      <w:r>
        <w:t>承包人提供履约担保的形式、金额及期限的：</w:t>
      </w:r>
      <w:r>
        <w:rPr>
          <w:u w:val="single"/>
        </w:rPr>
        <w:t>以电汇或支票形式或银行保函提供合同价款的10%作为履约保证金，工程完工、竣工验收合格交后一次性退还</w:t>
      </w:r>
      <w:r>
        <w:t>。</w:t>
      </w:r>
    </w:p>
    <w:p w14:paraId="5F0C1BD9">
      <w:pPr>
        <w:bidi w:val="0"/>
      </w:pPr>
      <w:r>
        <w:t>4.监理人</w:t>
      </w:r>
    </w:p>
    <w:p w14:paraId="58039812">
      <w:pPr>
        <w:bidi w:val="0"/>
      </w:pPr>
      <w:r>
        <w:t>4.1监理人的一般规定</w:t>
      </w:r>
    </w:p>
    <w:p w14:paraId="61F6F4B0">
      <w:pPr>
        <w:bidi w:val="0"/>
      </w:pPr>
      <w:r>
        <w:t>关于监理人的监理内容：</w:t>
      </w:r>
      <w:r>
        <w:rPr>
          <w:u w:val="single"/>
        </w:rPr>
        <w:t>详见监理合同</w:t>
      </w:r>
      <w:r>
        <w:t>。</w:t>
      </w:r>
    </w:p>
    <w:p w14:paraId="52875421">
      <w:pPr>
        <w:bidi w:val="0"/>
      </w:pPr>
      <w:r>
        <w:t>关于监理人的监理权限：</w:t>
      </w:r>
      <w:r>
        <w:rPr>
          <w:u w:val="single"/>
        </w:rPr>
        <w:t>详见监理合同</w:t>
      </w:r>
      <w:r>
        <w:t>。</w:t>
      </w:r>
    </w:p>
    <w:p w14:paraId="7EBB9137">
      <w:pPr>
        <w:bidi w:val="0"/>
      </w:pPr>
      <w:r>
        <w:t>关于监理人在施工现场的办公场所、生活场所的提供和费用承担的约定：</w:t>
      </w:r>
      <w:r>
        <w:rPr>
          <w:u w:val="single"/>
        </w:rPr>
        <w:t>由承包人提供，费用包含在合同价中</w:t>
      </w:r>
      <w:r>
        <w:t>。</w:t>
      </w:r>
    </w:p>
    <w:p w14:paraId="53CD9D76">
      <w:pPr>
        <w:bidi w:val="0"/>
      </w:pPr>
      <w:r>
        <w:t>4.2监理人员总监理工程师：</w:t>
      </w:r>
    </w:p>
    <w:p w14:paraId="367D7C2C">
      <w:pPr>
        <w:bidi w:val="0"/>
      </w:pPr>
      <w:r>
        <w:t>姓名：</w:t>
      </w:r>
      <w:r>
        <w:rPr>
          <w:rFonts w:hint="eastAsia"/>
          <w:u w:val="single"/>
          <w:lang w:val="en-US" w:eastAsia="zh-CN"/>
        </w:rPr>
        <w:t xml:space="preserve">     /     </w:t>
      </w:r>
      <w:r>
        <w:t>；</w:t>
      </w:r>
    </w:p>
    <w:p w14:paraId="1B74BB84">
      <w:pPr>
        <w:bidi w:val="0"/>
      </w:pPr>
      <w:r>
        <w:t>职务：</w:t>
      </w:r>
      <w:r>
        <w:rPr>
          <w:rFonts w:hint="eastAsia"/>
          <w:u w:val="single"/>
          <w:lang w:val="en-US" w:eastAsia="zh-CN"/>
        </w:rPr>
        <w:t xml:space="preserve">     /     </w:t>
      </w:r>
      <w:r>
        <w:t>；</w:t>
      </w:r>
    </w:p>
    <w:p w14:paraId="5DA51223">
      <w:pPr>
        <w:bidi w:val="0"/>
      </w:pPr>
      <w:r>
        <w:t>监理工程师执业资格证书号：</w:t>
      </w:r>
      <w:r>
        <w:rPr>
          <w:rFonts w:hint="eastAsia"/>
          <w:u w:val="single"/>
          <w:lang w:val="en-US" w:eastAsia="zh-CN"/>
        </w:rPr>
        <w:t xml:space="preserve">     /     </w:t>
      </w:r>
      <w:r>
        <w:t>；</w:t>
      </w:r>
    </w:p>
    <w:p w14:paraId="56854903">
      <w:pPr>
        <w:bidi w:val="0"/>
      </w:pPr>
      <w:r>
        <w:t>联系电话：</w:t>
      </w:r>
      <w:r>
        <w:rPr>
          <w:rFonts w:hint="eastAsia"/>
          <w:u w:val="single"/>
          <w:lang w:val="en-US" w:eastAsia="zh-CN"/>
        </w:rPr>
        <w:t xml:space="preserve">     /     </w:t>
      </w:r>
      <w:r>
        <w:t>；</w:t>
      </w:r>
    </w:p>
    <w:p w14:paraId="7ACEB75E">
      <w:pPr>
        <w:bidi w:val="0"/>
      </w:pPr>
      <w:r>
        <w:t>电子信箱：</w:t>
      </w:r>
      <w:r>
        <w:rPr>
          <w:rFonts w:hint="eastAsia"/>
          <w:u w:val="single"/>
          <w:lang w:val="en-US" w:eastAsia="zh-CN"/>
        </w:rPr>
        <w:t xml:space="preserve">     /     </w:t>
      </w:r>
      <w:r>
        <w:t>；</w:t>
      </w:r>
    </w:p>
    <w:p w14:paraId="6902E9D7">
      <w:pPr>
        <w:bidi w:val="0"/>
      </w:pPr>
      <w:r>
        <w:t>通信地址：</w:t>
      </w:r>
      <w:r>
        <w:rPr>
          <w:rFonts w:hint="eastAsia"/>
          <w:u w:val="single"/>
          <w:lang w:val="en-US" w:eastAsia="zh-CN"/>
        </w:rPr>
        <w:t xml:space="preserve">     /     </w:t>
      </w:r>
      <w:r>
        <w:t>；</w:t>
      </w:r>
    </w:p>
    <w:p w14:paraId="1DB9D698">
      <w:pPr>
        <w:bidi w:val="0"/>
      </w:pPr>
      <w:r>
        <w:t>关于监理人的其他约定：</w:t>
      </w:r>
      <w:r>
        <w:rPr>
          <w:rFonts w:hint="eastAsia"/>
          <w:u w:val="single"/>
          <w:lang w:val="en-US" w:eastAsia="zh-CN"/>
        </w:rPr>
        <w:t xml:space="preserve">     /     </w:t>
      </w:r>
      <w:r>
        <w:t>。</w:t>
      </w:r>
    </w:p>
    <w:p w14:paraId="5CC4F209">
      <w:pPr>
        <w:bidi w:val="0"/>
      </w:pPr>
      <w:r>
        <w:t>4.4商定或确定</w:t>
      </w:r>
    </w:p>
    <w:p w14:paraId="46503201">
      <w:pPr>
        <w:bidi w:val="0"/>
      </w:pPr>
      <w:r>
        <w:t>在发包人和承包人不能通过协商达成一致意见时，发包人授权监理人对以下事项进行确定：</w:t>
      </w:r>
      <w:r>
        <w:rPr>
          <w:u w:val="single"/>
        </w:rPr>
        <w:t>（1）执行通用条款；（2）执行通用条款；（3）执行通用条款</w:t>
      </w:r>
      <w:r>
        <w:t>。</w:t>
      </w:r>
    </w:p>
    <w:p w14:paraId="283694BA">
      <w:pPr>
        <w:bidi w:val="0"/>
      </w:pPr>
      <w:r>
        <w:t>5.工程质量</w:t>
      </w:r>
    </w:p>
    <w:p w14:paraId="220DA8B2">
      <w:pPr>
        <w:bidi w:val="0"/>
      </w:pPr>
      <w:r>
        <w:t>5.1质量要求</w:t>
      </w:r>
    </w:p>
    <w:p w14:paraId="13144918">
      <w:pPr>
        <w:bidi w:val="0"/>
      </w:pPr>
      <w:r>
        <w:t>5.1.1特殊质量标准和要求：</w:t>
      </w:r>
      <w:r>
        <w:rPr>
          <w:u w:val="single"/>
        </w:rPr>
        <w:t>执行通用条款</w:t>
      </w:r>
      <w:r>
        <w:t>。</w:t>
      </w:r>
    </w:p>
    <w:p w14:paraId="2DEAD98C">
      <w:pPr>
        <w:bidi w:val="0"/>
      </w:pPr>
      <w:r>
        <w:t>关于工程奖项的约定：</w:t>
      </w:r>
      <w:r>
        <w:rPr>
          <w:u w:val="single"/>
        </w:rPr>
        <w:t>按照招标文件和施工合同的质量、工期约定，建设单位可根据竣工验收实际，对提前竣工达到合同约定质量标准，以及工程质量达到优良等级的工程，按照相应比例向施工单位返还扣除的违约金</w:t>
      </w:r>
      <w:r>
        <w:t>。</w:t>
      </w:r>
    </w:p>
    <w:p w14:paraId="2DB92BE0">
      <w:pPr>
        <w:bidi w:val="0"/>
      </w:pPr>
      <w:r>
        <w:t>5.3隐蔽工程检查</w:t>
      </w:r>
    </w:p>
    <w:p w14:paraId="27F8E722">
      <w:pPr>
        <w:bidi w:val="0"/>
      </w:pPr>
      <w:r>
        <w:t>5.3.2承包人提前通知监理人隐蔽工程检查的期限的约定：</w:t>
      </w:r>
      <w:r>
        <w:rPr>
          <w:u w:val="single"/>
        </w:rPr>
        <w:t>共同检查前48小时书面通知监理人</w:t>
      </w:r>
      <w:r>
        <w:t>。</w:t>
      </w:r>
    </w:p>
    <w:p w14:paraId="35C0B829">
      <w:pPr>
        <w:bidi w:val="0"/>
      </w:pPr>
      <w:r>
        <w:t>监理人不能按时进行检查时，应提前24小时提交书面延期要求。关于延期最长不得超过：</w:t>
      </w:r>
      <w:r>
        <w:rPr>
          <w:u w:val="single"/>
        </w:rPr>
        <w:t>48小时</w:t>
      </w:r>
      <w:r>
        <w:t>。</w:t>
      </w:r>
    </w:p>
    <w:p w14:paraId="59C15B25">
      <w:pPr>
        <w:bidi w:val="0"/>
      </w:pPr>
      <w:r>
        <w:t>6.安全文明施工与环境保护</w:t>
      </w:r>
    </w:p>
    <w:p w14:paraId="14DB5CE4">
      <w:pPr>
        <w:bidi w:val="0"/>
      </w:pPr>
      <w:r>
        <w:t>6.1安全文明施工</w:t>
      </w:r>
    </w:p>
    <w:p w14:paraId="77583763">
      <w:pPr>
        <w:bidi w:val="0"/>
      </w:pPr>
      <w:r>
        <w:t>6.1.1项目安全生产的达标目标及相应事项的约定：</w:t>
      </w:r>
      <w:r>
        <w:rPr>
          <w:u w:val="single"/>
        </w:rPr>
        <w:t>要求达到《建筑施工安全检查标准》（JGJ59-2011）标准；承包方应切实抓好本工程安全施工工作，确保不发生一起安全事故，并应提前做好施工人员及机械设备保险办理工作；若发生人员伤亡事故，产生的一切后果由承包方承担，发包方不承担任何责任</w:t>
      </w:r>
      <w:r>
        <w:t>。</w:t>
      </w:r>
    </w:p>
    <w:p w14:paraId="297E053A">
      <w:pPr>
        <w:bidi w:val="0"/>
      </w:pPr>
      <w:r>
        <w:t>6.1.4关于治安保卫的特别约定：</w:t>
      </w:r>
      <w:r>
        <w:rPr>
          <w:u w:val="single"/>
        </w:rPr>
        <w:t>由承包人负责协调并履行治安保卫职责</w:t>
      </w:r>
      <w:r>
        <w:t>。</w:t>
      </w:r>
    </w:p>
    <w:p w14:paraId="45232678">
      <w:pPr>
        <w:bidi w:val="0"/>
      </w:pPr>
      <w:r>
        <w:t>关于编制施工场地治安管理计划的约定：</w:t>
      </w:r>
      <w:r>
        <w:rPr>
          <w:u w:val="single"/>
        </w:rPr>
        <w:t>承包人开工前三天提供施工场地治安管理计划</w:t>
      </w:r>
      <w:r>
        <w:t>。</w:t>
      </w:r>
    </w:p>
    <w:p w14:paraId="4FED5BEE">
      <w:pPr>
        <w:bidi w:val="0"/>
      </w:pPr>
      <w:r>
        <w:t>6.1.5文明施工</w:t>
      </w:r>
    </w:p>
    <w:p w14:paraId="42DB4C9D">
      <w:pPr>
        <w:bidi w:val="0"/>
      </w:pPr>
      <w:r>
        <w:t>合同当事人对文明施工的要求：</w:t>
      </w:r>
      <w:r>
        <w:rPr>
          <w:u w:val="single"/>
        </w:rPr>
        <w:t>达到《建筑施工现场环境与卫生标准》（JGJ146-2004、J375-2004），《乌鲁木齐建筑工程施工现场扬尘防染防治实施细则》（乌建发【2017】71号）并执行通用条款</w:t>
      </w:r>
      <w:r>
        <w:t>。</w:t>
      </w:r>
    </w:p>
    <w:p w14:paraId="188BCDA6">
      <w:pPr>
        <w:bidi w:val="0"/>
      </w:pPr>
      <w:r>
        <w:t>6.1.6关于安全文明施工费支付比例和支付期限的约定：</w:t>
      </w:r>
      <w:r>
        <w:rPr>
          <w:u w:val="single"/>
        </w:rPr>
        <w:t>按进度款支付比例进行支付</w:t>
      </w:r>
      <w:r>
        <w:t>。</w:t>
      </w:r>
    </w:p>
    <w:p w14:paraId="30DD7B22">
      <w:pPr>
        <w:bidi w:val="0"/>
      </w:pPr>
      <w:r>
        <w:t>7.工期和进度</w:t>
      </w:r>
    </w:p>
    <w:p w14:paraId="47CF6353">
      <w:pPr>
        <w:bidi w:val="0"/>
      </w:pPr>
      <w:r>
        <w:t>7.1施工组织设计</w:t>
      </w:r>
    </w:p>
    <w:p w14:paraId="2874A9A8">
      <w:pPr>
        <w:bidi w:val="0"/>
      </w:pPr>
      <w:r>
        <w:t>7.1.1合同当事人约定的施工组织设计应包括的其他内容：</w:t>
      </w:r>
      <w:r>
        <w:rPr>
          <w:u w:val="single"/>
        </w:rPr>
        <w:t>中标施工单位应严格按照技术标约定的劳动力需用量计划、机械设备需用量计划组织施工人材机未按照技术标约定全部到场的，按照不履行招标文件及合同约定缴纳违约金5万元</w:t>
      </w:r>
      <w:r>
        <w:t>。</w:t>
      </w:r>
    </w:p>
    <w:p w14:paraId="1E8966D0">
      <w:pPr>
        <w:bidi w:val="0"/>
      </w:pPr>
      <w:r>
        <w:t>7.1.2施工组织设计的提交和修改</w:t>
      </w:r>
    </w:p>
    <w:p w14:paraId="747EFEDE">
      <w:pPr>
        <w:bidi w:val="0"/>
      </w:pPr>
      <w:r>
        <w:t>承包人提交详细施工组织设计的期限的约定：</w:t>
      </w:r>
      <w:r>
        <w:rPr>
          <w:u w:val="single"/>
        </w:rPr>
        <w:t>开工前三天</w:t>
      </w:r>
      <w:r>
        <w:t>。</w:t>
      </w:r>
    </w:p>
    <w:p w14:paraId="37350C90">
      <w:pPr>
        <w:bidi w:val="0"/>
      </w:pPr>
      <w:r>
        <w:t>发包人和监理人在收到详细的施工组织设计后确认或提出修改意见的期限：</w:t>
      </w:r>
      <w:r>
        <w:rPr>
          <w:u w:val="single"/>
        </w:rPr>
        <w:t>收到后7天内</w:t>
      </w:r>
      <w:r>
        <w:t>。</w:t>
      </w:r>
    </w:p>
    <w:p w14:paraId="7994CBB4">
      <w:pPr>
        <w:bidi w:val="0"/>
      </w:pPr>
      <w:r>
        <w:t>7.2施工进度计划</w:t>
      </w:r>
    </w:p>
    <w:p w14:paraId="5659A8E9">
      <w:pPr>
        <w:bidi w:val="0"/>
      </w:pPr>
      <w:r>
        <w:t>7.2.2施工进度计划的修订</w:t>
      </w:r>
    </w:p>
    <w:p w14:paraId="1351A59F">
      <w:pPr>
        <w:bidi w:val="0"/>
      </w:pPr>
      <w:r>
        <w:t>发包人和监理人在收到修订的施工进度计划后确认或提出修改意见的期限：</w:t>
      </w:r>
      <w:r>
        <w:rPr>
          <w:u w:val="single"/>
        </w:rPr>
        <w:t>收到后7天内</w:t>
      </w:r>
      <w:r>
        <w:t>。</w:t>
      </w:r>
    </w:p>
    <w:p w14:paraId="624C212F">
      <w:pPr>
        <w:bidi w:val="0"/>
      </w:pPr>
      <w:r>
        <w:t>7.3开工</w:t>
      </w:r>
    </w:p>
    <w:p w14:paraId="1FAFB77D">
      <w:pPr>
        <w:bidi w:val="0"/>
      </w:pPr>
      <w:r>
        <w:t>7.3.1开工准备</w:t>
      </w:r>
    </w:p>
    <w:p w14:paraId="13CF9762">
      <w:pPr>
        <w:bidi w:val="0"/>
      </w:pPr>
      <w:r>
        <w:t>关于承包人提交工程开工报审表的期限：</w:t>
      </w:r>
      <w:r>
        <w:rPr>
          <w:u w:val="single"/>
        </w:rPr>
        <w:t>合同签订后、开工之前7日</w:t>
      </w:r>
      <w:r>
        <w:t>。</w:t>
      </w:r>
    </w:p>
    <w:p w14:paraId="377D3715">
      <w:pPr>
        <w:bidi w:val="0"/>
      </w:pPr>
      <w:r>
        <w:t>关于发包人应完成的其他开工准备工作及期限：</w:t>
      </w:r>
      <w:r>
        <w:rPr>
          <w:rFonts w:hint="eastAsia"/>
          <w:u w:val="single"/>
          <w:lang w:val="en-US" w:eastAsia="zh-CN"/>
        </w:rPr>
        <w:t xml:space="preserve">     /     </w:t>
      </w:r>
      <w:r>
        <w:t>。</w:t>
      </w:r>
    </w:p>
    <w:p w14:paraId="3906A1C5">
      <w:pPr>
        <w:bidi w:val="0"/>
      </w:pPr>
      <w:r>
        <w:t>关于承包人应完成的其他开工准备工作及期限：</w:t>
      </w:r>
      <w:r>
        <w:rPr>
          <w:u w:val="single"/>
        </w:rPr>
        <w:t>中标施工单位项目经理、项目管理人员、施工人员必须按照商务标约定到场，并应严格按照技术标约定的劳动力需用量计划、机械设备需用量计划组织施工</w:t>
      </w:r>
      <w:r>
        <w:t>。</w:t>
      </w:r>
    </w:p>
    <w:p w14:paraId="64C44EBD">
      <w:pPr>
        <w:bidi w:val="0"/>
      </w:pPr>
      <w:r>
        <w:t>7.3.2开工通知</w:t>
      </w:r>
    </w:p>
    <w:p w14:paraId="332C5DE6">
      <w:pPr>
        <w:bidi w:val="0"/>
      </w:pPr>
      <w:r>
        <w:t>因发包人原因造成监理人未能在计划开工日期之日起90天内发出开工通知的，承包人有权提出价格调整要求，或者解除合同。</w:t>
      </w:r>
    </w:p>
    <w:p w14:paraId="64D5383C">
      <w:pPr>
        <w:bidi w:val="0"/>
      </w:pPr>
      <w:r>
        <w:t>7.4测量放线</w:t>
      </w:r>
    </w:p>
    <w:p w14:paraId="5D2B25F5">
      <w:pPr>
        <w:bidi w:val="0"/>
      </w:pPr>
      <w:r>
        <w:t>7.4.1发包人通过监理人向承包人提供测量基准点、基准线和水准点及其书面资料的期限：</w:t>
      </w:r>
      <w:r>
        <w:rPr>
          <w:u w:val="single"/>
        </w:rPr>
        <w:t>开工三日内在施工现场进行交验，由承包方做好校验和保护；承包人应根据国家测绘基准，测绘系统和工程测量技术规范，按上述基准点（线）以及合同工程精度要求，测设施工控制网，并在专用条款约定的期限内，将施工控制网资料报送发包人和监理人审批</w:t>
      </w:r>
      <w:r>
        <w:t>。</w:t>
      </w:r>
    </w:p>
    <w:p w14:paraId="0A326B23">
      <w:pPr>
        <w:bidi w:val="0"/>
      </w:pPr>
      <w:r>
        <w:t>7.5工期延误</w:t>
      </w:r>
    </w:p>
    <w:p w14:paraId="66888FFD">
      <w:pPr>
        <w:bidi w:val="0"/>
      </w:pPr>
      <w:r>
        <w:t>7.5.1因发包人原因导致工期延误</w:t>
      </w:r>
    </w:p>
    <w:p w14:paraId="5C141EF1">
      <w:pPr>
        <w:bidi w:val="0"/>
      </w:pPr>
      <w:r>
        <w:t>（7）因发包人原因导致工期延误的其他情形：</w:t>
      </w:r>
      <w:r>
        <w:rPr>
          <w:u w:val="single"/>
        </w:rPr>
        <w:t>非发包方原因，工期不顺延；因政策处理问题影响施工进度，不可抗力原因影响工程进度，需在发现后七日内办理签证，逾期不予认可</w:t>
      </w:r>
      <w:r>
        <w:t>。</w:t>
      </w:r>
    </w:p>
    <w:p w14:paraId="6B1CB022">
      <w:pPr>
        <w:bidi w:val="0"/>
      </w:pPr>
      <w:r>
        <w:t>7.5.2因承包人原因导致工期延误</w:t>
      </w:r>
    </w:p>
    <w:p w14:paraId="38C1F499">
      <w:pPr>
        <w:bidi w:val="0"/>
      </w:pPr>
      <w:r>
        <w:t>因承包人原因造成工期延误，逾期竣工违约金的计算方法为：</w:t>
      </w:r>
      <w:r>
        <w:rPr>
          <w:u w:val="single"/>
        </w:rPr>
        <w:t>按照合同工期，每推延一天，缴纳违约金壹万元整</w:t>
      </w:r>
      <w:r>
        <w:t>。</w:t>
      </w:r>
    </w:p>
    <w:p w14:paraId="2DDDD4B9">
      <w:pPr>
        <w:bidi w:val="0"/>
      </w:pPr>
      <w:r>
        <w:t>7.6不利物质条件</w:t>
      </w:r>
    </w:p>
    <w:p w14:paraId="1F4E5458">
      <w:pPr>
        <w:bidi w:val="0"/>
      </w:pPr>
      <w:r>
        <w:t>不利物质条件的其他情形和有关约定：</w:t>
      </w:r>
      <w:r>
        <w:rPr>
          <w:u w:val="single"/>
        </w:rPr>
        <w:t>执行通用条款</w:t>
      </w:r>
      <w:r>
        <w:t>。</w:t>
      </w:r>
    </w:p>
    <w:p w14:paraId="4FB51520">
      <w:pPr>
        <w:bidi w:val="0"/>
      </w:pPr>
      <w:r>
        <w:t>7.7异常恶劣的气候条件</w:t>
      </w:r>
    </w:p>
    <w:p w14:paraId="7030D478">
      <w:pPr>
        <w:bidi w:val="0"/>
      </w:pPr>
      <w:r>
        <w:t>发包人和承包人同意以下情形视为异常恶劣的气候条件：</w:t>
      </w:r>
    </w:p>
    <w:p w14:paraId="04FFEEE9">
      <w:pPr>
        <w:bidi w:val="0"/>
      </w:pPr>
      <w:r>
        <w:t>（1）气象部门发布的暴雨、大风、沙尘等不适合施工的天气灾害；</w:t>
      </w:r>
    </w:p>
    <w:p w14:paraId="25655C05">
      <w:pPr>
        <w:bidi w:val="0"/>
      </w:pPr>
      <w:r>
        <w:t>（2）/；</w:t>
      </w:r>
    </w:p>
    <w:p w14:paraId="7018F4BE">
      <w:pPr>
        <w:bidi w:val="0"/>
      </w:pPr>
      <w:r>
        <w:t>（3）/。</w:t>
      </w:r>
    </w:p>
    <w:p w14:paraId="7421DEF6">
      <w:pPr>
        <w:bidi w:val="0"/>
      </w:pPr>
      <w:r>
        <w:t>7.9提前竣工的奖励</w:t>
      </w:r>
    </w:p>
    <w:p w14:paraId="76805A8C">
      <w:pPr>
        <w:bidi w:val="0"/>
      </w:pPr>
      <w:r>
        <w:t>7.9.2提前竣工的奖励：</w:t>
      </w:r>
      <w:r>
        <w:rPr>
          <w:rFonts w:hint="eastAsia"/>
          <w:u w:val="single"/>
          <w:lang w:val="en-US" w:eastAsia="zh-CN"/>
        </w:rPr>
        <w:t xml:space="preserve">     /     </w:t>
      </w:r>
      <w:r>
        <w:t>。</w:t>
      </w:r>
    </w:p>
    <w:p w14:paraId="62A4277F">
      <w:pPr>
        <w:bidi w:val="0"/>
      </w:pPr>
      <w:r>
        <w:t>8.材料与设备</w:t>
      </w:r>
    </w:p>
    <w:p w14:paraId="09A3C30B">
      <w:pPr>
        <w:bidi w:val="0"/>
      </w:pPr>
      <w:r>
        <w:t>8.4材料与工程设备的保管与使用</w:t>
      </w:r>
    </w:p>
    <w:p w14:paraId="4762FB90">
      <w:pPr>
        <w:bidi w:val="0"/>
      </w:pPr>
      <w:r>
        <w:t>8.4.1发包人供应的材料设备的保管费用的承担：由承包人承担，费用含在合同价中。</w:t>
      </w:r>
    </w:p>
    <w:p w14:paraId="5BE2F37A">
      <w:pPr>
        <w:bidi w:val="0"/>
      </w:pPr>
      <w:r>
        <w:t>8.6样品</w:t>
      </w:r>
    </w:p>
    <w:p w14:paraId="2F75C92C">
      <w:pPr>
        <w:bidi w:val="0"/>
      </w:pPr>
      <w:r>
        <w:t>8.6.1样品的报送与封存</w:t>
      </w:r>
    </w:p>
    <w:p w14:paraId="7DF95DAF">
      <w:pPr>
        <w:bidi w:val="0"/>
      </w:pPr>
      <w:r>
        <w:t>需要承包人报送样品的材料或工程设备，样品的种类、名称、规格、数量要求：按管理部门要求和发包人需求确定。</w:t>
      </w:r>
    </w:p>
    <w:p w14:paraId="0D24B97D">
      <w:pPr>
        <w:bidi w:val="0"/>
      </w:pPr>
      <w:r>
        <w:t>8.8施工设备和临时设施</w:t>
      </w:r>
    </w:p>
    <w:p w14:paraId="676A4303">
      <w:pPr>
        <w:bidi w:val="0"/>
      </w:pPr>
      <w:r>
        <w:t>8.8.1承包人提供的施工设备和临时设施</w:t>
      </w:r>
    </w:p>
    <w:p w14:paraId="54C9EAFC">
      <w:pPr>
        <w:bidi w:val="0"/>
      </w:pPr>
      <w:r>
        <w:t>关于修建临时设施费用承担的约定：</w:t>
      </w:r>
      <w:r>
        <w:rPr>
          <w:u w:val="single"/>
        </w:rPr>
        <w:t>由承包人承担，费用包含在合同价中</w:t>
      </w:r>
      <w:r>
        <w:t>。</w:t>
      </w:r>
    </w:p>
    <w:p w14:paraId="50D8E4C4">
      <w:pPr>
        <w:bidi w:val="0"/>
      </w:pPr>
      <w:r>
        <w:t>9.试验与检验</w:t>
      </w:r>
    </w:p>
    <w:p w14:paraId="50C118E7">
      <w:pPr>
        <w:bidi w:val="0"/>
      </w:pPr>
      <w:r>
        <w:t>9.1试验设备与试验人员</w:t>
      </w:r>
    </w:p>
    <w:p w14:paraId="3DAA60B7">
      <w:pPr>
        <w:bidi w:val="0"/>
      </w:pPr>
      <w:r>
        <w:t>9.1.2试验设备</w:t>
      </w:r>
    </w:p>
    <w:p w14:paraId="5CA6F0A9">
      <w:pPr>
        <w:bidi w:val="0"/>
      </w:pPr>
      <w:r>
        <w:t>施工现场需要配置的试验场所：</w:t>
      </w:r>
      <w:r>
        <w:rPr>
          <w:strike w:val="0"/>
          <w:dstrike w:val="0"/>
          <w:u w:val="single"/>
        </w:rPr>
        <w:t>按通用条款执行</w:t>
      </w:r>
      <w:r>
        <w:t>。</w:t>
      </w:r>
    </w:p>
    <w:p w14:paraId="0F27FC60">
      <w:pPr>
        <w:bidi w:val="0"/>
      </w:pPr>
      <w:r>
        <w:t>施工现场需要配备的试验设备：</w:t>
      </w:r>
      <w:r>
        <w:rPr>
          <w:u w:val="single"/>
        </w:rPr>
        <w:t>由承包人自行解决</w:t>
      </w:r>
      <w:r>
        <w:t>。</w:t>
      </w:r>
    </w:p>
    <w:p w14:paraId="62BAC4FB">
      <w:pPr>
        <w:bidi w:val="0"/>
      </w:pPr>
      <w:r>
        <w:t>施工现场需要具备的其他试验条件：</w:t>
      </w:r>
      <w:r>
        <w:rPr>
          <w:u w:val="single"/>
        </w:rPr>
        <w:t>由承包人自行解决</w:t>
      </w:r>
      <w:r>
        <w:t>。</w:t>
      </w:r>
    </w:p>
    <w:p w14:paraId="53E57E52">
      <w:pPr>
        <w:bidi w:val="0"/>
      </w:pPr>
      <w:r>
        <w:t>9.4现场工艺试验</w:t>
      </w:r>
    </w:p>
    <w:p w14:paraId="08530B4F">
      <w:pPr>
        <w:bidi w:val="0"/>
      </w:pPr>
      <w:r>
        <w:t>现场工艺试验的有关约定：</w:t>
      </w:r>
      <w:r>
        <w:rPr>
          <w:u w:val="single"/>
        </w:rPr>
        <w:t>按通用条款执行</w:t>
      </w:r>
      <w:r>
        <w:t>。</w:t>
      </w:r>
    </w:p>
    <w:p w14:paraId="044C4338">
      <w:pPr>
        <w:bidi w:val="0"/>
      </w:pPr>
      <w:r>
        <w:t>10.变更</w:t>
      </w:r>
    </w:p>
    <w:p w14:paraId="2E73D635">
      <w:pPr>
        <w:bidi w:val="0"/>
      </w:pPr>
      <w:r>
        <w:t>10.1变更的范围</w:t>
      </w:r>
    </w:p>
    <w:p w14:paraId="17D700C1">
      <w:pPr>
        <w:bidi w:val="0"/>
      </w:pPr>
      <w:r>
        <w:t>关于变更的范围的约定：</w:t>
      </w:r>
      <w:r>
        <w:rPr>
          <w:u w:val="single"/>
        </w:rPr>
        <w:t>工程设计变更或发包人增加的工程量确认需有设计、监理、造价（审计）、发包人、承包人同时确定并加盖公章方可有效，否则无效</w:t>
      </w:r>
      <w:r>
        <w:t>。</w:t>
      </w:r>
    </w:p>
    <w:p w14:paraId="2C0348C3">
      <w:pPr>
        <w:bidi w:val="0"/>
      </w:pPr>
      <w:r>
        <w:t>10.4变更估价</w:t>
      </w:r>
    </w:p>
    <w:p w14:paraId="7BCE78D3">
      <w:pPr>
        <w:bidi w:val="0"/>
      </w:pPr>
      <w:r>
        <w:t>10.4.1变更估价原则</w:t>
      </w:r>
    </w:p>
    <w:p w14:paraId="2C2ED546">
      <w:pPr>
        <w:bidi w:val="0"/>
      </w:pPr>
      <w:r>
        <w:t>关于变更估价的约定:</w:t>
      </w:r>
      <w:r>
        <w:rPr>
          <w:u w:val="single"/>
        </w:rPr>
        <w:t>不可变更估价</w:t>
      </w:r>
    </w:p>
    <w:p w14:paraId="55C3A371">
      <w:pPr>
        <w:bidi w:val="0"/>
      </w:pPr>
      <w:r>
        <w:t>10.5承包人的合理化建议</w:t>
      </w:r>
    </w:p>
    <w:p w14:paraId="03E93279">
      <w:pPr>
        <w:bidi w:val="0"/>
      </w:pPr>
      <w:r>
        <w:t>监理人审查承包人合理化建议的期限：</w:t>
      </w:r>
      <w:r>
        <w:rPr>
          <w:rFonts w:hint="eastAsia"/>
          <w:u w:val="single"/>
          <w:lang w:val="en-US" w:eastAsia="zh-CN"/>
        </w:rPr>
        <w:t xml:space="preserve">     /     </w:t>
      </w:r>
      <w:r>
        <w:t>。</w:t>
      </w:r>
    </w:p>
    <w:p w14:paraId="22AC3588">
      <w:pPr>
        <w:bidi w:val="0"/>
      </w:pPr>
      <w:r>
        <w:t>发包人审批承包人合理化建议的期限：</w:t>
      </w:r>
      <w:r>
        <w:rPr>
          <w:rFonts w:hint="eastAsia"/>
          <w:u w:val="single"/>
          <w:lang w:val="en-US" w:eastAsia="zh-CN"/>
        </w:rPr>
        <w:t xml:space="preserve">     /     </w:t>
      </w:r>
      <w:r>
        <w:t>。</w:t>
      </w:r>
    </w:p>
    <w:p w14:paraId="02E2EA89">
      <w:pPr>
        <w:bidi w:val="0"/>
      </w:pPr>
      <w:r>
        <w:t>承包人提出的合理化建议降低了合同价格或者提高了工程经济效益的奖励的方法和金额为：</w:t>
      </w:r>
      <w:r>
        <w:rPr>
          <w:rFonts w:hint="eastAsia"/>
          <w:u w:val="single"/>
          <w:lang w:val="en-US" w:eastAsia="zh-CN"/>
        </w:rPr>
        <w:t xml:space="preserve">     /     </w:t>
      </w:r>
      <w:r>
        <w:t>。</w:t>
      </w:r>
    </w:p>
    <w:p w14:paraId="6D2BBFEE">
      <w:pPr>
        <w:bidi w:val="0"/>
      </w:pPr>
      <w:r>
        <w:t>10.7暂估价</w:t>
      </w:r>
    </w:p>
    <w:p w14:paraId="5AD027E4">
      <w:pPr>
        <w:bidi w:val="0"/>
      </w:pPr>
      <w:r>
        <w:t>暂估价材料和工程设备的明细详见附件11：《暂估价一览表》。</w:t>
      </w:r>
    </w:p>
    <w:p w14:paraId="01D85D75">
      <w:pPr>
        <w:bidi w:val="0"/>
      </w:pPr>
      <w:r>
        <w:t>10.7.1依法必须招标的暂估价项目</w:t>
      </w:r>
    </w:p>
    <w:p w14:paraId="2DC594B0">
      <w:pPr>
        <w:bidi w:val="0"/>
      </w:pPr>
      <w:r>
        <w:t>对于依法必须招标的暂估价项目的确认和批准采取第（2）种方式确定。</w:t>
      </w:r>
    </w:p>
    <w:p w14:paraId="4A347F69">
      <w:pPr>
        <w:bidi w:val="0"/>
      </w:pPr>
      <w:r>
        <w:t>10.7.2不属于依法必须招标的暂估价项目</w:t>
      </w:r>
    </w:p>
    <w:p w14:paraId="55F53745">
      <w:pPr>
        <w:bidi w:val="0"/>
      </w:pPr>
      <w:r>
        <w:t>对于不属于依法必须招标的暂估价项目的确认和批准采取第1种方式确定。第3种方式：承包人直接实施的暂估价项目</w:t>
      </w:r>
    </w:p>
    <w:p w14:paraId="721F6925">
      <w:pPr>
        <w:bidi w:val="0"/>
      </w:pPr>
      <w:r>
        <w:t>承包人直接实施的暂估价项目的约定：</w:t>
      </w:r>
      <w:r>
        <w:rPr>
          <w:rFonts w:hint="eastAsia"/>
          <w:u w:val="single"/>
          <w:lang w:val="en-US" w:eastAsia="zh-CN"/>
        </w:rPr>
        <w:t xml:space="preserve">     /     </w:t>
      </w:r>
      <w:r>
        <w:t>。</w:t>
      </w:r>
    </w:p>
    <w:p w14:paraId="230B108C">
      <w:pPr>
        <w:bidi w:val="0"/>
      </w:pPr>
      <w:r>
        <w:t>10.8暂列金额</w:t>
      </w:r>
    </w:p>
    <w:p w14:paraId="4C161DCF">
      <w:pPr>
        <w:bidi w:val="0"/>
        <w:rPr>
          <w:u w:val="single"/>
        </w:rPr>
      </w:pPr>
      <w:r>
        <w:t>合同当事人关于暂列金额使用的约定：</w:t>
      </w:r>
      <w:r>
        <w:rPr>
          <w:u w:val="single"/>
        </w:rPr>
        <w:t>1.暂列金由发包人确定设立并支配使用；2.</w:t>
      </w:r>
    </w:p>
    <w:p w14:paraId="649CDA43">
      <w:pPr>
        <w:bidi w:val="0"/>
        <w:ind w:left="0" w:leftChars="0" w:firstLine="0" w:firstLineChars="0"/>
      </w:pPr>
      <w:r>
        <w:rPr>
          <w:u w:val="single"/>
        </w:rPr>
        <w:t>暂列金使用按12.1条款执行；3.暂列金的支付时间为工程竣工验收结算后进行支付</w:t>
      </w:r>
      <w:r>
        <w:t>。</w:t>
      </w:r>
    </w:p>
    <w:p w14:paraId="71DA3A46">
      <w:pPr>
        <w:bidi w:val="0"/>
      </w:pPr>
      <w:r>
        <w:t>11.价格调整</w:t>
      </w:r>
    </w:p>
    <w:p w14:paraId="59A39AC5">
      <w:pPr>
        <w:bidi w:val="0"/>
      </w:pPr>
      <w:r>
        <w:t>11.1市场价格波动引起的调整</w:t>
      </w:r>
    </w:p>
    <w:p w14:paraId="6A44F941">
      <w:pPr>
        <w:bidi w:val="0"/>
      </w:pPr>
      <w:r>
        <w:t>市场价格波动是否调整合同价格的约定：</w:t>
      </w:r>
      <w:r>
        <w:rPr>
          <w:u w:val="single"/>
        </w:rPr>
        <w:t>不调整</w:t>
      </w:r>
      <w:r>
        <w:t>。</w:t>
      </w:r>
    </w:p>
    <w:p w14:paraId="2DAF523B">
      <w:pPr>
        <w:bidi w:val="0"/>
      </w:pPr>
      <w:r>
        <w:t>12.合同价格、计量与支付</w:t>
      </w:r>
    </w:p>
    <w:p w14:paraId="0DD2CC2B">
      <w:pPr>
        <w:bidi w:val="0"/>
      </w:pPr>
      <w:r>
        <w:t>12.1合同价格形式固定总价</w:t>
      </w:r>
    </w:p>
    <w:p w14:paraId="162E49BF">
      <w:pPr>
        <w:bidi w:val="0"/>
      </w:pPr>
      <w:r>
        <w:t>总价包含的风险范围：</w:t>
      </w:r>
      <w:r>
        <w:rPr>
          <w:rFonts w:hint="eastAsia"/>
          <w:u w:val="single"/>
          <w:lang w:val="en-US" w:eastAsia="zh-CN"/>
        </w:rPr>
        <w:t xml:space="preserve">     /     </w:t>
      </w:r>
      <w:r>
        <w:t>。</w:t>
      </w:r>
    </w:p>
    <w:p w14:paraId="2D1F371A">
      <w:pPr>
        <w:bidi w:val="0"/>
      </w:pPr>
      <w:r>
        <w:t>风险费用的计算方法：</w:t>
      </w:r>
      <w:r>
        <w:rPr>
          <w:rFonts w:hint="eastAsia"/>
          <w:u w:val="single"/>
          <w:lang w:val="en-US" w:eastAsia="zh-CN"/>
        </w:rPr>
        <w:t xml:space="preserve">     /     </w:t>
      </w:r>
      <w:r>
        <w:t>。</w:t>
      </w:r>
    </w:p>
    <w:p w14:paraId="0828534E">
      <w:pPr>
        <w:bidi w:val="0"/>
      </w:pPr>
      <w:r>
        <w:t>风险范围以外合同价格的调整方法：</w:t>
      </w:r>
      <w:r>
        <w:rPr>
          <w:rFonts w:hint="eastAsia"/>
          <w:u w:val="single"/>
          <w:lang w:val="en-US" w:eastAsia="zh-CN"/>
        </w:rPr>
        <w:t xml:space="preserve">     /     </w:t>
      </w:r>
      <w:r>
        <w:t>。</w:t>
      </w:r>
    </w:p>
    <w:p w14:paraId="5CD9518D">
      <w:pPr>
        <w:bidi w:val="0"/>
      </w:pPr>
      <w:r>
        <w:t>3、其他价格方式：</w:t>
      </w:r>
      <w:r>
        <w:rPr>
          <w:rFonts w:hint="eastAsia"/>
          <w:u w:val="single"/>
          <w:lang w:val="en-US" w:eastAsia="zh-CN"/>
        </w:rPr>
        <w:t xml:space="preserve">     /     </w:t>
      </w:r>
      <w:r>
        <w:t>。</w:t>
      </w:r>
    </w:p>
    <w:p w14:paraId="01748BBA">
      <w:pPr>
        <w:bidi w:val="0"/>
      </w:pPr>
      <w:r>
        <w:t>12.2预付款</w:t>
      </w:r>
    </w:p>
    <w:p w14:paraId="1AD3E8D8">
      <w:pPr>
        <w:bidi w:val="0"/>
      </w:pPr>
      <w:r>
        <w:t>12.2.1预付款的支付</w:t>
      </w:r>
    </w:p>
    <w:p w14:paraId="24DC52B8">
      <w:pPr>
        <w:bidi w:val="0"/>
      </w:pPr>
      <w:r>
        <w:t>预付款支付比例或金额：</w:t>
      </w:r>
      <w:r>
        <w:rPr>
          <w:rFonts w:hint="eastAsia"/>
          <w:u w:val="single"/>
          <w:lang w:val="en-US" w:eastAsia="zh-CN"/>
        </w:rPr>
        <w:t xml:space="preserve">          </w:t>
      </w:r>
      <w:r>
        <w:t>。</w:t>
      </w:r>
    </w:p>
    <w:p w14:paraId="3A594F71">
      <w:pPr>
        <w:bidi w:val="0"/>
      </w:pPr>
      <w:r>
        <w:t>预付款支付期限：</w:t>
      </w:r>
      <w:r>
        <w:rPr>
          <w:rFonts w:hint="eastAsia"/>
          <w:u w:val="single"/>
          <w:lang w:val="en-US" w:eastAsia="zh-CN"/>
        </w:rPr>
        <w:t xml:space="preserve">         </w:t>
      </w:r>
      <w:r>
        <w:t>。</w:t>
      </w:r>
    </w:p>
    <w:p w14:paraId="0698E8FC">
      <w:pPr>
        <w:bidi w:val="0"/>
      </w:pPr>
      <w:r>
        <w:t>预付款扣回的方式：</w:t>
      </w:r>
      <w:r>
        <w:rPr>
          <w:rFonts w:hint="eastAsia"/>
          <w:u w:val="single"/>
          <w:lang w:val="en-US" w:eastAsia="zh-CN"/>
        </w:rPr>
        <w:t xml:space="preserve">         </w:t>
      </w:r>
      <w:r>
        <w:t>。</w:t>
      </w:r>
    </w:p>
    <w:p w14:paraId="12449648">
      <w:pPr>
        <w:bidi w:val="0"/>
      </w:pPr>
      <w:r>
        <w:t>12.2.2预付款担保</w:t>
      </w:r>
    </w:p>
    <w:p w14:paraId="1D9E2411">
      <w:pPr>
        <w:bidi w:val="0"/>
      </w:pPr>
      <w:r>
        <w:t>承包人提交预付款担保的期限：</w:t>
      </w:r>
      <w:r>
        <w:rPr>
          <w:rFonts w:hint="eastAsia"/>
          <w:u w:val="single"/>
          <w:lang w:val="en-US" w:eastAsia="zh-CN"/>
        </w:rPr>
        <w:t xml:space="preserve">     /     </w:t>
      </w:r>
      <w:r>
        <w:t>。</w:t>
      </w:r>
    </w:p>
    <w:p w14:paraId="0DD42C7E">
      <w:pPr>
        <w:bidi w:val="0"/>
      </w:pPr>
      <w:r>
        <w:t>预付款担保的形式为：</w:t>
      </w:r>
      <w:r>
        <w:rPr>
          <w:rFonts w:hint="eastAsia"/>
          <w:u w:val="single"/>
          <w:lang w:val="en-US" w:eastAsia="zh-CN"/>
        </w:rPr>
        <w:t xml:space="preserve">     /     </w:t>
      </w:r>
      <w:r>
        <w:t>。</w:t>
      </w:r>
    </w:p>
    <w:p w14:paraId="5AC20CFF">
      <w:pPr>
        <w:bidi w:val="0"/>
      </w:pPr>
      <w:r>
        <w:t>12.3计量</w:t>
      </w:r>
    </w:p>
    <w:p w14:paraId="62B4FEFB">
      <w:pPr>
        <w:bidi w:val="0"/>
      </w:pPr>
      <w:r>
        <w:t>12.3.1计量原则</w:t>
      </w:r>
    </w:p>
    <w:p w14:paraId="3C558771">
      <w:pPr>
        <w:bidi w:val="0"/>
      </w:pPr>
      <w:r>
        <w:t>工程量计算规则：</w:t>
      </w:r>
      <w:r>
        <w:rPr>
          <w:u w:val="single"/>
        </w:rPr>
        <w:t>按《建设工程工程量清单计价规范》B50500-2013、国家或地区现行规范、行业标准等</w:t>
      </w:r>
      <w:r>
        <w:t>。</w:t>
      </w:r>
    </w:p>
    <w:p w14:paraId="18CB3D6C">
      <w:pPr>
        <w:bidi w:val="0"/>
      </w:pPr>
      <w:r>
        <w:t>12.3.2计量周期</w:t>
      </w:r>
    </w:p>
    <w:p w14:paraId="775F7B00">
      <w:pPr>
        <w:bidi w:val="0"/>
      </w:pPr>
      <w:r>
        <w:t>关于计量周期的约定：</w:t>
      </w:r>
      <w:r>
        <w:rPr>
          <w:u w:val="single"/>
        </w:rPr>
        <w:t>每月20日</w:t>
      </w:r>
      <w:r>
        <w:t>。</w:t>
      </w:r>
    </w:p>
    <w:p w14:paraId="05C1833C">
      <w:pPr>
        <w:bidi w:val="0"/>
      </w:pPr>
      <w:r>
        <w:t>12.3.3单价合同的计量</w:t>
      </w:r>
    </w:p>
    <w:p w14:paraId="64A6FE0C">
      <w:pPr>
        <w:bidi w:val="0"/>
      </w:pPr>
      <w:r>
        <w:t>关于单价合同计量的约定：</w:t>
      </w:r>
      <w:r>
        <w:rPr>
          <w:u w:val="single"/>
        </w:rPr>
        <w:t>执行通用条款12.3.3</w:t>
      </w:r>
      <w:r>
        <w:t>。</w:t>
      </w:r>
    </w:p>
    <w:p w14:paraId="0F4D5F1A">
      <w:pPr>
        <w:bidi w:val="0"/>
      </w:pPr>
      <w:r>
        <w:t>12.3.4总价合同的计量</w:t>
      </w:r>
    </w:p>
    <w:p w14:paraId="271BEF41">
      <w:pPr>
        <w:bidi w:val="0"/>
      </w:pPr>
      <w:r>
        <w:t>关于总价合同计量的约定：</w:t>
      </w:r>
      <w:r>
        <w:rPr>
          <w:rFonts w:hint="eastAsia"/>
          <w:u w:val="single"/>
          <w:lang w:val="en-US" w:eastAsia="zh-CN"/>
        </w:rPr>
        <w:t xml:space="preserve">     /     </w:t>
      </w:r>
      <w:r>
        <w:t>。</w:t>
      </w:r>
    </w:p>
    <w:p w14:paraId="53568AAA">
      <w:pPr>
        <w:bidi w:val="0"/>
        <w:ind w:left="0" w:leftChars="0" w:firstLine="480" w:firstLineChars="200"/>
      </w:pPr>
      <w:r>
        <w:t>12.3.5总价合同采用支付分解表计量支付的，是否适用第12.3.4项〔总价合同的计量〕约定进行计量：</w:t>
      </w:r>
      <w:r>
        <w:rPr>
          <w:rFonts w:hint="eastAsia"/>
          <w:u w:val="single"/>
          <w:lang w:val="en-US" w:eastAsia="zh-CN"/>
        </w:rPr>
        <w:t xml:space="preserve">     /     </w:t>
      </w:r>
      <w:r>
        <w:t>。</w:t>
      </w:r>
    </w:p>
    <w:p w14:paraId="01E736A4">
      <w:pPr>
        <w:bidi w:val="0"/>
      </w:pPr>
      <w:r>
        <w:t>12.3.6其他价格形式合同的计量</w:t>
      </w:r>
    </w:p>
    <w:p w14:paraId="394A432C">
      <w:pPr>
        <w:bidi w:val="0"/>
      </w:pPr>
      <w:r>
        <w:t>其他价格形式的计量方式和程序：</w:t>
      </w:r>
      <w:r>
        <w:rPr>
          <w:rFonts w:hint="eastAsia"/>
          <w:u w:val="single"/>
          <w:lang w:val="en-US" w:eastAsia="zh-CN"/>
        </w:rPr>
        <w:t xml:space="preserve">     /     </w:t>
      </w:r>
      <w:r>
        <w:t>。</w:t>
      </w:r>
    </w:p>
    <w:p w14:paraId="431B43DF">
      <w:pPr>
        <w:bidi w:val="0"/>
      </w:pPr>
      <w:r>
        <w:t>12.4工程进度款支付</w:t>
      </w:r>
    </w:p>
    <w:p w14:paraId="1E0D7FE4">
      <w:pPr>
        <w:bidi w:val="0"/>
      </w:pPr>
      <w:r>
        <w:t>12.4.1付款周期</w:t>
      </w:r>
    </w:p>
    <w:p w14:paraId="0EEAFFDA">
      <w:pPr>
        <w:bidi w:val="0"/>
      </w:pPr>
      <w:r>
        <w:t>关于付款周期的约定：</w:t>
      </w:r>
      <w:r>
        <w:rPr>
          <w:u w:val="single"/>
        </w:rPr>
        <w:t>按月支付进度款</w:t>
      </w:r>
      <w:r>
        <w:t>。</w:t>
      </w:r>
    </w:p>
    <w:p w14:paraId="652AEEE0">
      <w:pPr>
        <w:bidi w:val="0"/>
      </w:pPr>
      <w:r>
        <w:t>12.4.2进度付款申请单的编制</w:t>
      </w:r>
    </w:p>
    <w:p w14:paraId="61DAAA2C">
      <w:pPr>
        <w:bidi w:val="0"/>
      </w:pPr>
      <w:r>
        <w:t>关于进度付款申请单编制的约定：</w:t>
      </w:r>
      <w:r>
        <w:rPr>
          <w:rFonts w:hint="eastAsia"/>
          <w:u w:val="single"/>
          <w:lang w:val="en-US" w:eastAsia="zh-CN"/>
        </w:rPr>
        <w:t xml:space="preserve">         </w:t>
      </w:r>
      <w:r>
        <w:t>。</w:t>
      </w:r>
    </w:p>
    <w:p w14:paraId="5D73D10B">
      <w:pPr>
        <w:bidi w:val="0"/>
      </w:pPr>
      <w:r>
        <w:t>12.4.3进度付款申请单的提交</w:t>
      </w:r>
    </w:p>
    <w:p w14:paraId="336B0FFC">
      <w:pPr>
        <w:bidi w:val="0"/>
      </w:pPr>
      <w:r>
        <w:t>（1）单价合同进度付款申请单提交的约定：</w:t>
      </w:r>
      <w:r>
        <w:rPr>
          <w:u w:val="single"/>
        </w:rPr>
        <w:t>每月25日前</w:t>
      </w:r>
      <w:r>
        <w:t>。</w:t>
      </w:r>
    </w:p>
    <w:p w14:paraId="17E7D0FC">
      <w:pPr>
        <w:bidi w:val="0"/>
      </w:pPr>
      <w:r>
        <w:t>（2）总价合同进度付款申请单提交的约定：</w:t>
      </w:r>
      <w:r>
        <w:rPr>
          <w:rFonts w:hint="eastAsia"/>
          <w:u w:val="single"/>
          <w:lang w:val="en-US" w:eastAsia="zh-CN"/>
        </w:rPr>
        <w:t xml:space="preserve">     /     </w:t>
      </w:r>
      <w:r>
        <w:t>。</w:t>
      </w:r>
    </w:p>
    <w:p w14:paraId="34599A57">
      <w:pPr>
        <w:bidi w:val="0"/>
      </w:pPr>
      <w:r>
        <w:t>（3）其他价格形式合同进度付款申请单提交的约定：</w:t>
      </w:r>
      <w:r>
        <w:rPr>
          <w:rFonts w:hint="eastAsia"/>
          <w:u w:val="single"/>
          <w:lang w:val="en-US" w:eastAsia="zh-CN"/>
        </w:rPr>
        <w:t xml:space="preserve">     /     </w:t>
      </w:r>
      <w:r>
        <w:t>。</w:t>
      </w:r>
    </w:p>
    <w:p w14:paraId="1D631564">
      <w:pPr>
        <w:bidi w:val="0"/>
      </w:pPr>
      <w:r>
        <w:t>12.4.4进度款审核和支付</w:t>
      </w:r>
    </w:p>
    <w:p w14:paraId="1F647F82">
      <w:pPr>
        <w:bidi w:val="0"/>
      </w:pPr>
      <w:r>
        <w:t>（1）监理人审查并报送发包人的期限：</w:t>
      </w:r>
      <w:r>
        <w:rPr>
          <w:u w:val="single"/>
        </w:rPr>
        <w:t>收到申请7天内</w:t>
      </w:r>
      <w:r>
        <w:t>。</w:t>
      </w:r>
    </w:p>
    <w:p w14:paraId="21E0E1CC">
      <w:pPr>
        <w:bidi w:val="0"/>
      </w:pPr>
      <w:r>
        <w:t>发包人完成审批并签发进度款支付证书的期限：收到申请7天内。（2）发包人支付进度款的期限：</w:t>
      </w:r>
      <w:r>
        <w:rPr>
          <w:rFonts w:hint="eastAsia"/>
          <w:u w:val="single"/>
          <w:lang w:val="en-US" w:eastAsia="zh-CN"/>
        </w:rPr>
        <w:t xml:space="preserve">     /     </w:t>
      </w:r>
      <w:r>
        <w:t>。</w:t>
      </w:r>
    </w:p>
    <w:p w14:paraId="38761D17">
      <w:pPr>
        <w:bidi w:val="0"/>
      </w:pPr>
      <w:r>
        <w:t>发包人逾期支付进度款的违约金的计算方式：</w:t>
      </w:r>
      <w:r>
        <w:rPr>
          <w:rFonts w:hint="eastAsia"/>
          <w:u w:val="single"/>
          <w:lang w:val="en-US" w:eastAsia="zh-CN"/>
        </w:rPr>
        <w:t xml:space="preserve">     /     </w:t>
      </w:r>
      <w:r>
        <w:t>。</w:t>
      </w:r>
    </w:p>
    <w:p w14:paraId="399B6F2A">
      <w:pPr>
        <w:bidi w:val="0"/>
      </w:pPr>
      <w:r>
        <w:t>12.4.6支付分解表的编制</w:t>
      </w:r>
    </w:p>
    <w:p w14:paraId="2ADE0539">
      <w:pPr>
        <w:bidi w:val="0"/>
      </w:pPr>
      <w:r>
        <w:t>1、总价合同支付分解表的编制与审批：</w:t>
      </w:r>
      <w:r>
        <w:rPr>
          <w:rFonts w:hint="eastAsia"/>
          <w:u w:val="single"/>
          <w:lang w:val="en-US" w:eastAsia="zh-CN"/>
        </w:rPr>
        <w:t xml:space="preserve">     /     </w:t>
      </w:r>
      <w:r>
        <w:t>。</w:t>
      </w:r>
    </w:p>
    <w:p w14:paraId="513B589B">
      <w:pPr>
        <w:bidi w:val="0"/>
      </w:pPr>
      <w:r>
        <w:t>2、单价合同的总价项目支付分解表的编制与审批：</w:t>
      </w:r>
      <w:r>
        <w:rPr>
          <w:u w:val="single"/>
        </w:rPr>
        <w:t>执行通用条款</w:t>
      </w:r>
      <w:r>
        <w:t>。</w:t>
      </w:r>
    </w:p>
    <w:p w14:paraId="43098EC0">
      <w:pPr>
        <w:bidi w:val="0"/>
      </w:pPr>
      <w:r>
        <w:t>13.验收和工程试车</w:t>
      </w:r>
    </w:p>
    <w:p w14:paraId="64CE1722">
      <w:pPr>
        <w:bidi w:val="0"/>
      </w:pPr>
      <w:r>
        <w:t>13.1分部分项工程验收</w:t>
      </w:r>
    </w:p>
    <w:p w14:paraId="79AB8F10">
      <w:pPr>
        <w:bidi w:val="0"/>
      </w:pPr>
      <w:r>
        <w:t>13.1.2监理人不能按时进行验收时，应提前24小时提交书面延期要求。关于延期最长不得超过：</w:t>
      </w:r>
      <w:r>
        <w:rPr>
          <w:u w:val="single"/>
        </w:rPr>
        <w:t>48小时</w:t>
      </w:r>
      <w:r>
        <w:t>。</w:t>
      </w:r>
    </w:p>
    <w:p w14:paraId="267445D5">
      <w:pPr>
        <w:bidi w:val="0"/>
      </w:pPr>
      <w:r>
        <w:t>13.2竣工验收</w:t>
      </w:r>
    </w:p>
    <w:p w14:paraId="49761FFA">
      <w:pPr>
        <w:bidi w:val="0"/>
      </w:pPr>
      <w:r>
        <w:t>13.2.2竣工验收程序</w:t>
      </w:r>
    </w:p>
    <w:p w14:paraId="58E6CD4F">
      <w:pPr>
        <w:bidi w:val="0"/>
      </w:pPr>
      <w:r>
        <w:t>关于竣工验收程序的约定：</w:t>
      </w:r>
      <w:r>
        <w:rPr>
          <w:u w:val="single"/>
        </w:rPr>
        <w:t>按通用条款执行</w:t>
      </w:r>
      <w:r>
        <w:t>。</w:t>
      </w:r>
    </w:p>
    <w:p w14:paraId="46FC489C">
      <w:pPr>
        <w:bidi w:val="0"/>
      </w:pPr>
      <w:r>
        <w:t>发包人不按照本项约定组织竣工验收、颁发工程接收证书的违约金的计算方法：</w:t>
      </w:r>
      <w:r>
        <w:rPr>
          <w:rFonts w:hint="eastAsia"/>
          <w:u w:val="single"/>
          <w:lang w:val="en-US" w:eastAsia="zh-CN"/>
        </w:rPr>
        <w:t xml:space="preserve">     /     </w:t>
      </w:r>
      <w:r>
        <w:t>。</w:t>
      </w:r>
    </w:p>
    <w:p w14:paraId="730E70E3">
      <w:pPr>
        <w:bidi w:val="0"/>
      </w:pPr>
      <w:r>
        <w:t>13.2.5移交、接收全部与部分工程</w:t>
      </w:r>
    </w:p>
    <w:p w14:paraId="525F9BDE">
      <w:pPr>
        <w:bidi w:val="0"/>
      </w:pPr>
      <w:r>
        <w:t>承包人向发包人移交工程的期限：</w:t>
      </w:r>
      <w:r>
        <w:rPr>
          <w:u w:val="single"/>
        </w:rPr>
        <w:t>按照发包人约定执行</w:t>
      </w:r>
      <w:r>
        <w:t>。</w:t>
      </w:r>
    </w:p>
    <w:p w14:paraId="24FB56A8">
      <w:pPr>
        <w:bidi w:val="0"/>
      </w:pPr>
      <w:r>
        <w:t>发包人未按本合同约定接收全部或部分工程的，违约金的计算方法为：</w:t>
      </w:r>
      <w:r>
        <w:rPr>
          <w:rFonts w:hint="eastAsia"/>
          <w:u w:val="single"/>
          <w:lang w:val="en-US" w:eastAsia="zh-CN"/>
        </w:rPr>
        <w:t xml:space="preserve">     /     </w:t>
      </w:r>
      <w:r>
        <w:t>。</w:t>
      </w:r>
    </w:p>
    <w:p w14:paraId="65A2E755">
      <w:pPr>
        <w:bidi w:val="0"/>
      </w:pPr>
      <w:r>
        <w:t>承包人未按时移交工程的，违约金的计算方法为：</w:t>
      </w:r>
      <w:r>
        <w:rPr>
          <w:u w:val="single"/>
        </w:rPr>
        <w:t>扣除全部履约保证金和工程质保金</w:t>
      </w:r>
      <w:r>
        <w:t>。</w:t>
      </w:r>
    </w:p>
    <w:p w14:paraId="1D635A25">
      <w:pPr>
        <w:bidi w:val="0"/>
      </w:pPr>
      <w:r>
        <w:t>13.3工程试车</w:t>
      </w:r>
    </w:p>
    <w:p w14:paraId="6CADBF16">
      <w:pPr>
        <w:bidi w:val="0"/>
      </w:pPr>
      <w:r>
        <w:t>13.3.1试车程序</w:t>
      </w:r>
    </w:p>
    <w:p w14:paraId="0C9B6F13">
      <w:pPr>
        <w:bidi w:val="0"/>
      </w:pPr>
      <w:r>
        <w:t>工程试车内容：按实际情况确定。</w:t>
      </w:r>
    </w:p>
    <w:p w14:paraId="0AD3459A">
      <w:pPr>
        <w:bidi w:val="0"/>
      </w:pPr>
      <w:r>
        <w:t>（1）单机无负荷试车费用由由承包人承担、费用含在合同价中承担；</w:t>
      </w:r>
    </w:p>
    <w:p w14:paraId="2BC20D0F">
      <w:pPr>
        <w:bidi w:val="0"/>
      </w:pPr>
      <w:r>
        <w:t>（2）无负荷联动试车费用由</w:t>
      </w:r>
      <w:r>
        <w:rPr>
          <w:rFonts w:hint="eastAsia"/>
          <w:u w:val="single"/>
          <w:lang w:val="en-US" w:eastAsia="zh-CN"/>
        </w:rPr>
        <w:t xml:space="preserve">     /     </w:t>
      </w:r>
      <w:r>
        <w:t>承担。</w:t>
      </w:r>
    </w:p>
    <w:p w14:paraId="3C1AE9F2">
      <w:pPr>
        <w:bidi w:val="0"/>
      </w:pPr>
      <w:r>
        <w:t>13.3.3投料试车</w:t>
      </w:r>
    </w:p>
    <w:p w14:paraId="38BB02BF">
      <w:pPr>
        <w:bidi w:val="0"/>
      </w:pPr>
      <w:r>
        <w:t>关于投料试车相关事项的约定：</w:t>
      </w:r>
      <w:r>
        <w:rPr>
          <w:rFonts w:hint="eastAsia"/>
          <w:u w:val="single"/>
          <w:lang w:val="en-US" w:eastAsia="zh-CN"/>
        </w:rPr>
        <w:t xml:space="preserve">     /     </w:t>
      </w:r>
      <w:r>
        <w:t>。</w:t>
      </w:r>
    </w:p>
    <w:p w14:paraId="300CE9F7">
      <w:pPr>
        <w:bidi w:val="0"/>
      </w:pPr>
      <w:r>
        <w:t>13.6竣工退场</w:t>
      </w:r>
    </w:p>
    <w:p w14:paraId="65D3DF2E">
      <w:pPr>
        <w:bidi w:val="0"/>
      </w:pPr>
      <w:r>
        <w:t>13.6.1竣工退场</w:t>
      </w:r>
    </w:p>
    <w:p w14:paraId="7F6D3964">
      <w:pPr>
        <w:bidi w:val="0"/>
      </w:pPr>
      <w:r>
        <w:t>承包人完成竣工退场的期限：</w:t>
      </w:r>
      <w:r>
        <w:rPr>
          <w:u w:val="single"/>
        </w:rPr>
        <w:t>按照发包人要求执行</w:t>
      </w:r>
      <w:r>
        <w:t>。</w:t>
      </w:r>
    </w:p>
    <w:p w14:paraId="295ED81D">
      <w:pPr>
        <w:bidi w:val="0"/>
      </w:pPr>
      <w:r>
        <w:t>14.竣工结算</w:t>
      </w:r>
    </w:p>
    <w:p w14:paraId="03945AC4">
      <w:pPr>
        <w:bidi w:val="0"/>
      </w:pPr>
      <w:r>
        <w:t>14.1竣工付款申请</w:t>
      </w:r>
    </w:p>
    <w:p w14:paraId="7E28284D">
      <w:pPr>
        <w:bidi w:val="0"/>
      </w:pPr>
      <w:r>
        <w:t>承包人提交竣工付款申请单的期限：</w:t>
      </w:r>
      <w:r>
        <w:rPr>
          <w:u w:val="single"/>
        </w:rPr>
        <w:t>工程竣工验收合格后28天内。竣工付款申请单应包括的内容：按通用条款执行</w:t>
      </w:r>
      <w:r>
        <w:t>。</w:t>
      </w:r>
    </w:p>
    <w:p w14:paraId="5967801A">
      <w:pPr>
        <w:bidi w:val="0"/>
      </w:pPr>
      <w:r>
        <w:t>14.2竣工结算审核</w:t>
      </w:r>
    </w:p>
    <w:p w14:paraId="1777F342">
      <w:pPr>
        <w:bidi w:val="0"/>
      </w:pPr>
      <w:r>
        <w:t>发包人审批竣工付款申请单的期限：</w:t>
      </w:r>
      <w:r>
        <w:rPr>
          <w:u w:val="single"/>
        </w:rPr>
        <w:t>工程竣工验收合格后28天内</w:t>
      </w:r>
      <w:r>
        <w:t>。</w:t>
      </w:r>
    </w:p>
    <w:p w14:paraId="31F2B6E9">
      <w:pPr>
        <w:bidi w:val="0"/>
      </w:pPr>
      <w:r>
        <w:t>竣工结算审核期限：</w:t>
      </w:r>
      <w:r>
        <w:rPr>
          <w:u w:val="single"/>
        </w:rPr>
        <w:t>发包人收到承包人上报的竣工结算书后6个月内审核完毕，并确认竣工结算价</w:t>
      </w:r>
      <w:r>
        <w:t>。若因发包人原因造成延误，则顺延。发包人完成竣工付款的期限：</w:t>
      </w:r>
      <w:r>
        <w:rPr>
          <w:u w:val="single"/>
        </w:rPr>
        <w:t>按通用条款执行</w:t>
      </w:r>
      <w:r>
        <w:t>。</w:t>
      </w:r>
    </w:p>
    <w:p w14:paraId="5A640307">
      <w:pPr>
        <w:bidi w:val="0"/>
      </w:pPr>
      <w:r>
        <w:t>关于竣工付款证书异议部分复核的方式和程序：</w:t>
      </w:r>
      <w:r>
        <w:rPr>
          <w:u w:val="single"/>
        </w:rPr>
        <w:t>按通用条款执行</w:t>
      </w:r>
      <w:r>
        <w:t>。</w:t>
      </w:r>
    </w:p>
    <w:p w14:paraId="6C121C6E">
      <w:pPr>
        <w:bidi w:val="0"/>
      </w:pPr>
      <w:r>
        <w:t>14.4最终结清</w:t>
      </w:r>
    </w:p>
    <w:p w14:paraId="4B6C9766">
      <w:pPr>
        <w:bidi w:val="0"/>
      </w:pPr>
      <w:r>
        <w:t>14.4.1最终结清申请单</w:t>
      </w:r>
    </w:p>
    <w:p w14:paraId="2EE5B18A">
      <w:pPr>
        <w:bidi w:val="0"/>
      </w:pPr>
      <w:r>
        <w:t>承包人提交最终结清申请单的份数：</w:t>
      </w:r>
      <w:r>
        <w:rPr>
          <w:u w:val="single"/>
        </w:rPr>
        <w:t>八份</w:t>
      </w:r>
      <w:r>
        <w:t>。</w:t>
      </w:r>
    </w:p>
    <w:p w14:paraId="6A1CD096">
      <w:pPr>
        <w:bidi w:val="0"/>
      </w:pPr>
      <w:r>
        <w:t>承包人提交最终结算申请单的期限：</w:t>
      </w:r>
      <w:r>
        <w:rPr>
          <w:u w:val="single"/>
        </w:rPr>
        <w:t>缺陷责任期满后7日内</w:t>
      </w:r>
      <w:r>
        <w:t>。</w:t>
      </w:r>
    </w:p>
    <w:p w14:paraId="1776D75D">
      <w:pPr>
        <w:bidi w:val="0"/>
      </w:pPr>
      <w:r>
        <w:t>14.4.2最终结清证书和支付</w:t>
      </w:r>
    </w:p>
    <w:p w14:paraId="2D91271E">
      <w:pPr>
        <w:bidi w:val="0"/>
      </w:pPr>
      <w:r>
        <w:t>（1）发包人完成最终结清申请单的审批并颁发最终结清证书的期限：</w:t>
      </w:r>
      <w:r>
        <w:rPr>
          <w:rFonts w:hint="eastAsia"/>
          <w:u w:val="single"/>
          <w:lang w:val="en-US" w:eastAsia="zh-CN"/>
        </w:rPr>
        <w:t xml:space="preserve">     /     </w:t>
      </w:r>
      <w:r>
        <w:t>。</w:t>
      </w:r>
    </w:p>
    <w:p w14:paraId="177C3D24">
      <w:pPr>
        <w:bidi w:val="0"/>
      </w:pPr>
      <w:r>
        <w:t>（2）发包人完成支付的期限：</w:t>
      </w:r>
      <w:r>
        <w:rPr>
          <w:rFonts w:hint="eastAsia"/>
          <w:u w:val="single"/>
          <w:lang w:val="en-US" w:eastAsia="zh-CN"/>
        </w:rPr>
        <w:t xml:space="preserve">     /     </w:t>
      </w:r>
      <w:r>
        <w:t>。</w:t>
      </w:r>
    </w:p>
    <w:p w14:paraId="3984F5BD">
      <w:pPr>
        <w:bidi w:val="0"/>
      </w:pPr>
      <w:r>
        <w:t>15.缺陷责任期与保修</w:t>
      </w:r>
    </w:p>
    <w:p w14:paraId="351B1944">
      <w:pPr>
        <w:bidi w:val="0"/>
      </w:pPr>
      <w:r>
        <w:t>15.2缺陷责任期</w:t>
      </w:r>
    </w:p>
    <w:p w14:paraId="2113654A">
      <w:pPr>
        <w:bidi w:val="0"/>
      </w:pPr>
      <w:r>
        <w:t>缺陷责任期的具体期限：</w:t>
      </w:r>
      <w:r>
        <w:rPr>
          <w:u w:val="single"/>
        </w:rPr>
        <w:t>竣工验收合格后起算，具体期限详见工程质量保修书</w:t>
      </w:r>
      <w:r>
        <w:t>。</w:t>
      </w:r>
    </w:p>
    <w:p w14:paraId="76981B07">
      <w:pPr>
        <w:bidi w:val="0"/>
      </w:pPr>
      <w:r>
        <w:t>15.3质量保证金</w:t>
      </w:r>
    </w:p>
    <w:p w14:paraId="429580ED">
      <w:pPr>
        <w:bidi w:val="0"/>
      </w:pPr>
      <w:r>
        <w:t>关于是否扣留质量保证金的约定：</w:t>
      </w:r>
      <w:r>
        <w:rPr>
          <w:u w:val="single"/>
        </w:rPr>
        <w:t>扣留工程竣工结算价格的3%作为工程质量保证金</w:t>
      </w:r>
      <w:r>
        <w:t>。</w:t>
      </w:r>
    </w:p>
    <w:p w14:paraId="460A5ABF">
      <w:pPr>
        <w:bidi w:val="0"/>
      </w:pPr>
      <w:r>
        <w:t>15.3.1承包人提供质量保证金的方式质量保证金采用以下第2种方式：</w:t>
      </w:r>
    </w:p>
    <w:p w14:paraId="4CE312B1">
      <w:pPr>
        <w:bidi w:val="0"/>
      </w:pPr>
      <w:r>
        <w:t>（1）质量保证金保函，保证金额为：</w:t>
      </w:r>
      <w:r>
        <w:rPr>
          <w:rFonts w:hint="eastAsia"/>
          <w:u w:val="single"/>
          <w:lang w:val="en-US" w:eastAsia="zh-CN"/>
        </w:rPr>
        <w:t xml:space="preserve">     /     </w:t>
      </w:r>
      <w:r>
        <w:t>；</w:t>
      </w:r>
    </w:p>
    <w:p w14:paraId="1575A564">
      <w:pPr>
        <w:bidi w:val="0"/>
      </w:pPr>
      <w:r>
        <w:t>（2）3%的竣工结算价款；</w:t>
      </w:r>
    </w:p>
    <w:p w14:paraId="5EFBEB69">
      <w:pPr>
        <w:bidi w:val="0"/>
      </w:pPr>
      <w:r>
        <w:t>（3）其他方式:</w:t>
      </w:r>
      <w:r>
        <w:rPr>
          <w:rFonts w:hint="eastAsia"/>
          <w:u w:val="single"/>
          <w:lang w:val="en-US" w:eastAsia="zh-CN"/>
        </w:rPr>
        <w:t xml:space="preserve">     /     </w:t>
      </w:r>
      <w:r>
        <w:t>。</w:t>
      </w:r>
    </w:p>
    <w:p w14:paraId="5AF02765">
      <w:pPr>
        <w:bidi w:val="0"/>
      </w:pPr>
      <w:r>
        <w:t>15.3.2质量保证金的扣留</w:t>
      </w:r>
    </w:p>
    <w:p w14:paraId="0E5FE7EA">
      <w:pPr>
        <w:bidi w:val="0"/>
      </w:pPr>
      <w:r>
        <w:t>质量保证金的扣留采取以下第2种方式：</w:t>
      </w:r>
    </w:p>
    <w:p w14:paraId="0994295E">
      <w:pPr>
        <w:bidi w:val="0"/>
      </w:pPr>
      <w:r>
        <w:t>（1）在支付工程进度款时逐次扣留，在此情形下，质量保证金的计算基数不包括预付款的支付、扣回以及价格调整的金额；</w:t>
      </w:r>
    </w:p>
    <w:p w14:paraId="1EDF763C">
      <w:pPr>
        <w:bidi w:val="0"/>
      </w:pPr>
      <w:r>
        <w:t>（2）工程竣工结算时一次性扣留质量保证金；</w:t>
      </w:r>
    </w:p>
    <w:p w14:paraId="1A5C0F67">
      <w:pPr>
        <w:bidi w:val="0"/>
      </w:pPr>
      <w:r>
        <w:t>（3）其他扣留方式:</w:t>
      </w:r>
      <w:r>
        <w:rPr>
          <w:rFonts w:hint="eastAsia"/>
          <w:u w:val="single"/>
          <w:lang w:val="en-US" w:eastAsia="zh-CN"/>
        </w:rPr>
        <w:t xml:space="preserve">     /     </w:t>
      </w:r>
      <w:r>
        <w:t>。</w:t>
      </w:r>
    </w:p>
    <w:p w14:paraId="14F28E64">
      <w:pPr>
        <w:bidi w:val="0"/>
      </w:pPr>
      <w:r>
        <w:t>关于质量保证金的补充约定：</w:t>
      </w:r>
      <w:r>
        <w:rPr>
          <w:rFonts w:hint="eastAsia"/>
          <w:u w:val="single"/>
          <w:lang w:val="en-US" w:eastAsia="zh-CN"/>
        </w:rPr>
        <w:t xml:space="preserve">     /     </w:t>
      </w:r>
      <w:r>
        <w:t>。</w:t>
      </w:r>
    </w:p>
    <w:p w14:paraId="707A918B">
      <w:pPr>
        <w:bidi w:val="0"/>
      </w:pPr>
      <w:r>
        <w:t>15.4保修</w:t>
      </w:r>
    </w:p>
    <w:p w14:paraId="49A58D49">
      <w:pPr>
        <w:bidi w:val="0"/>
      </w:pPr>
      <w:r>
        <w:t>15.4.1保修责任</w:t>
      </w:r>
    </w:p>
    <w:p w14:paraId="018737C8">
      <w:pPr>
        <w:bidi w:val="0"/>
      </w:pPr>
      <w:r>
        <w:t>工程保修期为：</w:t>
      </w:r>
      <w:r>
        <w:rPr>
          <w:u w:val="single"/>
        </w:rPr>
        <w:t>见工程质量保修书</w:t>
      </w:r>
      <w:r>
        <w:t>。</w:t>
      </w:r>
    </w:p>
    <w:p w14:paraId="2F96D0B6">
      <w:pPr>
        <w:bidi w:val="0"/>
      </w:pPr>
      <w:r>
        <w:t>15.4.3修复通知</w:t>
      </w:r>
    </w:p>
    <w:p w14:paraId="773A208D">
      <w:pPr>
        <w:bidi w:val="0"/>
      </w:pPr>
      <w:r>
        <w:t>承包人收到保修通知并到达工程现场的合理时间：</w:t>
      </w:r>
      <w:r>
        <w:rPr>
          <w:u w:val="single"/>
        </w:rPr>
        <w:t>收到通知后24小时内</w:t>
      </w:r>
      <w:r>
        <w:t>。</w:t>
      </w:r>
    </w:p>
    <w:p w14:paraId="1DACE5F2">
      <w:pPr>
        <w:bidi w:val="0"/>
      </w:pPr>
      <w:r>
        <w:t>16.违约</w:t>
      </w:r>
    </w:p>
    <w:p w14:paraId="598D706C">
      <w:pPr>
        <w:bidi w:val="0"/>
      </w:pPr>
      <w:r>
        <w:t>16.1发包人违约</w:t>
      </w:r>
    </w:p>
    <w:p w14:paraId="24814F80">
      <w:pPr>
        <w:bidi w:val="0"/>
      </w:pPr>
      <w:r>
        <w:t>16.1.1发包人违约的情形</w:t>
      </w:r>
    </w:p>
    <w:p w14:paraId="78322F0D">
      <w:pPr>
        <w:bidi w:val="0"/>
      </w:pPr>
      <w:r>
        <w:t>发包人违约的其他情形：</w:t>
      </w:r>
      <w:r>
        <w:rPr>
          <w:rFonts w:hint="eastAsia"/>
          <w:u w:val="single"/>
          <w:lang w:val="en-US" w:eastAsia="zh-CN"/>
        </w:rPr>
        <w:t xml:space="preserve">     /     </w:t>
      </w:r>
      <w:r>
        <w:t>。</w:t>
      </w:r>
    </w:p>
    <w:p w14:paraId="6F1EF894">
      <w:pPr>
        <w:bidi w:val="0"/>
      </w:pPr>
      <w:r>
        <w:t>16.1.2发包人违约的责任</w:t>
      </w:r>
    </w:p>
    <w:p w14:paraId="354851EC">
      <w:pPr>
        <w:bidi w:val="0"/>
      </w:pPr>
      <w:r>
        <w:t>发包人违约责任的承担方式和计算方法：</w:t>
      </w:r>
    </w:p>
    <w:p w14:paraId="71358D24">
      <w:pPr>
        <w:bidi w:val="0"/>
      </w:pPr>
      <w:r>
        <w:t>（1）因发包人原因未能在计划开工日期前7天内下达开工通知的违约责任：执行通用条款。</w:t>
      </w:r>
    </w:p>
    <w:p w14:paraId="5777CF88">
      <w:pPr>
        <w:bidi w:val="0"/>
      </w:pPr>
      <w:r>
        <w:t>（2）因发包人原因未能按合同约定支付合同价款的违约责任：执行通用条款。</w:t>
      </w:r>
    </w:p>
    <w:p w14:paraId="6547CBBC">
      <w:pPr>
        <w:bidi w:val="0"/>
      </w:pPr>
      <w:r>
        <w:t>（3）发包人违反第10.1款〔变更的范围〕第（2）项约定，自行实施被取消的工作或转由他人实施的违约责任：执行通用条款。</w:t>
      </w:r>
    </w:p>
    <w:p w14:paraId="711706DD">
      <w:pPr>
        <w:bidi w:val="0"/>
      </w:pPr>
      <w:r>
        <w:t>（4）发包人提供的材料、工程设备的规格、数量或质量不符合合同约定，或因发包人原因导致交货日期延误或交货地点变更等情况的违约责任：执行通用条款。</w:t>
      </w:r>
    </w:p>
    <w:p w14:paraId="3AED6358">
      <w:pPr>
        <w:bidi w:val="0"/>
      </w:pPr>
      <w:r>
        <w:t>（5）因发包人违反合同约定造成暂停施工的违约责任：执行通用条款。</w:t>
      </w:r>
    </w:p>
    <w:p w14:paraId="0A7EE52B">
      <w:pPr>
        <w:bidi w:val="0"/>
      </w:pPr>
      <w:r>
        <w:t>（6）发包人无正当理由没有在约定期限内发出复工指示，导致承包人无法复工的违约责任：执行通用条款。</w:t>
      </w:r>
    </w:p>
    <w:p w14:paraId="06313831">
      <w:pPr>
        <w:bidi w:val="0"/>
      </w:pPr>
      <w:r>
        <w:t>（7）其他：</w:t>
      </w:r>
      <w:r>
        <w:rPr>
          <w:rFonts w:hint="eastAsia"/>
          <w:u w:val="single"/>
          <w:lang w:val="en-US" w:eastAsia="zh-CN"/>
        </w:rPr>
        <w:t xml:space="preserve">     /     </w:t>
      </w:r>
      <w:r>
        <w:t>。</w:t>
      </w:r>
    </w:p>
    <w:p w14:paraId="045505BB">
      <w:pPr>
        <w:bidi w:val="0"/>
      </w:pPr>
      <w:r>
        <w:t>16.1.3因发包人违约解除合同</w:t>
      </w:r>
    </w:p>
    <w:p w14:paraId="1D4F1280">
      <w:pPr>
        <w:bidi w:val="0"/>
      </w:pPr>
      <w:r>
        <w:t>承包人按16.1.1项〔发包人违约的情形〕约定暂停施工满/天后发包人仍不纠正其违约行为并致使合同目的不能实现的，承包人有权解除合同。</w:t>
      </w:r>
    </w:p>
    <w:p w14:paraId="5A0263AE">
      <w:pPr>
        <w:bidi w:val="0"/>
      </w:pPr>
      <w:r>
        <w:t>16.2承包人违约</w:t>
      </w:r>
    </w:p>
    <w:p w14:paraId="256FDFC5">
      <w:pPr>
        <w:bidi w:val="0"/>
      </w:pPr>
      <w:r>
        <w:t>16.2.1承包人违约的情形</w:t>
      </w:r>
    </w:p>
    <w:p w14:paraId="59A84B81">
      <w:pPr>
        <w:bidi w:val="0"/>
      </w:pPr>
      <w:r>
        <w:t>承包人违约的其他情形：</w:t>
      </w:r>
      <w:r>
        <w:rPr>
          <w:u w:val="single"/>
        </w:rPr>
        <w:t>（1）因承包人原因造成工程质量不合格的，承包人应按照施工图设计要求将不合格的工程返工至合格，并承担返工费用。质量仍不合格的，由承包人按竣工结算价3%向发包人支付违约金，并承担应全部经济责任。如果因承包人原因造成工期延误而遇不可抗力时，责任由承包人全部承担，并承担工程不能按期竣工的违约责任</w:t>
      </w:r>
      <w:r>
        <w:t>。</w:t>
      </w:r>
    </w:p>
    <w:p w14:paraId="01F00AEC">
      <w:pPr>
        <w:bidi w:val="0"/>
      </w:pPr>
      <w:r>
        <w:t>16.2.2承包人违约的责任</w:t>
      </w:r>
    </w:p>
    <w:p w14:paraId="7DC9509D">
      <w:pPr>
        <w:bidi w:val="0"/>
      </w:pPr>
      <w:r>
        <w:t>承包人违约责任的承担方式和计算方法：</w:t>
      </w:r>
      <w:r>
        <w:rPr>
          <w:u w:val="single"/>
        </w:rPr>
        <w:t>按照合同工期，每推延一天，赔偿壹万元整，投标报价中计取的赶工期措施费扣除同时还得赔偿由于延误给发包人带来的其它损失，违约金上限不超过合同总价的2%</w:t>
      </w:r>
      <w:r>
        <w:t>。</w:t>
      </w:r>
    </w:p>
    <w:p w14:paraId="3F480356">
      <w:pPr>
        <w:bidi w:val="0"/>
      </w:pPr>
      <w:r>
        <w:t>16.2.3因承包人违约解除合同</w:t>
      </w:r>
    </w:p>
    <w:p w14:paraId="0C4F869D">
      <w:pPr>
        <w:bidi w:val="0"/>
      </w:pPr>
      <w:r>
        <w:t>关于承包人违约解除合同的特别约定：</w:t>
      </w:r>
      <w:r>
        <w:rPr>
          <w:u w:val="single"/>
        </w:rPr>
        <w:t>按通用条款执行</w:t>
      </w:r>
      <w:r>
        <w:t>。</w:t>
      </w:r>
    </w:p>
    <w:p w14:paraId="5BD09F57">
      <w:pPr>
        <w:bidi w:val="0"/>
      </w:pPr>
      <w:r>
        <w:t>发包人继续使用承包人在施工现场的材料、设备、临时工程、承包人文件和由承包人或以其名义编制的其他文件的费用承担方式：经双方协商后确认。</w:t>
      </w:r>
    </w:p>
    <w:p w14:paraId="156C491E">
      <w:pPr>
        <w:bidi w:val="0"/>
      </w:pPr>
      <w:r>
        <w:t>17.不可抗力</w:t>
      </w:r>
    </w:p>
    <w:p w14:paraId="2ACF4114">
      <w:pPr>
        <w:bidi w:val="0"/>
      </w:pPr>
      <w:r>
        <w:t>17.1不可抗力的确认</w:t>
      </w:r>
    </w:p>
    <w:p w14:paraId="107BB66B">
      <w:pPr>
        <w:bidi w:val="0"/>
      </w:pPr>
      <w:r>
        <w:t>除通用合同条款约定的不可抗力事件之外，视为不可抗力的其他情形：不可抗力不包括（1）因一方或其雇员的疏忽或有意行为而造成的事件；（2）勤勉的一方可以合理的在合同签署时考虑到和在以后履行义务时避免或克服的事件；（3）不可抗力不包括资金短缺或无力支付。</w:t>
      </w:r>
    </w:p>
    <w:p w14:paraId="6A5F45FD">
      <w:pPr>
        <w:bidi w:val="0"/>
      </w:pPr>
      <w:r>
        <w:t>17.4因不可抗力解除合同</w:t>
      </w:r>
    </w:p>
    <w:p w14:paraId="6FB72B5C">
      <w:pPr>
        <w:bidi w:val="0"/>
      </w:pPr>
      <w:r>
        <w:t>合同解除后，发包人应在商定或确定发包人应支付款项后90天内完成款项的支付。</w:t>
      </w:r>
    </w:p>
    <w:p w14:paraId="0D06B6D6">
      <w:pPr>
        <w:bidi w:val="0"/>
      </w:pPr>
      <w:r>
        <w:t>18.保险</w:t>
      </w:r>
    </w:p>
    <w:p w14:paraId="3495518F">
      <w:pPr>
        <w:bidi w:val="0"/>
      </w:pPr>
      <w:r>
        <w:t>18.1工程保险</w:t>
      </w:r>
    </w:p>
    <w:p w14:paraId="485903C7">
      <w:pPr>
        <w:bidi w:val="0"/>
      </w:pPr>
      <w:r>
        <w:t>关于工程保险的特别约定：</w:t>
      </w:r>
      <w:r>
        <w:rPr>
          <w:u w:val="single"/>
        </w:rPr>
        <w:t>由承包人投保，费用含在合同价中</w:t>
      </w:r>
      <w:r>
        <w:t>。</w:t>
      </w:r>
    </w:p>
    <w:p w14:paraId="23760E2D">
      <w:pPr>
        <w:bidi w:val="0"/>
      </w:pPr>
      <w:r>
        <w:t>18.2其他保险</w:t>
      </w:r>
    </w:p>
    <w:p w14:paraId="5A5F41B0">
      <w:pPr>
        <w:bidi w:val="0"/>
      </w:pPr>
      <w:r>
        <w:t>关于其他保险的约定：</w:t>
      </w:r>
      <w:r>
        <w:rPr>
          <w:u w:val="single"/>
        </w:rPr>
        <w:t>承包人应为施工现场的全部人员办理意外保险并支付保险费用，费用含在合同价中</w:t>
      </w:r>
      <w:r>
        <w:t>。</w:t>
      </w:r>
    </w:p>
    <w:p w14:paraId="07464186">
      <w:pPr>
        <w:bidi w:val="0"/>
      </w:pPr>
      <w:r>
        <w:t>承包人是否应为其施工设备等办理财产保险：</w:t>
      </w:r>
      <w:r>
        <w:rPr>
          <w:u w:val="single"/>
        </w:rPr>
        <w:t>按通用条款执行</w:t>
      </w:r>
      <w:r>
        <w:t>。</w:t>
      </w:r>
    </w:p>
    <w:p w14:paraId="1B447A6A">
      <w:pPr>
        <w:bidi w:val="0"/>
      </w:pPr>
      <w:r>
        <w:t>18.7通知义务</w:t>
      </w:r>
    </w:p>
    <w:p w14:paraId="0B44B8F8">
      <w:pPr>
        <w:bidi w:val="0"/>
      </w:pPr>
      <w:r>
        <w:t>关于变更保险合同时的通知义务的约定：</w:t>
      </w:r>
      <w:r>
        <w:rPr>
          <w:u w:val="single"/>
        </w:rPr>
        <w:t>按通用条款执行</w:t>
      </w:r>
      <w:r>
        <w:t>。</w:t>
      </w:r>
    </w:p>
    <w:p w14:paraId="67192573">
      <w:pPr>
        <w:bidi w:val="0"/>
      </w:pPr>
      <w:r>
        <w:t>20.争议解决</w:t>
      </w:r>
    </w:p>
    <w:p w14:paraId="15C51955">
      <w:pPr>
        <w:bidi w:val="0"/>
      </w:pPr>
      <w:r>
        <w:t>20.3争议评审</w:t>
      </w:r>
    </w:p>
    <w:p w14:paraId="14BFB48D">
      <w:pPr>
        <w:bidi w:val="0"/>
      </w:pPr>
      <w:r>
        <w:t>合同当事人是否同意将工程争议提交争议评审小组决定：</w:t>
      </w:r>
      <w:r>
        <w:rPr>
          <w:u w:val="single"/>
        </w:rPr>
        <w:t>否</w:t>
      </w:r>
      <w:r>
        <w:t>。</w:t>
      </w:r>
    </w:p>
    <w:p w14:paraId="2DE1E18A">
      <w:pPr>
        <w:bidi w:val="0"/>
      </w:pPr>
      <w:r>
        <w:t>20.3.1争议评审小组的确定</w:t>
      </w:r>
    </w:p>
    <w:p w14:paraId="19C2CA28">
      <w:pPr>
        <w:bidi w:val="0"/>
      </w:pPr>
      <w:r>
        <w:t>争议评审小组成员的确定：</w:t>
      </w:r>
      <w:r>
        <w:rPr>
          <w:rFonts w:hint="eastAsia"/>
          <w:u w:val="single"/>
          <w:lang w:val="en-US" w:eastAsia="zh-CN"/>
        </w:rPr>
        <w:t xml:space="preserve">     /     </w:t>
      </w:r>
      <w:r>
        <w:t>。</w:t>
      </w:r>
    </w:p>
    <w:p w14:paraId="5AEE8683">
      <w:pPr>
        <w:bidi w:val="0"/>
      </w:pPr>
      <w:r>
        <w:t>选定争议评审员的期限：</w:t>
      </w:r>
      <w:r>
        <w:rPr>
          <w:rFonts w:hint="eastAsia"/>
          <w:u w:val="single"/>
          <w:lang w:val="en-US" w:eastAsia="zh-CN"/>
        </w:rPr>
        <w:t xml:space="preserve">     /     </w:t>
      </w:r>
      <w:r>
        <w:t>。</w:t>
      </w:r>
    </w:p>
    <w:p w14:paraId="6B572EE9">
      <w:pPr>
        <w:bidi w:val="0"/>
      </w:pPr>
      <w:r>
        <w:t>争议评审小组成员的报酬承担方式：</w:t>
      </w:r>
      <w:r>
        <w:rPr>
          <w:rFonts w:hint="eastAsia"/>
          <w:u w:val="single"/>
          <w:lang w:val="en-US" w:eastAsia="zh-CN"/>
        </w:rPr>
        <w:t xml:space="preserve">     /     </w:t>
      </w:r>
      <w:r>
        <w:t>。</w:t>
      </w:r>
    </w:p>
    <w:p w14:paraId="7BB03B71">
      <w:pPr>
        <w:bidi w:val="0"/>
      </w:pPr>
      <w:r>
        <w:t>其他事项的约定：</w:t>
      </w:r>
      <w:r>
        <w:rPr>
          <w:rFonts w:hint="eastAsia"/>
          <w:u w:val="single"/>
          <w:lang w:val="en-US" w:eastAsia="zh-CN"/>
        </w:rPr>
        <w:t xml:space="preserve">     /     </w:t>
      </w:r>
      <w:r>
        <w:t>。</w:t>
      </w:r>
    </w:p>
    <w:p w14:paraId="12F9DBFF">
      <w:pPr>
        <w:bidi w:val="0"/>
      </w:pPr>
      <w:r>
        <w:t>20.3.2争议评审小组的决定</w:t>
      </w:r>
    </w:p>
    <w:p w14:paraId="5D91C98B">
      <w:pPr>
        <w:bidi w:val="0"/>
      </w:pPr>
      <w:r>
        <w:t>合同当事人关于本项的约定：</w:t>
      </w:r>
      <w:r>
        <w:rPr>
          <w:rFonts w:hint="eastAsia"/>
          <w:u w:val="single"/>
          <w:lang w:val="en-US" w:eastAsia="zh-CN"/>
        </w:rPr>
        <w:t xml:space="preserve">     /     </w:t>
      </w:r>
      <w:r>
        <w:t>。</w:t>
      </w:r>
    </w:p>
    <w:p w14:paraId="4E1BC51F">
      <w:pPr>
        <w:bidi w:val="0"/>
      </w:pPr>
      <w:r>
        <w:t>20.4仲裁或诉讼</w:t>
      </w:r>
    </w:p>
    <w:p w14:paraId="31068C41">
      <w:pPr>
        <w:bidi w:val="0"/>
      </w:pPr>
      <w:r>
        <w:t>因合同及合同有关事项发生的争议，按下列第（2）种方式解决：</w:t>
      </w:r>
    </w:p>
    <w:p w14:paraId="52AE22A7">
      <w:pPr>
        <w:bidi w:val="0"/>
      </w:pPr>
      <w:r>
        <w:t>（1）向合同签订地仲裁委员会申请仲裁；</w:t>
      </w:r>
    </w:p>
    <w:p w14:paraId="14656E1D">
      <w:pPr>
        <w:bidi w:val="0"/>
      </w:pPr>
      <w:r>
        <w:t>（2）向合同签订地人民法院起诉。</w:t>
      </w:r>
    </w:p>
    <w:p w14:paraId="635CA3BF">
      <w:pPr>
        <w:bidi w:val="0"/>
      </w:pPr>
      <w:r>
        <w:t>附件</w:t>
      </w:r>
    </w:p>
    <w:p w14:paraId="3D14796B">
      <w:pPr>
        <w:bidi w:val="0"/>
      </w:pPr>
      <w:r>
        <w:t>协议书附件：</w:t>
      </w:r>
    </w:p>
    <w:p w14:paraId="7809D688">
      <w:pPr>
        <w:bidi w:val="0"/>
      </w:pPr>
      <w:r>
        <w:t>附件1：承包人承揽工程项目一览表专用合同条款附件：</w:t>
      </w:r>
    </w:p>
    <w:p w14:paraId="0CA5B19C">
      <w:pPr>
        <w:bidi w:val="0"/>
      </w:pPr>
      <w:r>
        <w:t>附件2：发包人供应材料设备一览表附件3：工程质量保修书</w:t>
      </w:r>
    </w:p>
    <w:p w14:paraId="15A6DF81">
      <w:pPr>
        <w:bidi w:val="0"/>
      </w:pPr>
      <w:r>
        <w:t>附件4：主要建设工程文件目录</w:t>
      </w:r>
    </w:p>
    <w:p w14:paraId="4566E175">
      <w:pPr>
        <w:bidi w:val="0"/>
      </w:pPr>
      <w:r>
        <w:t>附件5：承包人用于本工程施工的机械设备表</w:t>
      </w:r>
    </w:p>
    <w:p w14:paraId="0D11A8ED">
      <w:pPr>
        <w:bidi w:val="0"/>
      </w:pPr>
      <w:r>
        <w:t>附件6：承包人主要施工管理人员表</w:t>
      </w:r>
    </w:p>
    <w:p w14:paraId="4FA80CC0">
      <w:pPr>
        <w:bidi w:val="0"/>
      </w:pPr>
      <w:r>
        <w:t>附件7：分包人主要施工管理人员表</w:t>
      </w:r>
    </w:p>
    <w:p w14:paraId="7B14DAEA">
      <w:pPr>
        <w:bidi w:val="0"/>
      </w:pPr>
      <w:r>
        <w:t>附件8：履约担保格式</w:t>
      </w:r>
    </w:p>
    <w:p w14:paraId="6E412F6B">
      <w:pPr>
        <w:bidi w:val="0"/>
      </w:pPr>
      <w:r>
        <w:t>附件9：预付款担保格式</w:t>
      </w:r>
    </w:p>
    <w:p w14:paraId="2C824B09">
      <w:pPr>
        <w:bidi w:val="0"/>
      </w:pPr>
      <w:r>
        <w:t>附件10：支付担保格式</w:t>
      </w:r>
    </w:p>
    <w:p w14:paraId="2A609F45">
      <w:pPr>
        <w:bidi w:val="0"/>
        <w:rPr>
          <w:rFonts w:ascii="宋体" w:hAnsi="宋体" w:eastAsia="宋体" w:cs="宋体"/>
          <w:szCs w:val="24"/>
        </w:rPr>
      </w:pPr>
      <w:r>
        <w:t>附件11：暂估价一览表</w:t>
      </w:r>
    </w:p>
    <w:p w14:paraId="0ED204FD">
      <w:pPr>
        <w:spacing w:line="259" w:lineRule="auto"/>
      </w:pPr>
    </w:p>
    <w:p w14:paraId="1BF73A1A">
      <w:pPr>
        <w:spacing w:line="259" w:lineRule="auto"/>
      </w:pPr>
    </w:p>
    <w:p w14:paraId="5E151162">
      <w:pPr>
        <w:spacing w:line="260" w:lineRule="auto"/>
      </w:pPr>
    </w:p>
    <w:p w14:paraId="6BCA569F">
      <w:pPr>
        <w:spacing w:line="260" w:lineRule="auto"/>
      </w:pPr>
    </w:p>
    <w:p w14:paraId="002BC422">
      <w:pPr>
        <w:spacing w:line="260" w:lineRule="auto"/>
      </w:pPr>
    </w:p>
    <w:p w14:paraId="40526CBB">
      <w:pPr>
        <w:spacing w:line="260" w:lineRule="auto"/>
      </w:pPr>
    </w:p>
    <w:p w14:paraId="56D48C55">
      <w:pPr>
        <w:spacing w:line="260" w:lineRule="auto"/>
      </w:pPr>
    </w:p>
    <w:p w14:paraId="0DA9F5F4">
      <w:pPr>
        <w:spacing w:line="260" w:lineRule="auto"/>
      </w:pPr>
    </w:p>
    <w:p w14:paraId="59ED1B5F">
      <w:pPr>
        <w:spacing w:line="260" w:lineRule="auto"/>
      </w:pPr>
    </w:p>
    <w:p w14:paraId="0D4CD30F">
      <w:pPr>
        <w:spacing w:line="260" w:lineRule="auto"/>
      </w:pPr>
    </w:p>
    <w:p w14:paraId="042DF84E">
      <w:pPr>
        <w:spacing w:line="260" w:lineRule="auto"/>
      </w:pPr>
    </w:p>
    <w:p w14:paraId="064C5A6A">
      <w:pPr>
        <w:spacing w:line="260" w:lineRule="auto"/>
      </w:pPr>
    </w:p>
    <w:p w14:paraId="57BE0776">
      <w:pPr>
        <w:spacing w:line="260" w:lineRule="auto"/>
      </w:pPr>
    </w:p>
    <w:p w14:paraId="28D5EBC4">
      <w:pPr>
        <w:spacing w:line="260" w:lineRule="auto"/>
      </w:pPr>
    </w:p>
    <w:p w14:paraId="12D5A6AC">
      <w:pPr>
        <w:spacing w:line="260" w:lineRule="auto"/>
      </w:pPr>
    </w:p>
    <w:p w14:paraId="46C9B402">
      <w:pPr>
        <w:spacing w:line="260" w:lineRule="auto"/>
      </w:pPr>
    </w:p>
    <w:p w14:paraId="1A9E908E">
      <w:pPr>
        <w:spacing w:line="260" w:lineRule="auto"/>
      </w:pPr>
    </w:p>
    <w:p w14:paraId="00038E59">
      <w:pPr>
        <w:spacing w:line="260" w:lineRule="auto"/>
      </w:pPr>
    </w:p>
    <w:p w14:paraId="02CFB780">
      <w:pPr>
        <w:spacing w:line="260" w:lineRule="auto"/>
      </w:pPr>
    </w:p>
    <w:p w14:paraId="51F9B205">
      <w:pPr>
        <w:spacing w:line="260" w:lineRule="auto"/>
      </w:pPr>
    </w:p>
    <w:p w14:paraId="42F9B1C8">
      <w:pPr>
        <w:spacing w:line="260" w:lineRule="auto"/>
        <w:sectPr>
          <w:footerReference r:id="rId7" w:type="default"/>
          <w:pgSz w:w="11906" w:h="16839"/>
          <w:pgMar w:top="1417" w:right="1417" w:bottom="1417" w:left="1417" w:header="0" w:footer="1134" w:gutter="0"/>
          <w:pgNumType w:fmt="decimal" w:start="1"/>
          <w:cols w:space="720" w:num="1"/>
        </w:sectPr>
      </w:pPr>
    </w:p>
    <w:p w14:paraId="3DFF8CC1">
      <w:pPr>
        <w:spacing w:before="97" w:line="219" w:lineRule="auto"/>
        <w:ind w:left="0" w:leftChars="0" w:firstLine="0" w:firstLineChars="0"/>
        <w:rPr>
          <w:rFonts w:ascii="宋体" w:hAnsi="宋体" w:eastAsia="宋体" w:cs="宋体"/>
          <w:sz w:val="30"/>
          <w:szCs w:val="30"/>
        </w:rPr>
      </w:pPr>
      <w:r>
        <w:rPr>
          <w:rFonts w:ascii="宋体" w:hAnsi="宋体" w:eastAsia="宋体" w:cs="宋体"/>
          <w:spacing w:val="-18"/>
          <w:sz w:val="30"/>
          <w:szCs w:val="30"/>
        </w:rPr>
        <w:t>附件1：</w:t>
      </w:r>
    </w:p>
    <w:p w14:paraId="03926FA5">
      <w:pPr>
        <w:spacing w:before="239" w:line="220" w:lineRule="auto"/>
        <w:ind w:left="0" w:leftChars="0" w:firstLine="0" w:firstLineChars="0"/>
        <w:jc w:val="center"/>
        <w:rPr>
          <w:rFonts w:ascii="宋体" w:hAnsi="宋体" w:eastAsia="宋体" w:cs="宋体"/>
          <w:sz w:val="30"/>
          <w:szCs w:val="30"/>
        </w:rPr>
      </w:pPr>
      <w:r>
        <w:rPr>
          <w:rFonts w:ascii="宋体" w:hAnsi="宋体" w:eastAsia="宋体" w:cs="宋体"/>
          <w:spacing w:val="-1"/>
          <w:sz w:val="30"/>
          <w:szCs w:val="30"/>
        </w:rPr>
        <w:t>承包人承揽工程项目一览表</w:t>
      </w:r>
    </w:p>
    <w:p w14:paraId="15F9C74E">
      <w:pPr>
        <w:spacing w:line="144" w:lineRule="exact"/>
      </w:pPr>
    </w:p>
    <w:tbl>
      <w:tblPr>
        <w:tblStyle w:val="10"/>
        <w:tblW w:w="1460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289"/>
        <w:gridCol w:w="1839"/>
        <w:gridCol w:w="1414"/>
        <w:gridCol w:w="2405"/>
        <w:gridCol w:w="848"/>
        <w:gridCol w:w="1557"/>
        <w:gridCol w:w="2122"/>
        <w:gridCol w:w="1414"/>
        <w:gridCol w:w="849"/>
        <w:gridCol w:w="863"/>
      </w:tblGrid>
      <w:tr w14:paraId="7271A9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87" w:hRule="atLeast"/>
          <w:jc w:val="center"/>
        </w:trPr>
        <w:tc>
          <w:tcPr>
            <w:tcW w:w="1289" w:type="dxa"/>
            <w:tcBorders>
              <w:top w:val="single" w:color="000000" w:sz="12" w:space="0"/>
              <w:left w:val="single" w:color="000000" w:sz="12" w:space="0"/>
            </w:tcBorders>
            <w:vAlign w:val="top"/>
          </w:tcPr>
          <w:p w14:paraId="4A3DAF8A">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pPr>
            <w:r>
              <w:rPr>
                <w:spacing w:val="30"/>
              </w:rPr>
              <w:t>单位工程</w:t>
            </w:r>
            <w:r>
              <w:rPr>
                <w:spacing w:val="-4"/>
              </w:rPr>
              <w:t>名称</w:t>
            </w:r>
          </w:p>
        </w:tc>
        <w:tc>
          <w:tcPr>
            <w:tcW w:w="1839" w:type="dxa"/>
            <w:tcBorders>
              <w:top w:val="single" w:color="000000" w:sz="12" w:space="0"/>
            </w:tcBorders>
            <w:vAlign w:val="center"/>
          </w:tcPr>
          <w:p w14:paraId="1EEAD97A">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pPr>
            <w:r>
              <w:rPr>
                <w:spacing w:val="-3"/>
              </w:rPr>
              <w:t>建设规模</w:t>
            </w:r>
          </w:p>
        </w:tc>
        <w:tc>
          <w:tcPr>
            <w:tcW w:w="1414" w:type="dxa"/>
            <w:tcBorders>
              <w:top w:val="single" w:color="000000" w:sz="12" w:space="0"/>
            </w:tcBorders>
            <w:vAlign w:val="top"/>
          </w:tcPr>
          <w:p w14:paraId="4EC41361">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pPr>
            <w:r>
              <w:rPr>
                <w:spacing w:val="-11"/>
              </w:rPr>
              <w:t>建筑面积</w:t>
            </w:r>
            <w:r>
              <w:rPr>
                <w:spacing w:val="-10"/>
              </w:rPr>
              <w:t>(平方米)</w:t>
            </w:r>
          </w:p>
        </w:tc>
        <w:tc>
          <w:tcPr>
            <w:tcW w:w="2405" w:type="dxa"/>
            <w:tcBorders>
              <w:top w:val="single" w:color="000000" w:sz="12" w:space="0"/>
            </w:tcBorders>
            <w:vAlign w:val="center"/>
          </w:tcPr>
          <w:p w14:paraId="5FAA9875">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pPr>
            <w:r>
              <w:rPr>
                <w:spacing w:val="-3"/>
              </w:rPr>
              <w:t>结构形式</w:t>
            </w:r>
          </w:p>
        </w:tc>
        <w:tc>
          <w:tcPr>
            <w:tcW w:w="848" w:type="dxa"/>
            <w:tcBorders>
              <w:top w:val="single" w:color="000000" w:sz="12" w:space="0"/>
            </w:tcBorders>
            <w:vAlign w:val="center"/>
          </w:tcPr>
          <w:p w14:paraId="3CACB7A0">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pPr>
            <w:r>
              <w:rPr>
                <w:rFonts w:ascii="Times New Roman" w:hAnsi="Times New Roman" w:eastAsia="宋体" w:cs="Times New Roman"/>
              </w:rPr>
              <w:t>层</w:t>
            </w:r>
            <w:r>
              <w:rPr>
                <w:spacing w:val="-3"/>
              </w:rPr>
              <w:t>数</w:t>
            </w:r>
          </w:p>
        </w:tc>
        <w:tc>
          <w:tcPr>
            <w:tcW w:w="1557" w:type="dxa"/>
            <w:tcBorders>
              <w:top w:val="single" w:color="000000" w:sz="12" w:space="0"/>
            </w:tcBorders>
            <w:vAlign w:val="center"/>
          </w:tcPr>
          <w:p w14:paraId="747F03CA">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pPr>
            <w:r>
              <w:rPr>
                <w:spacing w:val="-3"/>
              </w:rPr>
              <w:t>生产能力</w:t>
            </w:r>
          </w:p>
        </w:tc>
        <w:tc>
          <w:tcPr>
            <w:tcW w:w="2122" w:type="dxa"/>
            <w:tcBorders>
              <w:top w:val="single" w:color="000000" w:sz="12" w:space="0"/>
            </w:tcBorders>
            <w:vAlign w:val="center"/>
          </w:tcPr>
          <w:p w14:paraId="773997ED">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pPr>
            <w:r>
              <w:rPr>
                <w:spacing w:val="-2"/>
              </w:rPr>
              <w:t>设备安装内容</w:t>
            </w:r>
          </w:p>
        </w:tc>
        <w:tc>
          <w:tcPr>
            <w:tcW w:w="1414" w:type="dxa"/>
            <w:tcBorders>
              <w:top w:val="single" w:color="000000" w:sz="12" w:space="0"/>
            </w:tcBorders>
            <w:vAlign w:val="center"/>
          </w:tcPr>
          <w:p w14:paraId="77C30E7F">
            <w:pPr>
              <w:keepNext w:val="0"/>
              <w:keepLines w:val="0"/>
              <w:pageBreakBefore w:val="0"/>
              <w:widowControl/>
              <w:kinsoku w:val="0"/>
              <w:wordWrap w:val="0"/>
              <w:overflowPunct/>
              <w:topLinePunct w:val="0"/>
              <w:autoSpaceDE w:val="0"/>
              <w:autoSpaceDN w:val="0"/>
              <w:bidi w:val="0"/>
              <w:adjustRightInd w:val="0"/>
              <w:snapToGrid w:val="0"/>
              <w:spacing w:line="360" w:lineRule="exact"/>
              <w:ind w:left="107" w:right="71" w:firstLine="0" w:firstLineChars="0"/>
              <w:jc w:val="center"/>
              <w:textAlignment w:val="baseline"/>
            </w:pPr>
            <w:r>
              <w:rPr>
                <w:spacing w:val="-16"/>
              </w:rPr>
              <w:t>合同价格</w:t>
            </w:r>
            <w:r>
              <w:rPr>
                <w:spacing w:val="-8"/>
              </w:rPr>
              <w:t>（元）</w:t>
            </w:r>
          </w:p>
        </w:tc>
        <w:tc>
          <w:tcPr>
            <w:tcW w:w="849" w:type="dxa"/>
            <w:tcBorders>
              <w:top w:val="single" w:color="000000" w:sz="12" w:space="0"/>
            </w:tcBorders>
            <w:vAlign w:val="center"/>
          </w:tcPr>
          <w:p w14:paraId="4D1DCE47">
            <w:pPr>
              <w:keepNext w:val="0"/>
              <w:keepLines w:val="0"/>
              <w:pageBreakBefore w:val="0"/>
              <w:widowControl/>
              <w:kinsoku w:val="0"/>
              <w:wordWrap w:val="0"/>
              <w:overflowPunct/>
              <w:topLinePunct w:val="0"/>
              <w:autoSpaceDE w:val="0"/>
              <w:autoSpaceDN w:val="0"/>
              <w:bidi w:val="0"/>
              <w:adjustRightInd w:val="0"/>
              <w:snapToGrid w:val="0"/>
              <w:spacing w:line="360" w:lineRule="exact"/>
              <w:ind w:left="145" w:right="69" w:firstLine="0" w:firstLineChars="0"/>
              <w:jc w:val="center"/>
              <w:textAlignment w:val="baseline"/>
            </w:pPr>
            <w:r>
              <w:rPr>
                <w:spacing w:val="-12"/>
              </w:rPr>
              <w:t>开工</w:t>
            </w:r>
            <w:r>
              <w:rPr>
                <w:spacing w:val="-13"/>
              </w:rPr>
              <w:t>日期</w:t>
            </w:r>
          </w:p>
        </w:tc>
        <w:tc>
          <w:tcPr>
            <w:tcW w:w="863" w:type="dxa"/>
            <w:tcBorders>
              <w:top w:val="single" w:color="000000" w:sz="12" w:space="0"/>
              <w:right w:val="single" w:color="000000" w:sz="12" w:space="0"/>
            </w:tcBorders>
            <w:vAlign w:val="center"/>
          </w:tcPr>
          <w:p w14:paraId="14CEB602">
            <w:pPr>
              <w:keepNext w:val="0"/>
              <w:keepLines w:val="0"/>
              <w:pageBreakBefore w:val="0"/>
              <w:widowControl/>
              <w:kinsoku w:val="0"/>
              <w:wordWrap w:val="0"/>
              <w:overflowPunct/>
              <w:topLinePunct w:val="0"/>
              <w:autoSpaceDE w:val="0"/>
              <w:autoSpaceDN w:val="0"/>
              <w:bidi w:val="0"/>
              <w:adjustRightInd w:val="0"/>
              <w:snapToGrid w:val="0"/>
              <w:spacing w:line="360" w:lineRule="exact"/>
              <w:ind w:left="147" w:right="75" w:firstLine="0" w:firstLineChars="0"/>
              <w:jc w:val="center"/>
              <w:textAlignment w:val="baseline"/>
            </w:pPr>
            <w:r>
              <w:rPr>
                <w:spacing w:val="-12"/>
              </w:rPr>
              <w:t>竣工</w:t>
            </w:r>
            <w:r>
              <w:rPr>
                <w:spacing w:val="-13"/>
              </w:rPr>
              <w:t>日期</w:t>
            </w:r>
          </w:p>
        </w:tc>
      </w:tr>
      <w:tr w14:paraId="7E674A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89" w:type="dxa"/>
            <w:tcBorders>
              <w:left w:val="single" w:color="000000" w:sz="12" w:space="0"/>
            </w:tcBorders>
            <w:vAlign w:val="top"/>
          </w:tcPr>
          <w:p w14:paraId="4A32FF0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839" w:type="dxa"/>
            <w:vAlign w:val="top"/>
          </w:tcPr>
          <w:p w14:paraId="2923C70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0D5DC90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405" w:type="dxa"/>
            <w:vAlign w:val="top"/>
          </w:tcPr>
          <w:p w14:paraId="6E5E429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8" w:type="dxa"/>
            <w:vAlign w:val="top"/>
          </w:tcPr>
          <w:p w14:paraId="6556E02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557" w:type="dxa"/>
            <w:vAlign w:val="top"/>
          </w:tcPr>
          <w:p w14:paraId="56CF7CE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122" w:type="dxa"/>
            <w:vAlign w:val="top"/>
          </w:tcPr>
          <w:p w14:paraId="2B5589A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1F97161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9" w:type="dxa"/>
            <w:vAlign w:val="top"/>
          </w:tcPr>
          <w:p w14:paraId="657F360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63" w:type="dxa"/>
            <w:tcBorders>
              <w:right w:val="single" w:color="000000" w:sz="12" w:space="0"/>
            </w:tcBorders>
            <w:vAlign w:val="top"/>
          </w:tcPr>
          <w:p w14:paraId="0858BBD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2DA6D5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89" w:type="dxa"/>
            <w:tcBorders>
              <w:left w:val="single" w:color="000000" w:sz="12" w:space="0"/>
            </w:tcBorders>
            <w:vAlign w:val="top"/>
          </w:tcPr>
          <w:p w14:paraId="7B31161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839" w:type="dxa"/>
            <w:vAlign w:val="top"/>
          </w:tcPr>
          <w:p w14:paraId="12C115A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79E1D01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405" w:type="dxa"/>
            <w:vAlign w:val="top"/>
          </w:tcPr>
          <w:p w14:paraId="7D474D7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8" w:type="dxa"/>
            <w:vAlign w:val="top"/>
          </w:tcPr>
          <w:p w14:paraId="48EFC36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557" w:type="dxa"/>
            <w:vAlign w:val="top"/>
          </w:tcPr>
          <w:p w14:paraId="48003E2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122" w:type="dxa"/>
            <w:vAlign w:val="top"/>
          </w:tcPr>
          <w:p w14:paraId="3EE7F50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12F7B31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9" w:type="dxa"/>
            <w:vAlign w:val="top"/>
          </w:tcPr>
          <w:p w14:paraId="6B87C32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63" w:type="dxa"/>
            <w:tcBorders>
              <w:right w:val="single" w:color="000000" w:sz="12" w:space="0"/>
            </w:tcBorders>
            <w:vAlign w:val="top"/>
          </w:tcPr>
          <w:p w14:paraId="563AF23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430788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89" w:type="dxa"/>
            <w:tcBorders>
              <w:left w:val="single" w:color="000000" w:sz="12" w:space="0"/>
            </w:tcBorders>
            <w:vAlign w:val="top"/>
          </w:tcPr>
          <w:p w14:paraId="4974DBC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839" w:type="dxa"/>
            <w:vAlign w:val="top"/>
          </w:tcPr>
          <w:p w14:paraId="3E5FC59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7346935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405" w:type="dxa"/>
            <w:vAlign w:val="top"/>
          </w:tcPr>
          <w:p w14:paraId="7A3FA46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8" w:type="dxa"/>
            <w:vAlign w:val="top"/>
          </w:tcPr>
          <w:p w14:paraId="189EEBD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557" w:type="dxa"/>
            <w:vAlign w:val="top"/>
          </w:tcPr>
          <w:p w14:paraId="52446CA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122" w:type="dxa"/>
            <w:vAlign w:val="top"/>
          </w:tcPr>
          <w:p w14:paraId="480BB8B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3542F1D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9" w:type="dxa"/>
            <w:vAlign w:val="top"/>
          </w:tcPr>
          <w:p w14:paraId="40C3201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63" w:type="dxa"/>
            <w:tcBorders>
              <w:right w:val="single" w:color="000000" w:sz="12" w:space="0"/>
            </w:tcBorders>
            <w:vAlign w:val="top"/>
          </w:tcPr>
          <w:p w14:paraId="59B3876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340023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89" w:type="dxa"/>
            <w:tcBorders>
              <w:left w:val="single" w:color="000000" w:sz="12" w:space="0"/>
            </w:tcBorders>
            <w:vAlign w:val="top"/>
          </w:tcPr>
          <w:p w14:paraId="2CBFB79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839" w:type="dxa"/>
            <w:vAlign w:val="top"/>
          </w:tcPr>
          <w:p w14:paraId="0B6D418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0DC9E40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405" w:type="dxa"/>
            <w:vAlign w:val="top"/>
          </w:tcPr>
          <w:p w14:paraId="51486B1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8" w:type="dxa"/>
            <w:vAlign w:val="top"/>
          </w:tcPr>
          <w:p w14:paraId="3E47428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557" w:type="dxa"/>
            <w:vAlign w:val="top"/>
          </w:tcPr>
          <w:p w14:paraId="5910EB5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122" w:type="dxa"/>
            <w:vAlign w:val="top"/>
          </w:tcPr>
          <w:p w14:paraId="3B82E4D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5ABA8BF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9" w:type="dxa"/>
            <w:vAlign w:val="top"/>
          </w:tcPr>
          <w:p w14:paraId="2028AB9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63" w:type="dxa"/>
            <w:tcBorders>
              <w:right w:val="single" w:color="000000" w:sz="12" w:space="0"/>
            </w:tcBorders>
            <w:vAlign w:val="top"/>
          </w:tcPr>
          <w:p w14:paraId="644FD43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79A2A6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89" w:type="dxa"/>
            <w:tcBorders>
              <w:left w:val="single" w:color="000000" w:sz="12" w:space="0"/>
            </w:tcBorders>
            <w:vAlign w:val="top"/>
          </w:tcPr>
          <w:p w14:paraId="31AF0AC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839" w:type="dxa"/>
            <w:vAlign w:val="top"/>
          </w:tcPr>
          <w:p w14:paraId="6E1E16F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4A50378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405" w:type="dxa"/>
            <w:vAlign w:val="top"/>
          </w:tcPr>
          <w:p w14:paraId="1DAAD3F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8" w:type="dxa"/>
            <w:vAlign w:val="top"/>
          </w:tcPr>
          <w:p w14:paraId="1AC56CE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557" w:type="dxa"/>
            <w:vAlign w:val="top"/>
          </w:tcPr>
          <w:p w14:paraId="58ED858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122" w:type="dxa"/>
            <w:vAlign w:val="top"/>
          </w:tcPr>
          <w:p w14:paraId="2F804C1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7CF89AC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9" w:type="dxa"/>
            <w:vAlign w:val="top"/>
          </w:tcPr>
          <w:p w14:paraId="4F3F116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63" w:type="dxa"/>
            <w:tcBorders>
              <w:right w:val="single" w:color="000000" w:sz="12" w:space="0"/>
            </w:tcBorders>
            <w:vAlign w:val="top"/>
          </w:tcPr>
          <w:p w14:paraId="2C4C1FE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031DDE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89" w:type="dxa"/>
            <w:tcBorders>
              <w:left w:val="single" w:color="000000" w:sz="12" w:space="0"/>
            </w:tcBorders>
            <w:vAlign w:val="top"/>
          </w:tcPr>
          <w:p w14:paraId="34B5FFB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839" w:type="dxa"/>
            <w:vAlign w:val="top"/>
          </w:tcPr>
          <w:p w14:paraId="204535B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3454689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405" w:type="dxa"/>
            <w:vAlign w:val="top"/>
          </w:tcPr>
          <w:p w14:paraId="28EB726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8" w:type="dxa"/>
            <w:vAlign w:val="top"/>
          </w:tcPr>
          <w:p w14:paraId="5796D1A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557" w:type="dxa"/>
            <w:vAlign w:val="top"/>
          </w:tcPr>
          <w:p w14:paraId="6D3398B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122" w:type="dxa"/>
            <w:vAlign w:val="top"/>
          </w:tcPr>
          <w:p w14:paraId="0235530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6566655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9" w:type="dxa"/>
            <w:vAlign w:val="top"/>
          </w:tcPr>
          <w:p w14:paraId="0AA5504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63" w:type="dxa"/>
            <w:tcBorders>
              <w:right w:val="single" w:color="000000" w:sz="12" w:space="0"/>
            </w:tcBorders>
            <w:vAlign w:val="top"/>
          </w:tcPr>
          <w:p w14:paraId="0A6EB1D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1DB9E9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89" w:type="dxa"/>
            <w:tcBorders>
              <w:left w:val="single" w:color="000000" w:sz="12" w:space="0"/>
            </w:tcBorders>
            <w:vAlign w:val="top"/>
          </w:tcPr>
          <w:p w14:paraId="5C54CD0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839" w:type="dxa"/>
            <w:vAlign w:val="top"/>
          </w:tcPr>
          <w:p w14:paraId="53B3B3E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45D7C02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405" w:type="dxa"/>
            <w:vAlign w:val="top"/>
          </w:tcPr>
          <w:p w14:paraId="23A480C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8" w:type="dxa"/>
            <w:vAlign w:val="top"/>
          </w:tcPr>
          <w:p w14:paraId="7F6AEF5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557" w:type="dxa"/>
            <w:vAlign w:val="top"/>
          </w:tcPr>
          <w:p w14:paraId="46FC532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122" w:type="dxa"/>
            <w:vAlign w:val="top"/>
          </w:tcPr>
          <w:p w14:paraId="5955F86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1033563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9" w:type="dxa"/>
            <w:vAlign w:val="top"/>
          </w:tcPr>
          <w:p w14:paraId="1CE46A8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63" w:type="dxa"/>
            <w:tcBorders>
              <w:right w:val="single" w:color="000000" w:sz="12" w:space="0"/>
            </w:tcBorders>
            <w:vAlign w:val="top"/>
          </w:tcPr>
          <w:p w14:paraId="449195E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3D1AA6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89" w:type="dxa"/>
            <w:tcBorders>
              <w:left w:val="single" w:color="000000" w:sz="12" w:space="0"/>
            </w:tcBorders>
            <w:vAlign w:val="top"/>
          </w:tcPr>
          <w:p w14:paraId="5E17839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839" w:type="dxa"/>
            <w:vAlign w:val="top"/>
          </w:tcPr>
          <w:p w14:paraId="1E5701C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399F154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405" w:type="dxa"/>
            <w:vAlign w:val="top"/>
          </w:tcPr>
          <w:p w14:paraId="5BF3039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8" w:type="dxa"/>
            <w:vAlign w:val="top"/>
          </w:tcPr>
          <w:p w14:paraId="25AF7AE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557" w:type="dxa"/>
            <w:vAlign w:val="top"/>
          </w:tcPr>
          <w:p w14:paraId="0FFDAEA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122" w:type="dxa"/>
            <w:vAlign w:val="top"/>
          </w:tcPr>
          <w:p w14:paraId="66A0A65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76D31B7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9" w:type="dxa"/>
            <w:vAlign w:val="top"/>
          </w:tcPr>
          <w:p w14:paraId="04E7E0B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63" w:type="dxa"/>
            <w:tcBorders>
              <w:right w:val="single" w:color="000000" w:sz="12" w:space="0"/>
            </w:tcBorders>
            <w:vAlign w:val="top"/>
          </w:tcPr>
          <w:p w14:paraId="285C6C7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76C7E0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89" w:type="dxa"/>
            <w:tcBorders>
              <w:left w:val="single" w:color="000000" w:sz="12" w:space="0"/>
            </w:tcBorders>
            <w:vAlign w:val="top"/>
          </w:tcPr>
          <w:p w14:paraId="618AE9C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839" w:type="dxa"/>
            <w:vAlign w:val="top"/>
          </w:tcPr>
          <w:p w14:paraId="68933B9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386E489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405" w:type="dxa"/>
            <w:vAlign w:val="top"/>
          </w:tcPr>
          <w:p w14:paraId="11C10DE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8" w:type="dxa"/>
            <w:vAlign w:val="top"/>
          </w:tcPr>
          <w:p w14:paraId="1C31048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557" w:type="dxa"/>
            <w:vAlign w:val="top"/>
          </w:tcPr>
          <w:p w14:paraId="3960535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122" w:type="dxa"/>
            <w:vAlign w:val="top"/>
          </w:tcPr>
          <w:p w14:paraId="39DB232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2DE6EC5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9" w:type="dxa"/>
            <w:vAlign w:val="top"/>
          </w:tcPr>
          <w:p w14:paraId="09E767B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63" w:type="dxa"/>
            <w:tcBorders>
              <w:right w:val="single" w:color="000000" w:sz="12" w:space="0"/>
            </w:tcBorders>
            <w:vAlign w:val="top"/>
          </w:tcPr>
          <w:p w14:paraId="1695946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2B854C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89" w:type="dxa"/>
            <w:tcBorders>
              <w:left w:val="single" w:color="000000" w:sz="12" w:space="0"/>
            </w:tcBorders>
            <w:vAlign w:val="top"/>
          </w:tcPr>
          <w:p w14:paraId="402B56E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839" w:type="dxa"/>
            <w:vAlign w:val="top"/>
          </w:tcPr>
          <w:p w14:paraId="2A40D7A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0EF1121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405" w:type="dxa"/>
            <w:vAlign w:val="top"/>
          </w:tcPr>
          <w:p w14:paraId="5D14881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8" w:type="dxa"/>
            <w:vAlign w:val="top"/>
          </w:tcPr>
          <w:p w14:paraId="2B4A409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557" w:type="dxa"/>
            <w:vAlign w:val="top"/>
          </w:tcPr>
          <w:p w14:paraId="401CDCD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122" w:type="dxa"/>
            <w:vAlign w:val="top"/>
          </w:tcPr>
          <w:p w14:paraId="67F08B5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vAlign w:val="top"/>
          </w:tcPr>
          <w:p w14:paraId="6469398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9" w:type="dxa"/>
            <w:vAlign w:val="top"/>
          </w:tcPr>
          <w:p w14:paraId="2EAD9F9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63" w:type="dxa"/>
            <w:tcBorders>
              <w:right w:val="single" w:color="000000" w:sz="12" w:space="0"/>
            </w:tcBorders>
            <w:vAlign w:val="top"/>
          </w:tcPr>
          <w:p w14:paraId="204F39E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01B8B2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9" w:hRule="atLeast"/>
          <w:jc w:val="center"/>
        </w:trPr>
        <w:tc>
          <w:tcPr>
            <w:tcW w:w="1289" w:type="dxa"/>
            <w:tcBorders>
              <w:left w:val="single" w:color="000000" w:sz="12" w:space="0"/>
              <w:bottom w:val="single" w:color="000000" w:sz="12" w:space="0"/>
            </w:tcBorders>
            <w:vAlign w:val="top"/>
          </w:tcPr>
          <w:p w14:paraId="792C703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839" w:type="dxa"/>
            <w:tcBorders>
              <w:bottom w:val="single" w:color="000000" w:sz="12" w:space="0"/>
            </w:tcBorders>
            <w:vAlign w:val="top"/>
          </w:tcPr>
          <w:p w14:paraId="12BF919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tcBorders>
              <w:bottom w:val="single" w:color="000000" w:sz="12" w:space="0"/>
            </w:tcBorders>
            <w:vAlign w:val="top"/>
          </w:tcPr>
          <w:p w14:paraId="0FFC66C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405" w:type="dxa"/>
            <w:tcBorders>
              <w:bottom w:val="single" w:color="000000" w:sz="12" w:space="0"/>
            </w:tcBorders>
            <w:vAlign w:val="top"/>
          </w:tcPr>
          <w:p w14:paraId="396BAD0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8" w:type="dxa"/>
            <w:tcBorders>
              <w:bottom w:val="single" w:color="000000" w:sz="12" w:space="0"/>
            </w:tcBorders>
            <w:vAlign w:val="top"/>
          </w:tcPr>
          <w:p w14:paraId="2E00A08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557" w:type="dxa"/>
            <w:tcBorders>
              <w:bottom w:val="single" w:color="000000" w:sz="12" w:space="0"/>
            </w:tcBorders>
            <w:vAlign w:val="top"/>
          </w:tcPr>
          <w:p w14:paraId="4AF5282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2122" w:type="dxa"/>
            <w:tcBorders>
              <w:bottom w:val="single" w:color="000000" w:sz="12" w:space="0"/>
            </w:tcBorders>
            <w:vAlign w:val="top"/>
          </w:tcPr>
          <w:p w14:paraId="7357B1A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4" w:type="dxa"/>
            <w:tcBorders>
              <w:bottom w:val="single" w:color="000000" w:sz="12" w:space="0"/>
            </w:tcBorders>
            <w:vAlign w:val="top"/>
          </w:tcPr>
          <w:p w14:paraId="5F93A49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49" w:type="dxa"/>
            <w:tcBorders>
              <w:bottom w:val="single" w:color="000000" w:sz="12" w:space="0"/>
            </w:tcBorders>
            <w:vAlign w:val="top"/>
          </w:tcPr>
          <w:p w14:paraId="11154D5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63" w:type="dxa"/>
            <w:tcBorders>
              <w:bottom w:val="single" w:color="000000" w:sz="12" w:space="0"/>
              <w:right w:val="single" w:color="000000" w:sz="12" w:space="0"/>
            </w:tcBorders>
            <w:vAlign w:val="top"/>
          </w:tcPr>
          <w:p w14:paraId="0AF5FA1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bl>
    <w:p w14:paraId="08FF51CA">
      <w:pPr>
        <w:spacing w:line="258" w:lineRule="auto"/>
        <w:sectPr>
          <w:pgSz w:w="16839" w:h="11906" w:orient="landscape"/>
          <w:pgMar w:top="1417" w:right="1417" w:bottom="1417" w:left="1417" w:header="0" w:footer="992" w:gutter="0"/>
          <w:pgNumType w:fmt="decimal"/>
          <w:cols w:space="720" w:num="1"/>
        </w:sectPr>
      </w:pPr>
    </w:p>
    <w:p w14:paraId="0C3736FE">
      <w:pPr>
        <w:spacing w:before="97" w:line="219" w:lineRule="auto"/>
        <w:ind w:left="0" w:leftChars="0" w:firstLine="0" w:firstLineChars="0"/>
        <w:rPr>
          <w:rFonts w:ascii="宋体" w:hAnsi="宋体" w:eastAsia="宋体" w:cs="宋体"/>
          <w:sz w:val="30"/>
          <w:szCs w:val="30"/>
        </w:rPr>
      </w:pPr>
      <w:r>
        <w:rPr>
          <w:rFonts w:ascii="宋体" w:hAnsi="宋体" w:eastAsia="宋体" w:cs="宋体"/>
          <w:spacing w:val="-16"/>
          <w:sz w:val="30"/>
          <w:szCs w:val="30"/>
        </w:rPr>
        <w:t>附件2：</w:t>
      </w:r>
    </w:p>
    <w:p w14:paraId="75C8F655">
      <w:pPr>
        <w:spacing w:before="240" w:line="219" w:lineRule="auto"/>
        <w:ind w:left="0" w:leftChars="0" w:firstLine="0" w:firstLineChars="0"/>
        <w:jc w:val="center"/>
        <w:rPr>
          <w:rFonts w:ascii="宋体" w:hAnsi="宋体" w:eastAsia="宋体" w:cs="宋体"/>
          <w:sz w:val="30"/>
          <w:szCs w:val="30"/>
        </w:rPr>
      </w:pPr>
      <w:r>
        <w:rPr>
          <w:rFonts w:ascii="宋体" w:hAnsi="宋体" w:eastAsia="宋体" w:cs="宋体"/>
          <w:spacing w:val="-2"/>
          <w:sz w:val="30"/>
          <w:szCs w:val="30"/>
        </w:rPr>
        <w:t>发包人供应材料设备一览表</w:t>
      </w:r>
    </w:p>
    <w:p w14:paraId="75EAFCDF">
      <w:pPr>
        <w:spacing w:line="146" w:lineRule="exact"/>
      </w:pPr>
    </w:p>
    <w:tbl>
      <w:tblPr>
        <w:tblStyle w:val="10"/>
        <w:tblW w:w="1017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21"/>
        <w:gridCol w:w="1209"/>
        <w:gridCol w:w="1345"/>
        <w:gridCol w:w="891"/>
        <w:gridCol w:w="807"/>
        <w:gridCol w:w="990"/>
        <w:gridCol w:w="940"/>
        <w:gridCol w:w="807"/>
        <w:gridCol w:w="1410"/>
        <w:gridCol w:w="955"/>
      </w:tblGrid>
      <w:tr w14:paraId="126672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61" w:hRule="atLeast"/>
          <w:jc w:val="center"/>
        </w:trPr>
        <w:tc>
          <w:tcPr>
            <w:tcW w:w="821" w:type="dxa"/>
            <w:tcBorders>
              <w:top w:val="single" w:color="000000" w:sz="12" w:space="0"/>
              <w:left w:val="single" w:color="000000" w:sz="12" w:space="0"/>
            </w:tcBorders>
            <w:vAlign w:val="center"/>
          </w:tcPr>
          <w:p w14:paraId="69FE6AAF">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rPr>
                <w:rFonts w:hint="eastAsia" w:ascii="宋体" w:hAnsi="宋体" w:eastAsia="宋体" w:cs="宋体"/>
                <w:spacing w:val="-2"/>
              </w:rPr>
            </w:pPr>
            <w:r>
              <w:rPr>
                <w:rFonts w:hint="eastAsia" w:ascii="宋体" w:hAnsi="宋体" w:eastAsia="宋体" w:cs="宋体"/>
                <w:spacing w:val="-2"/>
              </w:rPr>
              <w:t>序号</w:t>
            </w:r>
          </w:p>
        </w:tc>
        <w:tc>
          <w:tcPr>
            <w:tcW w:w="1209" w:type="dxa"/>
            <w:tcBorders>
              <w:top w:val="single" w:color="000000" w:sz="12" w:space="0"/>
            </w:tcBorders>
            <w:vAlign w:val="center"/>
          </w:tcPr>
          <w:p w14:paraId="33574C5A">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rPr>
                <w:rFonts w:hint="eastAsia" w:ascii="宋体" w:hAnsi="宋体" w:eastAsia="宋体" w:cs="宋体"/>
                <w:spacing w:val="-2"/>
              </w:rPr>
            </w:pPr>
            <w:r>
              <w:rPr>
                <w:rFonts w:hint="eastAsia" w:ascii="宋体" w:hAnsi="宋体" w:eastAsia="宋体" w:cs="宋体"/>
                <w:spacing w:val="-2"/>
              </w:rPr>
              <w:t>材料、设备品种</w:t>
            </w:r>
          </w:p>
        </w:tc>
        <w:tc>
          <w:tcPr>
            <w:tcW w:w="1345" w:type="dxa"/>
            <w:tcBorders>
              <w:top w:val="single" w:color="000000" w:sz="12" w:space="0"/>
            </w:tcBorders>
            <w:vAlign w:val="center"/>
          </w:tcPr>
          <w:p w14:paraId="5B76FBAF">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rPr>
                <w:rFonts w:hint="eastAsia" w:ascii="宋体" w:hAnsi="宋体" w:eastAsia="宋体" w:cs="宋体"/>
                <w:spacing w:val="-2"/>
              </w:rPr>
            </w:pPr>
            <w:r>
              <w:rPr>
                <w:rFonts w:hint="eastAsia" w:ascii="宋体" w:hAnsi="宋体" w:eastAsia="宋体" w:cs="宋体"/>
                <w:spacing w:val="-2"/>
              </w:rPr>
              <w:t>规格型号</w:t>
            </w:r>
          </w:p>
        </w:tc>
        <w:tc>
          <w:tcPr>
            <w:tcW w:w="891" w:type="dxa"/>
            <w:tcBorders>
              <w:top w:val="single" w:color="000000" w:sz="12" w:space="0"/>
            </w:tcBorders>
            <w:vAlign w:val="center"/>
          </w:tcPr>
          <w:p w14:paraId="7A5372AD">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rPr>
                <w:rFonts w:hint="eastAsia" w:ascii="宋体" w:hAnsi="宋体" w:eastAsia="宋体" w:cs="宋体"/>
                <w:spacing w:val="-2"/>
              </w:rPr>
            </w:pPr>
            <w:r>
              <w:rPr>
                <w:rFonts w:hint="eastAsia" w:ascii="宋体" w:hAnsi="宋体" w:eastAsia="宋体" w:cs="宋体"/>
                <w:spacing w:val="-2"/>
              </w:rPr>
              <w:t>单位</w:t>
            </w:r>
          </w:p>
        </w:tc>
        <w:tc>
          <w:tcPr>
            <w:tcW w:w="807" w:type="dxa"/>
            <w:tcBorders>
              <w:top w:val="single" w:color="000000" w:sz="12" w:space="0"/>
            </w:tcBorders>
            <w:vAlign w:val="center"/>
          </w:tcPr>
          <w:p w14:paraId="2C678FE8">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rPr>
                <w:rFonts w:hint="eastAsia" w:ascii="宋体" w:hAnsi="宋体" w:eastAsia="宋体" w:cs="宋体"/>
                <w:spacing w:val="-2"/>
              </w:rPr>
            </w:pPr>
            <w:r>
              <w:rPr>
                <w:rFonts w:hint="eastAsia" w:ascii="宋体" w:hAnsi="宋体" w:eastAsia="宋体" w:cs="宋体"/>
                <w:spacing w:val="-2"/>
              </w:rPr>
              <w:t>数量</w:t>
            </w:r>
          </w:p>
        </w:tc>
        <w:tc>
          <w:tcPr>
            <w:tcW w:w="990" w:type="dxa"/>
            <w:tcBorders>
              <w:top w:val="single" w:color="000000" w:sz="12" w:space="0"/>
            </w:tcBorders>
            <w:vAlign w:val="center"/>
          </w:tcPr>
          <w:p w14:paraId="16DACEDE">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rPr>
                <w:rFonts w:hint="eastAsia" w:ascii="宋体" w:hAnsi="宋体" w:eastAsia="宋体" w:cs="宋体"/>
                <w:spacing w:val="-2"/>
              </w:rPr>
            </w:pPr>
            <w:r>
              <w:rPr>
                <w:rFonts w:hint="eastAsia" w:ascii="宋体" w:hAnsi="宋体" w:eastAsia="宋体" w:cs="宋体"/>
                <w:spacing w:val="-2"/>
              </w:rPr>
              <w:t>单价（元）</w:t>
            </w:r>
          </w:p>
        </w:tc>
        <w:tc>
          <w:tcPr>
            <w:tcW w:w="940" w:type="dxa"/>
            <w:tcBorders>
              <w:top w:val="single" w:color="000000" w:sz="12" w:space="0"/>
            </w:tcBorders>
            <w:vAlign w:val="center"/>
          </w:tcPr>
          <w:p w14:paraId="21C25A95">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rPr>
                <w:rFonts w:hint="eastAsia" w:ascii="宋体" w:hAnsi="宋体" w:eastAsia="宋体" w:cs="宋体"/>
                <w:spacing w:val="-2"/>
              </w:rPr>
            </w:pPr>
            <w:r>
              <w:rPr>
                <w:rFonts w:hint="eastAsia" w:ascii="宋体" w:hAnsi="宋体" w:eastAsia="宋体" w:cs="宋体"/>
                <w:spacing w:val="-2"/>
              </w:rPr>
              <w:t>质量</w:t>
            </w:r>
          </w:p>
          <w:p w14:paraId="627CB231">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rPr>
                <w:rFonts w:hint="eastAsia" w:ascii="宋体" w:hAnsi="宋体" w:eastAsia="宋体" w:cs="宋体"/>
                <w:spacing w:val="-2"/>
              </w:rPr>
            </w:pPr>
            <w:r>
              <w:rPr>
                <w:rFonts w:hint="eastAsia" w:ascii="宋体" w:hAnsi="宋体" w:eastAsia="宋体" w:cs="宋体"/>
                <w:spacing w:val="-2"/>
              </w:rPr>
              <w:t>等级</w:t>
            </w:r>
          </w:p>
        </w:tc>
        <w:tc>
          <w:tcPr>
            <w:tcW w:w="807" w:type="dxa"/>
            <w:tcBorders>
              <w:top w:val="single" w:color="000000" w:sz="12" w:space="0"/>
            </w:tcBorders>
            <w:vAlign w:val="center"/>
          </w:tcPr>
          <w:p w14:paraId="1BE32412">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rPr>
                <w:rFonts w:hint="eastAsia" w:ascii="宋体" w:hAnsi="宋体" w:eastAsia="宋体" w:cs="宋体"/>
                <w:spacing w:val="-2"/>
              </w:rPr>
            </w:pPr>
            <w:r>
              <w:rPr>
                <w:rFonts w:hint="eastAsia" w:ascii="宋体" w:hAnsi="宋体" w:eastAsia="宋体" w:cs="宋体"/>
                <w:spacing w:val="-2"/>
              </w:rPr>
              <w:t>供应</w:t>
            </w:r>
          </w:p>
          <w:p w14:paraId="6B3D432E">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rPr>
                <w:rFonts w:hint="eastAsia" w:ascii="宋体" w:hAnsi="宋体" w:eastAsia="宋体" w:cs="宋体"/>
                <w:spacing w:val="-2"/>
              </w:rPr>
            </w:pPr>
            <w:r>
              <w:rPr>
                <w:rFonts w:hint="eastAsia" w:ascii="宋体" w:hAnsi="宋体" w:eastAsia="宋体" w:cs="宋体"/>
                <w:spacing w:val="-2"/>
              </w:rPr>
              <w:t>时间</w:t>
            </w:r>
          </w:p>
        </w:tc>
        <w:tc>
          <w:tcPr>
            <w:tcW w:w="1410" w:type="dxa"/>
            <w:tcBorders>
              <w:top w:val="single" w:color="000000" w:sz="12" w:space="0"/>
            </w:tcBorders>
            <w:vAlign w:val="center"/>
          </w:tcPr>
          <w:p w14:paraId="69B2ED58">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rPr>
                <w:rFonts w:hint="eastAsia" w:ascii="宋体" w:hAnsi="宋体" w:eastAsia="宋体" w:cs="宋体"/>
                <w:spacing w:val="-2"/>
              </w:rPr>
            </w:pPr>
            <w:r>
              <w:rPr>
                <w:rFonts w:hint="eastAsia" w:ascii="宋体" w:hAnsi="宋体" w:eastAsia="宋体" w:cs="宋体"/>
                <w:spacing w:val="-2"/>
              </w:rPr>
              <w:t>送达地点</w:t>
            </w:r>
          </w:p>
        </w:tc>
        <w:tc>
          <w:tcPr>
            <w:tcW w:w="955" w:type="dxa"/>
            <w:tcBorders>
              <w:top w:val="single" w:color="000000" w:sz="12" w:space="0"/>
              <w:right w:val="single" w:color="000000" w:sz="12" w:space="0"/>
            </w:tcBorders>
            <w:vAlign w:val="center"/>
          </w:tcPr>
          <w:p w14:paraId="2BAF885E">
            <w:pPr>
              <w:keepNext w:val="0"/>
              <w:keepLines w:val="0"/>
              <w:pageBreakBefore w:val="0"/>
              <w:widowControl/>
              <w:kinsoku w:val="0"/>
              <w:wordWrap w:val="0"/>
              <w:overflowPunct/>
              <w:topLinePunct w:val="0"/>
              <w:autoSpaceDE w:val="0"/>
              <w:autoSpaceDN w:val="0"/>
              <w:bidi w:val="0"/>
              <w:adjustRightInd w:val="0"/>
              <w:snapToGrid w:val="0"/>
              <w:spacing w:line="360" w:lineRule="exact"/>
              <w:ind w:left="0" w:leftChars="0" w:firstLine="0" w:firstLineChars="0"/>
              <w:jc w:val="center"/>
              <w:textAlignment w:val="baseline"/>
              <w:rPr>
                <w:rFonts w:hint="eastAsia" w:ascii="宋体" w:hAnsi="宋体" w:eastAsia="宋体" w:cs="宋体"/>
                <w:spacing w:val="-2"/>
              </w:rPr>
            </w:pPr>
            <w:r>
              <w:rPr>
                <w:rFonts w:hint="eastAsia" w:ascii="宋体" w:hAnsi="宋体" w:eastAsia="宋体" w:cs="宋体"/>
                <w:spacing w:val="-2"/>
              </w:rPr>
              <w:t>备注</w:t>
            </w:r>
          </w:p>
        </w:tc>
      </w:tr>
      <w:tr w14:paraId="51E423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3C16275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2D4A57D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7C89C01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5A835DE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2AB0BF7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512C78E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2870EAD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10D64C9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558D6C0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280A284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5B6947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5ABED1E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3351D46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58CAB4C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422E652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1AD147C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51BD031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6FB5911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2774BD3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3190A53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1D854F3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3051A4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3377A3D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4783540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35BCF86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7CE7E39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768B1BF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45E54E6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463E903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4B0A2DF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30EC59D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626EC6A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546084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7610A1A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28AB43C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578665B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59F38DA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0FD2FC6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5CDC53E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32D73F7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4F3096B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1312294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3538CF3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661134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203518E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0EE205E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3A70604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559CB2F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6ECA714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06B1DCE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45254BE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03B7062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2846203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3D62B59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589E74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34ADDAD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33A23DD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668B621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63D71F7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6E7EF3D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08A28D4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0161A29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383481A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07A9B05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1B69019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1E7777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59F3F7D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39CAFC6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44CD74B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4325985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5CDE7AF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2AD6E7D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0620D2F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597EE61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37D7577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3D66823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24A54D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0D3B923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279C6EA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4B303DB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7B38C66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3C7AE23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07EBD4A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31014D6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369E38A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7B94AC2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1B8CB02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0883CA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104671E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64526BF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6F90243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655A1C3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1E9CAEF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620C45C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0EF5660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1CB5DF0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549CE5B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694DEB3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3B4E2E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732B958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56558D9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53F8478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0BCB966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482A415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69C4D9C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4C4B353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4852400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1317C9C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1D0A122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4DE022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2AD6837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02CF083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6D3FFAC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604FD70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64417EE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53372B8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3F393AA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506AB8A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2B29F7B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19448F4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02402E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56214CE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2849BFF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147F137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2CF0B15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40229FF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010C7FA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59DD0EF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3C8FDE7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460012B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463C705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2514A8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52E147B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3E03D05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2C5D08E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14126B6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0252576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543BA69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55DDEA2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36FC86D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5335C1D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3FB8B88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496DE1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6B62807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2C83596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7E5EF06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4532DB6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3D166A7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7D623F3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119446F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3492DAD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2547181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6103632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5A1BFD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11D7D5B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205DE20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38B8F542">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5391831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22386BF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3839C17E">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77F3BC3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3ABD194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0FB949E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70788B8F">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31AEE8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24C42E6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4C6987F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1577B338">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6BF333D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1C6FE36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034BE40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544311A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7782A4D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7C65C3B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3E30AEA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54B089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8" w:hRule="atLeast"/>
          <w:jc w:val="center"/>
        </w:trPr>
        <w:tc>
          <w:tcPr>
            <w:tcW w:w="821" w:type="dxa"/>
            <w:tcBorders>
              <w:left w:val="single" w:color="000000" w:sz="12" w:space="0"/>
            </w:tcBorders>
            <w:vAlign w:val="top"/>
          </w:tcPr>
          <w:p w14:paraId="2AADBFD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vAlign w:val="top"/>
          </w:tcPr>
          <w:p w14:paraId="2DC2B6F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vAlign w:val="top"/>
          </w:tcPr>
          <w:p w14:paraId="01B06BA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vAlign w:val="top"/>
          </w:tcPr>
          <w:p w14:paraId="671AE1F5">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151CAA7D">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vAlign w:val="top"/>
          </w:tcPr>
          <w:p w14:paraId="28E08FA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vAlign w:val="top"/>
          </w:tcPr>
          <w:p w14:paraId="72DDCBE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vAlign w:val="top"/>
          </w:tcPr>
          <w:p w14:paraId="28BC633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vAlign w:val="top"/>
          </w:tcPr>
          <w:p w14:paraId="16E211A0">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right w:val="single" w:color="000000" w:sz="12" w:space="0"/>
            </w:tcBorders>
            <w:vAlign w:val="top"/>
          </w:tcPr>
          <w:p w14:paraId="568BCF73">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r w14:paraId="2E9F66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0" w:hRule="atLeast"/>
          <w:jc w:val="center"/>
        </w:trPr>
        <w:tc>
          <w:tcPr>
            <w:tcW w:w="821" w:type="dxa"/>
            <w:tcBorders>
              <w:left w:val="single" w:color="000000" w:sz="12" w:space="0"/>
              <w:bottom w:val="single" w:color="000000" w:sz="12" w:space="0"/>
            </w:tcBorders>
            <w:vAlign w:val="top"/>
          </w:tcPr>
          <w:p w14:paraId="7489CE0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209" w:type="dxa"/>
            <w:tcBorders>
              <w:bottom w:val="single" w:color="000000" w:sz="12" w:space="0"/>
            </w:tcBorders>
            <w:vAlign w:val="top"/>
          </w:tcPr>
          <w:p w14:paraId="1BBDC9E4">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345" w:type="dxa"/>
            <w:tcBorders>
              <w:bottom w:val="single" w:color="000000" w:sz="12" w:space="0"/>
            </w:tcBorders>
            <w:vAlign w:val="top"/>
          </w:tcPr>
          <w:p w14:paraId="686DC901">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91" w:type="dxa"/>
            <w:tcBorders>
              <w:bottom w:val="single" w:color="000000" w:sz="12" w:space="0"/>
            </w:tcBorders>
            <w:vAlign w:val="top"/>
          </w:tcPr>
          <w:p w14:paraId="6A6920B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tcBorders>
              <w:bottom w:val="single" w:color="000000" w:sz="12" w:space="0"/>
            </w:tcBorders>
            <w:vAlign w:val="top"/>
          </w:tcPr>
          <w:p w14:paraId="5E694C47">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90" w:type="dxa"/>
            <w:tcBorders>
              <w:bottom w:val="single" w:color="000000" w:sz="12" w:space="0"/>
            </w:tcBorders>
            <w:vAlign w:val="top"/>
          </w:tcPr>
          <w:p w14:paraId="0CC9F0AA">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40" w:type="dxa"/>
            <w:tcBorders>
              <w:bottom w:val="single" w:color="000000" w:sz="12" w:space="0"/>
            </w:tcBorders>
            <w:vAlign w:val="top"/>
          </w:tcPr>
          <w:p w14:paraId="1757588B">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807" w:type="dxa"/>
            <w:tcBorders>
              <w:bottom w:val="single" w:color="000000" w:sz="12" w:space="0"/>
            </w:tcBorders>
            <w:vAlign w:val="top"/>
          </w:tcPr>
          <w:p w14:paraId="2F09E8A9">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1410" w:type="dxa"/>
            <w:tcBorders>
              <w:bottom w:val="single" w:color="000000" w:sz="12" w:space="0"/>
            </w:tcBorders>
            <w:vAlign w:val="top"/>
          </w:tcPr>
          <w:p w14:paraId="4D702A46">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c>
          <w:tcPr>
            <w:tcW w:w="955" w:type="dxa"/>
            <w:tcBorders>
              <w:bottom w:val="single" w:color="000000" w:sz="12" w:space="0"/>
              <w:right w:val="single" w:color="000000" w:sz="12" w:space="0"/>
            </w:tcBorders>
            <w:vAlign w:val="top"/>
          </w:tcPr>
          <w:p w14:paraId="34052B5C">
            <w:pPr>
              <w:keepNext w:val="0"/>
              <w:keepLines w:val="0"/>
              <w:pageBreakBefore w:val="0"/>
              <w:widowControl/>
              <w:kinsoku w:val="0"/>
              <w:wordWrap w:val="0"/>
              <w:overflowPunct/>
              <w:topLinePunct w:val="0"/>
              <w:autoSpaceDE w:val="0"/>
              <w:autoSpaceDN w:val="0"/>
              <w:bidi w:val="0"/>
              <w:adjustRightInd w:val="0"/>
              <w:snapToGrid w:val="0"/>
              <w:spacing w:line="360" w:lineRule="exact"/>
              <w:ind w:firstLine="0" w:firstLineChars="0"/>
              <w:textAlignment w:val="baseline"/>
              <w:rPr>
                <w:rFonts w:ascii="Arial"/>
                <w:sz w:val="21"/>
              </w:rPr>
            </w:pPr>
          </w:p>
        </w:tc>
      </w:tr>
    </w:tbl>
    <w:p w14:paraId="74E9A8CC">
      <w:pPr>
        <w:spacing w:line="433" w:lineRule="auto"/>
      </w:pPr>
    </w:p>
    <w:p w14:paraId="3B7EC764">
      <w:pPr>
        <w:spacing w:before="98" w:line="219" w:lineRule="auto"/>
        <w:ind w:left="0" w:leftChars="0" w:firstLine="0" w:firstLineChars="0"/>
        <w:rPr>
          <w:rFonts w:ascii="宋体" w:hAnsi="宋体" w:eastAsia="宋体" w:cs="宋体"/>
          <w:sz w:val="30"/>
          <w:szCs w:val="30"/>
        </w:rPr>
      </w:pPr>
      <w:r>
        <w:rPr>
          <w:rFonts w:ascii="宋体" w:hAnsi="宋体" w:eastAsia="宋体" w:cs="宋体"/>
          <w:spacing w:val="-16"/>
          <w:sz w:val="30"/>
          <w:szCs w:val="30"/>
        </w:rPr>
        <w:t>附件3：</w:t>
      </w:r>
    </w:p>
    <w:p w14:paraId="1653BD87">
      <w:pPr>
        <w:bidi w:val="0"/>
      </w:pPr>
    </w:p>
    <w:p w14:paraId="37F469E6">
      <w:pPr>
        <w:bidi w:val="0"/>
        <w:ind w:left="0" w:leftChars="0" w:firstLine="0" w:firstLineChars="0"/>
        <w:jc w:val="center"/>
      </w:pPr>
      <w:r>
        <w:rPr>
          <w:sz w:val="30"/>
          <w:szCs w:val="30"/>
        </w:rPr>
        <w:t>工程质量保修书</w:t>
      </w:r>
    </w:p>
    <w:p w14:paraId="6C3FF828">
      <w:pPr>
        <w:bidi w:val="0"/>
      </w:pPr>
      <w:r>
        <w:t>发包人（全称）：</w:t>
      </w:r>
    </w:p>
    <w:p w14:paraId="20B91AFC">
      <w:pPr>
        <w:bidi w:val="0"/>
      </w:pPr>
      <w:r>
        <w:t>承包人（全称）：</w:t>
      </w:r>
    </w:p>
    <w:p w14:paraId="0FCF69B6">
      <w:pPr>
        <w:bidi w:val="0"/>
      </w:pPr>
      <w:r>
        <w:t>发包人和承包人根据《中华人民共和国建筑法》和《建设工程质量管理条例》，经协商一致就（工程全称）签订工程质量保修书。</w:t>
      </w:r>
    </w:p>
    <w:p w14:paraId="08D747C6">
      <w:pPr>
        <w:bidi w:val="0"/>
      </w:pPr>
      <w:r>
        <w:t>一、工程质量保修范围和内容</w:t>
      </w:r>
    </w:p>
    <w:p w14:paraId="5B75A90E">
      <w:pPr>
        <w:bidi w:val="0"/>
      </w:pPr>
      <w:r>
        <w:t>承包人在质量保修期内，按照有关法律规定和合同约定，承担工程质量保修责任。</w:t>
      </w:r>
    </w:p>
    <w:p w14:paraId="55595E2C">
      <w:pPr>
        <w:bidi w:val="0"/>
      </w:pPr>
      <w: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2628352">
      <w:pPr>
        <w:bidi w:val="0"/>
      </w:pPr>
      <w:r>
        <w:t>二、质量保修期</w:t>
      </w:r>
    </w:p>
    <w:p w14:paraId="413E00DB">
      <w:pPr>
        <w:bidi w:val="0"/>
      </w:pPr>
      <w:r>
        <w:t>根据《建设工程质量管理条例》及有关规定，工程的质量保修期如下：</w:t>
      </w:r>
    </w:p>
    <w:p w14:paraId="13246C92">
      <w:pPr>
        <w:bidi w:val="0"/>
      </w:pPr>
      <w:r>
        <w:t>1．地基基础工程和主体结构工程为设计文件规定的工程合理使用年限；</w:t>
      </w:r>
    </w:p>
    <w:p w14:paraId="7330747C">
      <w:pPr>
        <w:bidi w:val="0"/>
      </w:pPr>
      <w:r>
        <w:t>2．屋面防水工程、有防水要求的卫生间、房间和外墙面的防渗为</w:t>
      </w:r>
      <w:r>
        <w:rPr>
          <w:rFonts w:hint="eastAsia"/>
          <w:u w:val="single"/>
          <w:lang w:val="en-US" w:eastAsia="zh-CN"/>
        </w:rPr>
        <w:t xml:space="preserve">     </w:t>
      </w:r>
      <w:r>
        <w:t>年；</w:t>
      </w:r>
    </w:p>
    <w:p w14:paraId="6E286DF6">
      <w:pPr>
        <w:bidi w:val="0"/>
      </w:pPr>
      <w:r>
        <w:t>3．装修工程为</w:t>
      </w:r>
      <w:r>
        <w:rPr>
          <w:rFonts w:hint="eastAsia"/>
          <w:lang w:val="en-US" w:eastAsia="zh-CN"/>
        </w:rPr>
        <w:t xml:space="preserve">      </w:t>
      </w:r>
      <w:r>
        <w:t>年；</w:t>
      </w:r>
    </w:p>
    <w:p w14:paraId="5619E445">
      <w:pPr>
        <w:bidi w:val="0"/>
      </w:pPr>
      <w:r>
        <w:t>4．电气管线、给排水管道、设备安装工程为</w:t>
      </w:r>
      <w:r>
        <w:rPr>
          <w:rFonts w:hint="eastAsia"/>
          <w:u w:val="single"/>
          <w:lang w:val="en-US" w:eastAsia="zh-CN"/>
        </w:rPr>
        <w:t xml:space="preserve">     </w:t>
      </w:r>
      <w:r>
        <w:t>年；</w:t>
      </w:r>
    </w:p>
    <w:p w14:paraId="3C24E72D">
      <w:pPr>
        <w:bidi w:val="0"/>
      </w:pPr>
      <w:r>
        <w:t>5．供热与供冷系统为</w:t>
      </w:r>
      <w:r>
        <w:rPr>
          <w:rFonts w:hint="eastAsia"/>
          <w:u w:val="single"/>
          <w:lang w:val="en-US" w:eastAsia="zh-CN"/>
        </w:rPr>
        <w:t xml:space="preserve">     </w:t>
      </w:r>
      <w:r>
        <w:t>个采暖期、供冷期；</w:t>
      </w:r>
    </w:p>
    <w:p w14:paraId="32BEDFA4">
      <w:pPr>
        <w:bidi w:val="0"/>
      </w:pPr>
      <w:r>
        <w:t>6．住宅小区内的给排水设施、道路等配套工程为</w:t>
      </w:r>
      <w:r>
        <w:rPr>
          <w:rFonts w:hint="eastAsia"/>
          <w:u w:val="single"/>
          <w:lang w:val="en-US" w:eastAsia="zh-CN"/>
        </w:rPr>
        <w:t xml:space="preserve">     </w:t>
      </w:r>
      <w:r>
        <w:t>年；</w:t>
      </w:r>
    </w:p>
    <w:p w14:paraId="4E353BBC">
      <w:pPr>
        <w:bidi w:val="0"/>
      </w:pPr>
      <w:r>
        <w:t>7．其他项目保修期限约定如下：</w:t>
      </w:r>
      <w:r>
        <w:rPr>
          <w:rFonts w:hint="eastAsia"/>
          <w:u w:val="single"/>
          <w:lang w:val="en-US" w:eastAsia="zh-CN"/>
        </w:rPr>
        <w:t xml:space="preserve">      </w:t>
      </w:r>
      <w:r>
        <w:t>。</w:t>
      </w:r>
    </w:p>
    <w:p w14:paraId="496794D1">
      <w:pPr>
        <w:bidi w:val="0"/>
      </w:pPr>
      <w:r>
        <w:t>质量保修期自工程竣工验收合格之日起计算。</w:t>
      </w:r>
    </w:p>
    <w:p w14:paraId="0519CD85">
      <w:pPr>
        <w:bidi w:val="0"/>
      </w:pPr>
      <w:r>
        <w:t>三、缺陷责任期</w:t>
      </w:r>
    </w:p>
    <w:p w14:paraId="504D7279">
      <w:pPr>
        <w:bidi w:val="0"/>
      </w:pPr>
      <w:r>
        <w:t>工程缺陷责任期为</w:t>
      </w:r>
      <w:r>
        <w:rPr>
          <w:rFonts w:hint="eastAsia"/>
          <w:u w:val="single"/>
          <w:lang w:val="en-US" w:eastAsia="zh-CN"/>
        </w:rPr>
        <w:t xml:space="preserve">     </w:t>
      </w:r>
      <w:r>
        <w:t>个月，缺陷责任期自工程通过竣工验收之日起计算。单位工程先于全部工程进行验收，单位工程缺陷责任期自单位工程验收合格之日起算。缺陷责任期终止后，发包人应退还剩余的质量保证金。</w:t>
      </w:r>
    </w:p>
    <w:p w14:paraId="788A8890">
      <w:pPr>
        <w:bidi w:val="0"/>
      </w:pPr>
      <w:r>
        <w:t>四、质量保修责任</w:t>
      </w:r>
    </w:p>
    <w:p w14:paraId="4D742536">
      <w:pPr>
        <w:bidi w:val="0"/>
      </w:pPr>
      <w:r>
        <w:t>1．属于保修范围、内容的项目，承包人应当在接到保修通知之日起7天内派人保修。承包人不在约定期限内派人保修的，发包人可以委托他人修理。</w:t>
      </w:r>
    </w:p>
    <w:p w14:paraId="6327EE93">
      <w:pPr>
        <w:bidi w:val="0"/>
      </w:pPr>
      <w:r>
        <w:t>2．发生紧急事故需抢修的，承包人在接到事故通知后，应当立即到达事故现场抢修。</w:t>
      </w:r>
    </w:p>
    <w:p w14:paraId="44ECCD7F">
      <w:pPr>
        <w:bidi w:val="0"/>
      </w:pPr>
      <w: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6E9AB5E">
      <w:pPr>
        <w:bidi w:val="0"/>
      </w:pPr>
      <w:r>
        <w:t>4．质量保修完成后，由发包人组织验收。</w:t>
      </w:r>
    </w:p>
    <w:p w14:paraId="142A324C">
      <w:pPr>
        <w:bidi w:val="0"/>
      </w:pPr>
      <w:r>
        <w:t>五、保修费用</w:t>
      </w:r>
    </w:p>
    <w:p w14:paraId="7A1CCF4E">
      <w:pPr>
        <w:bidi w:val="0"/>
      </w:pPr>
      <w:r>
        <w:t>保修费用由造成质量缺陷的责任方承担。</w:t>
      </w:r>
    </w:p>
    <w:p w14:paraId="243F3960">
      <w:pPr>
        <w:bidi w:val="0"/>
      </w:pPr>
      <w:r>
        <w:t>六、双方约定的其他工程质量保修事项：</w:t>
      </w:r>
    </w:p>
    <w:p w14:paraId="7045F6EB">
      <w:pPr>
        <w:bidi w:val="0"/>
      </w:pPr>
      <w:r>
        <w:t>工程质量保修书由发包人、承包人在工程竣工验收前共同签署，作为施工合同附件，其有效期限至保修期满。</w:t>
      </w:r>
    </w:p>
    <w:p w14:paraId="320ECD89">
      <w:pPr>
        <w:bidi w:val="0"/>
      </w:pPr>
      <w:r>
        <w:t>发包人(公章)：</w:t>
      </w:r>
      <w:r>
        <w:rPr>
          <w:rFonts w:hint="eastAsia"/>
          <w:lang w:val="en-US" w:eastAsia="zh-CN"/>
        </w:rPr>
        <w:t xml:space="preserve">                                          </w:t>
      </w:r>
      <w:r>
        <w:t>承包人(公章)：</w:t>
      </w:r>
    </w:p>
    <w:p w14:paraId="1233EBEB">
      <w:pPr>
        <w:bidi w:val="0"/>
        <w:rPr>
          <w:rFonts w:hint="eastAsia"/>
          <w:lang w:eastAsia="zh-CN"/>
        </w:rPr>
      </w:pPr>
      <w:r>
        <w:t>地址：</w:t>
      </w:r>
      <w:r>
        <w:rPr>
          <w:rFonts w:hint="eastAsia"/>
          <w:lang w:val="en-US" w:eastAsia="zh-CN"/>
        </w:rPr>
        <w:t xml:space="preserve">                                                         </w:t>
      </w:r>
      <w:r>
        <w:t>地址：</w:t>
      </w:r>
    </w:p>
    <w:p w14:paraId="434E9B7F">
      <w:pPr>
        <w:bidi w:val="0"/>
        <w:rPr>
          <w:rFonts w:hint="eastAsia"/>
          <w:lang w:eastAsia="zh-CN"/>
        </w:rPr>
      </w:pPr>
      <w:r>
        <w:t>法定代表人(签字)：</w:t>
      </w:r>
      <w:r>
        <w:rPr>
          <w:rFonts w:hint="eastAsia"/>
          <w:lang w:val="en-US" w:eastAsia="zh-CN"/>
        </w:rPr>
        <w:t xml:space="preserve">                                  </w:t>
      </w:r>
      <w:r>
        <w:t>法定代表人(签字)：</w:t>
      </w:r>
    </w:p>
    <w:p w14:paraId="678BD7FA">
      <w:pPr>
        <w:bidi w:val="0"/>
        <w:rPr>
          <w:rFonts w:hint="eastAsia"/>
          <w:lang w:eastAsia="zh-CN"/>
        </w:rPr>
      </w:pPr>
      <w:r>
        <w:t>委托代理人(签字)：</w:t>
      </w:r>
      <w:r>
        <w:rPr>
          <w:rFonts w:hint="eastAsia"/>
          <w:lang w:val="en-US" w:eastAsia="zh-CN"/>
        </w:rPr>
        <w:t xml:space="preserve">                                  </w:t>
      </w:r>
      <w:r>
        <w:t>委托代理人(签字)：</w:t>
      </w:r>
    </w:p>
    <w:p w14:paraId="0A1AC9A0">
      <w:pPr>
        <w:bidi w:val="0"/>
        <w:rPr>
          <w:rFonts w:hint="eastAsia"/>
          <w:lang w:eastAsia="zh-CN"/>
        </w:rPr>
      </w:pPr>
      <w:r>
        <w:t>电话：</w:t>
      </w:r>
      <w:r>
        <w:rPr>
          <w:rFonts w:hint="eastAsia"/>
          <w:lang w:val="en-US" w:eastAsia="zh-CN"/>
        </w:rPr>
        <w:t xml:space="preserve">                                                         </w:t>
      </w:r>
      <w:r>
        <w:t>电话：</w:t>
      </w:r>
    </w:p>
    <w:p w14:paraId="181B2855">
      <w:pPr>
        <w:bidi w:val="0"/>
      </w:pPr>
      <w:r>
        <w:t>传真：</w:t>
      </w:r>
      <w:r>
        <w:rPr>
          <w:rFonts w:hint="eastAsia"/>
          <w:lang w:val="en-US" w:eastAsia="zh-CN"/>
        </w:rPr>
        <w:t xml:space="preserve">                                                         </w:t>
      </w:r>
      <w:r>
        <w:t>传真：</w:t>
      </w:r>
    </w:p>
    <w:p w14:paraId="471BBF4D">
      <w:pPr>
        <w:bidi w:val="0"/>
      </w:pPr>
      <w:r>
        <w:t>开户银行：</w:t>
      </w:r>
      <w:r>
        <w:rPr>
          <w:rFonts w:hint="eastAsia"/>
          <w:lang w:val="en-US" w:eastAsia="zh-CN"/>
        </w:rPr>
        <w:t xml:space="preserve">                                                 </w:t>
      </w:r>
      <w:r>
        <w:t>开户银行：</w:t>
      </w:r>
    </w:p>
    <w:p w14:paraId="3FEBF15B">
      <w:pPr>
        <w:bidi w:val="0"/>
      </w:pPr>
      <w:r>
        <w:t>账号：</w:t>
      </w:r>
      <w:r>
        <w:rPr>
          <w:rFonts w:hint="eastAsia"/>
          <w:lang w:val="en-US" w:eastAsia="zh-CN"/>
        </w:rPr>
        <w:t xml:space="preserve">                                                         </w:t>
      </w:r>
      <w:r>
        <w:t>账号：</w:t>
      </w:r>
    </w:p>
    <w:p w14:paraId="00FE2AED">
      <w:pPr>
        <w:bidi w:val="0"/>
        <w:rPr>
          <w:rFonts w:hint="eastAsia" w:ascii="宋体" w:hAnsi="宋体" w:eastAsia="宋体" w:cs="宋体"/>
          <w:szCs w:val="24"/>
          <w:lang w:eastAsia="zh-CN"/>
        </w:rPr>
      </w:pPr>
      <w:r>
        <w:t>邮政编码：</w:t>
      </w:r>
      <w:r>
        <w:rPr>
          <w:rFonts w:hint="eastAsia"/>
          <w:lang w:val="en-US" w:eastAsia="zh-CN"/>
        </w:rPr>
        <w:t xml:space="preserve">                                                 </w:t>
      </w:r>
      <w:r>
        <w:t>邮政编码：</w:t>
      </w:r>
    </w:p>
    <w:p w14:paraId="79DF2835">
      <w:pPr>
        <w:spacing w:line="257" w:lineRule="auto"/>
      </w:pPr>
    </w:p>
    <w:p w14:paraId="7837FBC1">
      <w:pPr>
        <w:spacing w:line="257" w:lineRule="auto"/>
      </w:pPr>
    </w:p>
    <w:p w14:paraId="1C1280FE">
      <w:pPr>
        <w:spacing w:line="258" w:lineRule="auto"/>
      </w:pPr>
    </w:p>
    <w:p w14:paraId="3D7544A6">
      <w:pPr>
        <w:spacing w:line="258" w:lineRule="auto"/>
      </w:pPr>
    </w:p>
    <w:p w14:paraId="6BB86484">
      <w:pPr>
        <w:spacing w:line="258" w:lineRule="auto"/>
      </w:pPr>
    </w:p>
    <w:p w14:paraId="4A4CEBE2">
      <w:pPr>
        <w:spacing w:line="258" w:lineRule="auto"/>
      </w:pPr>
    </w:p>
    <w:p w14:paraId="6E9C9601">
      <w:pPr>
        <w:spacing w:line="258" w:lineRule="auto"/>
      </w:pPr>
    </w:p>
    <w:p w14:paraId="03FBD456">
      <w:pPr>
        <w:spacing w:line="258" w:lineRule="auto"/>
      </w:pPr>
    </w:p>
    <w:p w14:paraId="679DC074">
      <w:pPr>
        <w:spacing w:line="258" w:lineRule="auto"/>
      </w:pPr>
    </w:p>
    <w:p w14:paraId="6C295878">
      <w:pPr>
        <w:spacing w:line="258" w:lineRule="auto"/>
      </w:pPr>
    </w:p>
    <w:p w14:paraId="56B79BD7">
      <w:pPr>
        <w:spacing w:line="258" w:lineRule="auto"/>
      </w:pPr>
    </w:p>
    <w:p w14:paraId="4C223DD4">
      <w:pPr>
        <w:spacing w:line="258" w:lineRule="auto"/>
      </w:pPr>
    </w:p>
    <w:p w14:paraId="531EF623">
      <w:pPr>
        <w:spacing w:line="258" w:lineRule="auto"/>
      </w:pPr>
    </w:p>
    <w:p w14:paraId="44D70457">
      <w:pPr>
        <w:spacing w:line="258" w:lineRule="auto"/>
      </w:pPr>
    </w:p>
    <w:p w14:paraId="5382C11B">
      <w:pPr>
        <w:spacing w:line="258" w:lineRule="auto"/>
      </w:pPr>
    </w:p>
    <w:p w14:paraId="105619FC">
      <w:pPr>
        <w:spacing w:before="97" w:line="219" w:lineRule="auto"/>
        <w:ind w:left="0" w:leftChars="0" w:firstLine="0" w:firstLineChars="0"/>
        <w:rPr>
          <w:rFonts w:ascii="宋体" w:hAnsi="宋体" w:eastAsia="宋体" w:cs="宋体"/>
          <w:sz w:val="30"/>
          <w:szCs w:val="30"/>
        </w:rPr>
      </w:pPr>
      <w:r>
        <w:rPr>
          <w:rFonts w:ascii="宋体" w:hAnsi="宋体" w:eastAsia="宋体" w:cs="宋体"/>
          <w:spacing w:val="-16"/>
          <w:sz w:val="30"/>
          <w:szCs w:val="30"/>
        </w:rPr>
        <w:t>附件4：</w:t>
      </w:r>
    </w:p>
    <w:p w14:paraId="5B07CB8D">
      <w:pPr>
        <w:spacing w:before="239" w:line="220" w:lineRule="auto"/>
        <w:ind w:left="0" w:leftChars="0" w:firstLine="0" w:firstLineChars="0"/>
        <w:jc w:val="center"/>
        <w:rPr>
          <w:rFonts w:ascii="宋体" w:hAnsi="宋体" w:eastAsia="宋体" w:cs="宋体"/>
          <w:sz w:val="30"/>
          <w:szCs w:val="30"/>
        </w:rPr>
      </w:pPr>
      <w:r>
        <w:rPr>
          <w:rFonts w:ascii="宋体" w:hAnsi="宋体" w:eastAsia="宋体" w:cs="宋体"/>
          <w:spacing w:val="-2"/>
          <w:sz w:val="30"/>
          <w:szCs w:val="30"/>
        </w:rPr>
        <w:t>主要建设工程文件目录</w:t>
      </w:r>
    </w:p>
    <w:p w14:paraId="7617269D">
      <w:pPr>
        <w:spacing w:line="144" w:lineRule="exact"/>
      </w:pPr>
    </w:p>
    <w:tbl>
      <w:tblPr>
        <w:tblStyle w:val="10"/>
        <w:tblW w:w="9039" w:type="dxa"/>
        <w:tblInd w:w="1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962"/>
        <w:gridCol w:w="1272"/>
        <w:gridCol w:w="1445"/>
        <w:gridCol w:w="1239"/>
        <w:gridCol w:w="1445"/>
        <w:gridCol w:w="1676"/>
      </w:tblGrid>
      <w:tr w14:paraId="5B4DB8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7" w:hRule="atLeast"/>
        </w:trPr>
        <w:tc>
          <w:tcPr>
            <w:tcW w:w="1962" w:type="dxa"/>
            <w:tcBorders>
              <w:top w:val="single" w:color="000000" w:sz="12" w:space="0"/>
              <w:left w:val="single" w:color="000000" w:sz="12" w:space="0"/>
            </w:tcBorders>
            <w:vAlign w:val="top"/>
          </w:tcPr>
          <w:p w14:paraId="73BE3C57">
            <w:pPr>
              <w:keepNext w:val="0"/>
              <w:keepLines w:val="0"/>
              <w:pageBreakBefore w:val="0"/>
              <w:widowControl/>
              <w:kinsoku w:val="0"/>
              <w:wordWrap w:val="0"/>
              <w:overflowPunct/>
              <w:topLinePunct w:val="0"/>
              <w:autoSpaceDE w:val="0"/>
              <w:autoSpaceDN w:val="0"/>
              <w:bidi w:val="0"/>
              <w:adjustRightInd w:val="0"/>
              <w:snapToGrid w:val="0"/>
              <w:spacing w:line="220" w:lineRule="auto"/>
              <w:ind w:left="87" w:firstLine="0" w:firstLineChars="0"/>
              <w:textAlignment w:val="baseline"/>
            </w:pPr>
            <w:r>
              <w:rPr>
                <w:spacing w:val="-3"/>
              </w:rPr>
              <w:t>文件名称</w:t>
            </w:r>
          </w:p>
        </w:tc>
        <w:tc>
          <w:tcPr>
            <w:tcW w:w="1272" w:type="dxa"/>
            <w:tcBorders>
              <w:top w:val="single" w:color="000000" w:sz="12" w:space="0"/>
            </w:tcBorders>
            <w:vAlign w:val="top"/>
          </w:tcPr>
          <w:p w14:paraId="359B52A2">
            <w:pPr>
              <w:keepNext w:val="0"/>
              <w:keepLines w:val="0"/>
              <w:pageBreakBefore w:val="0"/>
              <w:widowControl/>
              <w:kinsoku w:val="0"/>
              <w:wordWrap w:val="0"/>
              <w:overflowPunct/>
              <w:topLinePunct w:val="0"/>
              <w:autoSpaceDE w:val="0"/>
              <w:autoSpaceDN w:val="0"/>
              <w:bidi w:val="0"/>
              <w:adjustRightInd w:val="0"/>
              <w:snapToGrid w:val="0"/>
              <w:spacing w:line="220" w:lineRule="auto"/>
              <w:ind w:left="84" w:firstLine="0" w:firstLineChars="0"/>
              <w:textAlignment w:val="baseline"/>
            </w:pPr>
            <w:r>
              <w:rPr>
                <w:spacing w:val="-3"/>
              </w:rPr>
              <w:t>套数</w:t>
            </w:r>
          </w:p>
        </w:tc>
        <w:tc>
          <w:tcPr>
            <w:tcW w:w="1445" w:type="dxa"/>
            <w:tcBorders>
              <w:top w:val="single" w:color="000000" w:sz="12" w:space="0"/>
            </w:tcBorders>
            <w:vAlign w:val="top"/>
          </w:tcPr>
          <w:p w14:paraId="702B1DFA">
            <w:pPr>
              <w:keepNext w:val="0"/>
              <w:keepLines w:val="0"/>
              <w:pageBreakBefore w:val="0"/>
              <w:widowControl/>
              <w:kinsoku w:val="0"/>
              <w:wordWrap w:val="0"/>
              <w:overflowPunct/>
              <w:topLinePunct w:val="0"/>
              <w:autoSpaceDE w:val="0"/>
              <w:autoSpaceDN w:val="0"/>
              <w:bidi w:val="0"/>
              <w:adjustRightInd w:val="0"/>
              <w:snapToGrid w:val="0"/>
              <w:spacing w:line="220" w:lineRule="auto"/>
              <w:ind w:left="101" w:firstLine="0" w:firstLineChars="0"/>
              <w:textAlignment w:val="baseline"/>
            </w:pPr>
            <w:r>
              <w:rPr>
                <w:spacing w:val="-7"/>
              </w:rPr>
              <w:t>费用（元）</w:t>
            </w:r>
          </w:p>
        </w:tc>
        <w:tc>
          <w:tcPr>
            <w:tcW w:w="1239" w:type="dxa"/>
            <w:tcBorders>
              <w:top w:val="single" w:color="000000" w:sz="12" w:space="0"/>
            </w:tcBorders>
            <w:vAlign w:val="top"/>
          </w:tcPr>
          <w:p w14:paraId="329BB9D6">
            <w:pPr>
              <w:keepNext w:val="0"/>
              <w:keepLines w:val="0"/>
              <w:pageBreakBefore w:val="0"/>
              <w:widowControl/>
              <w:kinsoku w:val="0"/>
              <w:wordWrap w:val="0"/>
              <w:overflowPunct/>
              <w:topLinePunct w:val="0"/>
              <w:autoSpaceDE w:val="0"/>
              <w:autoSpaceDN w:val="0"/>
              <w:bidi w:val="0"/>
              <w:adjustRightInd w:val="0"/>
              <w:snapToGrid w:val="0"/>
              <w:spacing w:line="220" w:lineRule="auto"/>
              <w:ind w:left="93" w:firstLine="0" w:firstLineChars="0"/>
              <w:textAlignment w:val="baseline"/>
            </w:pPr>
            <w:r>
              <w:rPr>
                <w:spacing w:val="-3"/>
              </w:rPr>
              <w:t>质量</w:t>
            </w:r>
          </w:p>
        </w:tc>
        <w:tc>
          <w:tcPr>
            <w:tcW w:w="1445" w:type="dxa"/>
            <w:tcBorders>
              <w:top w:val="single" w:color="000000" w:sz="12" w:space="0"/>
            </w:tcBorders>
            <w:vAlign w:val="top"/>
          </w:tcPr>
          <w:p w14:paraId="3604C7DF">
            <w:pPr>
              <w:keepNext w:val="0"/>
              <w:keepLines w:val="0"/>
              <w:pageBreakBefore w:val="0"/>
              <w:widowControl/>
              <w:kinsoku w:val="0"/>
              <w:wordWrap w:val="0"/>
              <w:overflowPunct/>
              <w:topLinePunct w:val="0"/>
              <w:autoSpaceDE w:val="0"/>
              <w:autoSpaceDN w:val="0"/>
              <w:bidi w:val="0"/>
              <w:adjustRightInd w:val="0"/>
              <w:snapToGrid w:val="0"/>
              <w:spacing w:line="221" w:lineRule="auto"/>
              <w:ind w:left="251" w:firstLine="0" w:firstLineChars="0"/>
              <w:textAlignment w:val="baseline"/>
            </w:pPr>
            <w:r>
              <w:rPr>
                <w:spacing w:val="-2"/>
              </w:rPr>
              <w:t>移交时间</w:t>
            </w:r>
          </w:p>
        </w:tc>
        <w:tc>
          <w:tcPr>
            <w:tcW w:w="1676" w:type="dxa"/>
            <w:tcBorders>
              <w:top w:val="single" w:color="000000" w:sz="12" w:space="0"/>
              <w:right w:val="single" w:color="000000" w:sz="12" w:space="0"/>
            </w:tcBorders>
            <w:vAlign w:val="top"/>
          </w:tcPr>
          <w:p w14:paraId="4F79850A">
            <w:pPr>
              <w:keepNext w:val="0"/>
              <w:keepLines w:val="0"/>
              <w:pageBreakBefore w:val="0"/>
              <w:widowControl/>
              <w:kinsoku w:val="0"/>
              <w:wordWrap w:val="0"/>
              <w:overflowPunct/>
              <w:topLinePunct w:val="0"/>
              <w:autoSpaceDE w:val="0"/>
              <w:autoSpaceDN w:val="0"/>
              <w:bidi w:val="0"/>
              <w:adjustRightInd w:val="0"/>
              <w:snapToGrid w:val="0"/>
              <w:spacing w:line="220" w:lineRule="auto"/>
              <w:ind w:left="492" w:firstLine="0" w:firstLineChars="0"/>
              <w:textAlignment w:val="baseline"/>
            </w:pPr>
            <w:r>
              <w:rPr>
                <w:spacing w:val="-4"/>
              </w:rPr>
              <w:t>责任人</w:t>
            </w:r>
          </w:p>
        </w:tc>
      </w:tr>
      <w:tr w14:paraId="076DC0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521BB47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5BE0F61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6D0C255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0F64F8B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623A90F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269DA61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151E38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5FD02C4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2AE7496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50815E4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10A8F2C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267B3C9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1FBBF43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06DFAC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7D3FE10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13E072C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1AAD539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5880DFE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72BD485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299C6ED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313C58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3A4E36A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51CE414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78C1A19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2C87A61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4AC4DB4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37B9F10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60B0A3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30720C5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0B3CC9D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469E25B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0B0D706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5C1A78F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0F0E08A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207557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1E9B1E5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5790CEE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758FD65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1A04349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3F16E7C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6203E00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7149D9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18A7457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6913B4F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5295B02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4FE6413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4275D3C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7990C18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009A58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482071C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007F9D3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25BE8F9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638E337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2762E2D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0952C9B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4CD185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594AD4B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6B19FDF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34FAB9F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2432223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308645E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0208E16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1C3249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49EBE2A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72C460A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689DCF6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09259EC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5844E64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07C1C1B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12648C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2CA68D8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58636C2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0741076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3040DD3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51A6261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58B81A5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105881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5B81A43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32B9C43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22D496A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77A4A73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1939A79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3986E2A0">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650D85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15214E4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779B604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00E38FA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089A497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41A1618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7CF2390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3053E5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1C7B42E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2C82198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41CD337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23D20AE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0DE5572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36B2575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4793BD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51C1ED4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2D23CF6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7518484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5CC53D9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6F86F38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1353224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484377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3E311F2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57617DB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7CBFAFC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5D40DA5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5776914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5360951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17D112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165F235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33B3EB0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60D9BB5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3F5EB2F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6921EF9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63858C4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2299FB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rPr>
        <w:tc>
          <w:tcPr>
            <w:tcW w:w="1962" w:type="dxa"/>
            <w:tcBorders>
              <w:left w:val="single" w:color="000000" w:sz="12" w:space="0"/>
            </w:tcBorders>
            <w:vAlign w:val="top"/>
          </w:tcPr>
          <w:p w14:paraId="1737D54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vAlign w:val="top"/>
          </w:tcPr>
          <w:p w14:paraId="27BD90F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435F5EA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vAlign w:val="top"/>
          </w:tcPr>
          <w:p w14:paraId="4394B73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vAlign w:val="top"/>
          </w:tcPr>
          <w:p w14:paraId="229E97F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right w:val="single" w:color="000000" w:sz="12" w:space="0"/>
            </w:tcBorders>
            <w:vAlign w:val="top"/>
          </w:tcPr>
          <w:p w14:paraId="1D81C66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5D142C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9" w:hRule="atLeast"/>
        </w:trPr>
        <w:tc>
          <w:tcPr>
            <w:tcW w:w="1962" w:type="dxa"/>
            <w:tcBorders>
              <w:left w:val="single" w:color="000000" w:sz="12" w:space="0"/>
              <w:bottom w:val="single" w:color="000000" w:sz="12" w:space="0"/>
            </w:tcBorders>
            <w:vAlign w:val="top"/>
          </w:tcPr>
          <w:p w14:paraId="1F01556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72" w:type="dxa"/>
            <w:tcBorders>
              <w:bottom w:val="single" w:color="000000" w:sz="12" w:space="0"/>
            </w:tcBorders>
            <w:vAlign w:val="top"/>
          </w:tcPr>
          <w:p w14:paraId="6A6EEF0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tcBorders>
              <w:bottom w:val="single" w:color="000000" w:sz="12" w:space="0"/>
            </w:tcBorders>
            <w:vAlign w:val="top"/>
          </w:tcPr>
          <w:p w14:paraId="39CD090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239" w:type="dxa"/>
            <w:tcBorders>
              <w:bottom w:val="single" w:color="000000" w:sz="12" w:space="0"/>
            </w:tcBorders>
            <w:vAlign w:val="top"/>
          </w:tcPr>
          <w:p w14:paraId="754FB9C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45" w:type="dxa"/>
            <w:tcBorders>
              <w:bottom w:val="single" w:color="000000" w:sz="12" w:space="0"/>
            </w:tcBorders>
            <w:vAlign w:val="top"/>
          </w:tcPr>
          <w:p w14:paraId="2E0900C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676" w:type="dxa"/>
            <w:tcBorders>
              <w:bottom w:val="single" w:color="000000" w:sz="12" w:space="0"/>
              <w:right w:val="single" w:color="000000" w:sz="12" w:space="0"/>
            </w:tcBorders>
            <w:vAlign w:val="top"/>
          </w:tcPr>
          <w:p w14:paraId="6299BA9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bl>
    <w:p w14:paraId="09F3C0D3"/>
    <w:p w14:paraId="193758C7">
      <w:pPr>
        <w:spacing w:line="257" w:lineRule="auto"/>
      </w:pPr>
    </w:p>
    <w:p w14:paraId="6078F921">
      <w:pPr>
        <w:spacing w:line="257" w:lineRule="auto"/>
      </w:pPr>
    </w:p>
    <w:p w14:paraId="47A93E2F">
      <w:pPr>
        <w:spacing w:line="258" w:lineRule="auto"/>
      </w:pPr>
    </w:p>
    <w:p w14:paraId="63314369">
      <w:pPr>
        <w:spacing w:before="97" w:line="219" w:lineRule="auto"/>
        <w:ind w:left="0" w:leftChars="0" w:firstLine="0" w:firstLineChars="0"/>
        <w:rPr>
          <w:rFonts w:ascii="宋体" w:hAnsi="宋体" w:eastAsia="宋体" w:cs="宋体"/>
          <w:sz w:val="30"/>
          <w:szCs w:val="30"/>
        </w:rPr>
      </w:pPr>
      <w:r>
        <w:rPr>
          <w:rFonts w:ascii="宋体" w:hAnsi="宋体" w:eastAsia="宋体" w:cs="宋体"/>
          <w:spacing w:val="-16"/>
          <w:sz w:val="30"/>
          <w:szCs w:val="30"/>
        </w:rPr>
        <w:t>附件5：</w:t>
      </w:r>
    </w:p>
    <w:p w14:paraId="7E3BB253">
      <w:pPr>
        <w:spacing w:before="240" w:line="219" w:lineRule="auto"/>
        <w:ind w:left="0" w:leftChars="0" w:firstLine="0" w:firstLineChars="0"/>
        <w:jc w:val="center"/>
        <w:rPr>
          <w:rFonts w:ascii="宋体" w:hAnsi="宋体" w:eastAsia="宋体" w:cs="宋体"/>
          <w:sz w:val="30"/>
          <w:szCs w:val="30"/>
        </w:rPr>
      </w:pPr>
      <w:r>
        <w:rPr>
          <w:rFonts w:ascii="宋体" w:hAnsi="宋体" w:eastAsia="宋体" w:cs="宋体"/>
          <w:spacing w:val="-1"/>
          <w:sz w:val="30"/>
          <w:szCs w:val="30"/>
        </w:rPr>
        <w:t>承包人用于本工程施工的机械设备表</w:t>
      </w:r>
    </w:p>
    <w:p w14:paraId="342547AA">
      <w:pPr>
        <w:spacing w:line="146" w:lineRule="exact"/>
      </w:pPr>
    </w:p>
    <w:tbl>
      <w:tblPr>
        <w:tblStyle w:val="10"/>
        <w:tblW w:w="980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73"/>
        <w:gridCol w:w="1414"/>
        <w:gridCol w:w="847"/>
        <w:gridCol w:w="1055"/>
        <w:gridCol w:w="877"/>
        <w:gridCol w:w="1017"/>
        <w:gridCol w:w="1476"/>
        <w:gridCol w:w="1017"/>
        <w:gridCol w:w="933"/>
      </w:tblGrid>
      <w:tr w14:paraId="7C046F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87" w:hRule="atLeast"/>
          <w:jc w:val="center"/>
        </w:trPr>
        <w:tc>
          <w:tcPr>
            <w:tcW w:w="1173" w:type="dxa"/>
            <w:tcBorders>
              <w:top w:val="single" w:color="000000" w:sz="12" w:space="0"/>
              <w:left w:val="single" w:color="000000" w:sz="12" w:space="0"/>
            </w:tcBorders>
            <w:vAlign w:val="top"/>
          </w:tcPr>
          <w:p w14:paraId="742AB113">
            <w:pPr>
              <w:keepNext w:val="0"/>
              <w:keepLines w:val="0"/>
              <w:pageBreakBefore w:val="0"/>
              <w:widowControl/>
              <w:kinsoku w:val="0"/>
              <w:wordWrap w:val="0"/>
              <w:overflowPunct/>
              <w:topLinePunct w:val="0"/>
              <w:autoSpaceDE w:val="0"/>
              <w:autoSpaceDN w:val="0"/>
              <w:bidi w:val="0"/>
              <w:adjustRightInd w:val="0"/>
              <w:snapToGrid w:val="0"/>
              <w:spacing w:line="286" w:lineRule="auto"/>
              <w:ind w:firstLine="0" w:firstLineChars="0"/>
              <w:textAlignment w:val="baseline"/>
              <w:rPr>
                <w:rFonts w:ascii="Arial"/>
                <w:sz w:val="21"/>
              </w:rPr>
            </w:pPr>
          </w:p>
          <w:p w14:paraId="2738070F">
            <w:pPr>
              <w:keepNext w:val="0"/>
              <w:keepLines w:val="0"/>
              <w:pageBreakBefore w:val="0"/>
              <w:widowControl/>
              <w:kinsoku w:val="0"/>
              <w:wordWrap w:val="0"/>
              <w:overflowPunct/>
              <w:topLinePunct w:val="0"/>
              <w:autoSpaceDE w:val="0"/>
              <w:autoSpaceDN w:val="0"/>
              <w:bidi w:val="0"/>
              <w:adjustRightInd w:val="0"/>
              <w:snapToGrid w:val="0"/>
              <w:spacing w:line="221" w:lineRule="auto"/>
              <w:ind w:left="84" w:firstLine="0" w:firstLineChars="0"/>
              <w:textAlignment w:val="baseline"/>
            </w:pPr>
            <w:r>
              <w:rPr>
                <w:spacing w:val="-3"/>
              </w:rPr>
              <w:t>序号</w:t>
            </w:r>
          </w:p>
        </w:tc>
        <w:tc>
          <w:tcPr>
            <w:tcW w:w="1414" w:type="dxa"/>
            <w:tcBorders>
              <w:top w:val="single" w:color="000000" w:sz="12" w:space="0"/>
            </w:tcBorders>
            <w:vAlign w:val="top"/>
          </w:tcPr>
          <w:p w14:paraId="72D8C687">
            <w:pPr>
              <w:keepNext w:val="0"/>
              <w:keepLines w:val="0"/>
              <w:pageBreakBefore w:val="0"/>
              <w:widowControl/>
              <w:kinsoku w:val="0"/>
              <w:wordWrap w:val="0"/>
              <w:overflowPunct/>
              <w:topLinePunct w:val="0"/>
              <w:autoSpaceDE w:val="0"/>
              <w:autoSpaceDN w:val="0"/>
              <w:bidi w:val="0"/>
              <w:adjustRightInd w:val="0"/>
              <w:snapToGrid w:val="0"/>
              <w:spacing w:line="281" w:lineRule="auto"/>
              <w:ind w:left="83" w:right="90" w:firstLine="0" w:firstLineChars="0"/>
              <w:textAlignment w:val="baseline"/>
            </w:pPr>
            <w:r>
              <w:rPr>
                <w:spacing w:val="5"/>
              </w:rPr>
              <w:t>机械或设备</w:t>
            </w:r>
            <w:r>
              <w:rPr>
                <w:spacing w:val="-4"/>
              </w:rPr>
              <w:t>名称</w:t>
            </w:r>
          </w:p>
        </w:tc>
        <w:tc>
          <w:tcPr>
            <w:tcW w:w="847" w:type="dxa"/>
            <w:tcBorders>
              <w:top w:val="single" w:color="000000" w:sz="12" w:space="0"/>
            </w:tcBorders>
            <w:vAlign w:val="top"/>
          </w:tcPr>
          <w:p w14:paraId="54BF3CCE">
            <w:pPr>
              <w:keepNext w:val="0"/>
              <w:keepLines w:val="0"/>
              <w:pageBreakBefore w:val="0"/>
              <w:widowControl/>
              <w:kinsoku w:val="0"/>
              <w:wordWrap w:val="0"/>
              <w:overflowPunct/>
              <w:topLinePunct w:val="0"/>
              <w:autoSpaceDE w:val="0"/>
              <w:autoSpaceDN w:val="0"/>
              <w:bidi w:val="0"/>
              <w:adjustRightInd w:val="0"/>
              <w:snapToGrid w:val="0"/>
              <w:spacing w:line="281" w:lineRule="auto"/>
              <w:ind w:left="92" w:right="87" w:firstLine="0" w:firstLineChars="0"/>
              <w:textAlignment w:val="baseline"/>
            </w:pPr>
            <w:r>
              <w:rPr>
                <w:spacing w:val="-10"/>
              </w:rPr>
              <w:t>规格</w:t>
            </w:r>
            <w:r>
              <w:rPr>
                <w:spacing w:val="-5"/>
              </w:rPr>
              <w:t>型号</w:t>
            </w:r>
          </w:p>
        </w:tc>
        <w:tc>
          <w:tcPr>
            <w:tcW w:w="1055" w:type="dxa"/>
            <w:tcBorders>
              <w:top w:val="single" w:color="000000" w:sz="12" w:space="0"/>
            </w:tcBorders>
            <w:vAlign w:val="top"/>
          </w:tcPr>
          <w:p w14:paraId="4BDD6DC3">
            <w:pPr>
              <w:keepNext w:val="0"/>
              <w:keepLines w:val="0"/>
              <w:pageBreakBefore w:val="0"/>
              <w:widowControl/>
              <w:kinsoku w:val="0"/>
              <w:wordWrap w:val="0"/>
              <w:overflowPunct/>
              <w:topLinePunct w:val="0"/>
              <w:autoSpaceDE w:val="0"/>
              <w:autoSpaceDN w:val="0"/>
              <w:bidi w:val="0"/>
              <w:adjustRightInd w:val="0"/>
              <w:snapToGrid w:val="0"/>
              <w:spacing w:line="285" w:lineRule="auto"/>
              <w:ind w:firstLine="0" w:firstLineChars="0"/>
              <w:textAlignment w:val="baseline"/>
              <w:rPr>
                <w:rFonts w:ascii="Arial"/>
                <w:sz w:val="21"/>
              </w:rPr>
            </w:pPr>
          </w:p>
          <w:p w14:paraId="5DCE5C55">
            <w:pPr>
              <w:keepNext w:val="0"/>
              <w:keepLines w:val="0"/>
              <w:pageBreakBefore w:val="0"/>
              <w:widowControl/>
              <w:kinsoku w:val="0"/>
              <w:wordWrap w:val="0"/>
              <w:overflowPunct/>
              <w:topLinePunct w:val="0"/>
              <w:autoSpaceDE w:val="0"/>
              <w:autoSpaceDN w:val="0"/>
              <w:bidi w:val="0"/>
              <w:adjustRightInd w:val="0"/>
              <w:snapToGrid w:val="0"/>
              <w:spacing w:line="220" w:lineRule="auto"/>
              <w:ind w:left="90" w:firstLine="0" w:firstLineChars="0"/>
              <w:textAlignment w:val="baseline"/>
            </w:pPr>
            <w:r>
              <w:rPr>
                <w:spacing w:val="-3"/>
              </w:rPr>
              <w:t>数量</w:t>
            </w:r>
          </w:p>
        </w:tc>
        <w:tc>
          <w:tcPr>
            <w:tcW w:w="877" w:type="dxa"/>
            <w:tcBorders>
              <w:top w:val="single" w:color="000000" w:sz="12" w:space="0"/>
            </w:tcBorders>
            <w:vAlign w:val="top"/>
          </w:tcPr>
          <w:p w14:paraId="67C55A3C">
            <w:pPr>
              <w:keepNext w:val="0"/>
              <w:keepLines w:val="0"/>
              <w:pageBreakBefore w:val="0"/>
              <w:widowControl/>
              <w:kinsoku w:val="0"/>
              <w:wordWrap w:val="0"/>
              <w:overflowPunct/>
              <w:topLinePunct w:val="0"/>
              <w:autoSpaceDE w:val="0"/>
              <w:autoSpaceDN w:val="0"/>
              <w:bidi w:val="0"/>
              <w:adjustRightInd w:val="0"/>
              <w:snapToGrid w:val="0"/>
              <w:spacing w:line="285" w:lineRule="auto"/>
              <w:ind w:firstLine="0" w:firstLineChars="0"/>
              <w:textAlignment w:val="baseline"/>
              <w:rPr>
                <w:rFonts w:ascii="Arial"/>
                <w:sz w:val="21"/>
              </w:rPr>
            </w:pPr>
          </w:p>
          <w:p w14:paraId="3A215BCF">
            <w:pPr>
              <w:keepNext w:val="0"/>
              <w:keepLines w:val="0"/>
              <w:pageBreakBefore w:val="0"/>
              <w:widowControl/>
              <w:kinsoku w:val="0"/>
              <w:wordWrap w:val="0"/>
              <w:overflowPunct/>
              <w:topLinePunct w:val="0"/>
              <w:autoSpaceDE w:val="0"/>
              <w:autoSpaceDN w:val="0"/>
              <w:bidi w:val="0"/>
              <w:adjustRightInd w:val="0"/>
              <w:snapToGrid w:val="0"/>
              <w:spacing w:line="220" w:lineRule="auto"/>
              <w:ind w:left="91" w:firstLine="0" w:firstLineChars="0"/>
              <w:textAlignment w:val="baseline"/>
            </w:pPr>
            <w:r>
              <w:rPr>
                <w:spacing w:val="-3"/>
              </w:rPr>
              <w:t>产地</w:t>
            </w:r>
          </w:p>
        </w:tc>
        <w:tc>
          <w:tcPr>
            <w:tcW w:w="1017" w:type="dxa"/>
            <w:tcBorders>
              <w:top w:val="single" w:color="000000" w:sz="12" w:space="0"/>
            </w:tcBorders>
            <w:vAlign w:val="top"/>
          </w:tcPr>
          <w:p w14:paraId="36CB67FA">
            <w:pPr>
              <w:keepNext w:val="0"/>
              <w:keepLines w:val="0"/>
              <w:pageBreakBefore w:val="0"/>
              <w:widowControl/>
              <w:kinsoku w:val="0"/>
              <w:wordWrap w:val="0"/>
              <w:overflowPunct/>
              <w:topLinePunct w:val="0"/>
              <w:autoSpaceDE w:val="0"/>
              <w:autoSpaceDN w:val="0"/>
              <w:bidi w:val="0"/>
              <w:adjustRightInd w:val="0"/>
              <w:snapToGrid w:val="0"/>
              <w:spacing w:line="281" w:lineRule="auto"/>
              <w:ind w:left="94" w:right="78" w:firstLine="0" w:firstLineChars="0"/>
              <w:textAlignment w:val="baseline"/>
            </w:pPr>
            <w:r>
              <w:rPr>
                <w:spacing w:val="35"/>
              </w:rPr>
              <w:t>制造年</w:t>
            </w:r>
            <w:r>
              <w:t>份</w:t>
            </w:r>
          </w:p>
        </w:tc>
        <w:tc>
          <w:tcPr>
            <w:tcW w:w="1476" w:type="dxa"/>
            <w:tcBorders>
              <w:top w:val="single" w:color="000000" w:sz="12" w:space="0"/>
            </w:tcBorders>
            <w:vAlign w:val="top"/>
          </w:tcPr>
          <w:p w14:paraId="2607BEE9">
            <w:pPr>
              <w:keepNext w:val="0"/>
              <w:keepLines w:val="0"/>
              <w:pageBreakBefore w:val="0"/>
              <w:widowControl/>
              <w:kinsoku w:val="0"/>
              <w:wordWrap w:val="0"/>
              <w:overflowPunct/>
              <w:topLinePunct w:val="0"/>
              <w:autoSpaceDE w:val="0"/>
              <w:autoSpaceDN w:val="0"/>
              <w:bidi w:val="0"/>
              <w:adjustRightInd w:val="0"/>
              <w:snapToGrid w:val="0"/>
              <w:spacing w:line="281" w:lineRule="auto"/>
              <w:ind w:left="139" w:right="74" w:firstLine="0" w:firstLineChars="0"/>
              <w:textAlignment w:val="baseline"/>
            </w:pPr>
            <w:r>
              <w:rPr>
                <w:spacing w:val="-13"/>
              </w:rPr>
              <w:t>额定功率</w:t>
            </w:r>
            <w:r>
              <w:rPr>
                <w:spacing w:val="-10"/>
              </w:rPr>
              <w:t>(kW)</w:t>
            </w:r>
          </w:p>
        </w:tc>
        <w:tc>
          <w:tcPr>
            <w:tcW w:w="1017" w:type="dxa"/>
            <w:tcBorders>
              <w:top w:val="single" w:color="000000" w:sz="12" w:space="0"/>
            </w:tcBorders>
            <w:vAlign w:val="top"/>
          </w:tcPr>
          <w:p w14:paraId="39584123">
            <w:pPr>
              <w:keepNext w:val="0"/>
              <w:keepLines w:val="0"/>
              <w:pageBreakBefore w:val="0"/>
              <w:widowControl/>
              <w:kinsoku w:val="0"/>
              <w:wordWrap w:val="0"/>
              <w:overflowPunct/>
              <w:topLinePunct w:val="0"/>
              <w:autoSpaceDE w:val="0"/>
              <w:autoSpaceDN w:val="0"/>
              <w:bidi w:val="0"/>
              <w:adjustRightInd w:val="0"/>
              <w:snapToGrid w:val="0"/>
              <w:spacing w:line="281" w:lineRule="auto"/>
              <w:ind w:left="104" w:right="71" w:firstLine="0" w:firstLineChars="0"/>
              <w:textAlignment w:val="baseline"/>
            </w:pPr>
            <w:r>
              <w:rPr>
                <w:spacing w:val="35"/>
              </w:rPr>
              <w:t>生产能</w:t>
            </w:r>
            <w:r>
              <w:t>力</w:t>
            </w:r>
          </w:p>
        </w:tc>
        <w:tc>
          <w:tcPr>
            <w:tcW w:w="933" w:type="dxa"/>
            <w:tcBorders>
              <w:top w:val="single" w:color="000000" w:sz="12" w:space="0"/>
              <w:right w:val="single" w:color="000000" w:sz="12" w:space="0"/>
            </w:tcBorders>
            <w:vAlign w:val="top"/>
          </w:tcPr>
          <w:p w14:paraId="058DD9DC">
            <w:pPr>
              <w:keepNext w:val="0"/>
              <w:keepLines w:val="0"/>
              <w:pageBreakBefore w:val="0"/>
              <w:widowControl/>
              <w:kinsoku w:val="0"/>
              <w:wordWrap w:val="0"/>
              <w:overflowPunct/>
              <w:topLinePunct w:val="0"/>
              <w:autoSpaceDE w:val="0"/>
              <w:autoSpaceDN w:val="0"/>
              <w:bidi w:val="0"/>
              <w:adjustRightInd w:val="0"/>
              <w:snapToGrid w:val="0"/>
              <w:spacing w:line="286" w:lineRule="auto"/>
              <w:ind w:firstLine="0" w:firstLineChars="0"/>
              <w:textAlignment w:val="baseline"/>
              <w:rPr>
                <w:rFonts w:ascii="Arial"/>
                <w:sz w:val="21"/>
              </w:rPr>
            </w:pPr>
          </w:p>
          <w:p w14:paraId="7047F876">
            <w:pPr>
              <w:keepNext w:val="0"/>
              <w:keepLines w:val="0"/>
              <w:pageBreakBefore w:val="0"/>
              <w:widowControl/>
              <w:kinsoku w:val="0"/>
              <w:wordWrap w:val="0"/>
              <w:overflowPunct/>
              <w:topLinePunct w:val="0"/>
              <w:autoSpaceDE w:val="0"/>
              <w:autoSpaceDN w:val="0"/>
              <w:bidi w:val="0"/>
              <w:adjustRightInd w:val="0"/>
              <w:snapToGrid w:val="0"/>
              <w:spacing w:line="221" w:lineRule="auto"/>
              <w:ind w:left="107" w:firstLine="0" w:firstLineChars="0"/>
              <w:textAlignment w:val="baseline"/>
            </w:pPr>
            <w:r>
              <w:rPr>
                <w:spacing w:val="-4"/>
              </w:rPr>
              <w:t>备注</w:t>
            </w:r>
          </w:p>
        </w:tc>
      </w:tr>
      <w:tr w14:paraId="766428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7C14B1E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74A4FEA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0CDB823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372464F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7B4AD34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2F53313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74CED60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32E4466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3349D1D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1B2D4D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36F69BC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313A187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21F90D5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4B21656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034A3EB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2207672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5DE07F3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298D095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5D10418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58B105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5CBC582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785CA97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6A88ACF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15DB014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2BAFDDB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18A9EA6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32E159D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2BF849F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5DB6444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4977CC2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2731F18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229E939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3A8C073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753A259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1EF933D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7FBE731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4325D3E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699345E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740A118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1E7337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48F602E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514EF1F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5DC7FC2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78A8FCB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615CD5C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0041257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2B848B6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18455940">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51277A7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06CA16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2FDCA02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3169B76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7AD1FC4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5D2AE3D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6013F27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7F5A09B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3FD82E1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44550EC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2F1C7CF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19F963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593FC74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5528C94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5F060EB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7E12820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1432A66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64BE099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4AC7A02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45A3E09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6B2AB0E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3CC9F3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4627EDB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711FD44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1E15A38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6763429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71FC2DF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4BBF3B6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091F6FD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464AAF5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3C9950F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7568F4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6FE9B62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7B3C317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5E92DE5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2DB80C1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151D037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720B09F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050711F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10B00F8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2A35B3B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1D29EE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7919984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5A81AE70">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0BCC07A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2D3F853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453BC27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164B33C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4A5DC9D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5A9FCCF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17BC5E1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68A579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2EDCC18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316D716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5342588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4452B90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5ECEADD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3B3A5ED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4C66791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766570B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575D574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1F5160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535AC00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20D93CD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02FD102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0C5178D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03508B6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31589DE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09D2EC3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61E108A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54EB2D4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17580B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74C29B8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717AB1C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67EBBF8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6B8593C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116906F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22D1644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290524C0">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23F3F68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7A27EB6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4559D0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4E3938F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3102B89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4637F28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118BE490">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2C6D1F7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69996FC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603CD57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0FEBABC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625665D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0E45EB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1FB4BDD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176FFD0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7CCA44E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6041661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1686A8C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504B5B4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300940E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47B7571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138AC66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5F08EB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64A1E6A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384A542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0236A93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32E59F9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3E66FB5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3C45D3A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20A6AA0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3E469B8A">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2298F308">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5EFDE2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5B956BDC">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7A5C1EA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63CD264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7E51FEE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19AE6F30">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36A9991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18C83B7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2E07F50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4536CB6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009C7E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173" w:type="dxa"/>
            <w:tcBorders>
              <w:left w:val="single" w:color="000000" w:sz="12" w:space="0"/>
            </w:tcBorders>
            <w:vAlign w:val="top"/>
          </w:tcPr>
          <w:p w14:paraId="6DA002A5">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vAlign w:val="top"/>
          </w:tcPr>
          <w:p w14:paraId="28995957">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vAlign w:val="top"/>
          </w:tcPr>
          <w:p w14:paraId="47DE8FD4">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vAlign w:val="top"/>
          </w:tcPr>
          <w:p w14:paraId="01C0FD7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vAlign w:val="top"/>
          </w:tcPr>
          <w:p w14:paraId="616582D1">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3C2DC54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vAlign w:val="top"/>
          </w:tcPr>
          <w:p w14:paraId="77C657B6">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vAlign w:val="top"/>
          </w:tcPr>
          <w:p w14:paraId="564CA88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right w:val="single" w:color="000000" w:sz="12" w:space="0"/>
            </w:tcBorders>
            <w:vAlign w:val="top"/>
          </w:tcPr>
          <w:p w14:paraId="4D6253E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r w14:paraId="749940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9" w:hRule="atLeast"/>
          <w:jc w:val="center"/>
        </w:trPr>
        <w:tc>
          <w:tcPr>
            <w:tcW w:w="1173" w:type="dxa"/>
            <w:tcBorders>
              <w:left w:val="single" w:color="000000" w:sz="12" w:space="0"/>
              <w:bottom w:val="single" w:color="000000" w:sz="12" w:space="0"/>
            </w:tcBorders>
            <w:vAlign w:val="top"/>
          </w:tcPr>
          <w:p w14:paraId="1CE0D2DF">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14" w:type="dxa"/>
            <w:tcBorders>
              <w:bottom w:val="single" w:color="000000" w:sz="12" w:space="0"/>
            </w:tcBorders>
            <w:vAlign w:val="top"/>
          </w:tcPr>
          <w:p w14:paraId="5B26AD4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47" w:type="dxa"/>
            <w:tcBorders>
              <w:bottom w:val="single" w:color="000000" w:sz="12" w:space="0"/>
            </w:tcBorders>
            <w:vAlign w:val="top"/>
          </w:tcPr>
          <w:p w14:paraId="215CEAE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55" w:type="dxa"/>
            <w:tcBorders>
              <w:bottom w:val="single" w:color="000000" w:sz="12" w:space="0"/>
            </w:tcBorders>
            <w:vAlign w:val="top"/>
          </w:tcPr>
          <w:p w14:paraId="4D40F4EE">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877" w:type="dxa"/>
            <w:tcBorders>
              <w:bottom w:val="single" w:color="000000" w:sz="12" w:space="0"/>
            </w:tcBorders>
            <w:vAlign w:val="top"/>
          </w:tcPr>
          <w:p w14:paraId="79E1B5B9">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tcBorders>
              <w:bottom w:val="single" w:color="000000" w:sz="12" w:space="0"/>
            </w:tcBorders>
            <w:vAlign w:val="top"/>
          </w:tcPr>
          <w:p w14:paraId="0453E7A2">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476" w:type="dxa"/>
            <w:tcBorders>
              <w:bottom w:val="single" w:color="000000" w:sz="12" w:space="0"/>
            </w:tcBorders>
            <w:vAlign w:val="top"/>
          </w:tcPr>
          <w:p w14:paraId="33268993">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1017" w:type="dxa"/>
            <w:tcBorders>
              <w:bottom w:val="single" w:color="000000" w:sz="12" w:space="0"/>
            </w:tcBorders>
            <w:vAlign w:val="top"/>
          </w:tcPr>
          <w:p w14:paraId="7423984D">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c>
          <w:tcPr>
            <w:tcW w:w="933" w:type="dxa"/>
            <w:tcBorders>
              <w:bottom w:val="single" w:color="000000" w:sz="12" w:space="0"/>
              <w:right w:val="single" w:color="000000" w:sz="12" w:space="0"/>
            </w:tcBorders>
            <w:vAlign w:val="top"/>
          </w:tcPr>
          <w:p w14:paraId="3A26D2AB">
            <w:pPr>
              <w:keepNext w:val="0"/>
              <w:keepLines w:val="0"/>
              <w:pageBreakBefore w:val="0"/>
              <w:widowControl/>
              <w:kinsoku w:val="0"/>
              <w:wordWrap w:val="0"/>
              <w:overflowPunct/>
              <w:topLinePunct w:val="0"/>
              <w:autoSpaceDE w:val="0"/>
              <w:autoSpaceDN w:val="0"/>
              <w:bidi w:val="0"/>
              <w:adjustRightInd w:val="0"/>
              <w:snapToGrid w:val="0"/>
              <w:ind w:firstLine="0" w:firstLineChars="0"/>
              <w:textAlignment w:val="baseline"/>
              <w:rPr>
                <w:rFonts w:ascii="Arial"/>
                <w:sz w:val="21"/>
              </w:rPr>
            </w:pPr>
          </w:p>
        </w:tc>
      </w:tr>
    </w:tbl>
    <w:p w14:paraId="4E21AE2A">
      <w:pPr>
        <w:spacing w:before="93" w:line="219" w:lineRule="auto"/>
        <w:ind w:left="801"/>
        <w:rPr>
          <w:rFonts w:ascii="宋体" w:hAnsi="宋体" w:eastAsia="宋体" w:cs="宋体"/>
          <w:spacing w:val="-16"/>
          <w:sz w:val="30"/>
          <w:szCs w:val="30"/>
        </w:rPr>
      </w:pPr>
    </w:p>
    <w:p w14:paraId="16A1C51E">
      <w:pPr>
        <w:spacing w:before="93" w:line="219" w:lineRule="auto"/>
        <w:ind w:left="0" w:leftChars="0" w:firstLine="0" w:firstLineChars="0"/>
        <w:rPr>
          <w:rFonts w:ascii="宋体" w:hAnsi="宋体" w:eastAsia="宋体" w:cs="宋体"/>
          <w:sz w:val="30"/>
          <w:szCs w:val="30"/>
        </w:rPr>
      </w:pPr>
      <w:r>
        <w:rPr>
          <w:rFonts w:ascii="宋体" w:hAnsi="宋体" w:eastAsia="宋体" w:cs="宋体"/>
          <w:spacing w:val="-16"/>
          <w:sz w:val="30"/>
          <w:szCs w:val="30"/>
        </w:rPr>
        <w:t>附件6：</w:t>
      </w:r>
    </w:p>
    <w:p w14:paraId="45A56AA7">
      <w:pPr>
        <w:spacing w:before="98" w:line="220" w:lineRule="auto"/>
        <w:ind w:left="0" w:leftChars="0" w:firstLine="0" w:firstLineChars="0"/>
        <w:jc w:val="center"/>
        <w:rPr>
          <w:rFonts w:ascii="宋体" w:hAnsi="宋体" w:eastAsia="宋体" w:cs="宋体"/>
          <w:sz w:val="30"/>
          <w:szCs w:val="30"/>
        </w:rPr>
      </w:pPr>
      <w:r>
        <w:rPr>
          <w:rFonts w:ascii="宋体" w:hAnsi="宋体" w:eastAsia="宋体" w:cs="宋体"/>
          <w:spacing w:val="-1"/>
          <w:sz w:val="30"/>
          <w:szCs w:val="30"/>
        </w:rPr>
        <w:t>承包人主要施工管理人员表</w:t>
      </w:r>
    </w:p>
    <w:p w14:paraId="51F4EDC5">
      <w:pPr>
        <w:spacing w:line="144" w:lineRule="exact"/>
      </w:pPr>
    </w:p>
    <w:tbl>
      <w:tblPr>
        <w:tblStyle w:val="10"/>
        <w:tblW w:w="980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880"/>
        <w:gridCol w:w="1414"/>
        <w:gridCol w:w="1130"/>
        <w:gridCol w:w="1131"/>
        <w:gridCol w:w="4254"/>
      </w:tblGrid>
      <w:tr w14:paraId="11B2BD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7" w:hRule="atLeast"/>
          <w:jc w:val="center"/>
        </w:trPr>
        <w:tc>
          <w:tcPr>
            <w:tcW w:w="1880" w:type="dxa"/>
            <w:tcBorders>
              <w:top w:val="single" w:color="000000" w:sz="12" w:space="0"/>
              <w:left w:val="single" w:color="000000" w:sz="12" w:space="0"/>
            </w:tcBorders>
            <w:vAlign w:val="center"/>
          </w:tcPr>
          <w:p w14:paraId="4791ABFA">
            <w:pPr>
              <w:keepNext w:val="0"/>
              <w:keepLines w:val="0"/>
              <w:pageBreakBefore w:val="0"/>
              <w:widowControl/>
              <w:kinsoku w:val="0"/>
              <w:wordWrap w:val="0"/>
              <w:overflowPunct/>
              <w:topLinePunct w:val="0"/>
              <w:autoSpaceDE w:val="0"/>
              <w:autoSpaceDN w:val="0"/>
              <w:bidi w:val="0"/>
              <w:adjustRightInd w:val="0"/>
              <w:snapToGrid w:val="0"/>
              <w:spacing w:line="222" w:lineRule="auto"/>
              <w:ind w:left="88" w:firstLine="0" w:firstLineChars="0"/>
              <w:jc w:val="center"/>
              <w:textAlignment w:val="baseline"/>
            </w:pPr>
            <w:r>
              <w:rPr>
                <w:spacing w:val="-7"/>
              </w:rPr>
              <w:t>名称</w:t>
            </w:r>
          </w:p>
        </w:tc>
        <w:tc>
          <w:tcPr>
            <w:tcW w:w="1414" w:type="dxa"/>
            <w:tcBorders>
              <w:top w:val="single" w:color="000000" w:sz="12" w:space="0"/>
            </w:tcBorders>
            <w:vAlign w:val="center"/>
          </w:tcPr>
          <w:p w14:paraId="3ECCB201">
            <w:pPr>
              <w:keepNext w:val="0"/>
              <w:keepLines w:val="0"/>
              <w:pageBreakBefore w:val="0"/>
              <w:widowControl/>
              <w:kinsoku w:val="0"/>
              <w:wordWrap w:val="0"/>
              <w:overflowPunct/>
              <w:topLinePunct w:val="0"/>
              <w:autoSpaceDE w:val="0"/>
              <w:autoSpaceDN w:val="0"/>
              <w:bidi w:val="0"/>
              <w:adjustRightInd w:val="0"/>
              <w:snapToGrid w:val="0"/>
              <w:spacing w:line="220" w:lineRule="auto"/>
              <w:ind w:left="83" w:firstLine="0" w:firstLineChars="0"/>
              <w:jc w:val="center"/>
              <w:textAlignment w:val="baseline"/>
            </w:pPr>
            <w:r>
              <w:rPr>
                <w:spacing w:val="-3"/>
              </w:rPr>
              <w:t>姓名</w:t>
            </w:r>
          </w:p>
        </w:tc>
        <w:tc>
          <w:tcPr>
            <w:tcW w:w="1130" w:type="dxa"/>
            <w:tcBorders>
              <w:top w:val="single" w:color="000000" w:sz="12" w:space="0"/>
            </w:tcBorders>
            <w:vAlign w:val="center"/>
          </w:tcPr>
          <w:p w14:paraId="5C4B3A54">
            <w:pPr>
              <w:keepNext w:val="0"/>
              <w:keepLines w:val="0"/>
              <w:pageBreakBefore w:val="0"/>
              <w:widowControl/>
              <w:kinsoku w:val="0"/>
              <w:wordWrap w:val="0"/>
              <w:overflowPunct/>
              <w:topLinePunct w:val="0"/>
              <w:autoSpaceDE w:val="0"/>
              <w:autoSpaceDN w:val="0"/>
              <w:bidi w:val="0"/>
              <w:adjustRightInd w:val="0"/>
              <w:snapToGrid w:val="0"/>
              <w:spacing w:line="220" w:lineRule="auto"/>
              <w:ind w:left="88" w:firstLine="0" w:firstLineChars="0"/>
              <w:jc w:val="center"/>
              <w:textAlignment w:val="baseline"/>
            </w:pPr>
            <w:r>
              <w:rPr>
                <w:spacing w:val="-3"/>
              </w:rPr>
              <w:t>职务</w:t>
            </w:r>
          </w:p>
        </w:tc>
        <w:tc>
          <w:tcPr>
            <w:tcW w:w="1131" w:type="dxa"/>
            <w:tcBorders>
              <w:top w:val="single" w:color="000000" w:sz="12" w:space="0"/>
            </w:tcBorders>
            <w:vAlign w:val="center"/>
          </w:tcPr>
          <w:p w14:paraId="4D9DD898">
            <w:pPr>
              <w:keepNext w:val="0"/>
              <w:keepLines w:val="0"/>
              <w:pageBreakBefore w:val="0"/>
              <w:widowControl/>
              <w:kinsoku w:val="0"/>
              <w:wordWrap w:val="0"/>
              <w:overflowPunct/>
              <w:topLinePunct w:val="0"/>
              <w:autoSpaceDE w:val="0"/>
              <w:autoSpaceDN w:val="0"/>
              <w:bidi w:val="0"/>
              <w:adjustRightInd w:val="0"/>
              <w:snapToGrid w:val="0"/>
              <w:spacing w:line="222" w:lineRule="auto"/>
              <w:ind w:left="92" w:firstLine="0" w:firstLineChars="0"/>
              <w:jc w:val="center"/>
              <w:textAlignment w:val="baseline"/>
            </w:pPr>
            <w:r>
              <w:rPr>
                <w:spacing w:val="-3"/>
              </w:rPr>
              <w:t>职称</w:t>
            </w:r>
          </w:p>
        </w:tc>
        <w:tc>
          <w:tcPr>
            <w:tcW w:w="4254" w:type="dxa"/>
            <w:tcBorders>
              <w:top w:val="single" w:color="000000" w:sz="12" w:space="0"/>
              <w:right w:val="single" w:color="000000" w:sz="12" w:space="0"/>
            </w:tcBorders>
            <w:vAlign w:val="center"/>
          </w:tcPr>
          <w:p w14:paraId="208041DE">
            <w:pPr>
              <w:keepNext w:val="0"/>
              <w:keepLines w:val="0"/>
              <w:pageBreakBefore w:val="0"/>
              <w:widowControl/>
              <w:kinsoku w:val="0"/>
              <w:wordWrap w:val="0"/>
              <w:overflowPunct/>
              <w:topLinePunct w:val="0"/>
              <w:autoSpaceDE w:val="0"/>
              <w:autoSpaceDN w:val="0"/>
              <w:bidi w:val="0"/>
              <w:adjustRightInd w:val="0"/>
              <w:snapToGrid w:val="0"/>
              <w:spacing w:line="220" w:lineRule="auto"/>
              <w:ind w:left="96" w:firstLine="0" w:firstLineChars="0"/>
              <w:jc w:val="center"/>
              <w:textAlignment w:val="baseline"/>
            </w:pPr>
            <w:r>
              <w:rPr>
                <w:spacing w:val="-1"/>
              </w:rPr>
              <w:t>主要资历、经验及承担过的项目</w:t>
            </w:r>
          </w:p>
        </w:tc>
      </w:tr>
      <w:tr w14:paraId="30A6AF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9809" w:type="dxa"/>
            <w:gridSpan w:val="5"/>
            <w:tcBorders>
              <w:left w:val="single" w:color="000000" w:sz="12" w:space="0"/>
              <w:right w:val="single" w:color="000000" w:sz="12" w:space="0"/>
            </w:tcBorders>
            <w:vAlign w:val="center"/>
          </w:tcPr>
          <w:p w14:paraId="3398AB8B">
            <w:pPr>
              <w:keepNext w:val="0"/>
              <w:keepLines w:val="0"/>
              <w:pageBreakBefore w:val="0"/>
              <w:widowControl/>
              <w:kinsoku w:val="0"/>
              <w:wordWrap w:val="0"/>
              <w:overflowPunct/>
              <w:topLinePunct w:val="0"/>
              <w:autoSpaceDE w:val="0"/>
              <w:autoSpaceDN w:val="0"/>
              <w:bidi w:val="0"/>
              <w:adjustRightInd w:val="0"/>
              <w:snapToGrid w:val="0"/>
              <w:spacing w:line="201" w:lineRule="auto"/>
              <w:ind w:left="89" w:firstLine="0" w:firstLineChars="0"/>
              <w:jc w:val="center"/>
              <w:textAlignment w:val="baseline"/>
            </w:pPr>
            <w:r>
              <w:rPr>
                <w:spacing w:val="-7"/>
              </w:rPr>
              <w:t>一、总部人员</w:t>
            </w:r>
          </w:p>
        </w:tc>
      </w:tr>
      <w:tr w14:paraId="66174E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01590572">
            <w:pPr>
              <w:keepNext w:val="0"/>
              <w:keepLines w:val="0"/>
              <w:pageBreakBefore w:val="0"/>
              <w:widowControl/>
              <w:kinsoku w:val="0"/>
              <w:wordWrap w:val="0"/>
              <w:overflowPunct/>
              <w:topLinePunct w:val="0"/>
              <w:autoSpaceDE w:val="0"/>
              <w:autoSpaceDN w:val="0"/>
              <w:bidi w:val="0"/>
              <w:adjustRightInd w:val="0"/>
              <w:snapToGrid w:val="0"/>
              <w:spacing w:line="201" w:lineRule="auto"/>
              <w:ind w:left="89" w:firstLine="0" w:firstLineChars="0"/>
              <w:jc w:val="center"/>
              <w:textAlignment w:val="baseline"/>
            </w:pPr>
            <w:r>
              <w:rPr>
                <w:spacing w:val="-3"/>
              </w:rPr>
              <w:t>项目主管</w:t>
            </w:r>
          </w:p>
        </w:tc>
        <w:tc>
          <w:tcPr>
            <w:tcW w:w="1414" w:type="dxa"/>
            <w:vAlign w:val="center"/>
          </w:tcPr>
          <w:p w14:paraId="5EF7268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0BB2CCE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407A6DD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5FAFC9F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488A24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vMerge w:val="restart"/>
            <w:tcBorders>
              <w:left w:val="single" w:color="000000" w:sz="12" w:space="0"/>
              <w:bottom w:val="nil"/>
            </w:tcBorders>
            <w:vAlign w:val="center"/>
          </w:tcPr>
          <w:p w14:paraId="2E3FE563">
            <w:pPr>
              <w:keepNext w:val="0"/>
              <w:keepLines w:val="0"/>
              <w:pageBreakBefore w:val="0"/>
              <w:widowControl/>
              <w:kinsoku w:val="0"/>
              <w:wordWrap w:val="0"/>
              <w:overflowPunct/>
              <w:topLinePunct w:val="0"/>
              <w:autoSpaceDE w:val="0"/>
              <w:autoSpaceDN w:val="0"/>
              <w:bidi w:val="0"/>
              <w:adjustRightInd w:val="0"/>
              <w:snapToGrid w:val="0"/>
              <w:spacing w:line="271" w:lineRule="auto"/>
              <w:ind w:firstLine="0" w:firstLineChars="0"/>
              <w:jc w:val="center"/>
              <w:textAlignment w:val="baseline"/>
              <w:rPr>
                <w:rFonts w:ascii="Arial"/>
                <w:sz w:val="21"/>
              </w:rPr>
            </w:pPr>
          </w:p>
          <w:p w14:paraId="621F4320">
            <w:pPr>
              <w:keepNext w:val="0"/>
              <w:keepLines w:val="0"/>
              <w:pageBreakBefore w:val="0"/>
              <w:widowControl/>
              <w:kinsoku w:val="0"/>
              <w:wordWrap w:val="0"/>
              <w:overflowPunct/>
              <w:topLinePunct w:val="0"/>
              <w:autoSpaceDE w:val="0"/>
              <w:autoSpaceDN w:val="0"/>
              <w:bidi w:val="0"/>
              <w:adjustRightInd w:val="0"/>
              <w:snapToGrid w:val="0"/>
              <w:spacing w:line="271" w:lineRule="auto"/>
              <w:ind w:firstLine="0" w:firstLineChars="0"/>
              <w:jc w:val="center"/>
              <w:textAlignment w:val="baseline"/>
              <w:rPr>
                <w:rFonts w:ascii="Arial"/>
                <w:sz w:val="21"/>
              </w:rPr>
            </w:pPr>
          </w:p>
          <w:p w14:paraId="025DAF47">
            <w:pPr>
              <w:keepNext w:val="0"/>
              <w:keepLines w:val="0"/>
              <w:pageBreakBefore w:val="0"/>
              <w:widowControl/>
              <w:kinsoku w:val="0"/>
              <w:wordWrap w:val="0"/>
              <w:overflowPunct/>
              <w:topLinePunct w:val="0"/>
              <w:autoSpaceDE w:val="0"/>
              <w:autoSpaceDN w:val="0"/>
              <w:bidi w:val="0"/>
              <w:adjustRightInd w:val="0"/>
              <w:snapToGrid w:val="0"/>
              <w:spacing w:line="220" w:lineRule="auto"/>
              <w:ind w:left="86" w:firstLine="0" w:firstLineChars="0"/>
              <w:jc w:val="center"/>
              <w:textAlignment w:val="baseline"/>
            </w:pPr>
            <w:r>
              <w:rPr>
                <w:spacing w:val="-2"/>
              </w:rPr>
              <w:t>其他人员</w:t>
            </w:r>
          </w:p>
        </w:tc>
        <w:tc>
          <w:tcPr>
            <w:tcW w:w="1414" w:type="dxa"/>
            <w:vAlign w:val="center"/>
          </w:tcPr>
          <w:p w14:paraId="4978AD5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7A86B4F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3B95FDC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4D1536C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0EFDCD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vMerge w:val="continue"/>
            <w:tcBorders>
              <w:top w:val="nil"/>
              <w:left w:val="single" w:color="000000" w:sz="12" w:space="0"/>
              <w:bottom w:val="nil"/>
            </w:tcBorders>
            <w:vAlign w:val="center"/>
          </w:tcPr>
          <w:p w14:paraId="46F79D4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4" w:type="dxa"/>
            <w:vAlign w:val="center"/>
          </w:tcPr>
          <w:p w14:paraId="6BA3C78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0C2E161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325888B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5F86992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7CD1FC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vMerge w:val="continue"/>
            <w:tcBorders>
              <w:top w:val="nil"/>
              <w:left w:val="single" w:color="000000" w:sz="12" w:space="0"/>
            </w:tcBorders>
            <w:vAlign w:val="center"/>
          </w:tcPr>
          <w:p w14:paraId="55D6214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4" w:type="dxa"/>
            <w:vAlign w:val="center"/>
          </w:tcPr>
          <w:p w14:paraId="2A01DDE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790B711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2D956F0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5D9384B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49773B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9809" w:type="dxa"/>
            <w:gridSpan w:val="5"/>
            <w:tcBorders>
              <w:left w:val="single" w:color="000000" w:sz="12" w:space="0"/>
              <w:right w:val="single" w:color="000000" w:sz="12" w:space="0"/>
            </w:tcBorders>
            <w:vAlign w:val="center"/>
          </w:tcPr>
          <w:p w14:paraId="2F22EED7">
            <w:pPr>
              <w:keepNext w:val="0"/>
              <w:keepLines w:val="0"/>
              <w:pageBreakBefore w:val="0"/>
              <w:widowControl/>
              <w:kinsoku w:val="0"/>
              <w:wordWrap w:val="0"/>
              <w:overflowPunct/>
              <w:topLinePunct w:val="0"/>
              <w:autoSpaceDE w:val="0"/>
              <w:autoSpaceDN w:val="0"/>
              <w:bidi w:val="0"/>
              <w:adjustRightInd w:val="0"/>
              <w:snapToGrid w:val="0"/>
              <w:spacing w:line="201" w:lineRule="auto"/>
              <w:ind w:left="89" w:firstLine="0" w:firstLineChars="0"/>
              <w:jc w:val="center"/>
              <w:textAlignment w:val="baseline"/>
            </w:pPr>
            <w:r>
              <w:rPr>
                <w:spacing w:val="-2"/>
              </w:rPr>
              <w:t>二、现场人员</w:t>
            </w:r>
          </w:p>
        </w:tc>
      </w:tr>
      <w:tr w14:paraId="22CDD6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1CF7E49A">
            <w:pPr>
              <w:keepNext w:val="0"/>
              <w:keepLines w:val="0"/>
              <w:pageBreakBefore w:val="0"/>
              <w:widowControl/>
              <w:kinsoku w:val="0"/>
              <w:wordWrap w:val="0"/>
              <w:overflowPunct/>
              <w:topLinePunct w:val="0"/>
              <w:autoSpaceDE w:val="0"/>
              <w:autoSpaceDN w:val="0"/>
              <w:bidi w:val="0"/>
              <w:adjustRightInd w:val="0"/>
              <w:snapToGrid w:val="0"/>
              <w:spacing w:line="201" w:lineRule="auto"/>
              <w:ind w:left="89" w:firstLine="0" w:firstLineChars="0"/>
              <w:jc w:val="center"/>
              <w:textAlignment w:val="baseline"/>
            </w:pPr>
            <w:r>
              <w:rPr>
                <w:spacing w:val="-3"/>
              </w:rPr>
              <w:t>项目经理</w:t>
            </w:r>
          </w:p>
        </w:tc>
        <w:tc>
          <w:tcPr>
            <w:tcW w:w="1414" w:type="dxa"/>
            <w:vAlign w:val="center"/>
          </w:tcPr>
          <w:p w14:paraId="5D2951F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7670CC0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30CB680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2F5E01B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3ACC25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599F960E">
            <w:pPr>
              <w:keepNext w:val="0"/>
              <w:keepLines w:val="0"/>
              <w:pageBreakBefore w:val="0"/>
              <w:widowControl/>
              <w:kinsoku w:val="0"/>
              <w:wordWrap w:val="0"/>
              <w:overflowPunct/>
              <w:topLinePunct w:val="0"/>
              <w:autoSpaceDE w:val="0"/>
              <w:autoSpaceDN w:val="0"/>
              <w:bidi w:val="0"/>
              <w:adjustRightInd w:val="0"/>
              <w:snapToGrid w:val="0"/>
              <w:spacing w:line="201" w:lineRule="auto"/>
              <w:ind w:left="89" w:firstLine="0" w:firstLineChars="0"/>
              <w:jc w:val="center"/>
              <w:textAlignment w:val="baseline"/>
            </w:pPr>
            <w:r>
              <w:rPr>
                <w:spacing w:val="-3"/>
              </w:rPr>
              <w:t>项目副经理</w:t>
            </w:r>
          </w:p>
        </w:tc>
        <w:tc>
          <w:tcPr>
            <w:tcW w:w="1414" w:type="dxa"/>
            <w:vAlign w:val="center"/>
          </w:tcPr>
          <w:p w14:paraId="1817F72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034FAA8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46DFBF3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41DDEC2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167F20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3BAF19E2">
            <w:pPr>
              <w:keepNext w:val="0"/>
              <w:keepLines w:val="0"/>
              <w:pageBreakBefore w:val="0"/>
              <w:widowControl/>
              <w:kinsoku w:val="0"/>
              <w:wordWrap w:val="0"/>
              <w:overflowPunct/>
              <w:topLinePunct w:val="0"/>
              <w:autoSpaceDE w:val="0"/>
              <w:autoSpaceDN w:val="0"/>
              <w:bidi w:val="0"/>
              <w:adjustRightInd w:val="0"/>
              <w:snapToGrid w:val="0"/>
              <w:spacing w:line="201" w:lineRule="auto"/>
              <w:ind w:left="86" w:firstLine="0" w:firstLineChars="0"/>
              <w:jc w:val="center"/>
              <w:textAlignment w:val="baseline"/>
            </w:pPr>
            <w:r>
              <w:rPr>
                <w:spacing w:val="-2"/>
              </w:rPr>
              <w:t>技术负责人</w:t>
            </w:r>
          </w:p>
        </w:tc>
        <w:tc>
          <w:tcPr>
            <w:tcW w:w="1414" w:type="dxa"/>
            <w:vAlign w:val="center"/>
          </w:tcPr>
          <w:p w14:paraId="20C0344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47A16BD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5CC4A76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1BB67D5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7F961D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4FEB7C6A">
            <w:pPr>
              <w:keepNext w:val="0"/>
              <w:keepLines w:val="0"/>
              <w:pageBreakBefore w:val="0"/>
              <w:widowControl/>
              <w:kinsoku w:val="0"/>
              <w:wordWrap w:val="0"/>
              <w:overflowPunct/>
              <w:topLinePunct w:val="0"/>
              <w:autoSpaceDE w:val="0"/>
              <w:autoSpaceDN w:val="0"/>
              <w:bidi w:val="0"/>
              <w:adjustRightInd w:val="0"/>
              <w:snapToGrid w:val="0"/>
              <w:spacing w:line="201" w:lineRule="auto"/>
              <w:ind w:left="84" w:firstLine="0" w:firstLineChars="0"/>
              <w:jc w:val="center"/>
              <w:textAlignment w:val="baseline"/>
            </w:pPr>
            <w:r>
              <w:rPr>
                <w:spacing w:val="-2"/>
              </w:rPr>
              <w:t>造价管理</w:t>
            </w:r>
          </w:p>
        </w:tc>
        <w:tc>
          <w:tcPr>
            <w:tcW w:w="1414" w:type="dxa"/>
            <w:vAlign w:val="center"/>
          </w:tcPr>
          <w:p w14:paraId="67A1B4B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7AE6F68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32C2D88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1B4D33F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60C68C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0440A8AD">
            <w:pPr>
              <w:keepNext w:val="0"/>
              <w:keepLines w:val="0"/>
              <w:pageBreakBefore w:val="0"/>
              <w:widowControl/>
              <w:kinsoku w:val="0"/>
              <w:wordWrap w:val="0"/>
              <w:overflowPunct/>
              <w:topLinePunct w:val="0"/>
              <w:autoSpaceDE w:val="0"/>
              <w:autoSpaceDN w:val="0"/>
              <w:bidi w:val="0"/>
              <w:adjustRightInd w:val="0"/>
              <w:snapToGrid w:val="0"/>
              <w:spacing w:line="201" w:lineRule="auto"/>
              <w:ind w:left="86" w:firstLine="0" w:firstLineChars="0"/>
              <w:jc w:val="center"/>
              <w:textAlignment w:val="baseline"/>
            </w:pPr>
            <w:r>
              <w:rPr>
                <w:spacing w:val="-2"/>
              </w:rPr>
              <w:t>质量管理</w:t>
            </w:r>
          </w:p>
        </w:tc>
        <w:tc>
          <w:tcPr>
            <w:tcW w:w="1414" w:type="dxa"/>
            <w:vAlign w:val="center"/>
          </w:tcPr>
          <w:p w14:paraId="44697AD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302BEA9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4FABF13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5FEC105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35080E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6B05A3E5">
            <w:pPr>
              <w:keepNext w:val="0"/>
              <w:keepLines w:val="0"/>
              <w:pageBreakBefore w:val="0"/>
              <w:widowControl/>
              <w:kinsoku w:val="0"/>
              <w:wordWrap w:val="0"/>
              <w:overflowPunct/>
              <w:topLinePunct w:val="0"/>
              <w:autoSpaceDE w:val="0"/>
              <w:autoSpaceDN w:val="0"/>
              <w:bidi w:val="0"/>
              <w:adjustRightInd w:val="0"/>
              <w:snapToGrid w:val="0"/>
              <w:spacing w:line="201" w:lineRule="auto"/>
              <w:ind w:left="85" w:firstLine="0" w:firstLineChars="0"/>
              <w:jc w:val="center"/>
              <w:textAlignment w:val="baseline"/>
            </w:pPr>
            <w:r>
              <w:rPr>
                <w:spacing w:val="-2"/>
              </w:rPr>
              <w:t>材料管理</w:t>
            </w:r>
          </w:p>
        </w:tc>
        <w:tc>
          <w:tcPr>
            <w:tcW w:w="1414" w:type="dxa"/>
            <w:vAlign w:val="center"/>
          </w:tcPr>
          <w:p w14:paraId="38A0ED3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094A391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5815A61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225D3D3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1D6683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7333C809">
            <w:pPr>
              <w:keepNext w:val="0"/>
              <w:keepLines w:val="0"/>
              <w:pageBreakBefore w:val="0"/>
              <w:widowControl/>
              <w:kinsoku w:val="0"/>
              <w:wordWrap w:val="0"/>
              <w:overflowPunct/>
              <w:topLinePunct w:val="0"/>
              <w:autoSpaceDE w:val="0"/>
              <w:autoSpaceDN w:val="0"/>
              <w:bidi w:val="0"/>
              <w:adjustRightInd w:val="0"/>
              <w:snapToGrid w:val="0"/>
              <w:spacing w:line="201" w:lineRule="auto"/>
              <w:ind w:left="85" w:firstLine="0" w:firstLineChars="0"/>
              <w:jc w:val="center"/>
              <w:textAlignment w:val="baseline"/>
            </w:pPr>
            <w:r>
              <w:rPr>
                <w:spacing w:val="-2"/>
              </w:rPr>
              <w:t>计划管理</w:t>
            </w:r>
          </w:p>
        </w:tc>
        <w:tc>
          <w:tcPr>
            <w:tcW w:w="1414" w:type="dxa"/>
            <w:vAlign w:val="center"/>
          </w:tcPr>
          <w:p w14:paraId="785EBBE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799A5AA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73AA130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6C712B1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62C234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52B387B5">
            <w:pPr>
              <w:keepNext w:val="0"/>
              <w:keepLines w:val="0"/>
              <w:pageBreakBefore w:val="0"/>
              <w:widowControl/>
              <w:kinsoku w:val="0"/>
              <w:wordWrap w:val="0"/>
              <w:overflowPunct/>
              <w:topLinePunct w:val="0"/>
              <w:autoSpaceDE w:val="0"/>
              <w:autoSpaceDN w:val="0"/>
              <w:bidi w:val="0"/>
              <w:adjustRightInd w:val="0"/>
              <w:snapToGrid w:val="0"/>
              <w:spacing w:line="201" w:lineRule="auto"/>
              <w:ind w:left="90" w:firstLine="0" w:firstLineChars="0"/>
              <w:jc w:val="center"/>
              <w:textAlignment w:val="baseline"/>
            </w:pPr>
            <w:r>
              <w:rPr>
                <w:spacing w:val="-3"/>
              </w:rPr>
              <w:t>安全管理</w:t>
            </w:r>
          </w:p>
        </w:tc>
        <w:tc>
          <w:tcPr>
            <w:tcW w:w="1414" w:type="dxa"/>
            <w:vAlign w:val="center"/>
          </w:tcPr>
          <w:p w14:paraId="618FDB6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599BA9F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559EF9A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2F673B7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6C36C8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vMerge w:val="restart"/>
            <w:tcBorders>
              <w:left w:val="single" w:color="000000" w:sz="12" w:space="0"/>
              <w:bottom w:val="nil"/>
            </w:tcBorders>
            <w:vAlign w:val="center"/>
          </w:tcPr>
          <w:p w14:paraId="12194688">
            <w:pPr>
              <w:keepNext w:val="0"/>
              <w:keepLines w:val="0"/>
              <w:pageBreakBefore w:val="0"/>
              <w:widowControl/>
              <w:kinsoku w:val="0"/>
              <w:wordWrap w:val="0"/>
              <w:overflowPunct/>
              <w:topLinePunct w:val="0"/>
              <w:autoSpaceDE w:val="0"/>
              <w:autoSpaceDN w:val="0"/>
              <w:bidi w:val="0"/>
              <w:adjustRightInd w:val="0"/>
              <w:snapToGrid w:val="0"/>
              <w:spacing w:line="244" w:lineRule="auto"/>
              <w:ind w:firstLine="0" w:firstLineChars="0"/>
              <w:jc w:val="center"/>
              <w:textAlignment w:val="baseline"/>
              <w:rPr>
                <w:rFonts w:ascii="Arial"/>
                <w:sz w:val="21"/>
              </w:rPr>
            </w:pPr>
          </w:p>
          <w:p w14:paraId="474BF43B">
            <w:pPr>
              <w:keepNext w:val="0"/>
              <w:keepLines w:val="0"/>
              <w:pageBreakBefore w:val="0"/>
              <w:widowControl/>
              <w:kinsoku w:val="0"/>
              <w:wordWrap w:val="0"/>
              <w:overflowPunct/>
              <w:topLinePunct w:val="0"/>
              <w:autoSpaceDE w:val="0"/>
              <w:autoSpaceDN w:val="0"/>
              <w:bidi w:val="0"/>
              <w:adjustRightInd w:val="0"/>
              <w:snapToGrid w:val="0"/>
              <w:spacing w:line="244" w:lineRule="auto"/>
              <w:ind w:firstLine="0" w:firstLineChars="0"/>
              <w:jc w:val="center"/>
              <w:textAlignment w:val="baseline"/>
              <w:rPr>
                <w:rFonts w:ascii="Arial"/>
                <w:sz w:val="21"/>
              </w:rPr>
            </w:pPr>
          </w:p>
          <w:p w14:paraId="30174B80">
            <w:pPr>
              <w:keepNext w:val="0"/>
              <w:keepLines w:val="0"/>
              <w:pageBreakBefore w:val="0"/>
              <w:widowControl/>
              <w:kinsoku w:val="0"/>
              <w:wordWrap w:val="0"/>
              <w:overflowPunct/>
              <w:topLinePunct w:val="0"/>
              <w:autoSpaceDE w:val="0"/>
              <w:autoSpaceDN w:val="0"/>
              <w:bidi w:val="0"/>
              <w:adjustRightInd w:val="0"/>
              <w:snapToGrid w:val="0"/>
              <w:spacing w:line="244" w:lineRule="auto"/>
              <w:ind w:firstLine="0" w:firstLineChars="0"/>
              <w:jc w:val="center"/>
              <w:textAlignment w:val="baseline"/>
              <w:rPr>
                <w:rFonts w:ascii="Arial"/>
                <w:sz w:val="21"/>
              </w:rPr>
            </w:pPr>
          </w:p>
          <w:p w14:paraId="44726502">
            <w:pPr>
              <w:keepNext w:val="0"/>
              <w:keepLines w:val="0"/>
              <w:pageBreakBefore w:val="0"/>
              <w:widowControl/>
              <w:kinsoku w:val="0"/>
              <w:wordWrap w:val="0"/>
              <w:overflowPunct/>
              <w:topLinePunct w:val="0"/>
              <w:autoSpaceDE w:val="0"/>
              <w:autoSpaceDN w:val="0"/>
              <w:bidi w:val="0"/>
              <w:adjustRightInd w:val="0"/>
              <w:snapToGrid w:val="0"/>
              <w:spacing w:line="244" w:lineRule="auto"/>
              <w:ind w:firstLine="0" w:firstLineChars="0"/>
              <w:jc w:val="center"/>
              <w:textAlignment w:val="baseline"/>
              <w:rPr>
                <w:rFonts w:ascii="Arial"/>
                <w:sz w:val="21"/>
              </w:rPr>
            </w:pPr>
          </w:p>
          <w:p w14:paraId="142C2489">
            <w:pPr>
              <w:keepNext w:val="0"/>
              <w:keepLines w:val="0"/>
              <w:pageBreakBefore w:val="0"/>
              <w:widowControl/>
              <w:kinsoku w:val="0"/>
              <w:wordWrap w:val="0"/>
              <w:overflowPunct/>
              <w:topLinePunct w:val="0"/>
              <w:autoSpaceDE w:val="0"/>
              <w:autoSpaceDN w:val="0"/>
              <w:bidi w:val="0"/>
              <w:adjustRightInd w:val="0"/>
              <w:snapToGrid w:val="0"/>
              <w:spacing w:line="245" w:lineRule="auto"/>
              <w:ind w:firstLine="0" w:firstLineChars="0"/>
              <w:jc w:val="center"/>
              <w:textAlignment w:val="baseline"/>
              <w:rPr>
                <w:rFonts w:ascii="Arial"/>
                <w:sz w:val="21"/>
              </w:rPr>
            </w:pPr>
          </w:p>
          <w:p w14:paraId="2D2081F6">
            <w:pPr>
              <w:keepNext w:val="0"/>
              <w:keepLines w:val="0"/>
              <w:pageBreakBefore w:val="0"/>
              <w:widowControl/>
              <w:kinsoku w:val="0"/>
              <w:wordWrap w:val="0"/>
              <w:overflowPunct/>
              <w:topLinePunct w:val="0"/>
              <w:autoSpaceDE w:val="0"/>
              <w:autoSpaceDN w:val="0"/>
              <w:bidi w:val="0"/>
              <w:adjustRightInd w:val="0"/>
              <w:snapToGrid w:val="0"/>
              <w:spacing w:line="220" w:lineRule="auto"/>
              <w:ind w:left="86" w:firstLine="0" w:firstLineChars="0"/>
              <w:jc w:val="center"/>
              <w:textAlignment w:val="baseline"/>
            </w:pPr>
            <w:r>
              <w:rPr>
                <w:spacing w:val="-2"/>
              </w:rPr>
              <w:t>其他人员</w:t>
            </w:r>
          </w:p>
        </w:tc>
        <w:tc>
          <w:tcPr>
            <w:tcW w:w="1414" w:type="dxa"/>
            <w:vAlign w:val="center"/>
          </w:tcPr>
          <w:p w14:paraId="3DCF1DF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62BC05D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71F9150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056732E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63C735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vMerge w:val="continue"/>
            <w:tcBorders>
              <w:top w:val="nil"/>
              <w:left w:val="single" w:color="000000" w:sz="12" w:space="0"/>
              <w:bottom w:val="nil"/>
            </w:tcBorders>
            <w:vAlign w:val="center"/>
          </w:tcPr>
          <w:p w14:paraId="6371D73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4" w:type="dxa"/>
            <w:vAlign w:val="center"/>
          </w:tcPr>
          <w:p w14:paraId="7079CCA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27C2904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13D90EC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7CD0249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54EA5B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vMerge w:val="continue"/>
            <w:tcBorders>
              <w:top w:val="nil"/>
              <w:left w:val="single" w:color="000000" w:sz="12" w:space="0"/>
              <w:bottom w:val="nil"/>
            </w:tcBorders>
            <w:vAlign w:val="center"/>
          </w:tcPr>
          <w:p w14:paraId="072DC73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4" w:type="dxa"/>
            <w:vAlign w:val="center"/>
          </w:tcPr>
          <w:p w14:paraId="7550459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3D979C7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32B9CFB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30CADA1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1A01CA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vMerge w:val="continue"/>
            <w:tcBorders>
              <w:top w:val="nil"/>
              <w:left w:val="single" w:color="000000" w:sz="12" w:space="0"/>
              <w:bottom w:val="nil"/>
            </w:tcBorders>
            <w:vAlign w:val="center"/>
          </w:tcPr>
          <w:p w14:paraId="150C380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4" w:type="dxa"/>
            <w:vAlign w:val="center"/>
          </w:tcPr>
          <w:p w14:paraId="4A24B45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67305B3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5B81764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7BFBC94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2BEBD1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vMerge w:val="continue"/>
            <w:tcBorders>
              <w:top w:val="nil"/>
              <w:left w:val="single" w:color="000000" w:sz="12" w:space="0"/>
              <w:bottom w:val="nil"/>
            </w:tcBorders>
            <w:vAlign w:val="center"/>
          </w:tcPr>
          <w:p w14:paraId="68A41E9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4" w:type="dxa"/>
            <w:vAlign w:val="center"/>
          </w:tcPr>
          <w:p w14:paraId="3DF4007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692F810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54FD701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1AA0E96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290173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2" w:hRule="atLeast"/>
          <w:jc w:val="center"/>
        </w:trPr>
        <w:tc>
          <w:tcPr>
            <w:tcW w:w="1880" w:type="dxa"/>
            <w:vMerge w:val="continue"/>
            <w:tcBorders>
              <w:top w:val="nil"/>
              <w:left w:val="single" w:color="000000" w:sz="12" w:space="0"/>
              <w:bottom w:val="single" w:color="000000" w:sz="12" w:space="0"/>
            </w:tcBorders>
            <w:vAlign w:val="center"/>
          </w:tcPr>
          <w:p w14:paraId="2E71B41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4" w:type="dxa"/>
            <w:tcBorders>
              <w:bottom w:val="single" w:color="000000" w:sz="12" w:space="0"/>
            </w:tcBorders>
            <w:vAlign w:val="center"/>
          </w:tcPr>
          <w:p w14:paraId="5D2E33F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tcBorders>
              <w:bottom w:val="single" w:color="000000" w:sz="12" w:space="0"/>
            </w:tcBorders>
            <w:vAlign w:val="center"/>
          </w:tcPr>
          <w:p w14:paraId="01DFA38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tcBorders>
              <w:bottom w:val="single" w:color="000000" w:sz="12" w:space="0"/>
            </w:tcBorders>
            <w:vAlign w:val="center"/>
          </w:tcPr>
          <w:p w14:paraId="056BC65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bottom w:val="single" w:color="000000" w:sz="12" w:space="0"/>
              <w:right w:val="single" w:color="000000" w:sz="12" w:space="0"/>
            </w:tcBorders>
            <w:vAlign w:val="center"/>
          </w:tcPr>
          <w:p w14:paraId="61ADC70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bl>
    <w:p w14:paraId="0D7271E1"/>
    <w:p w14:paraId="762C70C0">
      <w:pPr>
        <w:spacing w:line="257" w:lineRule="auto"/>
      </w:pPr>
    </w:p>
    <w:p w14:paraId="068503D7">
      <w:pPr>
        <w:spacing w:line="257" w:lineRule="auto"/>
      </w:pPr>
    </w:p>
    <w:p w14:paraId="4CD2E3D1">
      <w:pPr>
        <w:spacing w:line="258" w:lineRule="auto"/>
      </w:pPr>
    </w:p>
    <w:p w14:paraId="6099A0E8">
      <w:pPr>
        <w:spacing w:line="258" w:lineRule="auto"/>
      </w:pPr>
    </w:p>
    <w:p w14:paraId="269D6646">
      <w:pPr>
        <w:spacing w:line="258" w:lineRule="auto"/>
      </w:pPr>
    </w:p>
    <w:p w14:paraId="5DCAA836">
      <w:pPr>
        <w:spacing w:line="258" w:lineRule="auto"/>
      </w:pPr>
    </w:p>
    <w:p w14:paraId="193FB8E1">
      <w:pPr>
        <w:spacing w:line="258" w:lineRule="auto"/>
      </w:pPr>
    </w:p>
    <w:p w14:paraId="333CE801">
      <w:pPr>
        <w:spacing w:line="258" w:lineRule="auto"/>
      </w:pPr>
    </w:p>
    <w:p w14:paraId="61384BBE">
      <w:pPr>
        <w:spacing w:line="258" w:lineRule="auto"/>
      </w:pPr>
    </w:p>
    <w:p w14:paraId="3B840564">
      <w:pPr>
        <w:spacing w:line="258" w:lineRule="auto"/>
      </w:pPr>
    </w:p>
    <w:p w14:paraId="4B976D49">
      <w:pPr>
        <w:spacing w:before="97" w:line="219" w:lineRule="auto"/>
        <w:ind w:left="0" w:leftChars="0" w:firstLine="0" w:firstLineChars="0"/>
        <w:rPr>
          <w:rFonts w:ascii="宋体" w:hAnsi="宋体" w:eastAsia="宋体" w:cs="宋体"/>
          <w:sz w:val="30"/>
          <w:szCs w:val="30"/>
        </w:rPr>
      </w:pPr>
      <w:r>
        <w:rPr>
          <w:rFonts w:ascii="宋体" w:hAnsi="宋体" w:eastAsia="宋体" w:cs="宋体"/>
          <w:spacing w:val="-17"/>
          <w:sz w:val="30"/>
          <w:szCs w:val="30"/>
        </w:rPr>
        <w:t>附件7：</w:t>
      </w:r>
    </w:p>
    <w:p w14:paraId="771DA57B">
      <w:pPr>
        <w:spacing w:before="239" w:line="220" w:lineRule="auto"/>
        <w:ind w:left="0" w:leftChars="0" w:firstLine="0" w:firstLineChars="0"/>
        <w:jc w:val="center"/>
        <w:rPr>
          <w:rFonts w:ascii="宋体" w:hAnsi="宋体" w:eastAsia="宋体" w:cs="宋体"/>
          <w:sz w:val="30"/>
          <w:szCs w:val="30"/>
        </w:rPr>
      </w:pPr>
      <w:r>
        <w:rPr>
          <w:rFonts w:ascii="宋体" w:hAnsi="宋体" w:eastAsia="宋体" w:cs="宋体"/>
          <w:spacing w:val="-2"/>
          <w:sz w:val="30"/>
          <w:szCs w:val="30"/>
        </w:rPr>
        <w:t>分包人主要施工管理人员表</w:t>
      </w:r>
    </w:p>
    <w:p w14:paraId="257D9699">
      <w:pPr>
        <w:spacing w:line="144" w:lineRule="exact"/>
      </w:pPr>
    </w:p>
    <w:tbl>
      <w:tblPr>
        <w:tblStyle w:val="10"/>
        <w:tblW w:w="980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880"/>
        <w:gridCol w:w="1414"/>
        <w:gridCol w:w="1130"/>
        <w:gridCol w:w="1131"/>
        <w:gridCol w:w="4254"/>
      </w:tblGrid>
      <w:tr w14:paraId="204D8A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7" w:hRule="atLeast"/>
          <w:jc w:val="center"/>
        </w:trPr>
        <w:tc>
          <w:tcPr>
            <w:tcW w:w="1880" w:type="dxa"/>
            <w:tcBorders>
              <w:top w:val="single" w:color="000000" w:sz="12" w:space="0"/>
              <w:left w:val="single" w:color="000000" w:sz="12" w:space="0"/>
            </w:tcBorders>
            <w:vAlign w:val="center"/>
          </w:tcPr>
          <w:p w14:paraId="3050570C">
            <w:pPr>
              <w:keepNext w:val="0"/>
              <w:keepLines w:val="0"/>
              <w:pageBreakBefore w:val="0"/>
              <w:widowControl/>
              <w:kinsoku w:val="0"/>
              <w:wordWrap w:val="0"/>
              <w:overflowPunct/>
              <w:topLinePunct w:val="0"/>
              <w:autoSpaceDE w:val="0"/>
              <w:autoSpaceDN w:val="0"/>
              <w:bidi w:val="0"/>
              <w:adjustRightInd w:val="0"/>
              <w:snapToGrid w:val="0"/>
              <w:spacing w:line="222" w:lineRule="auto"/>
              <w:ind w:left="88" w:firstLine="0" w:firstLineChars="0"/>
              <w:jc w:val="center"/>
              <w:textAlignment w:val="baseline"/>
            </w:pPr>
            <w:r>
              <w:rPr>
                <w:spacing w:val="-7"/>
              </w:rPr>
              <w:t>名称</w:t>
            </w:r>
          </w:p>
        </w:tc>
        <w:tc>
          <w:tcPr>
            <w:tcW w:w="1414" w:type="dxa"/>
            <w:tcBorders>
              <w:top w:val="single" w:color="000000" w:sz="12" w:space="0"/>
            </w:tcBorders>
            <w:vAlign w:val="center"/>
          </w:tcPr>
          <w:p w14:paraId="303CB97F">
            <w:pPr>
              <w:keepNext w:val="0"/>
              <w:keepLines w:val="0"/>
              <w:pageBreakBefore w:val="0"/>
              <w:widowControl/>
              <w:kinsoku w:val="0"/>
              <w:wordWrap w:val="0"/>
              <w:overflowPunct/>
              <w:topLinePunct w:val="0"/>
              <w:autoSpaceDE w:val="0"/>
              <w:autoSpaceDN w:val="0"/>
              <w:bidi w:val="0"/>
              <w:adjustRightInd w:val="0"/>
              <w:snapToGrid w:val="0"/>
              <w:spacing w:line="220" w:lineRule="auto"/>
              <w:ind w:left="83" w:firstLine="0" w:firstLineChars="0"/>
              <w:jc w:val="center"/>
              <w:textAlignment w:val="baseline"/>
            </w:pPr>
            <w:r>
              <w:rPr>
                <w:spacing w:val="-3"/>
              </w:rPr>
              <w:t>姓名</w:t>
            </w:r>
          </w:p>
        </w:tc>
        <w:tc>
          <w:tcPr>
            <w:tcW w:w="1130" w:type="dxa"/>
            <w:tcBorders>
              <w:top w:val="single" w:color="000000" w:sz="12" w:space="0"/>
            </w:tcBorders>
            <w:vAlign w:val="center"/>
          </w:tcPr>
          <w:p w14:paraId="05FF884A">
            <w:pPr>
              <w:keepNext w:val="0"/>
              <w:keepLines w:val="0"/>
              <w:pageBreakBefore w:val="0"/>
              <w:widowControl/>
              <w:kinsoku w:val="0"/>
              <w:wordWrap w:val="0"/>
              <w:overflowPunct/>
              <w:topLinePunct w:val="0"/>
              <w:autoSpaceDE w:val="0"/>
              <w:autoSpaceDN w:val="0"/>
              <w:bidi w:val="0"/>
              <w:adjustRightInd w:val="0"/>
              <w:snapToGrid w:val="0"/>
              <w:spacing w:line="220" w:lineRule="auto"/>
              <w:ind w:left="88" w:firstLine="0" w:firstLineChars="0"/>
              <w:jc w:val="center"/>
              <w:textAlignment w:val="baseline"/>
            </w:pPr>
            <w:r>
              <w:rPr>
                <w:spacing w:val="-3"/>
              </w:rPr>
              <w:t>职务</w:t>
            </w:r>
          </w:p>
        </w:tc>
        <w:tc>
          <w:tcPr>
            <w:tcW w:w="1131" w:type="dxa"/>
            <w:tcBorders>
              <w:top w:val="single" w:color="000000" w:sz="12" w:space="0"/>
            </w:tcBorders>
            <w:vAlign w:val="center"/>
          </w:tcPr>
          <w:p w14:paraId="3558B276">
            <w:pPr>
              <w:keepNext w:val="0"/>
              <w:keepLines w:val="0"/>
              <w:pageBreakBefore w:val="0"/>
              <w:widowControl/>
              <w:kinsoku w:val="0"/>
              <w:wordWrap w:val="0"/>
              <w:overflowPunct/>
              <w:topLinePunct w:val="0"/>
              <w:autoSpaceDE w:val="0"/>
              <w:autoSpaceDN w:val="0"/>
              <w:bidi w:val="0"/>
              <w:adjustRightInd w:val="0"/>
              <w:snapToGrid w:val="0"/>
              <w:spacing w:line="222" w:lineRule="auto"/>
              <w:ind w:left="92" w:firstLine="0" w:firstLineChars="0"/>
              <w:jc w:val="center"/>
              <w:textAlignment w:val="baseline"/>
            </w:pPr>
            <w:r>
              <w:rPr>
                <w:spacing w:val="-3"/>
              </w:rPr>
              <w:t>职称</w:t>
            </w:r>
          </w:p>
        </w:tc>
        <w:tc>
          <w:tcPr>
            <w:tcW w:w="4254" w:type="dxa"/>
            <w:tcBorders>
              <w:top w:val="single" w:color="000000" w:sz="12" w:space="0"/>
              <w:right w:val="single" w:color="000000" w:sz="12" w:space="0"/>
            </w:tcBorders>
            <w:vAlign w:val="center"/>
          </w:tcPr>
          <w:p w14:paraId="040F11C4">
            <w:pPr>
              <w:keepNext w:val="0"/>
              <w:keepLines w:val="0"/>
              <w:pageBreakBefore w:val="0"/>
              <w:widowControl/>
              <w:kinsoku w:val="0"/>
              <w:wordWrap w:val="0"/>
              <w:overflowPunct/>
              <w:topLinePunct w:val="0"/>
              <w:autoSpaceDE w:val="0"/>
              <w:autoSpaceDN w:val="0"/>
              <w:bidi w:val="0"/>
              <w:adjustRightInd w:val="0"/>
              <w:snapToGrid w:val="0"/>
              <w:spacing w:line="220" w:lineRule="auto"/>
              <w:ind w:left="96" w:firstLine="0" w:firstLineChars="0"/>
              <w:jc w:val="center"/>
              <w:textAlignment w:val="baseline"/>
            </w:pPr>
            <w:r>
              <w:rPr>
                <w:spacing w:val="-1"/>
              </w:rPr>
              <w:t>主要资历、经验及承担过的项目</w:t>
            </w:r>
          </w:p>
        </w:tc>
      </w:tr>
      <w:tr w14:paraId="6CE0C2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9809" w:type="dxa"/>
            <w:gridSpan w:val="5"/>
            <w:tcBorders>
              <w:left w:val="single" w:color="000000" w:sz="12" w:space="0"/>
              <w:right w:val="single" w:color="000000" w:sz="12" w:space="0"/>
            </w:tcBorders>
            <w:vAlign w:val="center"/>
          </w:tcPr>
          <w:p w14:paraId="5418B854">
            <w:pPr>
              <w:keepNext w:val="0"/>
              <w:keepLines w:val="0"/>
              <w:pageBreakBefore w:val="0"/>
              <w:widowControl/>
              <w:kinsoku w:val="0"/>
              <w:wordWrap w:val="0"/>
              <w:overflowPunct/>
              <w:topLinePunct w:val="0"/>
              <w:autoSpaceDE w:val="0"/>
              <w:autoSpaceDN w:val="0"/>
              <w:bidi w:val="0"/>
              <w:adjustRightInd w:val="0"/>
              <w:snapToGrid w:val="0"/>
              <w:spacing w:line="201" w:lineRule="auto"/>
              <w:ind w:left="89" w:firstLine="0" w:firstLineChars="0"/>
              <w:jc w:val="center"/>
              <w:textAlignment w:val="baseline"/>
            </w:pPr>
            <w:r>
              <w:rPr>
                <w:spacing w:val="-7"/>
              </w:rPr>
              <w:t>一、总部人员</w:t>
            </w:r>
          </w:p>
        </w:tc>
      </w:tr>
      <w:tr w14:paraId="01B8A2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585888C1">
            <w:pPr>
              <w:keepNext w:val="0"/>
              <w:keepLines w:val="0"/>
              <w:pageBreakBefore w:val="0"/>
              <w:widowControl/>
              <w:kinsoku w:val="0"/>
              <w:wordWrap w:val="0"/>
              <w:overflowPunct/>
              <w:topLinePunct w:val="0"/>
              <w:autoSpaceDE w:val="0"/>
              <w:autoSpaceDN w:val="0"/>
              <w:bidi w:val="0"/>
              <w:adjustRightInd w:val="0"/>
              <w:snapToGrid w:val="0"/>
              <w:spacing w:line="201" w:lineRule="auto"/>
              <w:ind w:left="89" w:firstLine="0" w:firstLineChars="0"/>
              <w:jc w:val="center"/>
              <w:textAlignment w:val="baseline"/>
            </w:pPr>
            <w:r>
              <w:rPr>
                <w:spacing w:val="-3"/>
              </w:rPr>
              <w:t>项目主管</w:t>
            </w:r>
          </w:p>
        </w:tc>
        <w:tc>
          <w:tcPr>
            <w:tcW w:w="1414" w:type="dxa"/>
            <w:vAlign w:val="center"/>
          </w:tcPr>
          <w:p w14:paraId="1D5972E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7B37AA5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2DB5E45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74F2326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64DA3E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vMerge w:val="restart"/>
            <w:tcBorders>
              <w:left w:val="single" w:color="000000" w:sz="12" w:space="0"/>
              <w:bottom w:val="nil"/>
            </w:tcBorders>
            <w:vAlign w:val="center"/>
          </w:tcPr>
          <w:p w14:paraId="74FBB696">
            <w:pPr>
              <w:keepNext w:val="0"/>
              <w:keepLines w:val="0"/>
              <w:pageBreakBefore w:val="0"/>
              <w:widowControl/>
              <w:kinsoku w:val="0"/>
              <w:wordWrap w:val="0"/>
              <w:overflowPunct/>
              <w:topLinePunct w:val="0"/>
              <w:autoSpaceDE w:val="0"/>
              <w:autoSpaceDN w:val="0"/>
              <w:bidi w:val="0"/>
              <w:adjustRightInd w:val="0"/>
              <w:snapToGrid w:val="0"/>
              <w:spacing w:line="271" w:lineRule="auto"/>
              <w:ind w:firstLine="0" w:firstLineChars="0"/>
              <w:jc w:val="center"/>
              <w:textAlignment w:val="baseline"/>
              <w:rPr>
                <w:rFonts w:ascii="Arial"/>
                <w:sz w:val="21"/>
              </w:rPr>
            </w:pPr>
          </w:p>
          <w:p w14:paraId="1437AE2E">
            <w:pPr>
              <w:keepNext w:val="0"/>
              <w:keepLines w:val="0"/>
              <w:pageBreakBefore w:val="0"/>
              <w:widowControl/>
              <w:kinsoku w:val="0"/>
              <w:wordWrap w:val="0"/>
              <w:overflowPunct/>
              <w:topLinePunct w:val="0"/>
              <w:autoSpaceDE w:val="0"/>
              <w:autoSpaceDN w:val="0"/>
              <w:bidi w:val="0"/>
              <w:adjustRightInd w:val="0"/>
              <w:snapToGrid w:val="0"/>
              <w:spacing w:line="271" w:lineRule="auto"/>
              <w:ind w:firstLine="0" w:firstLineChars="0"/>
              <w:jc w:val="center"/>
              <w:textAlignment w:val="baseline"/>
              <w:rPr>
                <w:rFonts w:ascii="Arial"/>
                <w:sz w:val="21"/>
              </w:rPr>
            </w:pPr>
          </w:p>
          <w:p w14:paraId="450EB47C">
            <w:pPr>
              <w:keepNext w:val="0"/>
              <w:keepLines w:val="0"/>
              <w:pageBreakBefore w:val="0"/>
              <w:widowControl/>
              <w:kinsoku w:val="0"/>
              <w:wordWrap w:val="0"/>
              <w:overflowPunct/>
              <w:topLinePunct w:val="0"/>
              <w:autoSpaceDE w:val="0"/>
              <w:autoSpaceDN w:val="0"/>
              <w:bidi w:val="0"/>
              <w:adjustRightInd w:val="0"/>
              <w:snapToGrid w:val="0"/>
              <w:spacing w:line="220" w:lineRule="auto"/>
              <w:ind w:left="86" w:firstLine="0" w:firstLineChars="0"/>
              <w:jc w:val="center"/>
              <w:textAlignment w:val="baseline"/>
            </w:pPr>
            <w:r>
              <w:rPr>
                <w:spacing w:val="-2"/>
              </w:rPr>
              <w:t>其他人员</w:t>
            </w:r>
          </w:p>
        </w:tc>
        <w:tc>
          <w:tcPr>
            <w:tcW w:w="1414" w:type="dxa"/>
            <w:vAlign w:val="center"/>
          </w:tcPr>
          <w:p w14:paraId="519B475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46F9047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34B673F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0FE7785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228965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vMerge w:val="continue"/>
            <w:tcBorders>
              <w:top w:val="nil"/>
              <w:left w:val="single" w:color="000000" w:sz="12" w:space="0"/>
              <w:bottom w:val="nil"/>
            </w:tcBorders>
            <w:vAlign w:val="center"/>
          </w:tcPr>
          <w:p w14:paraId="534BC63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4" w:type="dxa"/>
            <w:vAlign w:val="center"/>
          </w:tcPr>
          <w:p w14:paraId="259EA2E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225D54E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5331C98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33F7FAF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07C177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vMerge w:val="continue"/>
            <w:tcBorders>
              <w:top w:val="nil"/>
              <w:left w:val="single" w:color="000000" w:sz="12" w:space="0"/>
            </w:tcBorders>
            <w:vAlign w:val="center"/>
          </w:tcPr>
          <w:p w14:paraId="0697579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4" w:type="dxa"/>
            <w:vAlign w:val="center"/>
          </w:tcPr>
          <w:p w14:paraId="2A45DFA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4F759DB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4C8A4E6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15EA831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6EBC60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9809" w:type="dxa"/>
            <w:gridSpan w:val="5"/>
            <w:tcBorders>
              <w:left w:val="single" w:color="000000" w:sz="12" w:space="0"/>
              <w:right w:val="single" w:color="000000" w:sz="12" w:space="0"/>
            </w:tcBorders>
            <w:vAlign w:val="center"/>
          </w:tcPr>
          <w:p w14:paraId="0CD5D574">
            <w:pPr>
              <w:keepNext w:val="0"/>
              <w:keepLines w:val="0"/>
              <w:pageBreakBefore w:val="0"/>
              <w:widowControl/>
              <w:kinsoku w:val="0"/>
              <w:wordWrap w:val="0"/>
              <w:overflowPunct/>
              <w:topLinePunct w:val="0"/>
              <w:autoSpaceDE w:val="0"/>
              <w:autoSpaceDN w:val="0"/>
              <w:bidi w:val="0"/>
              <w:adjustRightInd w:val="0"/>
              <w:snapToGrid w:val="0"/>
              <w:spacing w:line="201" w:lineRule="auto"/>
              <w:ind w:left="89" w:firstLine="0" w:firstLineChars="0"/>
              <w:jc w:val="center"/>
              <w:textAlignment w:val="baseline"/>
            </w:pPr>
            <w:r>
              <w:rPr>
                <w:spacing w:val="-2"/>
              </w:rPr>
              <w:t>二、现场人员</w:t>
            </w:r>
          </w:p>
        </w:tc>
      </w:tr>
      <w:tr w14:paraId="1F259A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13748B01">
            <w:pPr>
              <w:keepNext w:val="0"/>
              <w:keepLines w:val="0"/>
              <w:pageBreakBefore w:val="0"/>
              <w:widowControl/>
              <w:kinsoku w:val="0"/>
              <w:wordWrap w:val="0"/>
              <w:overflowPunct/>
              <w:topLinePunct w:val="0"/>
              <w:autoSpaceDE w:val="0"/>
              <w:autoSpaceDN w:val="0"/>
              <w:bidi w:val="0"/>
              <w:adjustRightInd w:val="0"/>
              <w:snapToGrid w:val="0"/>
              <w:spacing w:line="201" w:lineRule="auto"/>
              <w:ind w:left="89" w:firstLine="0" w:firstLineChars="0"/>
              <w:jc w:val="center"/>
              <w:textAlignment w:val="baseline"/>
            </w:pPr>
            <w:r>
              <w:rPr>
                <w:spacing w:val="-3"/>
              </w:rPr>
              <w:t>项目经理</w:t>
            </w:r>
          </w:p>
        </w:tc>
        <w:tc>
          <w:tcPr>
            <w:tcW w:w="1414" w:type="dxa"/>
            <w:vAlign w:val="center"/>
          </w:tcPr>
          <w:p w14:paraId="2ECD914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5498C52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7280F9F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416CE0A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2CDBA8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1F7F9560">
            <w:pPr>
              <w:keepNext w:val="0"/>
              <w:keepLines w:val="0"/>
              <w:pageBreakBefore w:val="0"/>
              <w:widowControl/>
              <w:kinsoku w:val="0"/>
              <w:wordWrap w:val="0"/>
              <w:overflowPunct/>
              <w:topLinePunct w:val="0"/>
              <w:autoSpaceDE w:val="0"/>
              <w:autoSpaceDN w:val="0"/>
              <w:bidi w:val="0"/>
              <w:adjustRightInd w:val="0"/>
              <w:snapToGrid w:val="0"/>
              <w:spacing w:line="201" w:lineRule="auto"/>
              <w:ind w:left="89" w:firstLine="0" w:firstLineChars="0"/>
              <w:jc w:val="center"/>
              <w:textAlignment w:val="baseline"/>
            </w:pPr>
            <w:r>
              <w:rPr>
                <w:spacing w:val="-3"/>
              </w:rPr>
              <w:t>项目副经理</w:t>
            </w:r>
          </w:p>
        </w:tc>
        <w:tc>
          <w:tcPr>
            <w:tcW w:w="1414" w:type="dxa"/>
            <w:vAlign w:val="center"/>
          </w:tcPr>
          <w:p w14:paraId="0681A4E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7F0BF87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67A604E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1157F8E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474C5F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65DBBF19">
            <w:pPr>
              <w:keepNext w:val="0"/>
              <w:keepLines w:val="0"/>
              <w:pageBreakBefore w:val="0"/>
              <w:widowControl/>
              <w:kinsoku w:val="0"/>
              <w:wordWrap w:val="0"/>
              <w:overflowPunct/>
              <w:topLinePunct w:val="0"/>
              <w:autoSpaceDE w:val="0"/>
              <w:autoSpaceDN w:val="0"/>
              <w:bidi w:val="0"/>
              <w:adjustRightInd w:val="0"/>
              <w:snapToGrid w:val="0"/>
              <w:spacing w:line="201" w:lineRule="auto"/>
              <w:ind w:left="86" w:firstLine="0" w:firstLineChars="0"/>
              <w:jc w:val="center"/>
              <w:textAlignment w:val="baseline"/>
            </w:pPr>
            <w:r>
              <w:rPr>
                <w:spacing w:val="-2"/>
              </w:rPr>
              <w:t>技术负责人</w:t>
            </w:r>
          </w:p>
        </w:tc>
        <w:tc>
          <w:tcPr>
            <w:tcW w:w="1414" w:type="dxa"/>
            <w:vAlign w:val="center"/>
          </w:tcPr>
          <w:p w14:paraId="221B53F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735BB0E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1A0AB36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2383A43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68F715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5EC21371">
            <w:pPr>
              <w:keepNext w:val="0"/>
              <w:keepLines w:val="0"/>
              <w:pageBreakBefore w:val="0"/>
              <w:widowControl/>
              <w:kinsoku w:val="0"/>
              <w:wordWrap w:val="0"/>
              <w:overflowPunct/>
              <w:topLinePunct w:val="0"/>
              <w:autoSpaceDE w:val="0"/>
              <w:autoSpaceDN w:val="0"/>
              <w:bidi w:val="0"/>
              <w:adjustRightInd w:val="0"/>
              <w:snapToGrid w:val="0"/>
              <w:spacing w:line="201" w:lineRule="auto"/>
              <w:ind w:left="84" w:firstLine="0" w:firstLineChars="0"/>
              <w:jc w:val="center"/>
              <w:textAlignment w:val="baseline"/>
            </w:pPr>
            <w:r>
              <w:rPr>
                <w:spacing w:val="-2"/>
              </w:rPr>
              <w:t>造价管理</w:t>
            </w:r>
          </w:p>
        </w:tc>
        <w:tc>
          <w:tcPr>
            <w:tcW w:w="1414" w:type="dxa"/>
            <w:vAlign w:val="center"/>
          </w:tcPr>
          <w:p w14:paraId="4F51A50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28BC0AA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2A10050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1E324EB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13B09F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7A0EDE10">
            <w:pPr>
              <w:keepNext w:val="0"/>
              <w:keepLines w:val="0"/>
              <w:pageBreakBefore w:val="0"/>
              <w:widowControl/>
              <w:kinsoku w:val="0"/>
              <w:wordWrap w:val="0"/>
              <w:overflowPunct/>
              <w:topLinePunct w:val="0"/>
              <w:autoSpaceDE w:val="0"/>
              <w:autoSpaceDN w:val="0"/>
              <w:bidi w:val="0"/>
              <w:adjustRightInd w:val="0"/>
              <w:snapToGrid w:val="0"/>
              <w:spacing w:line="201" w:lineRule="auto"/>
              <w:ind w:left="86" w:firstLine="0" w:firstLineChars="0"/>
              <w:jc w:val="center"/>
              <w:textAlignment w:val="baseline"/>
            </w:pPr>
            <w:r>
              <w:rPr>
                <w:spacing w:val="-2"/>
              </w:rPr>
              <w:t>质量管理</w:t>
            </w:r>
          </w:p>
        </w:tc>
        <w:tc>
          <w:tcPr>
            <w:tcW w:w="1414" w:type="dxa"/>
            <w:vAlign w:val="center"/>
          </w:tcPr>
          <w:p w14:paraId="3523EEF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5A6440D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2A0ADBD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7F23CC0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5077BE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2D748A4E">
            <w:pPr>
              <w:keepNext w:val="0"/>
              <w:keepLines w:val="0"/>
              <w:pageBreakBefore w:val="0"/>
              <w:widowControl/>
              <w:kinsoku w:val="0"/>
              <w:wordWrap w:val="0"/>
              <w:overflowPunct/>
              <w:topLinePunct w:val="0"/>
              <w:autoSpaceDE w:val="0"/>
              <w:autoSpaceDN w:val="0"/>
              <w:bidi w:val="0"/>
              <w:adjustRightInd w:val="0"/>
              <w:snapToGrid w:val="0"/>
              <w:spacing w:line="201" w:lineRule="auto"/>
              <w:ind w:left="85" w:firstLine="0" w:firstLineChars="0"/>
              <w:jc w:val="center"/>
              <w:textAlignment w:val="baseline"/>
            </w:pPr>
            <w:r>
              <w:rPr>
                <w:spacing w:val="-2"/>
              </w:rPr>
              <w:t>材料管理</w:t>
            </w:r>
          </w:p>
        </w:tc>
        <w:tc>
          <w:tcPr>
            <w:tcW w:w="1414" w:type="dxa"/>
            <w:vAlign w:val="center"/>
          </w:tcPr>
          <w:p w14:paraId="5D263DD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67088B3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184F333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320040E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268F54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000E6F60">
            <w:pPr>
              <w:keepNext w:val="0"/>
              <w:keepLines w:val="0"/>
              <w:pageBreakBefore w:val="0"/>
              <w:widowControl/>
              <w:kinsoku w:val="0"/>
              <w:wordWrap w:val="0"/>
              <w:overflowPunct/>
              <w:topLinePunct w:val="0"/>
              <w:autoSpaceDE w:val="0"/>
              <w:autoSpaceDN w:val="0"/>
              <w:bidi w:val="0"/>
              <w:adjustRightInd w:val="0"/>
              <w:snapToGrid w:val="0"/>
              <w:spacing w:line="201" w:lineRule="auto"/>
              <w:ind w:left="85" w:firstLine="0" w:firstLineChars="0"/>
              <w:jc w:val="center"/>
              <w:textAlignment w:val="baseline"/>
            </w:pPr>
            <w:r>
              <w:rPr>
                <w:spacing w:val="-2"/>
              </w:rPr>
              <w:t>计划管理</w:t>
            </w:r>
          </w:p>
        </w:tc>
        <w:tc>
          <w:tcPr>
            <w:tcW w:w="1414" w:type="dxa"/>
            <w:vAlign w:val="center"/>
          </w:tcPr>
          <w:p w14:paraId="6396A60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18C590B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52DF978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41CA475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7A8093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tcBorders>
              <w:left w:val="single" w:color="000000" w:sz="12" w:space="0"/>
            </w:tcBorders>
            <w:vAlign w:val="center"/>
          </w:tcPr>
          <w:p w14:paraId="797D756D">
            <w:pPr>
              <w:keepNext w:val="0"/>
              <w:keepLines w:val="0"/>
              <w:pageBreakBefore w:val="0"/>
              <w:widowControl/>
              <w:kinsoku w:val="0"/>
              <w:wordWrap w:val="0"/>
              <w:overflowPunct/>
              <w:topLinePunct w:val="0"/>
              <w:autoSpaceDE w:val="0"/>
              <w:autoSpaceDN w:val="0"/>
              <w:bidi w:val="0"/>
              <w:adjustRightInd w:val="0"/>
              <w:snapToGrid w:val="0"/>
              <w:spacing w:line="201" w:lineRule="auto"/>
              <w:ind w:left="90" w:firstLine="0" w:firstLineChars="0"/>
              <w:jc w:val="center"/>
              <w:textAlignment w:val="baseline"/>
            </w:pPr>
            <w:r>
              <w:rPr>
                <w:spacing w:val="-3"/>
              </w:rPr>
              <w:t>安全管理</w:t>
            </w:r>
          </w:p>
        </w:tc>
        <w:tc>
          <w:tcPr>
            <w:tcW w:w="1414" w:type="dxa"/>
            <w:vAlign w:val="center"/>
          </w:tcPr>
          <w:p w14:paraId="0732AEE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7189580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0716B66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2383150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0F2526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vMerge w:val="restart"/>
            <w:tcBorders>
              <w:left w:val="single" w:color="000000" w:sz="12" w:space="0"/>
              <w:bottom w:val="nil"/>
            </w:tcBorders>
            <w:vAlign w:val="center"/>
          </w:tcPr>
          <w:p w14:paraId="1DA785F9">
            <w:pPr>
              <w:keepNext w:val="0"/>
              <w:keepLines w:val="0"/>
              <w:pageBreakBefore w:val="0"/>
              <w:widowControl/>
              <w:kinsoku w:val="0"/>
              <w:wordWrap w:val="0"/>
              <w:overflowPunct/>
              <w:topLinePunct w:val="0"/>
              <w:autoSpaceDE w:val="0"/>
              <w:autoSpaceDN w:val="0"/>
              <w:bidi w:val="0"/>
              <w:adjustRightInd w:val="0"/>
              <w:snapToGrid w:val="0"/>
              <w:spacing w:line="244" w:lineRule="auto"/>
              <w:ind w:firstLine="0" w:firstLineChars="0"/>
              <w:jc w:val="center"/>
              <w:textAlignment w:val="baseline"/>
              <w:rPr>
                <w:rFonts w:ascii="Arial"/>
                <w:sz w:val="21"/>
              </w:rPr>
            </w:pPr>
          </w:p>
          <w:p w14:paraId="37C0E3AA">
            <w:pPr>
              <w:keepNext w:val="0"/>
              <w:keepLines w:val="0"/>
              <w:pageBreakBefore w:val="0"/>
              <w:widowControl/>
              <w:kinsoku w:val="0"/>
              <w:wordWrap w:val="0"/>
              <w:overflowPunct/>
              <w:topLinePunct w:val="0"/>
              <w:autoSpaceDE w:val="0"/>
              <w:autoSpaceDN w:val="0"/>
              <w:bidi w:val="0"/>
              <w:adjustRightInd w:val="0"/>
              <w:snapToGrid w:val="0"/>
              <w:spacing w:line="244" w:lineRule="auto"/>
              <w:ind w:firstLine="0" w:firstLineChars="0"/>
              <w:jc w:val="center"/>
              <w:textAlignment w:val="baseline"/>
              <w:rPr>
                <w:rFonts w:ascii="Arial"/>
                <w:sz w:val="21"/>
              </w:rPr>
            </w:pPr>
          </w:p>
          <w:p w14:paraId="7D7CFFF7">
            <w:pPr>
              <w:keepNext w:val="0"/>
              <w:keepLines w:val="0"/>
              <w:pageBreakBefore w:val="0"/>
              <w:widowControl/>
              <w:kinsoku w:val="0"/>
              <w:wordWrap w:val="0"/>
              <w:overflowPunct/>
              <w:topLinePunct w:val="0"/>
              <w:autoSpaceDE w:val="0"/>
              <w:autoSpaceDN w:val="0"/>
              <w:bidi w:val="0"/>
              <w:adjustRightInd w:val="0"/>
              <w:snapToGrid w:val="0"/>
              <w:spacing w:line="244" w:lineRule="auto"/>
              <w:ind w:firstLine="0" w:firstLineChars="0"/>
              <w:jc w:val="center"/>
              <w:textAlignment w:val="baseline"/>
              <w:rPr>
                <w:rFonts w:ascii="Arial"/>
                <w:sz w:val="21"/>
              </w:rPr>
            </w:pPr>
          </w:p>
          <w:p w14:paraId="2B7AA951">
            <w:pPr>
              <w:keepNext w:val="0"/>
              <w:keepLines w:val="0"/>
              <w:pageBreakBefore w:val="0"/>
              <w:widowControl/>
              <w:kinsoku w:val="0"/>
              <w:wordWrap w:val="0"/>
              <w:overflowPunct/>
              <w:topLinePunct w:val="0"/>
              <w:autoSpaceDE w:val="0"/>
              <w:autoSpaceDN w:val="0"/>
              <w:bidi w:val="0"/>
              <w:adjustRightInd w:val="0"/>
              <w:snapToGrid w:val="0"/>
              <w:spacing w:line="244" w:lineRule="auto"/>
              <w:ind w:firstLine="0" w:firstLineChars="0"/>
              <w:jc w:val="center"/>
              <w:textAlignment w:val="baseline"/>
              <w:rPr>
                <w:rFonts w:ascii="Arial"/>
                <w:sz w:val="21"/>
              </w:rPr>
            </w:pPr>
          </w:p>
          <w:p w14:paraId="0ED4B27F">
            <w:pPr>
              <w:keepNext w:val="0"/>
              <w:keepLines w:val="0"/>
              <w:pageBreakBefore w:val="0"/>
              <w:widowControl/>
              <w:kinsoku w:val="0"/>
              <w:wordWrap w:val="0"/>
              <w:overflowPunct/>
              <w:topLinePunct w:val="0"/>
              <w:autoSpaceDE w:val="0"/>
              <w:autoSpaceDN w:val="0"/>
              <w:bidi w:val="0"/>
              <w:adjustRightInd w:val="0"/>
              <w:snapToGrid w:val="0"/>
              <w:spacing w:line="245" w:lineRule="auto"/>
              <w:ind w:firstLine="0" w:firstLineChars="0"/>
              <w:jc w:val="center"/>
              <w:textAlignment w:val="baseline"/>
              <w:rPr>
                <w:rFonts w:ascii="Arial"/>
                <w:sz w:val="21"/>
              </w:rPr>
            </w:pPr>
          </w:p>
          <w:p w14:paraId="4D6052CF">
            <w:pPr>
              <w:keepNext w:val="0"/>
              <w:keepLines w:val="0"/>
              <w:pageBreakBefore w:val="0"/>
              <w:widowControl/>
              <w:kinsoku w:val="0"/>
              <w:wordWrap w:val="0"/>
              <w:overflowPunct/>
              <w:topLinePunct w:val="0"/>
              <w:autoSpaceDE w:val="0"/>
              <w:autoSpaceDN w:val="0"/>
              <w:bidi w:val="0"/>
              <w:adjustRightInd w:val="0"/>
              <w:snapToGrid w:val="0"/>
              <w:spacing w:line="220" w:lineRule="auto"/>
              <w:ind w:left="86" w:firstLine="0" w:firstLineChars="0"/>
              <w:jc w:val="center"/>
              <w:textAlignment w:val="baseline"/>
            </w:pPr>
            <w:r>
              <w:rPr>
                <w:spacing w:val="-2"/>
              </w:rPr>
              <w:t>其他人员</w:t>
            </w:r>
          </w:p>
        </w:tc>
        <w:tc>
          <w:tcPr>
            <w:tcW w:w="1414" w:type="dxa"/>
            <w:vAlign w:val="center"/>
          </w:tcPr>
          <w:p w14:paraId="63E8C6E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695ED27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49862DC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2D87B5A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3B6A3C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vMerge w:val="continue"/>
            <w:tcBorders>
              <w:top w:val="nil"/>
              <w:left w:val="single" w:color="000000" w:sz="12" w:space="0"/>
              <w:bottom w:val="nil"/>
            </w:tcBorders>
            <w:vAlign w:val="center"/>
          </w:tcPr>
          <w:p w14:paraId="4DB639D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4" w:type="dxa"/>
            <w:vAlign w:val="center"/>
          </w:tcPr>
          <w:p w14:paraId="3178B3B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21FBB56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4B17FF4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3002C3A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479AC5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vMerge w:val="continue"/>
            <w:tcBorders>
              <w:top w:val="nil"/>
              <w:left w:val="single" w:color="000000" w:sz="12" w:space="0"/>
              <w:bottom w:val="nil"/>
            </w:tcBorders>
            <w:vAlign w:val="center"/>
          </w:tcPr>
          <w:p w14:paraId="3AFB05A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4" w:type="dxa"/>
            <w:vAlign w:val="center"/>
          </w:tcPr>
          <w:p w14:paraId="46E0151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79289F7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36F3370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1F34294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653453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vMerge w:val="continue"/>
            <w:tcBorders>
              <w:top w:val="nil"/>
              <w:left w:val="single" w:color="000000" w:sz="12" w:space="0"/>
              <w:bottom w:val="nil"/>
            </w:tcBorders>
            <w:vAlign w:val="center"/>
          </w:tcPr>
          <w:p w14:paraId="34DD059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4" w:type="dxa"/>
            <w:vAlign w:val="center"/>
          </w:tcPr>
          <w:p w14:paraId="63FDD79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3B80CD3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2AD8EF2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3EDD6AE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56B770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1880" w:type="dxa"/>
            <w:vMerge w:val="continue"/>
            <w:tcBorders>
              <w:top w:val="nil"/>
              <w:left w:val="single" w:color="000000" w:sz="12" w:space="0"/>
              <w:bottom w:val="nil"/>
            </w:tcBorders>
            <w:vAlign w:val="center"/>
          </w:tcPr>
          <w:p w14:paraId="56698DE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4" w:type="dxa"/>
            <w:vAlign w:val="center"/>
          </w:tcPr>
          <w:p w14:paraId="7D696F6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vAlign w:val="center"/>
          </w:tcPr>
          <w:p w14:paraId="5892E06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vAlign w:val="center"/>
          </w:tcPr>
          <w:p w14:paraId="2320390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right w:val="single" w:color="000000" w:sz="12" w:space="0"/>
            </w:tcBorders>
            <w:vAlign w:val="center"/>
          </w:tcPr>
          <w:p w14:paraId="7E89753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2EE3E9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2" w:hRule="atLeast"/>
          <w:jc w:val="center"/>
        </w:trPr>
        <w:tc>
          <w:tcPr>
            <w:tcW w:w="1880" w:type="dxa"/>
            <w:vMerge w:val="continue"/>
            <w:tcBorders>
              <w:top w:val="nil"/>
              <w:left w:val="single" w:color="000000" w:sz="12" w:space="0"/>
              <w:bottom w:val="single" w:color="000000" w:sz="12" w:space="0"/>
            </w:tcBorders>
            <w:vAlign w:val="center"/>
          </w:tcPr>
          <w:p w14:paraId="16F213A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4" w:type="dxa"/>
            <w:tcBorders>
              <w:bottom w:val="single" w:color="000000" w:sz="12" w:space="0"/>
            </w:tcBorders>
            <w:vAlign w:val="center"/>
          </w:tcPr>
          <w:p w14:paraId="1305552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0" w:type="dxa"/>
            <w:tcBorders>
              <w:bottom w:val="single" w:color="000000" w:sz="12" w:space="0"/>
            </w:tcBorders>
            <w:vAlign w:val="center"/>
          </w:tcPr>
          <w:p w14:paraId="1A1D533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131" w:type="dxa"/>
            <w:tcBorders>
              <w:bottom w:val="single" w:color="000000" w:sz="12" w:space="0"/>
            </w:tcBorders>
            <w:vAlign w:val="center"/>
          </w:tcPr>
          <w:p w14:paraId="71F6703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4254" w:type="dxa"/>
            <w:tcBorders>
              <w:bottom w:val="single" w:color="000000" w:sz="12" w:space="0"/>
              <w:right w:val="single" w:color="000000" w:sz="12" w:space="0"/>
            </w:tcBorders>
            <w:vAlign w:val="center"/>
          </w:tcPr>
          <w:p w14:paraId="326E323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bl>
    <w:p w14:paraId="0563821F"/>
    <w:p w14:paraId="38E95B14">
      <w:pPr>
        <w:spacing w:line="257" w:lineRule="auto"/>
      </w:pPr>
    </w:p>
    <w:p w14:paraId="3E26F644">
      <w:pPr>
        <w:spacing w:line="257" w:lineRule="auto"/>
      </w:pPr>
    </w:p>
    <w:p w14:paraId="263A1F8E">
      <w:pPr>
        <w:spacing w:line="258" w:lineRule="auto"/>
      </w:pPr>
    </w:p>
    <w:p w14:paraId="0AE20B89">
      <w:pPr>
        <w:spacing w:line="258" w:lineRule="auto"/>
      </w:pPr>
    </w:p>
    <w:p w14:paraId="57B94CAB">
      <w:pPr>
        <w:spacing w:line="258" w:lineRule="auto"/>
      </w:pPr>
    </w:p>
    <w:p w14:paraId="4491BE44">
      <w:pPr>
        <w:spacing w:line="258" w:lineRule="auto"/>
      </w:pPr>
    </w:p>
    <w:p w14:paraId="30BE8B5D">
      <w:pPr>
        <w:spacing w:line="258" w:lineRule="auto"/>
      </w:pPr>
    </w:p>
    <w:p w14:paraId="66182AB5">
      <w:pPr>
        <w:spacing w:line="258" w:lineRule="auto"/>
      </w:pPr>
    </w:p>
    <w:p w14:paraId="15E836C3">
      <w:pPr>
        <w:spacing w:before="97" w:line="219" w:lineRule="auto"/>
        <w:ind w:left="0" w:leftChars="0" w:firstLine="0" w:firstLineChars="0"/>
        <w:rPr>
          <w:rFonts w:ascii="宋体" w:hAnsi="宋体" w:eastAsia="宋体" w:cs="宋体"/>
          <w:spacing w:val="-16"/>
          <w:sz w:val="30"/>
          <w:szCs w:val="30"/>
        </w:rPr>
      </w:pPr>
    </w:p>
    <w:p w14:paraId="4501F875">
      <w:pPr>
        <w:spacing w:before="97" w:line="219" w:lineRule="auto"/>
        <w:ind w:left="0" w:leftChars="0" w:firstLine="0" w:firstLineChars="0"/>
        <w:rPr>
          <w:rFonts w:ascii="宋体" w:hAnsi="宋体" w:eastAsia="宋体" w:cs="宋体"/>
          <w:sz w:val="30"/>
          <w:szCs w:val="30"/>
        </w:rPr>
      </w:pPr>
      <w:r>
        <w:rPr>
          <w:rFonts w:ascii="宋体" w:hAnsi="宋体" w:eastAsia="宋体" w:cs="宋体"/>
          <w:spacing w:val="-16"/>
          <w:sz w:val="30"/>
          <w:szCs w:val="30"/>
        </w:rPr>
        <w:t>附件8：</w:t>
      </w:r>
    </w:p>
    <w:p w14:paraId="43FEFAA4">
      <w:pPr>
        <w:tabs>
          <w:tab w:val="left" w:pos="1693"/>
        </w:tabs>
        <w:spacing w:before="239" w:line="390" w:lineRule="auto"/>
        <w:ind w:left="0" w:leftChars="0" w:right="3698" w:firstLine="0" w:firstLineChars="0"/>
        <w:jc w:val="center"/>
        <w:rPr>
          <w:rFonts w:ascii="宋体" w:hAnsi="宋体" w:eastAsia="宋体" w:cs="宋体"/>
          <w:spacing w:val="-5"/>
          <w:sz w:val="30"/>
          <w:szCs w:val="30"/>
        </w:rPr>
      </w:pPr>
      <w:r>
        <w:rPr>
          <w:rFonts w:ascii="宋体" w:hAnsi="宋体" w:eastAsia="宋体" w:cs="宋体"/>
          <w:spacing w:val="-5"/>
          <w:sz w:val="30"/>
          <w:szCs w:val="30"/>
        </w:rPr>
        <w:t>履约担保</w:t>
      </w:r>
    </w:p>
    <w:p w14:paraId="24AF6763">
      <w:pPr>
        <w:bidi w:val="0"/>
      </w:pPr>
      <w:r>
        <w:tab/>
      </w:r>
      <w:r>
        <w:t>（发包人名称）：</w:t>
      </w:r>
    </w:p>
    <w:p w14:paraId="1C7D9E7E">
      <w:pPr>
        <w:bidi w:val="0"/>
      </w:pPr>
      <w:r>
        <w:t>鉴于</w:t>
      </w:r>
      <w:r>
        <w:rPr>
          <w:u w:val="single"/>
        </w:rPr>
        <w:t>（发包人名称，以下简称“发包人”）</w:t>
      </w:r>
      <w:r>
        <w:t>与</w:t>
      </w:r>
      <w:r>
        <w:rPr>
          <w:u w:val="single"/>
        </w:rPr>
        <w:t>（承包人名称）</w:t>
      </w:r>
      <w:r>
        <w:t>（以下称“承包人”）于</w:t>
      </w:r>
      <w:r>
        <w:rPr>
          <w:rFonts w:hint="eastAsia"/>
          <w:u w:val="single"/>
          <w:lang w:val="en-US" w:eastAsia="zh-CN"/>
        </w:rPr>
        <w:t xml:space="preserve">     </w:t>
      </w:r>
      <w:r>
        <w:rPr>
          <w:u w:val="none"/>
        </w:rPr>
        <w:t>年</w:t>
      </w:r>
      <w:r>
        <w:rPr>
          <w:rFonts w:hint="eastAsia"/>
          <w:u w:val="single"/>
          <w:lang w:val="en-US" w:eastAsia="zh-CN"/>
        </w:rPr>
        <w:t xml:space="preserve">    </w:t>
      </w:r>
      <w:r>
        <w:rPr>
          <w:u w:val="none"/>
        </w:rPr>
        <w:t>月</w:t>
      </w:r>
      <w:r>
        <w:rPr>
          <w:rFonts w:hint="eastAsia"/>
          <w:u w:val="single"/>
          <w:lang w:val="en-US" w:eastAsia="zh-CN"/>
        </w:rPr>
        <w:t xml:space="preserve">    </w:t>
      </w:r>
      <w:r>
        <w:rPr>
          <w:rFonts w:hint="eastAsia"/>
          <w:u w:val="none"/>
          <w:lang w:val="en-US" w:eastAsia="zh-CN"/>
        </w:rPr>
        <w:t xml:space="preserve"> </w:t>
      </w:r>
      <w:r>
        <w:rPr>
          <w:u w:val="none"/>
        </w:rPr>
        <w:t>日</w:t>
      </w:r>
      <w:r>
        <w:t>就</w:t>
      </w:r>
      <w:r>
        <w:rPr>
          <w:u w:val="single"/>
        </w:rPr>
        <w:t>（工程名称）</w:t>
      </w:r>
      <w:r>
        <w:t>施工及有关事项协商一致共同签订《建设工程施工合同》。我方愿意无条件地、不可撤销地就承包人履行与你方签订的合同，向你方提供连带责任担保。</w:t>
      </w:r>
    </w:p>
    <w:p w14:paraId="3D1F478C">
      <w:pPr>
        <w:bidi w:val="0"/>
      </w:pPr>
      <w:r>
        <w:t>1.担保金额</w:t>
      </w:r>
      <w:r>
        <w:rPr>
          <w:u w:val="single"/>
        </w:rPr>
        <w:t>人民币（大写）元(¥)</w:t>
      </w:r>
      <w:r>
        <w:t>。</w:t>
      </w:r>
    </w:p>
    <w:p w14:paraId="0CEEFE6C">
      <w:pPr>
        <w:bidi w:val="0"/>
      </w:pPr>
      <w:r>
        <w:t>2.担保有效期自你方与承包人签订的合同生效之日起至你方签发或应签发工程接收证书之日止。</w:t>
      </w:r>
    </w:p>
    <w:p w14:paraId="4C9C836B">
      <w:pPr>
        <w:bidi w:val="0"/>
      </w:pPr>
      <w:r>
        <w:t>3.在本担保有效期内，因承包人违反合同约定的义务给你方造成经济损失时，我方在收到你方以书面形式提出的在担保金额内的赔偿要求后，在7天内无条件支付。</w:t>
      </w:r>
    </w:p>
    <w:p w14:paraId="4D6C098D">
      <w:pPr>
        <w:bidi w:val="0"/>
      </w:pPr>
      <w:r>
        <w:t>4.你方和承包人按合同约定变更合同时，我方承担本担保规定的义务不变。</w:t>
      </w:r>
    </w:p>
    <w:p w14:paraId="0098145F">
      <w:pPr>
        <w:bidi w:val="0"/>
      </w:pPr>
      <w:r>
        <w:t>5.因本保函发生的纠纷，可由双方协商解决，协商不成的，任何一方均可提请仲裁委员会仲裁。</w:t>
      </w:r>
    </w:p>
    <w:p w14:paraId="5968AF2A">
      <w:pPr>
        <w:bidi w:val="0"/>
      </w:pPr>
      <w:r>
        <w:t>6.本保函自我方法定代表人（或其授权代理人）签字并加盖公章之日起生效。</w:t>
      </w:r>
    </w:p>
    <w:p w14:paraId="5DBEB35C">
      <w:pPr>
        <w:bidi w:val="0"/>
      </w:pPr>
    </w:p>
    <w:p w14:paraId="132640CC">
      <w:pPr>
        <w:bidi w:val="0"/>
      </w:pPr>
    </w:p>
    <w:p w14:paraId="6B0FF4E2">
      <w:pPr>
        <w:bidi w:val="0"/>
      </w:pPr>
      <w:r>
        <w:t>担保人：（盖单位章）</w:t>
      </w:r>
    </w:p>
    <w:p w14:paraId="194BB385">
      <w:pPr>
        <w:bidi w:val="0"/>
      </w:pPr>
      <w:r>
        <w:t>法定代表人或其委托代理人：（签字）</w:t>
      </w:r>
    </w:p>
    <w:p w14:paraId="26E7D10C">
      <w:pPr>
        <w:bidi w:val="0"/>
      </w:pPr>
      <w:r>
        <w:t>地址：</w:t>
      </w:r>
    </w:p>
    <w:p w14:paraId="7E675377">
      <w:pPr>
        <w:bidi w:val="0"/>
      </w:pPr>
      <w:r>
        <w:t>邮政编码：</w:t>
      </w:r>
    </w:p>
    <w:p w14:paraId="4EF18BDB">
      <w:pPr>
        <w:bidi w:val="0"/>
      </w:pPr>
      <w:r>
        <w:t>电话：</w:t>
      </w:r>
    </w:p>
    <w:p w14:paraId="3023DB68">
      <w:pPr>
        <w:bidi w:val="0"/>
        <w:rPr>
          <w:rFonts w:hint="eastAsia" w:eastAsia="宋体"/>
          <w:lang w:eastAsia="zh-CN"/>
        </w:rPr>
      </w:pPr>
      <w:r>
        <w:t>传真：</w:t>
      </w:r>
    </w:p>
    <w:p w14:paraId="14B1BEA2">
      <w:pPr>
        <w:bidi w:val="0"/>
        <w:rPr>
          <w:rFonts w:ascii="宋体" w:hAnsi="宋体" w:eastAsia="宋体" w:cs="宋体"/>
          <w:szCs w:val="24"/>
        </w:rPr>
      </w:pPr>
      <w:r>
        <w:tab/>
      </w:r>
      <w:r>
        <w:t>年月日</w:t>
      </w:r>
    </w:p>
    <w:p w14:paraId="308A2C48">
      <w:pPr>
        <w:spacing w:line="274" w:lineRule="auto"/>
      </w:pPr>
    </w:p>
    <w:p w14:paraId="2FC1B80A">
      <w:pPr>
        <w:spacing w:line="275" w:lineRule="auto"/>
      </w:pPr>
    </w:p>
    <w:p w14:paraId="5710CB64">
      <w:pPr>
        <w:spacing w:line="275" w:lineRule="auto"/>
      </w:pPr>
    </w:p>
    <w:p w14:paraId="72EA6EA5">
      <w:pPr>
        <w:spacing w:line="275" w:lineRule="auto"/>
      </w:pPr>
    </w:p>
    <w:p w14:paraId="37ABC24D">
      <w:pPr>
        <w:spacing w:line="275" w:lineRule="auto"/>
      </w:pPr>
    </w:p>
    <w:p w14:paraId="12B9F48C">
      <w:pPr>
        <w:spacing w:line="275" w:lineRule="auto"/>
      </w:pPr>
    </w:p>
    <w:p w14:paraId="772B5866">
      <w:pPr>
        <w:spacing w:before="98" w:line="219" w:lineRule="auto"/>
        <w:ind w:left="0" w:leftChars="0" w:firstLine="0" w:firstLineChars="0"/>
        <w:rPr>
          <w:rFonts w:ascii="宋体" w:hAnsi="宋体" w:eastAsia="宋体" w:cs="宋体"/>
          <w:sz w:val="30"/>
          <w:szCs w:val="30"/>
        </w:rPr>
      </w:pPr>
      <w:r>
        <w:rPr>
          <w:rFonts w:ascii="宋体" w:hAnsi="宋体" w:eastAsia="宋体" w:cs="宋体"/>
          <w:spacing w:val="-10"/>
          <w:sz w:val="30"/>
          <w:szCs w:val="30"/>
        </w:rPr>
        <w:t>附件9：</w:t>
      </w:r>
    </w:p>
    <w:p w14:paraId="135F8FA4">
      <w:pPr>
        <w:bidi w:val="0"/>
        <w:ind w:left="0" w:leftChars="0" w:firstLine="0" w:firstLineChars="0"/>
        <w:jc w:val="center"/>
      </w:pPr>
      <w:r>
        <w:rPr>
          <w:sz w:val="32"/>
          <w:szCs w:val="32"/>
        </w:rPr>
        <w:t>预付款担保</w:t>
      </w:r>
    </w:p>
    <w:p w14:paraId="0381F9E6">
      <w:pPr>
        <w:bidi w:val="0"/>
      </w:pPr>
      <w:r>
        <w:tab/>
      </w:r>
      <w:r>
        <w:t>（发包人名称）：</w:t>
      </w:r>
    </w:p>
    <w:p w14:paraId="0E70F78A">
      <w:pPr>
        <w:bidi w:val="0"/>
      </w:pPr>
      <w:r>
        <w:t>根据</w:t>
      </w:r>
      <w:r>
        <w:rPr>
          <w:u w:val="single"/>
        </w:rPr>
        <w:t>（承包人名称）（以下称“承包人”）</w:t>
      </w:r>
      <w:r>
        <w:t>与</w:t>
      </w:r>
      <w:r>
        <w:rPr>
          <w:u w:val="single"/>
        </w:rPr>
        <w:t>（发包人名称）</w:t>
      </w:r>
      <w:r>
        <w:t>（以下简称“发包人”）</w:t>
      </w:r>
    </w:p>
    <w:p w14:paraId="65CC6799">
      <w:pPr>
        <w:bidi w:val="0"/>
      </w:pPr>
      <w:r>
        <w:t>于</w:t>
      </w:r>
      <w:r>
        <w:rPr>
          <w:rFonts w:hint="eastAsia"/>
          <w:u w:val="single"/>
          <w:lang w:val="en-US" w:eastAsia="zh-CN"/>
        </w:rPr>
        <w:t xml:space="preserve">     </w:t>
      </w:r>
      <w:r>
        <w:rPr>
          <w:u w:val="single"/>
        </w:rPr>
        <w:t>年</w:t>
      </w:r>
      <w:r>
        <w:rPr>
          <w:rFonts w:hint="eastAsia"/>
          <w:u w:val="single"/>
          <w:lang w:val="en-US" w:eastAsia="zh-CN"/>
        </w:rPr>
        <w:t xml:space="preserve">    </w:t>
      </w:r>
      <w:r>
        <w:rPr>
          <w:u w:val="single"/>
        </w:rPr>
        <w:t>月</w:t>
      </w:r>
      <w:r>
        <w:rPr>
          <w:rFonts w:hint="eastAsia"/>
          <w:u w:val="single"/>
          <w:lang w:val="en-US" w:eastAsia="zh-CN"/>
        </w:rPr>
        <w:t xml:space="preserve">    </w:t>
      </w:r>
      <w:r>
        <w:rPr>
          <w:u w:val="single"/>
        </w:rPr>
        <w:t>日</w:t>
      </w:r>
      <w:r>
        <w:t>签订的</w:t>
      </w:r>
      <w:r>
        <w:rPr>
          <w:u w:val="single"/>
        </w:rPr>
        <w:t>（工程名称）</w:t>
      </w:r>
      <w:r>
        <w:t>《建设工程施工合同》，承包人按约定的金额向你方提交一份预付款担保，即有权得到你方支付相等金额的预付款。我方愿意就你方提供给承包人的预付款为承包人提供连带责任担保。</w:t>
      </w:r>
    </w:p>
    <w:p w14:paraId="4A51CE25">
      <w:pPr>
        <w:bidi w:val="0"/>
      </w:pPr>
      <w:r>
        <w:t>1.担保金额</w:t>
      </w:r>
      <w:r>
        <w:rPr>
          <w:u w:val="single"/>
        </w:rPr>
        <w:t>人民币（大写）元(¥)</w:t>
      </w:r>
      <w:r>
        <w:t>。</w:t>
      </w:r>
    </w:p>
    <w:p w14:paraId="55B49446">
      <w:pPr>
        <w:bidi w:val="0"/>
      </w:pPr>
      <w:r>
        <w:t>2.担保有效期自预付款支付给承包人起生效，至你方签发的进度款支付证书说明已完全扣清止。</w:t>
      </w:r>
    </w:p>
    <w:p w14:paraId="121089B5">
      <w:pPr>
        <w:bidi w:val="0"/>
      </w:pPr>
      <w:r>
        <w:t>3.在本保函有效期内，因承包人违反合同约定的义务而要求收回预付款时，我方在收到你方的书面通知后，在7天内无条件支付。但本保函的担保金额，在任何时候不应超过预付款金额减去你方按合同约定在向承包人签发的进度款支付证书中扣除的金额。</w:t>
      </w:r>
    </w:p>
    <w:p w14:paraId="3E5E5472">
      <w:pPr>
        <w:bidi w:val="0"/>
      </w:pPr>
      <w:r>
        <w:t>4.你方和承包人按合同约定变更合同时，我方承担本保函规定的义务不变。</w:t>
      </w:r>
    </w:p>
    <w:p w14:paraId="33BA62B6">
      <w:pPr>
        <w:bidi w:val="0"/>
      </w:pPr>
      <w:r>
        <w:t>5.因本保函发生的纠纷，可由双方协商解决，协商不成的，任何一方均可提请仲裁委员会仲裁。</w:t>
      </w:r>
    </w:p>
    <w:p w14:paraId="6F7B6531">
      <w:pPr>
        <w:bidi w:val="0"/>
      </w:pPr>
      <w:r>
        <w:t>6.本保函自我方法定代表人（或其授权代理人）签字并加盖公章之日起生效。</w:t>
      </w:r>
    </w:p>
    <w:p w14:paraId="0A53DDDC">
      <w:pPr>
        <w:bidi w:val="0"/>
      </w:pPr>
      <w:r>
        <w:t>担保人：（盖单位章）</w:t>
      </w:r>
    </w:p>
    <w:p w14:paraId="5BFE338F">
      <w:pPr>
        <w:bidi w:val="0"/>
      </w:pPr>
      <w:r>
        <w:t>法定代表人或其委托代理人：（签字）</w:t>
      </w:r>
    </w:p>
    <w:p w14:paraId="38D5A930">
      <w:pPr>
        <w:bidi w:val="0"/>
      </w:pPr>
      <w:r>
        <w:t>地址：邮政编码：电话：</w:t>
      </w:r>
      <w:r>
        <w:tab/>
      </w:r>
    </w:p>
    <w:p w14:paraId="46866E6F">
      <w:pPr>
        <w:bidi w:val="0"/>
        <w:rPr>
          <w:rFonts w:hint="eastAsia"/>
          <w:lang w:eastAsia="zh-CN"/>
        </w:rPr>
      </w:pPr>
      <w:r>
        <w:t>传真：</w:t>
      </w:r>
    </w:p>
    <w:p w14:paraId="083F6CDF">
      <w:pPr>
        <w:bidi w:val="0"/>
        <w:rPr>
          <w:rFonts w:ascii="宋体" w:hAnsi="宋体" w:eastAsia="宋体" w:cs="宋体"/>
          <w:szCs w:val="24"/>
        </w:rPr>
      </w:pPr>
      <w:r>
        <w:tab/>
      </w:r>
      <w:r>
        <w:t>年月日</w:t>
      </w:r>
    </w:p>
    <w:p w14:paraId="1656137C">
      <w:pPr>
        <w:bidi w:val="0"/>
      </w:pPr>
    </w:p>
    <w:p w14:paraId="305233AF">
      <w:pPr>
        <w:bidi w:val="0"/>
      </w:pPr>
    </w:p>
    <w:p w14:paraId="22DF0582">
      <w:pPr>
        <w:bidi w:val="0"/>
      </w:pPr>
    </w:p>
    <w:p w14:paraId="2F5A6566">
      <w:pPr>
        <w:bidi w:val="0"/>
      </w:pPr>
    </w:p>
    <w:p w14:paraId="4F5EA972">
      <w:pPr>
        <w:bidi w:val="0"/>
      </w:pPr>
    </w:p>
    <w:p w14:paraId="541E8865">
      <w:pPr>
        <w:bidi w:val="0"/>
      </w:pPr>
    </w:p>
    <w:p w14:paraId="128BF855">
      <w:pPr>
        <w:bidi w:val="0"/>
        <w:ind w:left="0" w:leftChars="0" w:firstLine="0" w:firstLineChars="0"/>
      </w:pPr>
    </w:p>
    <w:p w14:paraId="2E019DAD">
      <w:pPr>
        <w:spacing w:before="97" w:line="219" w:lineRule="auto"/>
        <w:ind w:left="0" w:leftChars="0" w:firstLine="0" w:firstLineChars="0"/>
        <w:rPr>
          <w:rFonts w:ascii="宋体" w:hAnsi="宋体" w:eastAsia="宋体" w:cs="宋体"/>
          <w:sz w:val="30"/>
          <w:szCs w:val="30"/>
        </w:rPr>
      </w:pPr>
      <w:r>
        <w:rPr>
          <w:rFonts w:ascii="宋体" w:hAnsi="宋体" w:eastAsia="宋体" w:cs="宋体"/>
          <w:spacing w:val="-12"/>
          <w:sz w:val="30"/>
          <w:szCs w:val="30"/>
        </w:rPr>
        <w:t>附件10:</w:t>
      </w:r>
    </w:p>
    <w:p w14:paraId="1B9CA7D1">
      <w:pPr>
        <w:spacing w:before="239" w:line="220" w:lineRule="auto"/>
        <w:ind w:left="0" w:leftChars="0" w:firstLine="0" w:firstLineChars="0"/>
        <w:jc w:val="center"/>
        <w:rPr>
          <w:rFonts w:ascii="宋体" w:hAnsi="宋体" w:eastAsia="宋体" w:cs="宋体"/>
          <w:sz w:val="30"/>
          <w:szCs w:val="30"/>
        </w:rPr>
      </w:pPr>
      <w:r>
        <w:rPr>
          <w:rFonts w:ascii="宋体" w:hAnsi="宋体" w:eastAsia="宋体" w:cs="宋体"/>
          <w:spacing w:val="-3"/>
          <w:sz w:val="30"/>
          <w:szCs w:val="30"/>
        </w:rPr>
        <w:t>支付担保</w:t>
      </w:r>
    </w:p>
    <w:p w14:paraId="30E0B1AE">
      <w:pPr>
        <w:bidi w:val="0"/>
        <w:ind w:left="0" w:leftChars="0" w:firstLine="480" w:firstLineChars="200"/>
      </w:pPr>
      <w:r>
        <w:t>（承包人）：</w:t>
      </w:r>
    </w:p>
    <w:p w14:paraId="1D47CF84">
      <w:pPr>
        <w:bidi w:val="0"/>
      </w:pPr>
      <w:r>
        <w:t>鉴于你方作为承包人已经与（发包人名称）（以下称“发包人”）于年月日签订了（工程名称）《建设工程施工合同》（以下称“主合同”），应发包人的申请，我方愿就发包人履行主合同约定的工程款支付义务以保证的方式向你方提供如下担保：</w:t>
      </w:r>
    </w:p>
    <w:p w14:paraId="723ABA0C">
      <w:pPr>
        <w:bidi w:val="0"/>
      </w:pPr>
      <w:r>
        <w:t>一、保证的范围及保证金额</w:t>
      </w:r>
    </w:p>
    <w:p w14:paraId="02ACCA6F">
      <w:pPr>
        <w:bidi w:val="0"/>
      </w:pPr>
      <w:r>
        <w:t>1.我方的保证范围是主合同约定的工程款。</w:t>
      </w:r>
    </w:p>
    <w:p w14:paraId="5319EAEF">
      <w:pPr>
        <w:bidi w:val="0"/>
      </w:pPr>
      <w:r>
        <w:t>2.本保函所称主合同约定的工程款是指主合同约定的除工程质量保证金以外的合同价款。</w:t>
      </w:r>
    </w:p>
    <w:p w14:paraId="224A1DCA">
      <w:pPr>
        <w:bidi w:val="0"/>
      </w:pPr>
      <w:r>
        <w:t>3.我方保证的金额是主合同约定的工程款的%，数额最高不超过人民币元（大写：）。</w:t>
      </w:r>
    </w:p>
    <w:p w14:paraId="4B4FCF09">
      <w:pPr>
        <w:bidi w:val="0"/>
      </w:pPr>
      <w:r>
        <w:t>二、保证的方式及保证期间</w:t>
      </w:r>
    </w:p>
    <w:p w14:paraId="7BDF0828">
      <w:pPr>
        <w:bidi w:val="0"/>
      </w:pPr>
      <w:r>
        <w:t>1.我方保证的方式为：连带责任保证。</w:t>
      </w:r>
    </w:p>
    <w:p w14:paraId="3BF508B0">
      <w:pPr>
        <w:bidi w:val="0"/>
      </w:pPr>
      <w:r>
        <w:t>2.我方保证的期间为：自本合同生效之日起至主合同约定的工程款支付完毕之日后日内。</w:t>
      </w:r>
    </w:p>
    <w:p w14:paraId="600D7760">
      <w:pPr>
        <w:bidi w:val="0"/>
      </w:pPr>
      <w:r>
        <w:t>3.你方与发包人协议变更工程款支付日期的，经我方书面同意后，保证期间按照变更后的支付日期做相应调整。</w:t>
      </w:r>
    </w:p>
    <w:p w14:paraId="2A8B3058">
      <w:pPr>
        <w:bidi w:val="0"/>
      </w:pPr>
      <w:r>
        <w:t>三、承担保证责任的形式</w:t>
      </w:r>
    </w:p>
    <w:p w14:paraId="377B0F01">
      <w:pPr>
        <w:bidi w:val="0"/>
      </w:pPr>
      <w:r>
        <w:t>我方承担保证责任的形式是代为支付。发包人未按主合同约定向你方支付工程款的，由我方在保证金额内代为支付。</w:t>
      </w:r>
    </w:p>
    <w:p w14:paraId="4FA839C9">
      <w:pPr>
        <w:bidi w:val="0"/>
      </w:pPr>
      <w:r>
        <w:t>四、代偿的安排</w:t>
      </w:r>
    </w:p>
    <w:p w14:paraId="11007646">
      <w:pPr>
        <w:bidi w:val="0"/>
      </w:pPr>
      <w:r>
        <w:t>1.你方要求我方承担保证责任的，应向我方发出书面索赔通知及发包人未支付主合同约定工程款的证明材料。索赔通知应写明要求索赔的金额，支付款项应到达的账号。</w:t>
      </w:r>
    </w:p>
    <w:p w14:paraId="347EF3E5">
      <w:pPr>
        <w:bidi w:val="0"/>
      </w:pPr>
      <w:r>
        <w:t>2.在出现你方与发包人因工程质量发生争议，发包人拒绝向你方支付工程款的情形时，你方要求我方履行保证责任代为支付的，需提供符合相应条件要求的工程质量检测机构出具的质量说明材料。</w:t>
      </w:r>
    </w:p>
    <w:p w14:paraId="615F95A8">
      <w:pPr>
        <w:bidi w:val="0"/>
      </w:pPr>
      <w:r>
        <w:t>3.我方收到你方的书面索赔通知及相应的证明材料后7天内无条件支付。</w:t>
      </w:r>
    </w:p>
    <w:p w14:paraId="257E7F71">
      <w:pPr>
        <w:bidi w:val="0"/>
      </w:pPr>
      <w:r>
        <w:t>五、保证责任的解除</w:t>
      </w:r>
    </w:p>
    <w:p w14:paraId="3540F858">
      <w:pPr>
        <w:bidi w:val="0"/>
      </w:pPr>
      <w:r>
        <w:t>1.在本保函承诺的保证期间内，你方未书面向我方主张保证责任的，自保证期间届满次日起，我方保证责任解除。</w:t>
      </w:r>
    </w:p>
    <w:p w14:paraId="17E9395D">
      <w:pPr>
        <w:bidi w:val="0"/>
      </w:pPr>
      <w:r>
        <w:t>2.发包人按主合同约定履行了工程款的全部支付义务的，自本保函承诺的保证期间届满次日起，我方保证责任解除。</w:t>
      </w:r>
    </w:p>
    <w:p w14:paraId="0C91327C">
      <w:pPr>
        <w:bidi w:val="0"/>
      </w:pPr>
      <w:r>
        <w:t>3.我方按照本保函向你方履行保证责任所支付金额达到本保函保证金额时，自我方向你方支付（支付款项从我方账户划出）之日起，保证责任即解除。</w:t>
      </w:r>
    </w:p>
    <w:p w14:paraId="4AEA1A14">
      <w:pPr>
        <w:bidi w:val="0"/>
      </w:pPr>
      <w:r>
        <w:t>4.按照法律法规的规定或出现应解除我方保证责任的其他情形的，我方在本保函项下的保证责任亦解除。</w:t>
      </w:r>
    </w:p>
    <w:p w14:paraId="4100E6CF">
      <w:pPr>
        <w:bidi w:val="0"/>
      </w:pPr>
      <w:r>
        <w:t>5.我方解除保证责任后，你方应自我方保证责任解除之日起个工作日内，将本保函原件返还我方。</w:t>
      </w:r>
    </w:p>
    <w:p w14:paraId="7CBB5897">
      <w:pPr>
        <w:bidi w:val="0"/>
      </w:pPr>
      <w:r>
        <w:t>六、免责条款</w:t>
      </w:r>
    </w:p>
    <w:p w14:paraId="43DED144">
      <w:pPr>
        <w:bidi w:val="0"/>
      </w:pPr>
      <w:r>
        <w:t>1.因你方违约致使发包人不能履行义务的，我方不承担保证责任。</w:t>
      </w:r>
    </w:p>
    <w:p w14:paraId="596C726F">
      <w:pPr>
        <w:bidi w:val="0"/>
      </w:pPr>
      <w:r>
        <w:t>2.依照法律法规的规定或你方与发包人的另行约定，免除发包人部分或全部义务的，我方亦免除其相应的保证责任。</w:t>
      </w:r>
    </w:p>
    <w:p w14:paraId="6EF8DEED">
      <w:pPr>
        <w:bidi w:val="0"/>
      </w:pPr>
      <w:r>
        <w:t>3.你方与发包人协议变更主合同的，如加重发包人责任致使我方保证责任加重的，需征得我方书面同意，否则我方不再承担因此而加重部分的保证责任，但主合同第10条〔变更〕约定的变更不受本款限制。</w:t>
      </w:r>
    </w:p>
    <w:p w14:paraId="20BB2620">
      <w:pPr>
        <w:bidi w:val="0"/>
      </w:pPr>
      <w:r>
        <w:t>4.因不可抗力造成发包人不能履行义务的，我方不承担保证责任。</w:t>
      </w:r>
    </w:p>
    <w:p w14:paraId="1D1AA4F1">
      <w:pPr>
        <w:bidi w:val="0"/>
      </w:pPr>
      <w:r>
        <w:t>七、争议解决</w:t>
      </w:r>
    </w:p>
    <w:p w14:paraId="558C3116">
      <w:pPr>
        <w:bidi w:val="0"/>
      </w:pPr>
      <w:r>
        <w:t>因本保函或本保函相关事项发生的纠纷，可由双方协商解决，协商不成的，按下列第种方式解决：</w:t>
      </w:r>
    </w:p>
    <w:p w14:paraId="66339168">
      <w:pPr>
        <w:bidi w:val="0"/>
      </w:pPr>
      <w:r>
        <w:t>（1）向仲裁委员会申请仲裁；</w:t>
      </w:r>
    </w:p>
    <w:p w14:paraId="573F7A80">
      <w:pPr>
        <w:bidi w:val="0"/>
      </w:pPr>
      <w:r>
        <w:t>（2）向人民法院起诉。八、保函的生效</w:t>
      </w:r>
    </w:p>
    <w:p w14:paraId="28ED8B35">
      <w:pPr>
        <w:bidi w:val="0"/>
      </w:pPr>
      <w:r>
        <w:t>本保函自我方法定代表人（或其授权代理人）签字并加盖公章之日起生效。</w:t>
      </w:r>
    </w:p>
    <w:p w14:paraId="6AF781EC">
      <w:pPr>
        <w:bidi w:val="0"/>
      </w:pPr>
      <w:r>
        <w:t>担保人：（盖章）</w:t>
      </w:r>
    </w:p>
    <w:p w14:paraId="53AB90C6">
      <w:pPr>
        <w:bidi w:val="0"/>
      </w:pPr>
      <w:r>
        <w:t>法定代表人或委托代理人：（签字）</w:t>
      </w:r>
    </w:p>
    <w:p w14:paraId="5BCC5A1B">
      <w:pPr>
        <w:bidi w:val="0"/>
      </w:pPr>
      <w:r>
        <w:t>地址：</w:t>
      </w:r>
    </w:p>
    <w:p w14:paraId="308E0EAB">
      <w:pPr>
        <w:bidi w:val="0"/>
      </w:pPr>
      <w:r>
        <w:t>邮政编码：</w:t>
      </w:r>
    </w:p>
    <w:p w14:paraId="6C426BC9">
      <w:pPr>
        <w:bidi w:val="0"/>
      </w:pPr>
      <w:r>
        <w:t>传真：</w:t>
      </w:r>
    </w:p>
    <w:p w14:paraId="0E1B8291">
      <w:pPr>
        <w:bidi w:val="0"/>
      </w:pPr>
      <w:r>
        <w:tab/>
      </w:r>
      <w:r>
        <w:t>年月日</w:t>
      </w:r>
    </w:p>
    <w:p w14:paraId="2F86D183">
      <w:pPr>
        <w:spacing w:before="97" w:line="219" w:lineRule="auto"/>
        <w:ind w:left="0" w:leftChars="0" w:firstLine="0" w:firstLineChars="0"/>
        <w:rPr>
          <w:rFonts w:ascii="宋体" w:hAnsi="宋体" w:eastAsia="宋体" w:cs="宋体"/>
          <w:sz w:val="30"/>
          <w:szCs w:val="30"/>
        </w:rPr>
      </w:pPr>
      <w:r>
        <w:rPr>
          <w:rFonts w:ascii="宋体" w:hAnsi="宋体" w:eastAsia="宋体" w:cs="宋体"/>
          <w:spacing w:val="-18"/>
          <w:sz w:val="30"/>
          <w:szCs w:val="30"/>
        </w:rPr>
        <w:t>附件11：</w:t>
      </w:r>
    </w:p>
    <w:p w14:paraId="1C95351E">
      <w:pPr>
        <w:spacing w:before="240" w:line="218" w:lineRule="auto"/>
        <w:ind w:left="0" w:leftChars="0" w:firstLine="0" w:firstLineChars="0"/>
        <w:jc w:val="center"/>
        <w:outlineLvl w:val="9"/>
        <w:rPr>
          <w:rFonts w:ascii="宋体" w:hAnsi="宋体" w:eastAsia="宋体" w:cs="宋体"/>
          <w:sz w:val="30"/>
          <w:szCs w:val="30"/>
        </w:rPr>
      </w:pPr>
      <w:r>
        <w:rPr>
          <w:rFonts w:ascii="宋体" w:hAnsi="宋体" w:eastAsia="宋体" w:cs="宋体"/>
          <w:spacing w:val="-4"/>
          <w:sz w:val="30"/>
          <w:szCs w:val="30"/>
        </w:rPr>
        <w:t>11-1：材料暂估价表</w:t>
      </w:r>
    </w:p>
    <w:p w14:paraId="0757F66F">
      <w:pPr>
        <w:spacing w:line="147" w:lineRule="exact"/>
      </w:pPr>
    </w:p>
    <w:tbl>
      <w:tblPr>
        <w:tblStyle w:val="10"/>
        <w:tblW w:w="9073" w:type="dxa"/>
        <w:tblInd w:w="1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005"/>
        <w:gridCol w:w="1978"/>
        <w:gridCol w:w="848"/>
        <w:gridCol w:w="771"/>
        <w:gridCol w:w="1348"/>
        <w:gridCol w:w="1413"/>
        <w:gridCol w:w="1710"/>
      </w:tblGrid>
      <w:tr w14:paraId="038023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7" w:hRule="atLeast"/>
        </w:trPr>
        <w:tc>
          <w:tcPr>
            <w:tcW w:w="1005" w:type="dxa"/>
            <w:tcBorders>
              <w:top w:val="single" w:color="000000" w:sz="12" w:space="0"/>
              <w:left w:val="single" w:color="000000" w:sz="12" w:space="0"/>
            </w:tcBorders>
            <w:vAlign w:val="center"/>
          </w:tcPr>
          <w:p w14:paraId="7B3853DA">
            <w:pPr>
              <w:keepNext w:val="0"/>
              <w:keepLines w:val="0"/>
              <w:pageBreakBefore w:val="0"/>
              <w:widowControl/>
              <w:kinsoku w:val="0"/>
              <w:wordWrap w:val="0"/>
              <w:overflowPunct/>
              <w:topLinePunct w:val="0"/>
              <w:autoSpaceDE w:val="0"/>
              <w:autoSpaceDN w:val="0"/>
              <w:bidi w:val="0"/>
              <w:adjustRightInd w:val="0"/>
              <w:snapToGrid w:val="0"/>
              <w:spacing w:line="221" w:lineRule="auto"/>
              <w:ind w:left="249" w:firstLine="0" w:firstLineChars="0"/>
              <w:jc w:val="both"/>
              <w:textAlignment w:val="baseline"/>
            </w:pPr>
            <w:r>
              <w:rPr>
                <w:spacing w:val="-3"/>
              </w:rPr>
              <w:t>序号</w:t>
            </w:r>
          </w:p>
        </w:tc>
        <w:tc>
          <w:tcPr>
            <w:tcW w:w="1978" w:type="dxa"/>
            <w:tcBorders>
              <w:top w:val="single" w:color="000000" w:sz="12" w:space="0"/>
            </w:tcBorders>
            <w:vAlign w:val="center"/>
          </w:tcPr>
          <w:p w14:paraId="13B59BA0">
            <w:pPr>
              <w:keepNext w:val="0"/>
              <w:keepLines w:val="0"/>
              <w:pageBreakBefore w:val="0"/>
              <w:widowControl/>
              <w:kinsoku w:val="0"/>
              <w:wordWrap w:val="0"/>
              <w:overflowPunct/>
              <w:topLinePunct w:val="0"/>
              <w:autoSpaceDE w:val="0"/>
              <w:autoSpaceDN w:val="0"/>
              <w:bidi w:val="0"/>
              <w:adjustRightInd w:val="0"/>
              <w:snapToGrid w:val="0"/>
              <w:spacing w:line="222" w:lineRule="auto"/>
              <w:ind w:left="744" w:firstLine="0" w:firstLineChars="0"/>
              <w:jc w:val="both"/>
              <w:textAlignment w:val="baseline"/>
            </w:pPr>
            <w:r>
              <w:rPr>
                <w:spacing w:val="-4"/>
              </w:rPr>
              <w:t>名称</w:t>
            </w:r>
          </w:p>
        </w:tc>
        <w:tc>
          <w:tcPr>
            <w:tcW w:w="848" w:type="dxa"/>
            <w:tcBorders>
              <w:top w:val="single" w:color="000000" w:sz="12" w:space="0"/>
            </w:tcBorders>
            <w:vAlign w:val="center"/>
          </w:tcPr>
          <w:p w14:paraId="4C0FED4A">
            <w:pPr>
              <w:keepNext w:val="0"/>
              <w:keepLines w:val="0"/>
              <w:pageBreakBefore w:val="0"/>
              <w:widowControl/>
              <w:kinsoku w:val="0"/>
              <w:wordWrap w:val="0"/>
              <w:overflowPunct/>
              <w:topLinePunct w:val="0"/>
              <w:autoSpaceDE w:val="0"/>
              <w:autoSpaceDN w:val="0"/>
              <w:bidi w:val="0"/>
              <w:adjustRightInd w:val="0"/>
              <w:snapToGrid w:val="0"/>
              <w:spacing w:line="220" w:lineRule="auto"/>
              <w:ind w:left="183" w:firstLine="0" w:firstLineChars="0"/>
              <w:jc w:val="both"/>
              <w:textAlignment w:val="baseline"/>
            </w:pPr>
            <w:r>
              <w:rPr>
                <w:spacing w:val="-3"/>
              </w:rPr>
              <w:t>单位</w:t>
            </w:r>
          </w:p>
        </w:tc>
        <w:tc>
          <w:tcPr>
            <w:tcW w:w="771" w:type="dxa"/>
            <w:tcBorders>
              <w:top w:val="single" w:color="000000" w:sz="12" w:space="0"/>
            </w:tcBorders>
            <w:vAlign w:val="center"/>
          </w:tcPr>
          <w:p w14:paraId="0F61DAB6">
            <w:pPr>
              <w:keepNext w:val="0"/>
              <w:keepLines w:val="0"/>
              <w:pageBreakBefore w:val="0"/>
              <w:widowControl/>
              <w:kinsoku w:val="0"/>
              <w:wordWrap w:val="0"/>
              <w:overflowPunct/>
              <w:topLinePunct w:val="0"/>
              <w:autoSpaceDE w:val="0"/>
              <w:autoSpaceDN w:val="0"/>
              <w:bidi w:val="0"/>
              <w:adjustRightInd w:val="0"/>
              <w:snapToGrid w:val="0"/>
              <w:spacing w:line="220" w:lineRule="auto"/>
              <w:ind w:left="147" w:firstLine="0" w:firstLineChars="0"/>
              <w:jc w:val="both"/>
              <w:textAlignment w:val="baseline"/>
            </w:pPr>
            <w:r>
              <w:rPr>
                <w:spacing w:val="-3"/>
              </w:rPr>
              <w:t>数量</w:t>
            </w:r>
          </w:p>
        </w:tc>
        <w:tc>
          <w:tcPr>
            <w:tcW w:w="1348" w:type="dxa"/>
            <w:tcBorders>
              <w:top w:val="single" w:color="000000" w:sz="12" w:space="0"/>
            </w:tcBorders>
            <w:vAlign w:val="center"/>
          </w:tcPr>
          <w:p w14:paraId="4D84F5D5">
            <w:pPr>
              <w:keepNext w:val="0"/>
              <w:keepLines w:val="0"/>
              <w:pageBreakBefore w:val="0"/>
              <w:widowControl/>
              <w:kinsoku w:val="0"/>
              <w:wordWrap w:val="0"/>
              <w:overflowPunct/>
              <w:topLinePunct w:val="0"/>
              <w:autoSpaceDE w:val="0"/>
              <w:autoSpaceDN w:val="0"/>
              <w:bidi w:val="0"/>
              <w:adjustRightInd w:val="0"/>
              <w:snapToGrid w:val="0"/>
              <w:spacing w:line="218" w:lineRule="auto"/>
              <w:ind w:left="94" w:firstLine="0" w:firstLineChars="0"/>
              <w:jc w:val="center"/>
              <w:textAlignment w:val="baseline"/>
            </w:pPr>
            <w:r>
              <w:rPr>
                <w:spacing w:val="-5"/>
              </w:rPr>
              <w:t>单价（元）</w:t>
            </w:r>
          </w:p>
        </w:tc>
        <w:tc>
          <w:tcPr>
            <w:tcW w:w="1413" w:type="dxa"/>
            <w:tcBorders>
              <w:top w:val="single" w:color="000000" w:sz="12" w:space="0"/>
            </w:tcBorders>
            <w:vAlign w:val="center"/>
          </w:tcPr>
          <w:p w14:paraId="3256D9FA">
            <w:pPr>
              <w:keepNext w:val="0"/>
              <w:keepLines w:val="0"/>
              <w:pageBreakBefore w:val="0"/>
              <w:widowControl/>
              <w:kinsoku w:val="0"/>
              <w:wordWrap w:val="0"/>
              <w:overflowPunct/>
              <w:topLinePunct w:val="0"/>
              <w:autoSpaceDE w:val="0"/>
              <w:autoSpaceDN w:val="0"/>
              <w:bidi w:val="0"/>
              <w:adjustRightInd w:val="0"/>
              <w:snapToGrid w:val="0"/>
              <w:spacing w:line="218" w:lineRule="auto"/>
              <w:ind w:left="115" w:firstLine="0" w:firstLineChars="0"/>
              <w:jc w:val="center"/>
              <w:textAlignment w:val="baseline"/>
            </w:pPr>
            <w:r>
              <w:rPr>
                <w:spacing w:val="-5"/>
              </w:rPr>
              <w:t>合价（元）</w:t>
            </w:r>
          </w:p>
        </w:tc>
        <w:tc>
          <w:tcPr>
            <w:tcW w:w="1710" w:type="dxa"/>
            <w:tcBorders>
              <w:top w:val="single" w:color="000000" w:sz="12" w:space="0"/>
              <w:right w:val="single" w:color="000000" w:sz="12" w:space="0"/>
            </w:tcBorders>
            <w:vAlign w:val="center"/>
          </w:tcPr>
          <w:p w14:paraId="6D0AA1CE">
            <w:pPr>
              <w:keepNext w:val="0"/>
              <w:keepLines w:val="0"/>
              <w:pageBreakBefore w:val="0"/>
              <w:widowControl/>
              <w:kinsoku w:val="0"/>
              <w:wordWrap w:val="0"/>
              <w:overflowPunct/>
              <w:topLinePunct w:val="0"/>
              <w:autoSpaceDE w:val="0"/>
              <w:autoSpaceDN w:val="0"/>
              <w:bidi w:val="0"/>
              <w:adjustRightInd w:val="0"/>
              <w:snapToGrid w:val="0"/>
              <w:spacing w:line="221" w:lineRule="auto"/>
              <w:ind w:left="624" w:firstLine="0" w:firstLineChars="0"/>
              <w:jc w:val="both"/>
              <w:textAlignment w:val="baseline"/>
            </w:pPr>
            <w:r>
              <w:rPr>
                <w:spacing w:val="-4"/>
              </w:rPr>
              <w:t>备注</w:t>
            </w:r>
          </w:p>
        </w:tc>
      </w:tr>
      <w:tr w14:paraId="35E6E4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0231A85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28A514B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37024D4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56D02E9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6EF4D59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0691067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4FFC5C2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6AB3C8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054F280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6359571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1145175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6E922C6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60629D0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18068E9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1712372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1D328C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618A1BD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72875DA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0945071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6D463F9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222EE3C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014A854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51511F6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4F22A9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023C921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77A3427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028C1C8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7104C01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595F62D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09D9EBF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07E71F2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3D316B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3B8C095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65A5B56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71009C4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533AEFD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054004E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4ED0107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6E30B60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2F761E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182913C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6C5FEB8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434D9FE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0320A09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73FB52B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110C21A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29A2223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39294F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2131ECE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22D53D5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6673F56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08AE094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55ED208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6A9F1EB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78E2A46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5419B9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15EF8B8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6593BCB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4920B36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0C6BC8E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6239FD0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66980FC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190B7FB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28E924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49C1C24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2BA89FE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43131F8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6520A47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373556F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6907781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55EF490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1171A6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0E1B25C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226DF0F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7E01939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4F5E1BD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54312C8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22E95B2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47BCEAE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69907D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7B045DC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260B2D4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2F0B8ED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5DC8708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030326E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3034D85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10B64F0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555027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2C89BCF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0FFF18C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6E36550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4CBD03C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3B761B2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699F38E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554AB94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358D39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229763D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2F46345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7F9576E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1FE29A8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4A79A0F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26A1A2D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3A9447C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40B79A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74AE38D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747E5E4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6272A44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583DD89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534714E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1055E93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45CCF5F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349428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4CEF3F0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430060C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2B2CC8C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09DF13D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3037178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091B0F8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4E7CAFA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7D50D3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2EF5EB4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6394E68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599F423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62BF96D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16A35C4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6ECB155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13A8EDD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29E991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3F112C0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13B9A00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7372A2B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3AF86D9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4A0971C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6F90C09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4AE3A7F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3F5D39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70D4C46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035FF98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0690FF7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71565BD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1C2E200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191C245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2862E74F">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09EDB4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1BCDF28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2D5735E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751B45E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09D30B6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0DAF08C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0B0BF6D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6F28F33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0087D8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39FC4F5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01569B5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32814B6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66A6AEE3">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6AA5367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4BCD281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05FE210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67D33D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1104E4E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030F711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1A3BDA2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5400AA4B">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431229BD">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68AC628E">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72F7A6E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2AA8C3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3815B25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33318D2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1DCFBAD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044B383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3827DA7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22465C6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7CA3E51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55D24E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3B24F21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5783C37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3C5FC82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67A29054">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61D10FE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5A39ACC6">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5107690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733BDF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1E0AD545">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vAlign w:val="center"/>
          </w:tcPr>
          <w:p w14:paraId="162E3378">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vAlign w:val="center"/>
          </w:tcPr>
          <w:p w14:paraId="189ED4F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vAlign w:val="center"/>
          </w:tcPr>
          <w:p w14:paraId="09878C4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vAlign w:val="center"/>
          </w:tcPr>
          <w:p w14:paraId="354774D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vAlign w:val="center"/>
          </w:tcPr>
          <w:p w14:paraId="377A31A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right w:val="single" w:color="000000" w:sz="12" w:space="0"/>
            </w:tcBorders>
            <w:vAlign w:val="center"/>
          </w:tcPr>
          <w:p w14:paraId="7393EDF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r w14:paraId="658D8D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1005" w:type="dxa"/>
            <w:tcBorders>
              <w:left w:val="single" w:color="000000" w:sz="12" w:space="0"/>
              <w:bottom w:val="single" w:color="000000" w:sz="12" w:space="0"/>
            </w:tcBorders>
            <w:vAlign w:val="center"/>
          </w:tcPr>
          <w:p w14:paraId="7EF62841">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978" w:type="dxa"/>
            <w:tcBorders>
              <w:bottom w:val="single" w:color="000000" w:sz="12" w:space="0"/>
            </w:tcBorders>
            <w:vAlign w:val="center"/>
          </w:tcPr>
          <w:p w14:paraId="7C23143C">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848" w:type="dxa"/>
            <w:tcBorders>
              <w:bottom w:val="single" w:color="000000" w:sz="12" w:space="0"/>
            </w:tcBorders>
            <w:vAlign w:val="center"/>
          </w:tcPr>
          <w:p w14:paraId="3292509A">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771" w:type="dxa"/>
            <w:tcBorders>
              <w:bottom w:val="single" w:color="000000" w:sz="12" w:space="0"/>
            </w:tcBorders>
            <w:vAlign w:val="center"/>
          </w:tcPr>
          <w:p w14:paraId="0D12E7A2">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348" w:type="dxa"/>
            <w:tcBorders>
              <w:bottom w:val="single" w:color="000000" w:sz="12" w:space="0"/>
            </w:tcBorders>
            <w:vAlign w:val="center"/>
          </w:tcPr>
          <w:p w14:paraId="2FCD2C69">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413" w:type="dxa"/>
            <w:tcBorders>
              <w:bottom w:val="single" w:color="000000" w:sz="12" w:space="0"/>
            </w:tcBorders>
            <w:vAlign w:val="center"/>
          </w:tcPr>
          <w:p w14:paraId="28E46F90">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c>
          <w:tcPr>
            <w:tcW w:w="1710" w:type="dxa"/>
            <w:tcBorders>
              <w:bottom w:val="single" w:color="000000" w:sz="12" w:space="0"/>
              <w:right w:val="single" w:color="000000" w:sz="12" w:space="0"/>
            </w:tcBorders>
            <w:vAlign w:val="center"/>
          </w:tcPr>
          <w:p w14:paraId="16D84F87">
            <w:pPr>
              <w:keepNext w:val="0"/>
              <w:keepLines w:val="0"/>
              <w:pageBreakBefore w:val="0"/>
              <w:widowControl/>
              <w:kinsoku w:val="0"/>
              <w:wordWrap w:val="0"/>
              <w:overflowPunct/>
              <w:topLinePunct w:val="0"/>
              <w:autoSpaceDE w:val="0"/>
              <w:autoSpaceDN w:val="0"/>
              <w:bidi w:val="0"/>
              <w:adjustRightInd w:val="0"/>
              <w:snapToGrid w:val="0"/>
              <w:ind w:firstLine="0" w:firstLineChars="0"/>
              <w:jc w:val="center"/>
              <w:textAlignment w:val="baseline"/>
              <w:rPr>
                <w:rFonts w:ascii="Arial"/>
                <w:sz w:val="21"/>
              </w:rPr>
            </w:pPr>
          </w:p>
        </w:tc>
      </w:tr>
    </w:tbl>
    <w:p w14:paraId="1E37AE92"/>
    <w:p w14:paraId="742809C2">
      <w:pPr>
        <w:spacing w:line="257" w:lineRule="auto"/>
      </w:pPr>
    </w:p>
    <w:p w14:paraId="673F951F">
      <w:pPr>
        <w:spacing w:line="257" w:lineRule="auto"/>
      </w:pPr>
    </w:p>
    <w:p w14:paraId="57040688">
      <w:pPr>
        <w:spacing w:before="98" w:line="218" w:lineRule="auto"/>
        <w:ind w:left="0" w:leftChars="0" w:firstLine="0" w:firstLineChars="0"/>
        <w:jc w:val="center"/>
        <w:outlineLvl w:val="9"/>
        <w:rPr>
          <w:rFonts w:ascii="宋体" w:hAnsi="宋体" w:eastAsia="宋体" w:cs="宋体"/>
          <w:sz w:val="30"/>
          <w:szCs w:val="30"/>
        </w:rPr>
      </w:pPr>
      <w:r>
        <w:rPr>
          <w:rFonts w:ascii="宋体" w:hAnsi="宋体" w:eastAsia="宋体" w:cs="宋体"/>
          <w:spacing w:val="-3"/>
          <w:sz w:val="30"/>
          <w:szCs w:val="30"/>
        </w:rPr>
        <w:t>11-2：工程设备暂估价表</w:t>
      </w:r>
    </w:p>
    <w:p w14:paraId="38436ABC">
      <w:pPr>
        <w:spacing w:line="147" w:lineRule="exact"/>
      </w:pPr>
    </w:p>
    <w:tbl>
      <w:tblPr>
        <w:tblStyle w:val="10"/>
        <w:tblW w:w="9073" w:type="dxa"/>
        <w:tblInd w:w="1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005"/>
        <w:gridCol w:w="1978"/>
        <w:gridCol w:w="848"/>
        <w:gridCol w:w="771"/>
        <w:gridCol w:w="1348"/>
        <w:gridCol w:w="1413"/>
        <w:gridCol w:w="1710"/>
      </w:tblGrid>
      <w:tr w14:paraId="438EA7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7" w:hRule="atLeast"/>
        </w:trPr>
        <w:tc>
          <w:tcPr>
            <w:tcW w:w="1005" w:type="dxa"/>
            <w:tcBorders>
              <w:top w:val="single" w:color="000000" w:sz="12" w:space="0"/>
              <w:left w:val="single" w:color="000000" w:sz="12" w:space="0"/>
            </w:tcBorders>
            <w:vAlign w:val="center"/>
          </w:tcPr>
          <w:p w14:paraId="4CE109A3">
            <w:pPr>
              <w:keepNext w:val="0"/>
              <w:keepLines w:val="0"/>
              <w:pageBreakBefore w:val="0"/>
              <w:widowControl/>
              <w:kinsoku w:val="0"/>
              <w:wordWrap w:val="0"/>
              <w:overflowPunct/>
              <w:topLinePunct w:val="0"/>
              <w:autoSpaceDE w:val="0"/>
              <w:autoSpaceDN w:val="0"/>
              <w:bidi w:val="0"/>
              <w:adjustRightInd w:val="0"/>
              <w:snapToGrid w:val="0"/>
              <w:spacing w:line="221" w:lineRule="auto"/>
              <w:ind w:left="249" w:firstLine="0" w:firstLineChars="0"/>
              <w:jc w:val="both"/>
              <w:textAlignment w:val="baseline"/>
            </w:pPr>
            <w:r>
              <w:rPr>
                <w:spacing w:val="-3"/>
              </w:rPr>
              <w:t>序号</w:t>
            </w:r>
          </w:p>
        </w:tc>
        <w:tc>
          <w:tcPr>
            <w:tcW w:w="1978" w:type="dxa"/>
            <w:tcBorders>
              <w:top w:val="single" w:color="000000" w:sz="12" w:space="0"/>
            </w:tcBorders>
            <w:vAlign w:val="center"/>
          </w:tcPr>
          <w:p w14:paraId="2DE678F9">
            <w:pPr>
              <w:keepNext w:val="0"/>
              <w:keepLines w:val="0"/>
              <w:pageBreakBefore w:val="0"/>
              <w:widowControl/>
              <w:kinsoku w:val="0"/>
              <w:wordWrap w:val="0"/>
              <w:overflowPunct/>
              <w:topLinePunct w:val="0"/>
              <w:autoSpaceDE w:val="0"/>
              <w:autoSpaceDN w:val="0"/>
              <w:bidi w:val="0"/>
              <w:adjustRightInd w:val="0"/>
              <w:snapToGrid w:val="0"/>
              <w:spacing w:line="222" w:lineRule="auto"/>
              <w:ind w:left="744" w:firstLine="0" w:firstLineChars="0"/>
              <w:jc w:val="both"/>
              <w:textAlignment w:val="baseline"/>
            </w:pPr>
            <w:r>
              <w:rPr>
                <w:spacing w:val="-4"/>
              </w:rPr>
              <w:t>名称</w:t>
            </w:r>
          </w:p>
        </w:tc>
        <w:tc>
          <w:tcPr>
            <w:tcW w:w="848" w:type="dxa"/>
            <w:tcBorders>
              <w:top w:val="single" w:color="000000" w:sz="12" w:space="0"/>
            </w:tcBorders>
            <w:vAlign w:val="center"/>
          </w:tcPr>
          <w:p w14:paraId="2F35526E">
            <w:pPr>
              <w:keepNext w:val="0"/>
              <w:keepLines w:val="0"/>
              <w:pageBreakBefore w:val="0"/>
              <w:widowControl/>
              <w:kinsoku w:val="0"/>
              <w:wordWrap w:val="0"/>
              <w:overflowPunct/>
              <w:topLinePunct w:val="0"/>
              <w:autoSpaceDE w:val="0"/>
              <w:autoSpaceDN w:val="0"/>
              <w:bidi w:val="0"/>
              <w:adjustRightInd w:val="0"/>
              <w:snapToGrid w:val="0"/>
              <w:spacing w:line="220" w:lineRule="auto"/>
              <w:ind w:left="183" w:firstLine="0" w:firstLineChars="0"/>
              <w:jc w:val="both"/>
              <w:textAlignment w:val="baseline"/>
            </w:pPr>
            <w:r>
              <w:rPr>
                <w:spacing w:val="-3"/>
              </w:rPr>
              <w:t>单位</w:t>
            </w:r>
          </w:p>
        </w:tc>
        <w:tc>
          <w:tcPr>
            <w:tcW w:w="771" w:type="dxa"/>
            <w:tcBorders>
              <w:top w:val="single" w:color="000000" w:sz="12" w:space="0"/>
            </w:tcBorders>
            <w:vAlign w:val="center"/>
          </w:tcPr>
          <w:p w14:paraId="348A0949">
            <w:pPr>
              <w:keepNext w:val="0"/>
              <w:keepLines w:val="0"/>
              <w:pageBreakBefore w:val="0"/>
              <w:widowControl/>
              <w:kinsoku w:val="0"/>
              <w:wordWrap w:val="0"/>
              <w:overflowPunct/>
              <w:topLinePunct w:val="0"/>
              <w:autoSpaceDE w:val="0"/>
              <w:autoSpaceDN w:val="0"/>
              <w:bidi w:val="0"/>
              <w:adjustRightInd w:val="0"/>
              <w:snapToGrid w:val="0"/>
              <w:spacing w:line="220" w:lineRule="auto"/>
              <w:ind w:left="147" w:firstLine="0" w:firstLineChars="0"/>
              <w:jc w:val="both"/>
              <w:textAlignment w:val="baseline"/>
            </w:pPr>
            <w:r>
              <w:rPr>
                <w:spacing w:val="-3"/>
              </w:rPr>
              <w:t>数量</w:t>
            </w:r>
          </w:p>
        </w:tc>
        <w:tc>
          <w:tcPr>
            <w:tcW w:w="1348" w:type="dxa"/>
            <w:tcBorders>
              <w:top w:val="single" w:color="000000" w:sz="12" w:space="0"/>
            </w:tcBorders>
            <w:vAlign w:val="center"/>
          </w:tcPr>
          <w:p w14:paraId="1CCDE26D">
            <w:pPr>
              <w:keepNext w:val="0"/>
              <w:keepLines w:val="0"/>
              <w:pageBreakBefore w:val="0"/>
              <w:widowControl/>
              <w:kinsoku w:val="0"/>
              <w:wordWrap w:val="0"/>
              <w:overflowPunct/>
              <w:topLinePunct w:val="0"/>
              <w:autoSpaceDE w:val="0"/>
              <w:autoSpaceDN w:val="0"/>
              <w:bidi w:val="0"/>
              <w:adjustRightInd w:val="0"/>
              <w:snapToGrid w:val="0"/>
              <w:spacing w:line="218" w:lineRule="auto"/>
              <w:ind w:left="94" w:firstLine="0" w:firstLineChars="0"/>
              <w:jc w:val="both"/>
              <w:textAlignment w:val="baseline"/>
            </w:pPr>
            <w:r>
              <w:rPr>
                <w:spacing w:val="-5"/>
              </w:rPr>
              <w:t>单价（元）</w:t>
            </w:r>
          </w:p>
        </w:tc>
        <w:tc>
          <w:tcPr>
            <w:tcW w:w="1413" w:type="dxa"/>
            <w:tcBorders>
              <w:top w:val="single" w:color="000000" w:sz="12" w:space="0"/>
            </w:tcBorders>
            <w:vAlign w:val="center"/>
          </w:tcPr>
          <w:p w14:paraId="718BE205">
            <w:pPr>
              <w:keepNext w:val="0"/>
              <w:keepLines w:val="0"/>
              <w:pageBreakBefore w:val="0"/>
              <w:widowControl/>
              <w:kinsoku w:val="0"/>
              <w:wordWrap w:val="0"/>
              <w:overflowPunct/>
              <w:topLinePunct w:val="0"/>
              <w:autoSpaceDE w:val="0"/>
              <w:autoSpaceDN w:val="0"/>
              <w:bidi w:val="0"/>
              <w:adjustRightInd w:val="0"/>
              <w:snapToGrid w:val="0"/>
              <w:spacing w:line="218" w:lineRule="auto"/>
              <w:ind w:left="115" w:firstLine="0" w:firstLineChars="0"/>
              <w:jc w:val="both"/>
              <w:textAlignment w:val="baseline"/>
            </w:pPr>
            <w:r>
              <w:rPr>
                <w:spacing w:val="-5"/>
              </w:rPr>
              <w:t>合价（元）</w:t>
            </w:r>
          </w:p>
        </w:tc>
        <w:tc>
          <w:tcPr>
            <w:tcW w:w="1710" w:type="dxa"/>
            <w:tcBorders>
              <w:top w:val="single" w:color="000000" w:sz="12" w:space="0"/>
              <w:right w:val="single" w:color="000000" w:sz="12" w:space="0"/>
            </w:tcBorders>
            <w:vAlign w:val="center"/>
          </w:tcPr>
          <w:p w14:paraId="3DBBFF6A">
            <w:pPr>
              <w:keepNext w:val="0"/>
              <w:keepLines w:val="0"/>
              <w:pageBreakBefore w:val="0"/>
              <w:widowControl/>
              <w:kinsoku w:val="0"/>
              <w:wordWrap w:val="0"/>
              <w:overflowPunct/>
              <w:topLinePunct w:val="0"/>
              <w:autoSpaceDE w:val="0"/>
              <w:autoSpaceDN w:val="0"/>
              <w:bidi w:val="0"/>
              <w:adjustRightInd w:val="0"/>
              <w:snapToGrid w:val="0"/>
              <w:spacing w:line="221" w:lineRule="auto"/>
              <w:ind w:left="624" w:firstLine="0" w:firstLineChars="0"/>
              <w:jc w:val="both"/>
              <w:textAlignment w:val="baseline"/>
            </w:pPr>
            <w:r>
              <w:rPr>
                <w:spacing w:val="-4"/>
              </w:rPr>
              <w:t>备注</w:t>
            </w:r>
          </w:p>
        </w:tc>
      </w:tr>
      <w:tr w14:paraId="7419A1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10A0A11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0771E14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3AAB96F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71A9E1A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5ACF265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14B98B62">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5E86B68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5BC5EF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594F059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2CF035FD">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2AB690B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0DB13A58">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7B88BCD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743B7A54">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7B75FF24">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308593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0EFBF6D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05FB89B8">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2EBB003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5108F23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39DB39D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3F05F5D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3EFBF66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237BFB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65A15F52">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5422E0BD">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2A7310F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00E427A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178CFB4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67B6C7F8">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52B3FAB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6D3EB4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7D4EADBD">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25C95C9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410C75B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1528F27D">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1E606A08">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56C3FB7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573367E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1FE178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1F2F7FD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1D2333A2">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6E60BFD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638CC0FD">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422339C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10BFF35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10B97C2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1C25D6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7E6494B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19379ED4">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015A911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6E5A1CE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24DA4E4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6AE810A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64E977F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31D2AB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7594071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67CEA04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7883B4F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3514511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4B33412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33A2B1E2">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2C9AAD2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14F443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26F4F3F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68698C6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6FDE5A74">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2CD8586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635744AC">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43BFA0C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6308492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731586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4B2982B4">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6A845D0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2ECC087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7B698968">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681DDAC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5893FD38">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0381FF9D">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6856E8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765610C8">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724D3DE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6DE7BAD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669F957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14C09E84">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6327631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6AFCA9E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1E43FA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407FF9D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658E2D3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1EFB4B3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33C7AF7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416F5A8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320719C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3DFA304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4A46F6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6362ECC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1303A6F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11B2EC92">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7D5ACFA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2F359F0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7AF5226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062D8F8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486FCE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2CF8D9EC">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50602FA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53DCA4A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34D268C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281D7EB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6BCE4A1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3C322CFC">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760E3E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106F6E9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35007B0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7CC036B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78368F3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5262817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448678E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014DC08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14AB1C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0E40093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3921787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158DF5C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4D5BD60C">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56E69AA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7D57A192">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4CFEF5C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0F73F8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6EF9F9F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3169AD7D">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10BA2DF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67A44DE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2545B03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0B48E93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359B8B8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063683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2B69FBD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4FC73D2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5326FC0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27C1079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1692132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7E3D6B9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0BC1771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73F6FC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39988462">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6A5E66B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3C02308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1B00C7A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6FE1CB38">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26CADAE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4C9F986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7CBAAD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7150006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7445DA1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17216FA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42E149B4">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4E12E19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2D0B601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44F0579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377057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61C391D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324037D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35F7EB8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7FA9BBF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65ED5C7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7415048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61C44524">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17960E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52A6A1C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1DFD536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71FF03B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789F8F7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16595F6D">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71D6078C">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68104AF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31A5A3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6C08AA8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7A19E8F4">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00DC3B14">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207D06A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2A9801D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4123E8E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395FA5D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39D41D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trPr>
        <w:tc>
          <w:tcPr>
            <w:tcW w:w="1005" w:type="dxa"/>
            <w:tcBorders>
              <w:left w:val="single" w:color="000000" w:sz="12" w:space="0"/>
            </w:tcBorders>
            <w:vAlign w:val="center"/>
          </w:tcPr>
          <w:p w14:paraId="3D9551B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vAlign w:val="center"/>
          </w:tcPr>
          <w:p w14:paraId="6A950192">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vAlign w:val="center"/>
          </w:tcPr>
          <w:p w14:paraId="4EAB1CE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vAlign w:val="center"/>
          </w:tcPr>
          <w:p w14:paraId="5F59E23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vAlign w:val="center"/>
          </w:tcPr>
          <w:p w14:paraId="6898545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vAlign w:val="center"/>
          </w:tcPr>
          <w:p w14:paraId="3A7B798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right w:val="single" w:color="000000" w:sz="12" w:space="0"/>
            </w:tcBorders>
            <w:vAlign w:val="center"/>
          </w:tcPr>
          <w:p w14:paraId="0DAEAC1D">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51FF91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1005" w:type="dxa"/>
            <w:tcBorders>
              <w:left w:val="single" w:color="000000" w:sz="12" w:space="0"/>
              <w:bottom w:val="single" w:color="000000" w:sz="12" w:space="0"/>
            </w:tcBorders>
            <w:vAlign w:val="center"/>
          </w:tcPr>
          <w:p w14:paraId="37C0C25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8" w:type="dxa"/>
            <w:tcBorders>
              <w:bottom w:val="single" w:color="000000" w:sz="12" w:space="0"/>
            </w:tcBorders>
            <w:vAlign w:val="center"/>
          </w:tcPr>
          <w:p w14:paraId="30FDFE0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848" w:type="dxa"/>
            <w:tcBorders>
              <w:bottom w:val="single" w:color="000000" w:sz="12" w:space="0"/>
            </w:tcBorders>
            <w:vAlign w:val="center"/>
          </w:tcPr>
          <w:p w14:paraId="110EEF9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771" w:type="dxa"/>
            <w:tcBorders>
              <w:bottom w:val="single" w:color="000000" w:sz="12" w:space="0"/>
            </w:tcBorders>
            <w:vAlign w:val="center"/>
          </w:tcPr>
          <w:p w14:paraId="223541B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348" w:type="dxa"/>
            <w:tcBorders>
              <w:bottom w:val="single" w:color="000000" w:sz="12" w:space="0"/>
            </w:tcBorders>
            <w:vAlign w:val="center"/>
          </w:tcPr>
          <w:p w14:paraId="6EE9DD6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413" w:type="dxa"/>
            <w:tcBorders>
              <w:bottom w:val="single" w:color="000000" w:sz="12" w:space="0"/>
            </w:tcBorders>
            <w:vAlign w:val="center"/>
          </w:tcPr>
          <w:p w14:paraId="74C867D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710" w:type="dxa"/>
            <w:tcBorders>
              <w:bottom w:val="single" w:color="000000" w:sz="12" w:space="0"/>
              <w:right w:val="single" w:color="000000" w:sz="12" w:space="0"/>
            </w:tcBorders>
            <w:vAlign w:val="center"/>
          </w:tcPr>
          <w:p w14:paraId="3CC6796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bl>
    <w:p w14:paraId="7408A6B6"/>
    <w:p w14:paraId="1266600B">
      <w:pPr>
        <w:spacing w:line="296" w:lineRule="auto"/>
      </w:pPr>
    </w:p>
    <w:p w14:paraId="661FD7EA">
      <w:pPr>
        <w:spacing w:line="296" w:lineRule="auto"/>
      </w:pPr>
    </w:p>
    <w:p w14:paraId="514346AA">
      <w:pPr>
        <w:spacing w:line="296" w:lineRule="auto"/>
      </w:pPr>
    </w:p>
    <w:p w14:paraId="1144B225">
      <w:pPr>
        <w:spacing w:before="98" w:line="218" w:lineRule="auto"/>
        <w:ind w:left="0" w:leftChars="0" w:firstLine="0" w:firstLineChars="0"/>
        <w:jc w:val="center"/>
        <w:outlineLvl w:val="9"/>
        <w:rPr>
          <w:rFonts w:ascii="宋体" w:hAnsi="宋体" w:eastAsia="宋体" w:cs="宋体"/>
          <w:sz w:val="30"/>
          <w:szCs w:val="30"/>
        </w:rPr>
      </w:pPr>
      <w:r>
        <w:rPr>
          <w:rFonts w:ascii="宋体" w:hAnsi="宋体" w:eastAsia="宋体" w:cs="宋体"/>
          <w:spacing w:val="-3"/>
          <w:sz w:val="30"/>
          <w:szCs w:val="30"/>
        </w:rPr>
        <w:t>11-3：专业工程暂估价表</w:t>
      </w:r>
    </w:p>
    <w:p w14:paraId="05299D90">
      <w:pPr>
        <w:spacing w:line="147" w:lineRule="exact"/>
      </w:pPr>
    </w:p>
    <w:tbl>
      <w:tblPr>
        <w:tblStyle w:val="10"/>
        <w:tblW w:w="881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91"/>
        <w:gridCol w:w="1977"/>
        <w:gridCol w:w="4662"/>
        <w:gridCol w:w="1286"/>
      </w:tblGrid>
      <w:tr w14:paraId="00242B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7" w:hRule="atLeast"/>
          <w:jc w:val="center"/>
        </w:trPr>
        <w:tc>
          <w:tcPr>
            <w:tcW w:w="891" w:type="dxa"/>
            <w:tcBorders>
              <w:top w:val="single" w:color="000000" w:sz="12" w:space="0"/>
              <w:left w:val="single" w:color="000000" w:sz="12" w:space="0"/>
            </w:tcBorders>
            <w:vAlign w:val="center"/>
          </w:tcPr>
          <w:p w14:paraId="350359DA">
            <w:pPr>
              <w:keepNext w:val="0"/>
              <w:keepLines w:val="0"/>
              <w:pageBreakBefore w:val="0"/>
              <w:widowControl/>
              <w:kinsoku w:val="0"/>
              <w:wordWrap w:val="0"/>
              <w:overflowPunct/>
              <w:topLinePunct w:val="0"/>
              <w:autoSpaceDE w:val="0"/>
              <w:autoSpaceDN w:val="0"/>
              <w:bidi w:val="0"/>
              <w:adjustRightInd w:val="0"/>
              <w:snapToGrid w:val="0"/>
              <w:spacing w:line="221" w:lineRule="auto"/>
              <w:ind w:left="192" w:firstLine="0" w:firstLineChars="0"/>
              <w:jc w:val="both"/>
              <w:textAlignment w:val="baseline"/>
            </w:pPr>
            <w:r>
              <w:rPr>
                <w:spacing w:val="-3"/>
              </w:rPr>
              <w:t>序号</w:t>
            </w:r>
          </w:p>
        </w:tc>
        <w:tc>
          <w:tcPr>
            <w:tcW w:w="1977" w:type="dxa"/>
            <w:tcBorders>
              <w:top w:val="single" w:color="000000" w:sz="12" w:space="0"/>
            </w:tcBorders>
            <w:vAlign w:val="center"/>
          </w:tcPr>
          <w:p w14:paraId="5EC82F65">
            <w:pPr>
              <w:keepNext w:val="0"/>
              <w:keepLines w:val="0"/>
              <w:pageBreakBefore w:val="0"/>
              <w:widowControl/>
              <w:kinsoku w:val="0"/>
              <w:wordWrap w:val="0"/>
              <w:overflowPunct/>
              <w:topLinePunct w:val="0"/>
              <w:autoSpaceDE w:val="0"/>
              <w:autoSpaceDN w:val="0"/>
              <w:bidi w:val="0"/>
              <w:adjustRightInd w:val="0"/>
              <w:snapToGrid w:val="0"/>
              <w:spacing w:line="220" w:lineRule="auto"/>
              <w:ind w:left="262" w:firstLine="0" w:firstLineChars="0"/>
              <w:jc w:val="both"/>
              <w:textAlignment w:val="baseline"/>
            </w:pPr>
            <w:r>
              <w:rPr>
                <w:spacing w:val="-2"/>
              </w:rPr>
              <w:t>专业工程名称</w:t>
            </w:r>
          </w:p>
        </w:tc>
        <w:tc>
          <w:tcPr>
            <w:tcW w:w="4662" w:type="dxa"/>
            <w:tcBorders>
              <w:top w:val="single" w:color="000000" w:sz="12" w:space="0"/>
            </w:tcBorders>
            <w:vAlign w:val="center"/>
          </w:tcPr>
          <w:p w14:paraId="116A9AFE">
            <w:pPr>
              <w:keepNext w:val="0"/>
              <w:keepLines w:val="0"/>
              <w:pageBreakBefore w:val="0"/>
              <w:widowControl/>
              <w:kinsoku w:val="0"/>
              <w:wordWrap w:val="0"/>
              <w:overflowPunct/>
              <w:topLinePunct w:val="0"/>
              <w:autoSpaceDE w:val="0"/>
              <w:autoSpaceDN w:val="0"/>
              <w:bidi w:val="0"/>
              <w:adjustRightInd w:val="0"/>
              <w:snapToGrid w:val="0"/>
              <w:spacing w:line="220" w:lineRule="auto"/>
              <w:ind w:left="1858" w:firstLine="0" w:firstLineChars="0"/>
              <w:jc w:val="both"/>
              <w:textAlignment w:val="baseline"/>
            </w:pPr>
            <w:r>
              <w:rPr>
                <w:spacing w:val="-3"/>
              </w:rPr>
              <w:t>工程内容</w:t>
            </w:r>
          </w:p>
        </w:tc>
        <w:tc>
          <w:tcPr>
            <w:tcW w:w="1286" w:type="dxa"/>
            <w:tcBorders>
              <w:top w:val="single" w:color="000000" w:sz="12" w:space="0"/>
              <w:right w:val="single" w:color="000000" w:sz="12" w:space="0"/>
            </w:tcBorders>
            <w:vAlign w:val="center"/>
          </w:tcPr>
          <w:p w14:paraId="10643170">
            <w:pPr>
              <w:keepNext w:val="0"/>
              <w:keepLines w:val="0"/>
              <w:pageBreakBefore w:val="0"/>
              <w:widowControl/>
              <w:kinsoku w:val="0"/>
              <w:wordWrap w:val="0"/>
              <w:overflowPunct/>
              <w:topLinePunct w:val="0"/>
              <w:autoSpaceDE w:val="0"/>
              <w:autoSpaceDN w:val="0"/>
              <w:bidi w:val="0"/>
              <w:adjustRightInd w:val="0"/>
              <w:snapToGrid w:val="0"/>
              <w:spacing w:line="220" w:lineRule="auto"/>
              <w:ind w:left="412" w:firstLine="0" w:firstLineChars="0"/>
              <w:jc w:val="both"/>
              <w:textAlignment w:val="baseline"/>
            </w:pPr>
            <w:r>
              <w:rPr>
                <w:spacing w:val="-3"/>
              </w:rPr>
              <w:t>金额</w:t>
            </w:r>
          </w:p>
        </w:tc>
      </w:tr>
      <w:tr w14:paraId="1F0560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3D35912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762E9A9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07767ED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38B0282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1B9534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2D1714A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374771B4">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253768C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22F8F0B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6C2269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367335A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7048DAA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5532013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0945A3C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061B1C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4A1BB82D">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1609F85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281600B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45962FA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038486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0E0C905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0C5283A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21AD608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4430CA9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416929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14107C0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6E248E6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646B0EAC">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099E314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4B58073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757FE0B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3C7AECE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3CA9BE7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3207D588">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606D4F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61A5F9D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49A46F42">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64F402FC">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42D4FCC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58413F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3FE01DE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0BB011B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333D370D">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392F4D4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49C9ED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58C67C2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4518533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276746D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397C6E3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04B8D9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435FC15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258ABEDC">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428E1224">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314E61E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22DE1B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3F196CF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79AD4BD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164426C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65A22E0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1CAA35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3AD7DCB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3BD2BE5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7C506814">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5CCAFBF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2AC4DF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5065E07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797F787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1372FCA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0D6C1FA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49A011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18B850B4">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045F662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79DC719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32EADD5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03B109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3C5D0138">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6846690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0127492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7769854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251135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76F5F94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4698D37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766A3E0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11D1402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75A2FB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40B00D7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5E0ABFA3">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50C1A55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3F3A5034">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529B62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318ECEBC">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7DC167AD">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5C2406A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63AE23A0">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02B0B0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157F406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716FA198">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52969508">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2E2EEBD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17CE9B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5F8305CD">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2A82892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437BA08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5E44E47C">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530103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44026E58">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25E2B21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1FE77855">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16DEF7F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2AFB62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16931319">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35FB9ADD">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6F31586B">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65C0B5A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6B0486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3EC4AE5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17D0BDDA">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517A99E2">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1A7D73F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4A1385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0CE22B34">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294487A2">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3411FFB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715A6586">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01B7D4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0" w:hRule="atLeast"/>
          <w:jc w:val="center"/>
        </w:trPr>
        <w:tc>
          <w:tcPr>
            <w:tcW w:w="891" w:type="dxa"/>
            <w:tcBorders>
              <w:left w:val="single" w:color="000000" w:sz="12" w:space="0"/>
            </w:tcBorders>
            <w:vAlign w:val="center"/>
          </w:tcPr>
          <w:p w14:paraId="20FBC4EE">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977" w:type="dxa"/>
            <w:vAlign w:val="center"/>
          </w:tcPr>
          <w:p w14:paraId="7F4FA171">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4662" w:type="dxa"/>
            <w:vAlign w:val="center"/>
          </w:tcPr>
          <w:p w14:paraId="5DAAE5CF">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c>
          <w:tcPr>
            <w:tcW w:w="1286" w:type="dxa"/>
            <w:tcBorders>
              <w:right w:val="single" w:color="000000" w:sz="12" w:space="0"/>
            </w:tcBorders>
            <w:vAlign w:val="center"/>
          </w:tcPr>
          <w:p w14:paraId="60656627">
            <w:pPr>
              <w:keepNext w:val="0"/>
              <w:keepLines w:val="0"/>
              <w:pageBreakBefore w:val="0"/>
              <w:widowControl/>
              <w:kinsoku w:val="0"/>
              <w:wordWrap w:val="0"/>
              <w:overflowPunct/>
              <w:topLinePunct w:val="0"/>
              <w:autoSpaceDE w:val="0"/>
              <w:autoSpaceDN w:val="0"/>
              <w:bidi w:val="0"/>
              <w:adjustRightInd w:val="0"/>
              <w:snapToGrid w:val="0"/>
              <w:ind w:firstLine="0" w:firstLineChars="0"/>
              <w:jc w:val="both"/>
              <w:textAlignment w:val="baseline"/>
              <w:rPr>
                <w:rFonts w:ascii="Arial"/>
                <w:sz w:val="21"/>
              </w:rPr>
            </w:pPr>
          </w:p>
        </w:tc>
      </w:tr>
      <w:tr w14:paraId="14F5E9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3" w:hRule="atLeast"/>
          <w:jc w:val="center"/>
        </w:trPr>
        <w:tc>
          <w:tcPr>
            <w:tcW w:w="8816" w:type="dxa"/>
            <w:gridSpan w:val="4"/>
            <w:tcBorders>
              <w:left w:val="single" w:color="000000" w:sz="12" w:space="0"/>
              <w:bottom w:val="single" w:color="000000" w:sz="12" w:space="0"/>
              <w:right w:val="single" w:color="000000" w:sz="12" w:space="0"/>
            </w:tcBorders>
            <w:vAlign w:val="center"/>
          </w:tcPr>
          <w:p w14:paraId="331B2E9B">
            <w:pPr>
              <w:keepNext w:val="0"/>
              <w:keepLines w:val="0"/>
              <w:pageBreakBefore w:val="0"/>
              <w:widowControl/>
              <w:kinsoku w:val="0"/>
              <w:wordWrap w:val="0"/>
              <w:overflowPunct/>
              <w:topLinePunct w:val="0"/>
              <w:autoSpaceDE w:val="0"/>
              <w:autoSpaceDN w:val="0"/>
              <w:bidi w:val="0"/>
              <w:adjustRightInd w:val="0"/>
              <w:snapToGrid w:val="0"/>
              <w:spacing w:line="219" w:lineRule="auto"/>
              <w:ind w:left="91" w:firstLine="0" w:firstLineChars="0"/>
              <w:jc w:val="both"/>
              <w:textAlignment w:val="baseline"/>
            </w:pPr>
            <w:r>
              <w:rPr>
                <w:spacing w:val="-16"/>
              </w:rPr>
              <w:t>小计：</w:t>
            </w:r>
          </w:p>
        </w:tc>
      </w:tr>
    </w:tbl>
    <w:p w14:paraId="1C32BC16">
      <w:bookmarkStart w:id="28" w:name="bookmark1"/>
      <w:bookmarkEnd w:id="28"/>
    </w:p>
    <w:sectPr>
      <w:pgSz w:w="11906" w:h="16839"/>
      <w:pgMar w:top="1417" w:right="1417" w:bottom="1417" w:left="1417" w:header="0" w:footer="992"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1CB10">
    <w:pPr>
      <w:spacing w:line="174" w:lineRule="auto"/>
      <w:ind w:left="4082"/>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29236E">
    <w:pPr>
      <w:spacing w:line="174" w:lineRule="auto"/>
      <w:ind w:left="408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5A10A4">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15A10A4">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7579FD">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2184C85"/>
    <w:rsid w:val="02A1111E"/>
    <w:rsid w:val="0349733F"/>
    <w:rsid w:val="04D15264"/>
    <w:rsid w:val="06737B77"/>
    <w:rsid w:val="084A6061"/>
    <w:rsid w:val="0C0F5888"/>
    <w:rsid w:val="0DC96778"/>
    <w:rsid w:val="0F4446C6"/>
    <w:rsid w:val="0F6B2496"/>
    <w:rsid w:val="101111AC"/>
    <w:rsid w:val="110227EC"/>
    <w:rsid w:val="153C6E1B"/>
    <w:rsid w:val="18836D4F"/>
    <w:rsid w:val="1B13639A"/>
    <w:rsid w:val="1BEC2FB3"/>
    <w:rsid w:val="1D96772D"/>
    <w:rsid w:val="1F0C0AF0"/>
    <w:rsid w:val="21C36564"/>
    <w:rsid w:val="22D16836"/>
    <w:rsid w:val="24476E69"/>
    <w:rsid w:val="24591C47"/>
    <w:rsid w:val="24D5285A"/>
    <w:rsid w:val="277A3B68"/>
    <w:rsid w:val="27E53D4A"/>
    <w:rsid w:val="291E7185"/>
    <w:rsid w:val="2B2F3843"/>
    <w:rsid w:val="323B3A3F"/>
    <w:rsid w:val="36E27034"/>
    <w:rsid w:val="37C10833"/>
    <w:rsid w:val="39BA729B"/>
    <w:rsid w:val="3A241712"/>
    <w:rsid w:val="3AF61300"/>
    <w:rsid w:val="3C8431B7"/>
    <w:rsid w:val="3DD977FE"/>
    <w:rsid w:val="41AA18AD"/>
    <w:rsid w:val="43E464DC"/>
    <w:rsid w:val="441E4BDC"/>
    <w:rsid w:val="45FB77CB"/>
    <w:rsid w:val="49331971"/>
    <w:rsid w:val="498B2534"/>
    <w:rsid w:val="49D163A6"/>
    <w:rsid w:val="4C9B1D07"/>
    <w:rsid w:val="4FBD5AC6"/>
    <w:rsid w:val="50D85386"/>
    <w:rsid w:val="50F422B6"/>
    <w:rsid w:val="52835444"/>
    <w:rsid w:val="55C5735E"/>
    <w:rsid w:val="5AC93EE4"/>
    <w:rsid w:val="5C4E6567"/>
    <w:rsid w:val="64112C4D"/>
    <w:rsid w:val="648D6978"/>
    <w:rsid w:val="667E2026"/>
    <w:rsid w:val="66F422E8"/>
    <w:rsid w:val="675B67A2"/>
    <w:rsid w:val="693E784B"/>
    <w:rsid w:val="6B7D0EE0"/>
    <w:rsid w:val="6ED72F20"/>
    <w:rsid w:val="6FC34F4E"/>
    <w:rsid w:val="72E368FD"/>
    <w:rsid w:val="763149BF"/>
    <w:rsid w:val="7778661E"/>
    <w:rsid w:val="79337F6D"/>
    <w:rsid w:val="79DB1F6C"/>
    <w:rsid w:val="7A0548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wordWrap w:val="0"/>
      <w:autoSpaceDE w:val="0"/>
      <w:autoSpaceDN w:val="0"/>
      <w:adjustRightInd w:val="0"/>
      <w:snapToGrid w:val="0"/>
      <w:spacing w:line="360" w:lineRule="auto"/>
      <w:ind w:firstLine="480" w:firstLineChars="200"/>
      <w:jc w:val="left"/>
      <w:textAlignment w:val="baseline"/>
    </w:pPr>
    <w:rPr>
      <w:rFonts w:ascii="Times New Roman" w:hAnsi="Times New Roman" w:eastAsia="宋体" w:cs="Times New Roman"/>
      <w:snapToGrid w:val="0"/>
      <w:color w:val="000000"/>
      <w:kern w:val="0"/>
      <w:sz w:val="24"/>
      <w:szCs w:val="24"/>
      <w:lang w:val="en-US" w:eastAsia="en-US" w:bidi="ar-SA"/>
    </w:rPr>
  </w:style>
  <w:style w:type="paragraph" w:styleId="2">
    <w:name w:val="heading 1"/>
    <w:basedOn w:val="1"/>
    <w:next w:val="1"/>
    <w:qFormat/>
    <w:uiPriority w:val="0"/>
    <w:pPr>
      <w:keepNext/>
      <w:keepLines/>
      <w:spacing w:beforeLines="0" w:beforeAutospacing="0" w:afterLines="0" w:afterAutospacing="0" w:line="480" w:lineRule="auto"/>
      <w:ind w:firstLine="0" w:firstLineChars="0"/>
      <w:jc w:val="center"/>
      <w:outlineLvl w:val="0"/>
    </w:pPr>
    <w:rPr>
      <w:rFonts w:eastAsia="黑体"/>
      <w:b/>
      <w:kern w:val="44"/>
      <w:sz w:val="32"/>
    </w:rPr>
  </w:style>
  <w:style w:type="paragraph" w:styleId="3">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rFonts w:eastAsia="黑体"/>
      <w:b/>
      <w:sz w:val="30"/>
      <w:szCs w:val="32"/>
    </w:rPr>
  </w:style>
  <w:style w:type="paragraph" w:styleId="4">
    <w:name w:val="heading 3"/>
    <w:basedOn w:val="1"/>
    <w:next w:val="1"/>
    <w:unhideWhenUsed/>
    <w:qFormat/>
    <w:uiPriority w:val="0"/>
    <w:pPr>
      <w:keepNext/>
      <w:keepLines/>
      <w:spacing w:beforeLines="0" w:beforeAutospacing="0" w:afterLines="0" w:afterAutospacing="0" w:line="360" w:lineRule="auto"/>
      <w:ind w:firstLine="0" w:firstLineChars="0"/>
      <w:outlineLvl w:val="2"/>
    </w:pPr>
    <w:rPr>
      <w:rFonts w:eastAsia="黑体"/>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101</Pages>
  <Words>11724</Words>
  <Characters>12834</Characters>
  <TotalTime>44</TotalTime>
  <ScaleCrop>false</ScaleCrop>
  <LinksUpToDate>false</LinksUpToDate>
  <CharactersWithSpaces>12952</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2024-11-07T10:41:00Z</dcterms:created>
  <dc:creator>吴正新</dc:creator>
  <cp:lastModifiedBy>七</cp:lastModifiedBy>
  <dcterms:modified xsi:type="dcterms:W3CDTF">2024-12-26T09:11:43Z</dcterms:modified>
  <dc:title>招标编号：xx政采招[xxxx] xxx号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2024-12-25T12:57:37Z</vt:filetime>
  </property>
  <property fmtid="{D5CDD505-2E9C-101B-9397-08002B2CF9AE}" pid="4" name="KSOProductBuildVer">
    <vt:lpwstr>2052-12.1.0.19770</vt:lpwstr>
  </property>
  <property fmtid="{D5CDD505-2E9C-101B-9397-08002B2CF9AE}" pid="5" name="ICV">
    <vt:lpwstr>12371A44A75E4857A4C58F318283EC63_12</vt:lpwstr>
  </property>
</Properties>
</file>