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4FB67">
      <w:pPr>
        <w:pStyle w:val="18"/>
        <w:ind w:left="0" w:leftChars="0" w:firstLine="0" w:firstLineChars="0"/>
        <w:jc w:val="center"/>
        <w:rPr>
          <w:rFonts w:hint="eastAsia" w:ascii="华文中宋" w:hAnsi="华文中宋" w:eastAsia="华文中宋" w:cs="华文中宋"/>
          <w:b/>
          <w:sz w:val="52"/>
          <w:szCs w:val="52"/>
        </w:rPr>
      </w:pPr>
      <w:r>
        <w:rPr>
          <w:rFonts w:hint="eastAsia" w:ascii="华文中宋" w:hAnsi="华文中宋" w:eastAsia="华文中宋" w:cs="华文中宋"/>
          <w:b/>
          <w:spacing w:val="0"/>
          <w:sz w:val="40"/>
          <w:szCs w:val="40"/>
          <w:lang w:eastAsia="zh-CN"/>
        </w:rPr>
        <w:t>2023年度济宁市对口支援英吉沙县林果产业特色小镇建设项目（农业一二三产融合项目）—英吉沙县智慧化农业体系建设项目（检测设备采购）二次</w:t>
      </w:r>
    </w:p>
    <w:p w14:paraId="0992D56F">
      <w:pPr>
        <w:pStyle w:val="18"/>
        <w:rPr>
          <w:rFonts w:hint="eastAsia" w:ascii="华文中宋" w:hAnsi="华文中宋" w:eastAsia="华文中宋" w:cs="华文中宋"/>
          <w:b/>
          <w:sz w:val="52"/>
          <w:szCs w:val="52"/>
        </w:rPr>
      </w:pPr>
    </w:p>
    <w:p w14:paraId="5D95C317">
      <w:pPr>
        <w:pStyle w:val="18"/>
        <w:rPr>
          <w:rFonts w:hint="eastAsia" w:ascii="华文中宋" w:hAnsi="华文中宋" w:eastAsia="华文中宋" w:cs="华文中宋"/>
          <w:b/>
          <w:sz w:val="52"/>
          <w:szCs w:val="52"/>
        </w:rPr>
      </w:pPr>
    </w:p>
    <w:p w14:paraId="1DFB11C4">
      <w:pPr>
        <w:spacing w:line="240" w:lineRule="atLeast"/>
        <w:ind w:left="1080" w:leftChars="257" w:hanging="540"/>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rPr>
        <w:t>招标文件</w:t>
      </w:r>
    </w:p>
    <w:p w14:paraId="6F71DE62">
      <w:pPr>
        <w:pStyle w:val="18"/>
        <w:rPr>
          <w:rFonts w:hint="eastAsia"/>
        </w:rPr>
      </w:pPr>
    </w:p>
    <w:p w14:paraId="631F7AB6">
      <w:pPr>
        <w:pStyle w:val="15"/>
        <w:rPr>
          <w:rFonts w:hint="eastAsia" w:ascii="仿宋_GB2312" w:eastAsia="仿宋_GB2312"/>
          <w:b/>
          <w:sz w:val="48"/>
          <w:szCs w:val="48"/>
        </w:rPr>
      </w:pPr>
    </w:p>
    <w:p w14:paraId="2C2316E6">
      <w:pPr>
        <w:pStyle w:val="15"/>
        <w:rPr>
          <w:rFonts w:hint="eastAsia" w:ascii="仿宋_GB2312" w:eastAsia="仿宋_GB2312"/>
          <w:b/>
          <w:sz w:val="48"/>
          <w:szCs w:val="48"/>
        </w:rPr>
      </w:pPr>
    </w:p>
    <w:p w14:paraId="77C86A34">
      <w:pPr>
        <w:pStyle w:val="15"/>
        <w:rPr>
          <w:rFonts w:hint="eastAsia" w:ascii="仿宋_GB2312" w:eastAsia="仿宋_GB2312"/>
          <w:b/>
          <w:sz w:val="48"/>
          <w:szCs w:val="48"/>
        </w:rPr>
      </w:pPr>
    </w:p>
    <w:p w14:paraId="557077DD">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采购项目编号：</w:t>
      </w:r>
      <w:r>
        <w:rPr>
          <w:rFonts w:hint="eastAsia" w:ascii="宋体" w:hAnsi="宋体" w:cs="宋体"/>
          <w:b/>
          <w:sz w:val="24"/>
          <w:lang w:eastAsia="zh-CN"/>
        </w:rPr>
        <w:t>ZTZXYJSX（GK）DL-2024-22</w:t>
      </w:r>
    </w:p>
    <w:p w14:paraId="638A8E33">
      <w:pPr>
        <w:spacing w:line="480" w:lineRule="auto"/>
        <w:ind w:left="1080" w:leftChars="257" w:hanging="540"/>
        <w:rPr>
          <w:rFonts w:hint="eastAsia" w:eastAsia="宋体"/>
          <w:lang w:eastAsia="zh-CN"/>
        </w:rPr>
      </w:pPr>
      <w:r>
        <w:rPr>
          <w:rFonts w:hint="eastAsia" w:ascii="宋体" w:hAnsi="宋体" w:cs="宋体"/>
          <w:b/>
          <w:sz w:val="24"/>
        </w:rPr>
        <w:t>招   标  人：</w:t>
      </w:r>
      <w:r>
        <w:rPr>
          <w:rFonts w:hint="eastAsia" w:ascii="宋体" w:hAnsi="宋体" w:cs="宋体"/>
          <w:b/>
          <w:sz w:val="24"/>
          <w:lang w:eastAsia="zh-CN"/>
        </w:rPr>
        <w:t>英吉沙县农业农村局</w:t>
      </w:r>
    </w:p>
    <w:p w14:paraId="6828DB10">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采购代理机构：</w:t>
      </w:r>
      <w:r>
        <w:rPr>
          <w:rFonts w:hint="eastAsia" w:ascii="宋体" w:hAnsi="宋体" w:cs="宋体"/>
          <w:b/>
          <w:sz w:val="24"/>
          <w:lang w:eastAsia="zh-CN"/>
        </w:rPr>
        <w:t>新疆中泰正信项目管理有限公司</w:t>
      </w:r>
    </w:p>
    <w:p w14:paraId="437A9A22">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代理机构地址：</w:t>
      </w:r>
      <w:r>
        <w:rPr>
          <w:rFonts w:hint="eastAsia" w:ascii="宋体" w:hAnsi="宋体" w:cs="宋体"/>
          <w:b/>
          <w:sz w:val="24"/>
          <w:lang w:eastAsia="zh-CN"/>
        </w:rPr>
        <w:t>新疆喀什地区英吉沙县光明路新城商业街1号楼2-1号</w:t>
      </w:r>
    </w:p>
    <w:p w14:paraId="41F0B758">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联   系   人：</w:t>
      </w:r>
      <w:r>
        <w:rPr>
          <w:rFonts w:hint="eastAsia" w:ascii="宋体" w:hAnsi="宋体" w:cs="宋体"/>
          <w:b/>
          <w:sz w:val="24"/>
          <w:lang w:eastAsia="zh-CN"/>
        </w:rPr>
        <w:t>苏贺</w:t>
      </w:r>
    </w:p>
    <w:p w14:paraId="578EB537">
      <w:pPr>
        <w:spacing w:line="480" w:lineRule="auto"/>
        <w:ind w:left="1080" w:leftChars="257" w:hanging="540"/>
        <w:rPr>
          <w:rFonts w:hint="eastAsia" w:ascii="宋体" w:hAnsi="宋体" w:cs="宋体"/>
          <w:b/>
          <w:sz w:val="24"/>
        </w:rPr>
      </w:pPr>
      <w:r>
        <w:rPr>
          <w:rFonts w:hint="eastAsia" w:ascii="宋体" w:hAnsi="宋体" w:cs="宋体"/>
          <w:b/>
          <w:sz w:val="24"/>
        </w:rPr>
        <w:t>联  系 电 话：</w:t>
      </w:r>
      <w:r>
        <w:rPr>
          <w:rFonts w:hint="eastAsia" w:ascii="宋体" w:hAnsi="宋体" w:cs="宋体"/>
          <w:b/>
          <w:sz w:val="24"/>
          <w:lang w:eastAsia="zh-CN"/>
        </w:rPr>
        <w:t>15026328789</w:t>
      </w:r>
      <w:r>
        <w:rPr>
          <w:rFonts w:hint="eastAsia" w:ascii="宋体" w:hAnsi="宋体" w:cs="宋体"/>
          <w:b/>
          <w:sz w:val="24"/>
        </w:rPr>
        <w:t xml:space="preserve"> </w:t>
      </w:r>
    </w:p>
    <w:p w14:paraId="494E3D4A">
      <w:pPr>
        <w:spacing w:line="480" w:lineRule="auto"/>
        <w:ind w:left="1080" w:leftChars="257" w:hanging="540"/>
        <w:rPr>
          <w:rFonts w:hint="eastAsia" w:ascii="宋体" w:hAnsi="宋体" w:cs="宋体"/>
          <w:b/>
          <w:sz w:val="24"/>
          <w:lang w:eastAsia="zh-CN"/>
        </w:rPr>
      </w:pPr>
      <w:r>
        <w:rPr>
          <w:rFonts w:hint="eastAsia" w:ascii="宋体" w:hAnsi="宋体" w:cs="宋体"/>
          <w:b/>
          <w:sz w:val="24"/>
        </w:rPr>
        <w:t>日 期：</w:t>
      </w:r>
      <w:r>
        <w:rPr>
          <w:rFonts w:hint="eastAsia" w:ascii="宋体" w:hAnsi="宋体" w:cs="宋体"/>
          <w:b/>
          <w:sz w:val="24"/>
          <w:lang w:eastAsia="zh-CN"/>
        </w:rPr>
        <w:t>2024年</w:t>
      </w:r>
      <w:r>
        <w:rPr>
          <w:rFonts w:hint="eastAsia" w:ascii="宋体" w:hAnsi="宋体" w:cs="宋体"/>
          <w:b/>
          <w:sz w:val="24"/>
          <w:lang w:val="en-US" w:eastAsia="zh-CN"/>
        </w:rPr>
        <w:t>8</w:t>
      </w:r>
      <w:r>
        <w:rPr>
          <w:rFonts w:hint="eastAsia" w:ascii="宋体" w:hAnsi="宋体" w:cs="宋体"/>
          <w:b/>
          <w:sz w:val="24"/>
          <w:lang w:eastAsia="zh-CN"/>
        </w:rPr>
        <w:t>月</w:t>
      </w:r>
    </w:p>
    <w:p w14:paraId="0D14E51A">
      <w:pPr>
        <w:rPr>
          <w:rFonts w:hint="eastAsia"/>
          <w:lang w:eastAsia="zh-CN"/>
        </w:rPr>
      </w:pPr>
      <w:r>
        <w:rPr>
          <w:rFonts w:hint="eastAsia"/>
          <w:lang w:eastAsia="zh-CN"/>
        </w:rPr>
        <w:br w:type="page"/>
      </w:r>
      <w:r>
        <w:rPr>
          <w:rFonts w:hint="eastAsia"/>
          <w:lang w:eastAsia="zh-CN"/>
        </w:rPr>
        <w:br w:type="page"/>
      </w:r>
    </w:p>
    <w:p w14:paraId="47452CD8">
      <w:pPr>
        <w:spacing w:line="240" w:lineRule="atLeast"/>
        <w:ind w:left="1080" w:leftChars="257" w:hanging="540"/>
        <w:jc w:val="center"/>
        <w:rPr>
          <w:rFonts w:hint="eastAsia" w:ascii="仿宋_GB2312" w:eastAsia="仿宋_GB2312"/>
          <w:b/>
          <w:sz w:val="32"/>
        </w:rPr>
      </w:pPr>
    </w:p>
    <w:p w14:paraId="46A75044">
      <w:pPr>
        <w:spacing w:line="240" w:lineRule="atLeast"/>
        <w:ind w:left="1080" w:leftChars="257" w:hanging="540"/>
        <w:jc w:val="center"/>
        <w:rPr>
          <w:rFonts w:hint="eastAsia" w:ascii="仿宋_GB2312" w:eastAsia="仿宋_GB2312"/>
          <w:b/>
          <w:sz w:val="32"/>
        </w:rPr>
      </w:pPr>
      <w:r>
        <w:rPr>
          <w:rFonts w:hint="eastAsia" w:ascii="仿宋_GB2312" w:eastAsia="仿宋_GB2312"/>
          <w:b/>
          <w:sz w:val="32"/>
        </w:rPr>
        <w:t>目  录</w:t>
      </w:r>
    </w:p>
    <w:p w14:paraId="54661544">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_Toc22009 </w:instrText>
      </w:r>
      <w:r>
        <w:rPr>
          <w:rFonts w:hint="eastAsia" w:ascii="宋体" w:hAnsi="宋体" w:eastAsia="宋体" w:cs="宋体"/>
          <w:kern w:val="0"/>
          <w:sz w:val="32"/>
          <w:szCs w:val="32"/>
        </w:rPr>
        <w:fldChar w:fldCharType="separate"/>
      </w:r>
      <w:r>
        <w:rPr>
          <w:rFonts w:hint="eastAsia" w:ascii="宋体" w:hAnsi="宋体" w:eastAsia="宋体" w:cs="宋体"/>
          <w:sz w:val="32"/>
          <w:szCs w:val="40"/>
          <w:lang w:val="en-US" w:eastAsia="zh-CN"/>
        </w:rPr>
        <w:t xml:space="preserve">第1章  </w:t>
      </w:r>
      <w:r>
        <w:rPr>
          <w:rFonts w:hint="eastAsia" w:ascii="宋体" w:hAnsi="宋体" w:eastAsia="宋体" w:cs="宋体"/>
          <w:sz w:val="32"/>
          <w:szCs w:val="40"/>
        </w:rPr>
        <w:t>投标人须知</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_Toc22009 \h </w:instrText>
      </w:r>
      <w:r>
        <w:rPr>
          <w:rFonts w:hint="eastAsia" w:ascii="宋体" w:hAnsi="宋体" w:eastAsia="宋体" w:cs="宋体"/>
          <w:sz w:val="32"/>
          <w:szCs w:val="40"/>
        </w:rPr>
        <w:fldChar w:fldCharType="separate"/>
      </w:r>
      <w:r>
        <w:rPr>
          <w:rFonts w:hint="eastAsia" w:ascii="宋体" w:hAnsi="宋体" w:eastAsia="宋体" w:cs="宋体"/>
          <w:sz w:val="32"/>
          <w:szCs w:val="40"/>
        </w:rPr>
        <w:t>- 1 -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E0FAF64">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_Toc1121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一</w:t>
      </w:r>
      <w:r>
        <w:rPr>
          <w:rFonts w:hint="eastAsia" w:ascii="宋体" w:hAnsi="宋体" w:eastAsia="宋体" w:cs="宋体"/>
          <w:sz w:val="32"/>
          <w:szCs w:val="44"/>
          <w:lang w:eastAsia="zh-CN"/>
        </w:rPr>
        <w:t>、</w:t>
      </w:r>
      <w:r>
        <w:rPr>
          <w:rFonts w:hint="eastAsia" w:ascii="宋体" w:hAnsi="宋体" w:eastAsia="宋体" w:cs="宋体"/>
          <w:sz w:val="32"/>
          <w:szCs w:val="44"/>
        </w:rPr>
        <w:t>总  则</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_Toc1121 \h </w:instrText>
      </w:r>
      <w:r>
        <w:rPr>
          <w:rFonts w:hint="eastAsia" w:ascii="宋体" w:hAnsi="宋体" w:eastAsia="宋体" w:cs="宋体"/>
          <w:sz w:val="32"/>
          <w:szCs w:val="40"/>
        </w:rPr>
        <w:fldChar w:fldCharType="separate"/>
      </w:r>
      <w:r>
        <w:rPr>
          <w:rFonts w:hint="eastAsia" w:ascii="宋体" w:hAnsi="宋体" w:eastAsia="宋体" w:cs="宋体"/>
          <w:sz w:val="32"/>
          <w:szCs w:val="40"/>
        </w:rPr>
        <w:t>- 1 -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1F988FCA">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_Toc8829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二</w:t>
      </w:r>
      <w:r>
        <w:rPr>
          <w:rFonts w:hint="eastAsia" w:ascii="宋体" w:hAnsi="宋体" w:eastAsia="宋体" w:cs="宋体"/>
          <w:sz w:val="32"/>
          <w:szCs w:val="44"/>
          <w:lang w:eastAsia="zh-CN"/>
        </w:rPr>
        <w:t>、采购文件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_Toc8829 \h </w:instrText>
      </w:r>
      <w:r>
        <w:rPr>
          <w:rFonts w:hint="eastAsia" w:ascii="宋体" w:hAnsi="宋体" w:eastAsia="宋体" w:cs="宋体"/>
          <w:sz w:val="32"/>
          <w:szCs w:val="40"/>
        </w:rPr>
        <w:fldChar w:fldCharType="separate"/>
      </w:r>
      <w:r>
        <w:rPr>
          <w:rFonts w:hint="eastAsia" w:ascii="宋体" w:hAnsi="宋体" w:eastAsia="宋体" w:cs="宋体"/>
          <w:sz w:val="32"/>
          <w:szCs w:val="40"/>
        </w:rPr>
        <w:t>- 2 -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C68F9F4">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_Toc12158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三</w:t>
      </w:r>
      <w:r>
        <w:rPr>
          <w:rFonts w:hint="eastAsia" w:ascii="宋体" w:hAnsi="宋体" w:eastAsia="宋体" w:cs="宋体"/>
          <w:sz w:val="32"/>
          <w:szCs w:val="44"/>
          <w:lang w:eastAsia="zh-CN"/>
        </w:rPr>
        <w:t>、</w:t>
      </w:r>
      <w:r>
        <w:rPr>
          <w:rFonts w:hint="eastAsia" w:ascii="宋体" w:hAnsi="宋体" w:eastAsia="宋体" w:cs="宋体"/>
          <w:sz w:val="32"/>
          <w:szCs w:val="44"/>
        </w:rPr>
        <w:t>投标文件的编制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_Toc12158 \h </w:instrText>
      </w:r>
      <w:r>
        <w:rPr>
          <w:rFonts w:hint="eastAsia" w:ascii="宋体" w:hAnsi="宋体" w:eastAsia="宋体" w:cs="宋体"/>
          <w:sz w:val="32"/>
          <w:szCs w:val="40"/>
        </w:rPr>
        <w:fldChar w:fldCharType="separate"/>
      </w:r>
      <w:r>
        <w:rPr>
          <w:rFonts w:hint="eastAsia" w:ascii="宋体" w:hAnsi="宋体" w:eastAsia="宋体" w:cs="宋体"/>
          <w:sz w:val="32"/>
          <w:szCs w:val="40"/>
        </w:rPr>
        <w:t>- 3 -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0CA4EB79">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_Toc1867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四   投标文件的递交</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_Toc1867 \h </w:instrText>
      </w:r>
      <w:r>
        <w:rPr>
          <w:rFonts w:hint="eastAsia" w:ascii="宋体" w:hAnsi="宋体" w:eastAsia="宋体" w:cs="宋体"/>
          <w:sz w:val="32"/>
          <w:szCs w:val="40"/>
        </w:rPr>
        <w:fldChar w:fldCharType="separate"/>
      </w:r>
      <w:r>
        <w:rPr>
          <w:rFonts w:hint="eastAsia" w:ascii="宋体" w:hAnsi="宋体" w:eastAsia="宋体" w:cs="宋体"/>
          <w:sz w:val="32"/>
          <w:szCs w:val="40"/>
        </w:rPr>
        <w:t>- 6 -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60BFAC1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_Toc27150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五   开标及评标</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_Toc27150 \h </w:instrText>
      </w:r>
      <w:r>
        <w:rPr>
          <w:rFonts w:hint="eastAsia" w:ascii="宋体" w:hAnsi="宋体" w:eastAsia="宋体" w:cs="宋体"/>
          <w:sz w:val="32"/>
          <w:szCs w:val="40"/>
        </w:rPr>
        <w:fldChar w:fldCharType="separate"/>
      </w:r>
      <w:r>
        <w:rPr>
          <w:rFonts w:hint="eastAsia" w:ascii="宋体" w:hAnsi="宋体" w:eastAsia="宋体" w:cs="宋体"/>
          <w:sz w:val="32"/>
          <w:szCs w:val="40"/>
        </w:rPr>
        <w:t>- 7 -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07D1254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_Toc9372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六   确定中标</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_Toc9372 \h </w:instrText>
      </w:r>
      <w:r>
        <w:rPr>
          <w:rFonts w:hint="eastAsia" w:ascii="宋体" w:hAnsi="宋体" w:eastAsia="宋体" w:cs="宋体"/>
          <w:sz w:val="32"/>
          <w:szCs w:val="40"/>
        </w:rPr>
        <w:fldChar w:fldCharType="separate"/>
      </w:r>
      <w:r>
        <w:rPr>
          <w:rFonts w:hint="eastAsia" w:ascii="宋体" w:hAnsi="宋体" w:eastAsia="宋体" w:cs="宋体"/>
          <w:sz w:val="32"/>
          <w:szCs w:val="40"/>
        </w:rPr>
        <w:t>- 11 -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11E002C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_Toc13540 </w:instrText>
      </w:r>
      <w:r>
        <w:rPr>
          <w:rFonts w:hint="eastAsia" w:ascii="宋体" w:hAnsi="宋体" w:eastAsia="宋体" w:cs="宋体"/>
          <w:kern w:val="0"/>
          <w:sz w:val="32"/>
          <w:szCs w:val="32"/>
        </w:rPr>
        <w:fldChar w:fldCharType="separate"/>
      </w:r>
      <w:r>
        <w:rPr>
          <w:rFonts w:hint="eastAsia" w:ascii="宋体" w:hAnsi="宋体" w:eastAsia="宋体" w:cs="宋体"/>
          <w:bCs/>
          <w:sz w:val="32"/>
          <w:szCs w:val="40"/>
        </w:rPr>
        <w:t>质疑函范本</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_Toc13540 \h </w:instrText>
      </w:r>
      <w:r>
        <w:rPr>
          <w:rFonts w:hint="eastAsia" w:ascii="宋体" w:hAnsi="宋体" w:eastAsia="宋体" w:cs="宋体"/>
          <w:sz w:val="32"/>
          <w:szCs w:val="40"/>
        </w:rPr>
        <w:fldChar w:fldCharType="separate"/>
      </w:r>
      <w:r>
        <w:rPr>
          <w:rFonts w:hint="eastAsia" w:ascii="宋体" w:hAnsi="宋体" w:eastAsia="宋体" w:cs="宋体"/>
          <w:sz w:val="32"/>
          <w:szCs w:val="40"/>
        </w:rPr>
        <w:t>- 17 -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5BEA90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_Toc11058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第2章响应文件格式</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_Toc11058 \h </w:instrText>
      </w:r>
      <w:r>
        <w:rPr>
          <w:rFonts w:hint="eastAsia" w:ascii="宋体" w:hAnsi="宋体" w:eastAsia="宋体" w:cs="宋体"/>
          <w:sz w:val="32"/>
          <w:szCs w:val="40"/>
        </w:rPr>
        <w:fldChar w:fldCharType="separate"/>
      </w:r>
      <w:r>
        <w:rPr>
          <w:rFonts w:hint="eastAsia" w:ascii="宋体" w:hAnsi="宋体" w:eastAsia="宋体" w:cs="宋体"/>
          <w:sz w:val="32"/>
          <w:szCs w:val="40"/>
        </w:rPr>
        <w:t>- 20 -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D20AC27">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_Toc30794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第一部分开标一览表及资格证明文件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_Toc30794 \h </w:instrText>
      </w:r>
      <w:r>
        <w:rPr>
          <w:rFonts w:hint="eastAsia" w:ascii="宋体" w:hAnsi="宋体" w:eastAsia="宋体" w:cs="宋体"/>
          <w:sz w:val="32"/>
          <w:szCs w:val="40"/>
        </w:rPr>
        <w:fldChar w:fldCharType="separate"/>
      </w:r>
      <w:r>
        <w:rPr>
          <w:rFonts w:hint="eastAsia" w:ascii="宋体" w:hAnsi="宋体" w:eastAsia="宋体" w:cs="宋体"/>
          <w:sz w:val="32"/>
          <w:szCs w:val="40"/>
        </w:rPr>
        <w:t>- 21 -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4599BB1">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_Toc11244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第二部分商务及技术文件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_Toc11244 \h </w:instrText>
      </w:r>
      <w:r>
        <w:rPr>
          <w:rFonts w:hint="eastAsia" w:ascii="宋体" w:hAnsi="宋体" w:eastAsia="宋体" w:cs="宋体"/>
          <w:sz w:val="32"/>
          <w:szCs w:val="40"/>
        </w:rPr>
        <w:fldChar w:fldCharType="separate"/>
      </w:r>
      <w:r>
        <w:rPr>
          <w:rFonts w:hint="eastAsia" w:ascii="宋体" w:hAnsi="宋体" w:eastAsia="宋体" w:cs="宋体"/>
          <w:sz w:val="32"/>
          <w:szCs w:val="40"/>
        </w:rPr>
        <w:t>- 29 -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B5526CF">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_Toc17131 </w:instrText>
      </w:r>
      <w:r>
        <w:rPr>
          <w:rFonts w:hint="eastAsia" w:ascii="宋体" w:hAnsi="宋体" w:eastAsia="宋体" w:cs="宋体"/>
          <w:kern w:val="0"/>
          <w:sz w:val="32"/>
          <w:szCs w:val="32"/>
        </w:rPr>
        <w:fldChar w:fldCharType="separate"/>
      </w:r>
      <w:r>
        <w:rPr>
          <w:rFonts w:hint="eastAsia" w:ascii="宋体" w:hAnsi="宋体" w:eastAsia="宋体" w:cs="宋体"/>
          <w:sz w:val="32"/>
          <w:szCs w:val="40"/>
        </w:rPr>
        <w:t>第3章 招标公告</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_Toc17131 \h </w:instrText>
      </w:r>
      <w:r>
        <w:rPr>
          <w:rFonts w:hint="eastAsia" w:ascii="宋体" w:hAnsi="宋体" w:eastAsia="宋体" w:cs="宋体"/>
          <w:sz w:val="32"/>
          <w:szCs w:val="40"/>
        </w:rPr>
        <w:fldChar w:fldCharType="separate"/>
      </w:r>
      <w:r>
        <w:rPr>
          <w:rFonts w:hint="eastAsia" w:ascii="宋体" w:hAnsi="宋体" w:eastAsia="宋体" w:cs="宋体"/>
          <w:sz w:val="32"/>
          <w:szCs w:val="40"/>
        </w:rPr>
        <w:t>- 41 -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481F236">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_Toc1921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第4章 投标人须知资料表</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_Toc1921 \h </w:instrText>
      </w:r>
      <w:r>
        <w:rPr>
          <w:rFonts w:hint="eastAsia" w:ascii="宋体" w:hAnsi="宋体" w:eastAsia="宋体" w:cs="宋体"/>
          <w:sz w:val="32"/>
          <w:szCs w:val="40"/>
        </w:rPr>
        <w:fldChar w:fldCharType="separate"/>
      </w:r>
      <w:r>
        <w:rPr>
          <w:rFonts w:hint="eastAsia" w:ascii="宋体" w:hAnsi="宋体" w:eastAsia="宋体" w:cs="宋体"/>
          <w:sz w:val="32"/>
          <w:szCs w:val="40"/>
        </w:rPr>
        <w:t>- 45 -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3A77ED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_Toc4671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第5章</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货物需求一览表及技术规格</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_Toc4671 \h </w:instrText>
      </w:r>
      <w:r>
        <w:rPr>
          <w:rFonts w:hint="eastAsia" w:ascii="宋体" w:hAnsi="宋体" w:eastAsia="宋体" w:cs="宋体"/>
          <w:sz w:val="32"/>
          <w:szCs w:val="40"/>
        </w:rPr>
        <w:fldChar w:fldCharType="separate"/>
      </w:r>
      <w:r>
        <w:rPr>
          <w:rFonts w:hint="eastAsia" w:ascii="宋体" w:hAnsi="宋体" w:eastAsia="宋体" w:cs="宋体"/>
          <w:sz w:val="32"/>
          <w:szCs w:val="40"/>
        </w:rPr>
        <w:t>- 50 -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6EA3F35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_Toc10162 </w:instrText>
      </w:r>
      <w:r>
        <w:rPr>
          <w:rFonts w:hint="eastAsia" w:ascii="宋体" w:hAnsi="宋体" w:eastAsia="宋体" w:cs="宋体"/>
          <w:kern w:val="0"/>
          <w:sz w:val="32"/>
          <w:szCs w:val="32"/>
        </w:rPr>
        <w:fldChar w:fldCharType="separate"/>
      </w:r>
      <w:r>
        <w:rPr>
          <w:rFonts w:hint="eastAsia" w:ascii="宋体" w:hAnsi="宋体" w:eastAsia="宋体" w:cs="宋体"/>
          <w:sz w:val="32"/>
          <w:szCs w:val="40"/>
          <w:lang w:eastAsia="zh-CN"/>
        </w:rPr>
        <w:t>第</w:t>
      </w:r>
      <w:r>
        <w:rPr>
          <w:rFonts w:hint="eastAsia" w:ascii="宋体" w:hAnsi="宋体" w:eastAsia="宋体" w:cs="宋体"/>
          <w:sz w:val="32"/>
          <w:szCs w:val="40"/>
          <w:lang w:val="en-US" w:eastAsia="zh-CN"/>
        </w:rPr>
        <w:t>6</w:t>
      </w:r>
      <w:r>
        <w:rPr>
          <w:rFonts w:hint="eastAsia" w:ascii="宋体" w:hAnsi="宋体" w:eastAsia="宋体" w:cs="宋体"/>
          <w:sz w:val="32"/>
          <w:szCs w:val="40"/>
          <w:lang w:eastAsia="zh-CN"/>
        </w:rPr>
        <w:t>章</w:t>
      </w:r>
      <w:r>
        <w:rPr>
          <w:rFonts w:hint="eastAsia" w:ascii="宋体" w:hAnsi="宋体" w:eastAsia="宋体" w:cs="宋体"/>
          <w:sz w:val="32"/>
          <w:szCs w:val="40"/>
        </w:rPr>
        <w:t xml:space="preserve">  评标方法和标准</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_Toc10162 \h </w:instrText>
      </w:r>
      <w:r>
        <w:rPr>
          <w:rFonts w:hint="eastAsia" w:ascii="宋体" w:hAnsi="宋体" w:eastAsia="宋体" w:cs="宋体"/>
          <w:sz w:val="32"/>
          <w:szCs w:val="40"/>
        </w:rPr>
        <w:fldChar w:fldCharType="separate"/>
      </w:r>
      <w:r>
        <w:rPr>
          <w:rFonts w:hint="eastAsia" w:ascii="宋体" w:hAnsi="宋体" w:eastAsia="宋体" w:cs="宋体"/>
          <w:sz w:val="32"/>
          <w:szCs w:val="40"/>
        </w:rPr>
        <w:t>- 66 -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08DA926">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_Toc25091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第7章政府采购合同</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_Toc25091 \h </w:instrText>
      </w:r>
      <w:r>
        <w:rPr>
          <w:rFonts w:hint="eastAsia" w:ascii="宋体" w:hAnsi="宋体" w:eastAsia="宋体" w:cs="宋体"/>
          <w:sz w:val="32"/>
          <w:szCs w:val="40"/>
        </w:rPr>
        <w:fldChar w:fldCharType="separate"/>
      </w:r>
      <w:r>
        <w:rPr>
          <w:rFonts w:hint="eastAsia" w:ascii="宋体" w:hAnsi="宋体" w:eastAsia="宋体" w:cs="宋体"/>
          <w:sz w:val="32"/>
          <w:szCs w:val="40"/>
        </w:rPr>
        <w:t>- 74 -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8FA99D3">
      <w:pPr>
        <w:pStyle w:val="2"/>
        <w:numPr>
          <w:ilvl w:val="0"/>
          <w:numId w:val="0"/>
        </w:numPr>
        <w:tabs>
          <w:tab w:val="left" w:pos="0"/>
        </w:tabs>
        <w:spacing w:before="0" w:after="0" w:line="240" w:lineRule="auto"/>
        <w:ind w:left="0" w:leftChars="0" w:firstLine="0" w:firstLineChars="0"/>
        <w:rPr>
          <w:rFonts w:hint="eastAsia" w:ascii="仿宋_GB2312" w:eastAsia="仿宋_GB2312"/>
        </w:rPr>
      </w:pPr>
      <w:r>
        <w:rPr>
          <w:rFonts w:hAnsi="宋体" w:cs="宋体"/>
          <w:kern w:val="0"/>
          <w:szCs w:val="21"/>
        </w:rPr>
        <w:fldChar w:fldCharType="end"/>
      </w:r>
      <w:bookmarkStart w:id="0" w:name="_Toc216582804"/>
      <w:bookmarkStart w:id="1" w:name="_Toc17230"/>
      <w:bookmarkStart w:id="2" w:name="_Toc22782"/>
      <w:r>
        <w:rPr>
          <w:rFonts w:ascii="仿宋_GB2312" w:eastAsia="仿宋_GB2312"/>
        </w:rPr>
        <w:t xml:space="preserve"> </w:t>
      </w:r>
      <w:r>
        <w:rPr>
          <w:rFonts w:hint="eastAsia" w:ascii="仿宋_GB2312" w:eastAsia="仿宋_GB2312"/>
        </w:rPr>
        <w:t xml:space="preserve"> </w:t>
      </w:r>
      <w:bookmarkStart w:id="3" w:name="_Toc515647756"/>
    </w:p>
    <w:p w14:paraId="7FB0C260">
      <w:pPr>
        <w:pStyle w:val="2"/>
        <w:numPr>
          <w:ilvl w:val="0"/>
          <w:numId w:val="0"/>
        </w:numPr>
        <w:tabs>
          <w:tab w:val="left" w:pos="0"/>
        </w:tabs>
        <w:spacing w:before="0" w:after="0" w:line="240" w:lineRule="atLeast"/>
        <w:ind w:left="3134" w:leftChars="0" w:hanging="1290" w:firstLineChars="0"/>
        <w:outlineLvl w:val="0"/>
        <w:rPr>
          <w:rFonts w:hint="eastAsia" w:ascii="仿宋_GB2312" w:eastAsia="仿宋_GB2312"/>
          <w:lang w:val="en-US" w:eastAsia="zh-CN"/>
        </w:rPr>
        <w:sectPr>
          <w:headerReference r:id="rId3" w:type="default"/>
          <w:pgSz w:w="11906" w:h="16838"/>
          <w:pgMar w:top="1440" w:right="1800" w:bottom="1440" w:left="1800" w:header="0" w:footer="893" w:gutter="0"/>
          <w:pgNumType w:fmt="numberInDash"/>
          <w:cols w:space="720" w:num="1"/>
        </w:sectPr>
      </w:pPr>
      <w:r>
        <w:rPr>
          <w:rFonts w:hint="eastAsia" w:ascii="仿宋_GB2312" w:eastAsia="仿宋_GB2312"/>
          <w:lang w:val="en-US" w:eastAsia="zh-CN"/>
        </w:rPr>
        <w:br w:type="page"/>
      </w:r>
    </w:p>
    <w:p w14:paraId="424F4335">
      <w:pPr>
        <w:pStyle w:val="2"/>
        <w:numPr>
          <w:ilvl w:val="0"/>
          <w:numId w:val="0"/>
        </w:numPr>
        <w:tabs>
          <w:tab w:val="left" w:pos="0"/>
        </w:tabs>
        <w:spacing w:before="0" w:after="0" w:line="240" w:lineRule="atLeast"/>
        <w:jc w:val="center"/>
        <w:outlineLvl w:val="0"/>
        <w:rPr>
          <w:rFonts w:hint="eastAsia" w:ascii="仿宋_GB2312" w:eastAsia="仿宋_GB2312"/>
        </w:rPr>
      </w:pPr>
      <w:bookmarkStart w:id="4" w:name="_Toc22009"/>
      <w:r>
        <w:rPr>
          <w:rFonts w:hint="eastAsia" w:ascii="宋体" w:hAnsi="宋体" w:eastAsia="宋体" w:cs="宋体"/>
          <w:lang w:val="en-US" w:eastAsia="zh-CN"/>
        </w:rPr>
        <w:t xml:space="preserve">第1章  </w:t>
      </w:r>
      <w:r>
        <w:rPr>
          <w:rFonts w:hint="eastAsia" w:ascii="宋体" w:hAnsi="宋体" w:eastAsia="宋体" w:cs="宋体"/>
        </w:rPr>
        <w:t>投标人须知</w:t>
      </w:r>
      <w:bookmarkEnd w:id="0"/>
      <w:bookmarkEnd w:id="1"/>
      <w:bookmarkEnd w:id="2"/>
      <w:bookmarkEnd w:id="3"/>
      <w:bookmarkEnd w:id="4"/>
    </w:p>
    <w:p w14:paraId="768B422A">
      <w:pPr>
        <w:rPr>
          <w:rFonts w:hint="eastAsia"/>
        </w:rPr>
      </w:pPr>
    </w:p>
    <w:p w14:paraId="74EBA79B">
      <w:pPr>
        <w:pStyle w:val="3"/>
        <w:spacing w:before="0" w:line="240" w:lineRule="atLeast"/>
        <w:ind w:left="1080" w:leftChars="257" w:hanging="540"/>
        <w:rPr>
          <w:rFonts w:hint="eastAsia" w:ascii="宋体" w:hAnsi="宋体" w:eastAsia="宋体" w:cs="宋体"/>
          <w:sz w:val="28"/>
          <w:szCs w:val="28"/>
        </w:rPr>
      </w:pPr>
      <w:bookmarkStart w:id="5" w:name="_Toc216582805"/>
      <w:bookmarkStart w:id="6" w:name="_Toc520356143"/>
      <w:bookmarkStart w:id="7" w:name="_Toc1121"/>
      <w:bookmarkStart w:id="8" w:name="_Toc518923060"/>
      <w:r>
        <w:rPr>
          <w:rFonts w:hint="eastAsia" w:ascii="宋体" w:hAnsi="宋体" w:eastAsia="宋体" w:cs="宋体"/>
          <w:sz w:val="28"/>
          <w:szCs w:val="28"/>
        </w:rPr>
        <w:t>一</w:t>
      </w:r>
      <w:bookmarkEnd w:id="5"/>
      <w:bookmarkEnd w:id="6"/>
      <w:r>
        <w:rPr>
          <w:rFonts w:hint="eastAsia" w:ascii="宋体" w:hAnsi="宋体" w:eastAsia="宋体" w:cs="宋体"/>
          <w:sz w:val="28"/>
          <w:szCs w:val="28"/>
          <w:lang w:eastAsia="zh-CN"/>
        </w:rPr>
        <w:t>、</w:t>
      </w:r>
      <w:r>
        <w:rPr>
          <w:rFonts w:hint="eastAsia" w:ascii="宋体" w:hAnsi="宋体" w:eastAsia="宋体" w:cs="宋体"/>
          <w:sz w:val="28"/>
          <w:szCs w:val="28"/>
        </w:rPr>
        <w:t>总  则</w:t>
      </w:r>
      <w:bookmarkEnd w:id="7"/>
      <w:bookmarkEnd w:id="8"/>
    </w:p>
    <w:p w14:paraId="76177881">
      <w:pPr>
        <w:pStyle w:val="4"/>
        <w:spacing w:before="0" w:after="0" w:line="240" w:lineRule="atLeast"/>
        <w:rPr>
          <w:rFonts w:hint="eastAsia" w:ascii="宋体" w:hAnsi="宋体" w:eastAsia="宋体" w:cs="宋体"/>
          <w:sz w:val="28"/>
          <w:szCs w:val="28"/>
          <w:u w:val="none"/>
        </w:rPr>
      </w:pPr>
      <w:bookmarkStart w:id="9" w:name="_Toc520356144"/>
      <w:bookmarkStart w:id="10" w:name="_Toc518923061"/>
      <w:bookmarkStart w:id="11" w:name="_Toc17308"/>
      <w:bookmarkStart w:id="12" w:name="_Toc4911"/>
      <w:r>
        <w:rPr>
          <w:rFonts w:hint="eastAsia" w:ascii="宋体" w:hAnsi="宋体" w:eastAsia="宋体" w:cs="宋体"/>
          <w:sz w:val="28"/>
          <w:szCs w:val="28"/>
          <w:u w:val="none"/>
        </w:rPr>
        <w:t>1.采购人、采购代理机构及</w:t>
      </w:r>
      <w:bookmarkEnd w:id="9"/>
      <w:r>
        <w:rPr>
          <w:rFonts w:hint="eastAsia" w:ascii="宋体" w:hAnsi="宋体" w:eastAsia="宋体" w:cs="宋体"/>
          <w:sz w:val="28"/>
          <w:szCs w:val="28"/>
          <w:u w:val="none"/>
        </w:rPr>
        <w:t>投标人</w:t>
      </w:r>
      <w:bookmarkEnd w:id="10"/>
      <w:bookmarkEnd w:id="11"/>
      <w:bookmarkEnd w:id="12"/>
    </w:p>
    <w:p w14:paraId="4CD0B2BC">
      <w:pPr>
        <w:numPr>
          <w:ilvl w:val="1"/>
          <w:numId w:val="0"/>
        </w:numPr>
        <w:tabs>
          <w:tab w:val="left" w:pos="0"/>
        </w:tabs>
        <w:spacing w:line="240" w:lineRule="atLeast"/>
        <w:ind w:left="900" w:leftChars="0" w:hanging="898"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1.1    </w:t>
      </w:r>
      <w:r>
        <w:rPr>
          <w:rFonts w:hint="eastAsia" w:ascii="宋体" w:hAnsi="宋体" w:eastAsia="宋体" w:cs="宋体"/>
          <w:sz w:val="28"/>
          <w:szCs w:val="28"/>
        </w:rPr>
        <w:t>采购人：是指依法开展政府采购活动的国家机关、事业单位、团体组织。</w:t>
      </w:r>
    </w:p>
    <w:p w14:paraId="106BE61C">
      <w:pPr>
        <w:tabs>
          <w:tab w:val="left" w:pos="0"/>
        </w:tabs>
        <w:spacing w:line="240" w:lineRule="atLeast"/>
        <w:ind w:left="900"/>
        <w:rPr>
          <w:rFonts w:hint="eastAsia" w:ascii="宋体" w:hAnsi="宋体" w:eastAsia="宋体" w:cs="宋体"/>
          <w:sz w:val="28"/>
          <w:szCs w:val="28"/>
        </w:rPr>
      </w:pPr>
      <w:r>
        <w:rPr>
          <w:rFonts w:hint="eastAsia" w:ascii="宋体" w:hAnsi="宋体" w:eastAsia="宋体" w:cs="宋体"/>
          <w:sz w:val="28"/>
          <w:szCs w:val="28"/>
        </w:rPr>
        <w:t>本项目的采购人见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6132E272">
      <w:pPr>
        <w:numPr>
          <w:ilvl w:val="1"/>
          <w:numId w:val="0"/>
        </w:numPr>
        <w:tabs>
          <w:tab w:val="left" w:pos="0"/>
        </w:tabs>
        <w:spacing w:line="240" w:lineRule="atLeast"/>
        <w:ind w:left="900" w:leftChars="0" w:hanging="898"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1.2    </w:t>
      </w:r>
      <w:r>
        <w:rPr>
          <w:rFonts w:hint="eastAsia" w:ascii="宋体" w:hAnsi="宋体" w:eastAsia="宋体" w:cs="宋体"/>
          <w:sz w:val="28"/>
          <w:szCs w:val="28"/>
        </w:rPr>
        <w:t>采购代理机构：是指集中采购机构或从事采购代理业务的社会中介机构。本项目的采购代理机构见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643665E4">
      <w:pPr>
        <w:numPr>
          <w:ilvl w:val="1"/>
          <w:numId w:val="0"/>
        </w:numPr>
        <w:spacing w:line="240" w:lineRule="atLeast"/>
        <w:ind w:left="1050" w:leftChars="0" w:hanging="1050" w:hangingChars="375"/>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1.3    </w:t>
      </w:r>
      <w:r>
        <w:rPr>
          <w:rFonts w:hint="eastAsia" w:ascii="宋体" w:hAnsi="宋体" w:eastAsia="宋体" w:cs="宋体"/>
          <w:sz w:val="28"/>
          <w:szCs w:val="28"/>
        </w:rPr>
        <w:t>投标人：是指向采购人提供货物、工程或者服务的法人、非法人组织或者自然人。本项目的投标人须满足以下条件：</w:t>
      </w:r>
    </w:p>
    <w:p w14:paraId="144BED0B">
      <w:pPr>
        <w:spacing w:line="240" w:lineRule="atLeast"/>
        <w:ind w:left="991" w:hanging="991" w:hangingChars="354"/>
        <w:rPr>
          <w:rFonts w:hint="eastAsia" w:ascii="宋体" w:hAnsi="宋体" w:eastAsia="宋体" w:cs="宋体"/>
          <w:sz w:val="28"/>
          <w:szCs w:val="28"/>
        </w:rPr>
      </w:pPr>
      <w:r>
        <w:rPr>
          <w:rFonts w:hint="eastAsia" w:ascii="宋体" w:hAnsi="宋体" w:eastAsia="宋体" w:cs="宋体"/>
          <w:sz w:val="28"/>
          <w:szCs w:val="28"/>
        </w:rPr>
        <w:t>1.3.1</w:t>
      </w:r>
      <w:r>
        <w:rPr>
          <w:rFonts w:hint="eastAsia" w:ascii="宋体" w:hAnsi="宋体" w:eastAsia="宋体" w:cs="宋体"/>
          <w:sz w:val="28"/>
          <w:szCs w:val="28"/>
        </w:rPr>
        <w:tab/>
      </w:r>
      <w:r>
        <w:rPr>
          <w:rFonts w:hint="eastAsia" w:ascii="宋体" w:hAnsi="宋体" w:eastAsia="宋体" w:cs="宋体"/>
          <w:sz w:val="28"/>
          <w:szCs w:val="28"/>
        </w:rPr>
        <w:t>在中华人民共和国境内注册，能够独立承担民事责任，有生产或供应能力的本国投标人。</w:t>
      </w:r>
    </w:p>
    <w:p w14:paraId="35B58F8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1.3.2  具备《中华人民共和国政府采购法》第二十二条关于投标人条件的规定，遵守本项目采购人本级和上级财政部门政府采购的有关规定。</w:t>
      </w:r>
    </w:p>
    <w:p w14:paraId="72CD475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1.3.3  以采购代理机构认可的方式获得了本项目的</w:t>
      </w:r>
      <w:r>
        <w:rPr>
          <w:rFonts w:hint="eastAsia" w:ascii="宋体" w:hAnsi="宋体" w:eastAsia="宋体" w:cs="宋体"/>
          <w:sz w:val="28"/>
          <w:szCs w:val="28"/>
          <w:lang w:eastAsia="zh-CN"/>
        </w:rPr>
        <w:t>采购文件</w:t>
      </w:r>
      <w:r>
        <w:rPr>
          <w:rFonts w:hint="eastAsia" w:ascii="宋体" w:hAnsi="宋体" w:eastAsia="宋体" w:cs="宋体"/>
          <w:sz w:val="28"/>
          <w:szCs w:val="28"/>
        </w:rPr>
        <w:t>。</w:t>
      </w:r>
    </w:p>
    <w:p w14:paraId="2723194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1.3.4  符合</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中规定的其他要求。</w:t>
      </w:r>
    </w:p>
    <w:p w14:paraId="4DB759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1.3.5  若</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中写明专门面向中小企业采购的，如投标人为非中小企业，其投标将被认定为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0CCAA01F">
      <w:pPr>
        <w:pStyle w:val="5"/>
        <w:ind w:left="0" w:leftChars="0" w:firstLine="0" w:firstLineChars="0"/>
        <w:rPr>
          <w:rFonts w:hint="default" w:eastAsia="宋体"/>
          <w:lang w:val="en-US" w:eastAsia="zh-CN"/>
        </w:rPr>
      </w:pPr>
      <w:r>
        <w:rPr>
          <w:rFonts w:hint="eastAsia" w:ascii="宋体" w:hAnsi="宋体" w:eastAsia="宋体" w:cs="宋体"/>
          <w:sz w:val="28"/>
          <w:szCs w:val="28"/>
          <w:lang w:val="en-US" w:eastAsia="zh-CN"/>
        </w:rPr>
        <w:t xml:space="preserve">1.3.6  </w:t>
      </w:r>
      <w:r>
        <w:rPr>
          <w:rFonts w:hint="eastAsia" w:ascii="宋体" w:hAnsi="宋体" w:eastAsia="宋体" w:cs="宋体"/>
          <w:b/>
          <w:bCs/>
          <w:color w:val="auto"/>
          <w:sz w:val="28"/>
          <w:szCs w:val="28"/>
          <w:lang w:val="en-US" w:eastAsia="zh-CN"/>
        </w:rPr>
        <w:t>本项目是否接受进口货物</w:t>
      </w:r>
      <w:r>
        <w:rPr>
          <w:rFonts w:hint="eastAsia" w:hAnsi="宋体" w:eastAsia="宋体" w:cs="宋体"/>
          <w:b/>
          <w:bCs/>
          <w:color w:val="auto"/>
          <w:sz w:val="28"/>
          <w:szCs w:val="28"/>
          <w:lang w:val="en-US" w:eastAsia="zh-CN"/>
        </w:rPr>
        <w:t>：否。</w:t>
      </w:r>
    </w:p>
    <w:p w14:paraId="02FB767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    如</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中允许联合体投标，对联合体规定如下：</w:t>
      </w:r>
    </w:p>
    <w:p w14:paraId="2E89FEE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1.4.1  两个以上投标人可以组成一个投标联合体，以一个投标人的身份投标。</w:t>
      </w:r>
    </w:p>
    <w:p w14:paraId="198C9F8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1.4.2   联合体各方均应符合《中华人民共和国政府采购法》第二十二条规定的条件。</w:t>
      </w:r>
    </w:p>
    <w:p w14:paraId="0FEB9EE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1.4.3   采购人根据采购项目对投标人的特殊要求，联合体中至少应当有一方符合相关规定。</w:t>
      </w:r>
    </w:p>
    <w:p w14:paraId="3DA87D5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1.4.4   联合体各方应签订共同投标协议，明确约定联合体各方承担的工作和相应的责任，并将共同投标协议连同投标文件一并提交招标采购单位。</w:t>
      </w:r>
    </w:p>
    <w:p w14:paraId="555129DA">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1.4.5   大中型企业、其他自然人、法人或者非法人组织与小型、微型企业组成联合体共同参加投标，共同投标协议中应写明小型、微型企业的协议合同金额占到共同投标协议投标总金额的比例。</w:t>
      </w:r>
    </w:p>
    <w:p w14:paraId="4329EBF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1.4.6  联合体中有同类资质的投标人按照联合体分工承担相同工作的，按照资质等级较低的投标人确定资质等级。</w:t>
      </w:r>
    </w:p>
    <w:p w14:paraId="04DA209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1.4.7  以联合体形式参加政府采购活动的，联合体各方不得再单独参加或者与其他投标人另外组成联合体参加本项目投标，否则相关投标将被认定为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6837B02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1.4.8   对联合体投标的其他资格要求见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333992B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1.5    单位负责人为同一人或者存在直接控股、管理关系的不同投标人，其相关投标将被认定为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77F3934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1.6    为本项目提供过整体设计、规范编制或者项目管理、监理、检测等服务的投标人，不得再参加本项目上述服务以外的其他采购活动。否则其投标将被认定为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B25A5A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rPr>
        <w:tab/>
      </w:r>
      <w:r>
        <w:rPr>
          <w:rFonts w:hint="eastAsia" w:ascii="宋体" w:hAnsi="宋体" w:eastAsia="宋体" w:cs="宋体"/>
          <w:sz w:val="28"/>
          <w:szCs w:val="28"/>
        </w:rPr>
        <w:t>投标人在投标过程中不得向采购人提供或给予影响其正常决策行为的任何有价值物品或服务。一经发现，其投标将被认定为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A1015E9">
      <w:pPr>
        <w:pStyle w:val="4"/>
        <w:spacing w:before="0" w:after="0" w:line="240" w:lineRule="atLeast"/>
        <w:rPr>
          <w:rFonts w:hint="eastAsia" w:ascii="宋体" w:hAnsi="宋体" w:eastAsia="宋体" w:cs="宋体"/>
          <w:sz w:val="28"/>
          <w:szCs w:val="28"/>
          <w:u w:val="none"/>
        </w:rPr>
      </w:pPr>
      <w:bookmarkStart w:id="13" w:name="_Toc21441"/>
      <w:bookmarkStart w:id="14" w:name="_Toc518923062"/>
      <w:bookmarkStart w:id="15" w:name="_Toc32325"/>
      <w:r>
        <w:rPr>
          <w:rFonts w:hint="eastAsia" w:ascii="宋体" w:hAnsi="宋体" w:eastAsia="宋体" w:cs="宋体"/>
          <w:sz w:val="28"/>
          <w:szCs w:val="28"/>
          <w:u w:val="none"/>
        </w:rPr>
        <w:t>2.资金来源</w:t>
      </w:r>
      <w:bookmarkEnd w:id="13"/>
      <w:bookmarkEnd w:id="14"/>
      <w:bookmarkEnd w:id="15"/>
    </w:p>
    <w:p w14:paraId="2555021A">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rPr>
        <w:tab/>
      </w:r>
      <w:r>
        <w:rPr>
          <w:rFonts w:hint="eastAsia" w:ascii="宋体" w:hAnsi="宋体" w:eastAsia="宋体" w:cs="宋体"/>
          <w:sz w:val="28"/>
          <w:szCs w:val="28"/>
        </w:rPr>
        <w:t>本项目的采购人已获得足以支付本次招标后所签订的合同项下的资金（包括财政性资金和本项目采购中无法与财政性资金分割的非财政性资金）。</w:t>
      </w:r>
    </w:p>
    <w:p w14:paraId="7D7FC16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2.2    项目预算金额和分项或分包最高限价</w:t>
      </w:r>
      <w:r>
        <w:rPr>
          <w:rFonts w:hint="eastAsia" w:ascii="宋体" w:hAnsi="宋体" w:eastAsia="宋体" w:cs="宋体"/>
          <w:sz w:val="28"/>
          <w:szCs w:val="28"/>
          <w:u w:val="single"/>
        </w:rPr>
        <w:t>见投标人须知资料表</w:t>
      </w:r>
      <w:r>
        <w:rPr>
          <w:rFonts w:hint="eastAsia" w:ascii="宋体" w:hAnsi="宋体" w:eastAsia="宋体" w:cs="宋体"/>
          <w:sz w:val="28"/>
          <w:szCs w:val="28"/>
        </w:rPr>
        <w:t>。</w:t>
      </w:r>
    </w:p>
    <w:p w14:paraId="242DC71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2.3    投标人报价超过</w:t>
      </w:r>
      <w:r>
        <w:rPr>
          <w:rFonts w:hint="eastAsia" w:ascii="宋体" w:hAnsi="宋体" w:eastAsia="宋体" w:cs="宋体"/>
          <w:sz w:val="28"/>
          <w:szCs w:val="28"/>
          <w:lang w:eastAsia="zh-CN"/>
        </w:rPr>
        <w:t>采购文件</w:t>
      </w:r>
      <w:r>
        <w:rPr>
          <w:rFonts w:hint="eastAsia" w:ascii="宋体" w:hAnsi="宋体" w:eastAsia="宋体" w:cs="宋体"/>
          <w:sz w:val="28"/>
          <w:szCs w:val="28"/>
        </w:rPr>
        <w:t>规定的预算金额或者分项、分包最高限价的，其投标将被认定为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5072DBF0">
      <w:pPr>
        <w:pStyle w:val="4"/>
        <w:spacing w:before="0" w:after="0" w:line="240" w:lineRule="atLeast"/>
        <w:rPr>
          <w:rFonts w:hint="eastAsia" w:ascii="宋体" w:hAnsi="宋体" w:eastAsia="宋体" w:cs="宋体"/>
          <w:sz w:val="28"/>
          <w:szCs w:val="28"/>
          <w:u w:val="none"/>
        </w:rPr>
      </w:pPr>
      <w:bookmarkStart w:id="16" w:name="_Toc7726"/>
      <w:bookmarkStart w:id="17" w:name="_Toc520356145"/>
      <w:bookmarkStart w:id="18" w:name="_Toc14536"/>
      <w:bookmarkStart w:id="19" w:name="_Toc518923063"/>
      <w:r>
        <w:rPr>
          <w:rFonts w:hint="eastAsia" w:ascii="宋体" w:hAnsi="宋体" w:eastAsia="宋体" w:cs="宋体"/>
          <w:sz w:val="28"/>
          <w:szCs w:val="28"/>
          <w:u w:val="none"/>
        </w:rPr>
        <w:t>3.投标费用</w:t>
      </w:r>
      <w:bookmarkEnd w:id="16"/>
      <w:bookmarkEnd w:id="17"/>
      <w:bookmarkEnd w:id="18"/>
      <w:bookmarkEnd w:id="19"/>
    </w:p>
    <w:p w14:paraId="29FC748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不论投标的结果如何，投标人应承担所有与准备和参加投标有关的费用。</w:t>
      </w:r>
    </w:p>
    <w:p w14:paraId="240FFB33">
      <w:pPr>
        <w:pStyle w:val="4"/>
        <w:spacing w:before="0" w:after="0" w:line="240" w:lineRule="atLeast"/>
        <w:rPr>
          <w:rFonts w:hint="eastAsia" w:ascii="宋体" w:hAnsi="宋体" w:eastAsia="宋体" w:cs="宋体"/>
          <w:sz w:val="28"/>
          <w:szCs w:val="28"/>
          <w:u w:val="none"/>
        </w:rPr>
      </w:pPr>
      <w:bookmarkStart w:id="20" w:name="_Toc19443"/>
      <w:bookmarkStart w:id="21" w:name="_Toc518923064"/>
      <w:bookmarkStart w:id="22" w:name="_Toc25591"/>
      <w:r>
        <w:rPr>
          <w:rFonts w:hint="eastAsia" w:ascii="宋体" w:hAnsi="宋体" w:eastAsia="宋体" w:cs="宋体"/>
          <w:sz w:val="28"/>
          <w:szCs w:val="28"/>
          <w:u w:val="none"/>
        </w:rPr>
        <w:t>4.适用法律</w:t>
      </w:r>
      <w:bookmarkEnd w:id="20"/>
      <w:bookmarkEnd w:id="21"/>
      <w:bookmarkEnd w:id="22"/>
    </w:p>
    <w:p w14:paraId="63D56780">
      <w:pPr>
        <w:ind w:left="840" w:hanging="840" w:hangingChars="30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本项目采购人、采购代理机构、投标人、评标委员会的相关行为均受《中华人民共和国政府采购法》、《中华人民共和国政府采购法实施条例》</w:t>
      </w:r>
      <w:r>
        <w:rPr>
          <w:rFonts w:hint="eastAsia" w:ascii="宋体" w:hAnsi="宋体" w:eastAsia="宋体" w:cs="宋体"/>
          <w:sz w:val="28"/>
          <w:szCs w:val="28"/>
          <w:lang w:eastAsia="zh-CN"/>
        </w:rPr>
        <w:t>、</w:t>
      </w:r>
      <w:r>
        <w:rPr>
          <w:rFonts w:hint="eastAsia" w:ascii="宋体" w:hAnsi="宋体" w:eastAsia="宋体" w:cs="宋体"/>
          <w:sz w:val="28"/>
          <w:szCs w:val="28"/>
        </w:rPr>
        <w:t>中华人民共和国财政部令第87号《政府采购货物和服务招标投标管理办法》及本项目本级和上级财政部门政府采购有关规定的约束，其权利受到上述法律法规的保护。</w:t>
      </w:r>
    </w:p>
    <w:p w14:paraId="7059E272">
      <w:pPr>
        <w:spacing w:line="240" w:lineRule="atLeast"/>
        <w:rPr>
          <w:rFonts w:hint="eastAsia" w:ascii="宋体" w:hAnsi="宋体" w:eastAsia="宋体" w:cs="宋体"/>
          <w:sz w:val="28"/>
          <w:szCs w:val="28"/>
        </w:rPr>
      </w:pPr>
    </w:p>
    <w:p w14:paraId="60DDE2D3">
      <w:pPr>
        <w:pStyle w:val="3"/>
        <w:spacing w:before="0" w:line="240" w:lineRule="atLeast"/>
        <w:ind w:left="1080" w:leftChars="257" w:hanging="540"/>
        <w:rPr>
          <w:rFonts w:hint="eastAsia" w:ascii="宋体" w:hAnsi="宋体" w:eastAsia="宋体" w:cs="宋体"/>
          <w:sz w:val="28"/>
          <w:szCs w:val="28"/>
          <w:lang w:eastAsia="zh-CN"/>
        </w:rPr>
      </w:pPr>
      <w:bookmarkStart w:id="23" w:name="_Toc520356146"/>
      <w:bookmarkStart w:id="24" w:name="_Toc216582806"/>
      <w:bookmarkStart w:id="25" w:name="_Toc26723"/>
      <w:bookmarkStart w:id="26" w:name="_Toc518923065"/>
      <w:bookmarkStart w:id="27" w:name="_Toc8829"/>
      <w:r>
        <w:rPr>
          <w:rFonts w:hint="eastAsia" w:ascii="宋体" w:hAnsi="宋体" w:eastAsia="宋体" w:cs="宋体"/>
          <w:sz w:val="28"/>
          <w:szCs w:val="28"/>
        </w:rPr>
        <w:t>二</w:t>
      </w:r>
      <w:r>
        <w:rPr>
          <w:rFonts w:hint="eastAsia" w:ascii="宋体" w:hAnsi="宋体" w:eastAsia="宋体" w:cs="宋体"/>
          <w:sz w:val="28"/>
          <w:szCs w:val="28"/>
          <w:lang w:eastAsia="zh-CN"/>
        </w:rPr>
        <w:t>、</w:t>
      </w:r>
      <w:bookmarkEnd w:id="23"/>
      <w:bookmarkEnd w:id="24"/>
      <w:bookmarkEnd w:id="25"/>
      <w:bookmarkEnd w:id="26"/>
      <w:r>
        <w:rPr>
          <w:rFonts w:hint="eastAsia" w:ascii="宋体" w:hAnsi="宋体" w:eastAsia="宋体" w:cs="宋体"/>
          <w:sz w:val="28"/>
          <w:szCs w:val="28"/>
          <w:lang w:eastAsia="zh-CN"/>
        </w:rPr>
        <w:t>采购文件</w:t>
      </w:r>
      <w:bookmarkEnd w:id="27"/>
    </w:p>
    <w:p w14:paraId="78F16EF5">
      <w:pPr>
        <w:pStyle w:val="5"/>
        <w:rPr>
          <w:rFonts w:hint="eastAsia" w:ascii="宋体" w:hAnsi="宋体" w:eastAsia="宋体" w:cs="宋体"/>
          <w:sz w:val="28"/>
          <w:szCs w:val="28"/>
        </w:rPr>
      </w:pPr>
    </w:p>
    <w:p w14:paraId="110993E2">
      <w:pPr>
        <w:pStyle w:val="4"/>
        <w:spacing w:before="0" w:after="0" w:line="240" w:lineRule="atLeast"/>
        <w:rPr>
          <w:rFonts w:hint="eastAsia" w:ascii="宋体" w:hAnsi="宋体" w:eastAsia="宋体" w:cs="宋体"/>
          <w:sz w:val="28"/>
          <w:szCs w:val="28"/>
          <w:u w:val="none"/>
        </w:rPr>
      </w:pPr>
      <w:bookmarkStart w:id="28" w:name="_Toc518923066"/>
      <w:bookmarkStart w:id="29" w:name="_Toc30204"/>
      <w:bookmarkStart w:id="30" w:name="_Toc520356147"/>
      <w:bookmarkStart w:id="31" w:name="_Toc31532"/>
      <w:r>
        <w:rPr>
          <w:rFonts w:hint="eastAsia" w:ascii="宋体" w:hAnsi="宋体" w:eastAsia="宋体" w:cs="宋体"/>
          <w:sz w:val="28"/>
          <w:szCs w:val="28"/>
          <w:u w:val="none"/>
        </w:rPr>
        <w:t>5.</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构成</w:t>
      </w:r>
      <w:bookmarkEnd w:id="28"/>
      <w:bookmarkEnd w:id="29"/>
      <w:bookmarkEnd w:id="30"/>
      <w:bookmarkEnd w:id="31"/>
    </w:p>
    <w:p w14:paraId="2B6E318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采购文件</w:t>
      </w:r>
      <w:r>
        <w:rPr>
          <w:rFonts w:hint="eastAsia" w:ascii="宋体" w:hAnsi="宋体" w:eastAsia="宋体" w:cs="宋体"/>
          <w:sz w:val="28"/>
          <w:szCs w:val="28"/>
        </w:rPr>
        <w:t>分为三册共7章，内容如下：</w:t>
      </w:r>
    </w:p>
    <w:p w14:paraId="4C067691">
      <w:pPr>
        <w:spacing w:line="240" w:lineRule="atLeast"/>
        <w:ind w:left="1109" w:leftChars="428" w:hanging="210" w:hangingChars="75"/>
        <w:rPr>
          <w:rFonts w:hint="eastAsia" w:ascii="宋体" w:hAnsi="宋体" w:eastAsia="宋体" w:cs="宋体"/>
          <w:sz w:val="28"/>
          <w:szCs w:val="28"/>
        </w:rPr>
      </w:pPr>
      <w:r>
        <w:rPr>
          <w:rFonts w:hint="eastAsia" w:ascii="宋体" w:hAnsi="宋体" w:eastAsia="宋体" w:cs="宋体"/>
          <w:sz w:val="28"/>
          <w:szCs w:val="28"/>
        </w:rPr>
        <w:t>第一册</w:t>
      </w:r>
    </w:p>
    <w:p w14:paraId="72B1697A">
      <w:pPr>
        <w:tabs>
          <w:tab w:val="left" w:pos="0"/>
        </w:tabs>
        <w:spacing w:line="240" w:lineRule="atLeast"/>
        <w:ind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1章   </w:t>
      </w:r>
      <w:r>
        <w:rPr>
          <w:rFonts w:hint="eastAsia" w:ascii="宋体" w:hAnsi="宋体" w:eastAsia="宋体" w:cs="宋体"/>
          <w:sz w:val="28"/>
          <w:szCs w:val="28"/>
        </w:rPr>
        <w:t>投标人须知</w:t>
      </w:r>
    </w:p>
    <w:p w14:paraId="204AE9B6">
      <w:pPr>
        <w:numPr>
          <w:ilvl w:val="0"/>
          <w:numId w:val="0"/>
        </w:numPr>
        <w:spacing w:line="240" w:lineRule="atLeast"/>
        <w:ind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2章   </w:t>
      </w:r>
      <w:r>
        <w:rPr>
          <w:rFonts w:hint="eastAsia" w:ascii="宋体" w:hAnsi="宋体" w:eastAsia="宋体" w:cs="宋体"/>
          <w:sz w:val="28"/>
          <w:szCs w:val="28"/>
        </w:rPr>
        <w:t>投标文件格式</w:t>
      </w:r>
    </w:p>
    <w:p w14:paraId="33C28ED8">
      <w:pPr>
        <w:spacing w:line="240" w:lineRule="atLeast"/>
        <w:ind w:left="1081" w:leftChars="429" w:hanging="180"/>
        <w:rPr>
          <w:rFonts w:hint="eastAsia" w:ascii="宋体" w:hAnsi="宋体" w:eastAsia="宋体" w:cs="宋体"/>
          <w:sz w:val="28"/>
          <w:szCs w:val="28"/>
        </w:rPr>
      </w:pPr>
      <w:r>
        <w:rPr>
          <w:rFonts w:hint="eastAsia" w:ascii="宋体" w:hAnsi="宋体" w:eastAsia="宋体" w:cs="宋体"/>
          <w:sz w:val="28"/>
          <w:szCs w:val="28"/>
        </w:rPr>
        <w:t>第二册</w:t>
      </w:r>
    </w:p>
    <w:p w14:paraId="496E4199">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3章  </w:t>
      </w:r>
      <w:r>
        <w:rPr>
          <w:rFonts w:hint="eastAsia" w:ascii="宋体" w:hAnsi="宋体" w:eastAsia="宋体" w:cs="宋体"/>
          <w:sz w:val="28"/>
          <w:szCs w:val="28"/>
        </w:rPr>
        <w:t xml:space="preserve"> 投标邀请</w:t>
      </w:r>
    </w:p>
    <w:p w14:paraId="6791EC79">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4章  </w:t>
      </w:r>
      <w:r>
        <w:rPr>
          <w:rFonts w:hint="eastAsia" w:ascii="宋体" w:hAnsi="宋体" w:eastAsia="宋体" w:cs="宋体"/>
          <w:sz w:val="28"/>
          <w:szCs w:val="28"/>
        </w:rPr>
        <w:t xml:space="preserve"> 投标人须知资料表</w:t>
      </w:r>
    </w:p>
    <w:p w14:paraId="0364D63C">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5章  </w:t>
      </w:r>
      <w:r>
        <w:rPr>
          <w:rFonts w:hint="eastAsia" w:ascii="宋体" w:hAnsi="宋体" w:eastAsia="宋体" w:cs="宋体"/>
          <w:sz w:val="28"/>
          <w:szCs w:val="28"/>
        </w:rPr>
        <w:t xml:space="preserve"> </w:t>
      </w:r>
      <w:r>
        <w:rPr>
          <w:rFonts w:hint="eastAsia" w:ascii="宋体" w:hAnsi="宋体" w:eastAsia="宋体" w:cs="宋体"/>
          <w:sz w:val="28"/>
          <w:szCs w:val="28"/>
          <w:lang w:eastAsia="zh-CN"/>
        </w:rPr>
        <w:t>采购</w:t>
      </w:r>
      <w:r>
        <w:rPr>
          <w:rFonts w:hint="eastAsia" w:ascii="宋体" w:hAnsi="宋体" w:eastAsia="宋体" w:cs="宋体"/>
          <w:sz w:val="28"/>
          <w:szCs w:val="28"/>
        </w:rPr>
        <w:t>需求</w:t>
      </w:r>
    </w:p>
    <w:p w14:paraId="1EBC88C6">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6章  </w:t>
      </w:r>
      <w:r>
        <w:rPr>
          <w:rFonts w:hint="eastAsia" w:ascii="宋体" w:hAnsi="宋体" w:eastAsia="宋体" w:cs="宋体"/>
          <w:sz w:val="28"/>
          <w:szCs w:val="28"/>
        </w:rPr>
        <w:t xml:space="preserve"> 评标方法和标准</w:t>
      </w:r>
    </w:p>
    <w:p w14:paraId="497D1B32">
      <w:pPr>
        <w:spacing w:line="240" w:lineRule="atLeast"/>
        <w:ind w:left="901"/>
        <w:rPr>
          <w:rFonts w:hint="eastAsia" w:ascii="宋体" w:hAnsi="宋体" w:eastAsia="宋体" w:cs="宋体"/>
          <w:sz w:val="28"/>
          <w:szCs w:val="28"/>
        </w:rPr>
      </w:pPr>
      <w:r>
        <w:rPr>
          <w:rFonts w:hint="eastAsia" w:ascii="宋体" w:hAnsi="宋体" w:eastAsia="宋体" w:cs="宋体"/>
          <w:sz w:val="28"/>
          <w:szCs w:val="28"/>
        </w:rPr>
        <w:t>第三册</w:t>
      </w:r>
    </w:p>
    <w:p w14:paraId="31DBA79A">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7章   </w:t>
      </w:r>
      <w:r>
        <w:rPr>
          <w:rFonts w:hint="eastAsia" w:ascii="宋体" w:hAnsi="宋体" w:eastAsia="宋体" w:cs="宋体"/>
          <w:sz w:val="28"/>
          <w:szCs w:val="28"/>
        </w:rPr>
        <w:t>政府采购合同格式</w:t>
      </w:r>
    </w:p>
    <w:p w14:paraId="02CC2AA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5.2</w:t>
      </w:r>
      <w:r>
        <w:rPr>
          <w:rFonts w:hint="eastAsia" w:ascii="宋体" w:hAnsi="宋体" w:eastAsia="宋体" w:cs="宋体"/>
          <w:sz w:val="28"/>
          <w:szCs w:val="28"/>
        </w:rPr>
        <w:tab/>
      </w:r>
      <w:r>
        <w:rPr>
          <w:rFonts w:hint="eastAsia" w:ascii="宋体" w:hAnsi="宋体" w:eastAsia="宋体" w:cs="宋体"/>
          <w:sz w:val="28"/>
          <w:szCs w:val="28"/>
        </w:rPr>
        <w:t>如本文件的前后内容不一致，以最后描述为准。</w:t>
      </w:r>
    </w:p>
    <w:p w14:paraId="72E85EE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5.3    投标人应认真阅读</w:t>
      </w:r>
      <w:r>
        <w:rPr>
          <w:rFonts w:hint="eastAsia" w:ascii="宋体" w:hAnsi="宋体" w:eastAsia="宋体" w:cs="宋体"/>
          <w:sz w:val="28"/>
          <w:szCs w:val="28"/>
          <w:lang w:eastAsia="zh-CN"/>
        </w:rPr>
        <w:t>采购文件</w:t>
      </w:r>
      <w:r>
        <w:rPr>
          <w:rFonts w:hint="eastAsia" w:ascii="宋体" w:hAnsi="宋体" w:eastAsia="宋体" w:cs="宋体"/>
          <w:sz w:val="28"/>
          <w:szCs w:val="28"/>
        </w:rPr>
        <w:t>所有的事项、格式、条款和技术规范等。如投标人没有按照</w:t>
      </w:r>
      <w:r>
        <w:rPr>
          <w:rFonts w:hint="eastAsia" w:ascii="宋体" w:hAnsi="宋体" w:eastAsia="宋体" w:cs="宋体"/>
          <w:sz w:val="28"/>
          <w:szCs w:val="28"/>
          <w:lang w:eastAsia="zh-CN"/>
        </w:rPr>
        <w:t>采购文件</w:t>
      </w:r>
      <w:r>
        <w:rPr>
          <w:rFonts w:hint="eastAsia" w:ascii="宋体" w:hAnsi="宋体" w:eastAsia="宋体" w:cs="宋体"/>
          <w:sz w:val="28"/>
          <w:szCs w:val="28"/>
        </w:rPr>
        <w:t>要求提交全部资料，或者投标文件没有对</w:t>
      </w:r>
      <w:r>
        <w:rPr>
          <w:rFonts w:hint="eastAsia" w:ascii="宋体" w:hAnsi="宋体" w:eastAsia="宋体" w:cs="宋体"/>
          <w:sz w:val="28"/>
          <w:szCs w:val="28"/>
          <w:lang w:eastAsia="zh-CN"/>
        </w:rPr>
        <w:t>采购文件</w:t>
      </w:r>
      <w:r>
        <w:rPr>
          <w:rFonts w:hint="eastAsia" w:ascii="宋体" w:hAnsi="宋体" w:eastAsia="宋体" w:cs="宋体"/>
          <w:sz w:val="28"/>
          <w:szCs w:val="28"/>
        </w:rPr>
        <w:t>在各方面都做出实质性响应，可能导致其投标被认定为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0A2940A2">
      <w:pPr>
        <w:pStyle w:val="4"/>
        <w:spacing w:before="0" w:after="0" w:line="240" w:lineRule="atLeast"/>
        <w:rPr>
          <w:rFonts w:hint="eastAsia" w:ascii="宋体" w:hAnsi="宋体" w:eastAsia="宋体" w:cs="宋体"/>
          <w:b w:val="0"/>
          <w:sz w:val="28"/>
          <w:szCs w:val="28"/>
          <w:u w:val="none"/>
        </w:rPr>
      </w:pPr>
      <w:bookmarkStart w:id="32" w:name="_Toc520356148"/>
      <w:bookmarkStart w:id="33" w:name="_Toc21054"/>
      <w:bookmarkStart w:id="34" w:name="_Toc3250"/>
      <w:bookmarkStart w:id="35" w:name="_Toc518923067"/>
      <w:r>
        <w:rPr>
          <w:rFonts w:hint="eastAsia" w:ascii="宋体" w:hAnsi="宋体" w:eastAsia="宋体" w:cs="宋体"/>
          <w:sz w:val="28"/>
          <w:szCs w:val="28"/>
          <w:u w:val="none"/>
        </w:rPr>
        <w:t>6.</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的澄清</w:t>
      </w:r>
      <w:bookmarkEnd w:id="32"/>
      <w:r>
        <w:rPr>
          <w:rFonts w:hint="eastAsia" w:ascii="宋体" w:hAnsi="宋体" w:eastAsia="宋体" w:cs="宋体"/>
          <w:sz w:val="28"/>
          <w:szCs w:val="28"/>
          <w:u w:val="none"/>
        </w:rPr>
        <w:t>与修改</w:t>
      </w:r>
      <w:bookmarkEnd w:id="33"/>
      <w:bookmarkEnd w:id="34"/>
      <w:bookmarkEnd w:id="35"/>
    </w:p>
    <w:p w14:paraId="1FFE34A6">
      <w:pPr>
        <w:pStyle w:val="5"/>
        <w:ind w:left="980" w:hanging="980" w:hangingChars="350"/>
        <w:rPr>
          <w:rFonts w:hint="eastAsia" w:ascii="宋体" w:hAnsi="宋体" w:eastAsia="宋体" w:cs="宋体"/>
          <w:sz w:val="28"/>
          <w:szCs w:val="28"/>
        </w:rPr>
      </w:pPr>
      <w:r>
        <w:rPr>
          <w:rFonts w:hint="eastAsia" w:ascii="宋体" w:hAnsi="宋体" w:eastAsia="宋体" w:cs="宋体"/>
          <w:sz w:val="28"/>
          <w:szCs w:val="28"/>
        </w:rPr>
        <w:t>6.1    为了保证对</w:t>
      </w:r>
      <w:r>
        <w:rPr>
          <w:rFonts w:hint="eastAsia" w:ascii="宋体" w:hAnsi="宋体" w:eastAsia="宋体" w:cs="宋体"/>
          <w:sz w:val="28"/>
          <w:szCs w:val="28"/>
          <w:lang w:eastAsia="zh-CN"/>
        </w:rPr>
        <w:t>采购文件</w:t>
      </w:r>
      <w:r>
        <w:rPr>
          <w:rFonts w:hint="eastAsia" w:ascii="宋体" w:hAnsi="宋体" w:eastAsia="宋体" w:cs="宋体"/>
          <w:sz w:val="28"/>
          <w:szCs w:val="28"/>
        </w:rPr>
        <w:t>的澄清和修改满足法律的时限要求，任何要求对</w:t>
      </w:r>
      <w:r>
        <w:rPr>
          <w:rFonts w:hint="eastAsia" w:ascii="宋体" w:hAnsi="宋体" w:eastAsia="宋体" w:cs="宋体"/>
          <w:sz w:val="28"/>
          <w:szCs w:val="28"/>
          <w:lang w:eastAsia="zh-CN"/>
        </w:rPr>
        <w:t>采购文件</w:t>
      </w:r>
      <w:r>
        <w:rPr>
          <w:rFonts w:hint="eastAsia" w:ascii="宋体" w:hAnsi="宋体" w:eastAsia="宋体" w:cs="宋体"/>
          <w:sz w:val="28"/>
          <w:szCs w:val="28"/>
        </w:rPr>
        <w:t>进行澄清的投标人，均应在投标截止期十五日前，以书面形式将澄清要求通知采购人或采购代理机构。</w:t>
      </w:r>
    </w:p>
    <w:p w14:paraId="6B0EB5DD">
      <w:pPr>
        <w:pStyle w:val="5"/>
        <w:ind w:left="980" w:hanging="980" w:hangingChars="350"/>
        <w:rPr>
          <w:rFonts w:hint="eastAsia" w:ascii="宋体" w:hAnsi="宋体" w:eastAsia="宋体" w:cs="宋体"/>
          <w:sz w:val="28"/>
          <w:szCs w:val="28"/>
        </w:rPr>
      </w:pPr>
      <w:bookmarkStart w:id="36" w:name="_Ref467378678"/>
      <w:bookmarkStart w:id="37" w:name="_Toc520356149"/>
      <w:r>
        <w:rPr>
          <w:rFonts w:hint="eastAsia" w:ascii="宋体" w:hAnsi="宋体" w:eastAsia="宋体" w:cs="宋体"/>
          <w:sz w:val="28"/>
          <w:szCs w:val="28"/>
        </w:rPr>
        <w:t>6.2</w:t>
      </w:r>
      <w:r>
        <w:rPr>
          <w:rFonts w:hint="eastAsia" w:ascii="宋体" w:hAnsi="宋体" w:eastAsia="宋体" w:cs="宋体"/>
          <w:sz w:val="28"/>
          <w:szCs w:val="28"/>
        </w:rPr>
        <w:tab/>
      </w:r>
      <w:r>
        <w:rPr>
          <w:rFonts w:hint="eastAsia" w:ascii="宋体" w:hAnsi="宋体" w:eastAsia="宋体" w:cs="宋体"/>
          <w:sz w:val="28"/>
          <w:szCs w:val="28"/>
        </w:rPr>
        <w:t>采购人可主动地或在解答投标人提出的澄清问题时对</w:t>
      </w:r>
      <w:r>
        <w:rPr>
          <w:rFonts w:hint="eastAsia" w:ascii="宋体" w:hAnsi="宋体" w:eastAsia="宋体" w:cs="宋体"/>
          <w:sz w:val="28"/>
          <w:szCs w:val="28"/>
          <w:lang w:eastAsia="zh-CN"/>
        </w:rPr>
        <w:t>采购文件</w:t>
      </w:r>
      <w:r>
        <w:rPr>
          <w:rFonts w:hint="eastAsia" w:ascii="宋体" w:hAnsi="宋体" w:eastAsia="宋体" w:cs="宋体"/>
          <w:sz w:val="28"/>
          <w:szCs w:val="28"/>
        </w:rPr>
        <w:t>澄清或修改。采购代理机构将以发布澄清（更正）公告的方式，澄清或修改</w:t>
      </w:r>
      <w:r>
        <w:rPr>
          <w:rFonts w:hint="eastAsia" w:ascii="宋体" w:hAnsi="宋体" w:eastAsia="宋体" w:cs="宋体"/>
          <w:sz w:val="28"/>
          <w:szCs w:val="28"/>
          <w:lang w:eastAsia="zh-CN"/>
        </w:rPr>
        <w:t>采购文件</w:t>
      </w:r>
      <w:r>
        <w:rPr>
          <w:rFonts w:hint="eastAsia" w:ascii="宋体" w:hAnsi="宋体" w:eastAsia="宋体" w:cs="宋体"/>
          <w:sz w:val="28"/>
          <w:szCs w:val="28"/>
        </w:rPr>
        <w:t>，澄清或修改内容作为</w:t>
      </w:r>
      <w:r>
        <w:rPr>
          <w:rFonts w:hint="eastAsia" w:ascii="宋体" w:hAnsi="宋体" w:eastAsia="宋体" w:cs="宋体"/>
          <w:sz w:val="28"/>
          <w:szCs w:val="28"/>
          <w:lang w:eastAsia="zh-CN"/>
        </w:rPr>
        <w:t>采购文件</w:t>
      </w:r>
      <w:r>
        <w:rPr>
          <w:rFonts w:hint="eastAsia" w:ascii="宋体" w:hAnsi="宋体" w:eastAsia="宋体" w:cs="宋体"/>
          <w:sz w:val="28"/>
          <w:szCs w:val="28"/>
        </w:rPr>
        <w:t>的组成部分。</w:t>
      </w:r>
    </w:p>
    <w:p w14:paraId="3EF88AD8">
      <w:pPr>
        <w:pStyle w:val="5"/>
        <w:ind w:left="980" w:hanging="980" w:hangingChars="350"/>
        <w:rPr>
          <w:rFonts w:hint="eastAsia" w:ascii="宋体" w:hAnsi="宋体" w:eastAsia="宋体" w:cs="宋体"/>
          <w:sz w:val="28"/>
          <w:szCs w:val="28"/>
        </w:rPr>
      </w:pPr>
      <w:r>
        <w:rPr>
          <w:rFonts w:hint="eastAsia" w:ascii="宋体" w:hAnsi="宋体" w:eastAsia="宋体" w:cs="宋体"/>
          <w:sz w:val="28"/>
          <w:szCs w:val="28"/>
        </w:rPr>
        <w:t>6.3</w:t>
      </w:r>
      <w:r>
        <w:rPr>
          <w:rFonts w:hint="eastAsia" w:ascii="宋体" w:hAnsi="宋体" w:eastAsia="宋体" w:cs="宋体"/>
          <w:sz w:val="28"/>
          <w:szCs w:val="28"/>
        </w:rPr>
        <w:tab/>
      </w:r>
      <w:r>
        <w:rPr>
          <w:rFonts w:hint="eastAsia" w:ascii="宋体" w:hAnsi="宋体" w:eastAsia="宋体" w:cs="宋体"/>
          <w:sz w:val="28"/>
          <w:szCs w:val="28"/>
        </w:rPr>
        <w:t>澄清或者修改的内容可能影响投标文件编制的，采购代理机构将以书面形式通知所有</w:t>
      </w:r>
      <w:r>
        <w:rPr>
          <w:rFonts w:hint="eastAsia" w:ascii="宋体" w:hAnsi="宋体" w:eastAsia="宋体" w:cs="宋体"/>
          <w:sz w:val="28"/>
          <w:szCs w:val="28"/>
          <w:lang w:eastAsia="zh-CN"/>
        </w:rPr>
        <w:t>领取采购文件</w:t>
      </w:r>
      <w:r>
        <w:rPr>
          <w:rFonts w:hint="eastAsia" w:ascii="宋体" w:hAnsi="宋体" w:eastAsia="宋体" w:cs="宋体"/>
          <w:sz w:val="28"/>
          <w:szCs w:val="28"/>
        </w:rPr>
        <w:t>的潜在投标人，并对其具有约束力。投标人在收到上述通知后，应及时向采购代理机构回函确认。</w:t>
      </w:r>
    </w:p>
    <w:p w14:paraId="266F655A">
      <w:pPr>
        <w:pStyle w:val="4"/>
        <w:tabs>
          <w:tab w:val="left" w:pos="900"/>
        </w:tabs>
        <w:spacing w:before="0" w:after="0" w:line="240" w:lineRule="atLeast"/>
        <w:rPr>
          <w:rFonts w:hint="eastAsia" w:ascii="宋体" w:hAnsi="宋体" w:eastAsia="宋体" w:cs="宋体"/>
          <w:sz w:val="28"/>
          <w:szCs w:val="28"/>
          <w:u w:val="none"/>
        </w:rPr>
      </w:pPr>
      <w:bookmarkStart w:id="38" w:name="_Toc28011"/>
      <w:bookmarkStart w:id="39" w:name="_Toc518923068"/>
      <w:bookmarkStart w:id="40" w:name="_Toc13296"/>
      <w:r>
        <w:rPr>
          <w:rFonts w:hint="eastAsia" w:ascii="宋体" w:hAnsi="宋体" w:eastAsia="宋体" w:cs="宋体"/>
          <w:sz w:val="28"/>
          <w:szCs w:val="28"/>
          <w:u w:val="none"/>
        </w:rPr>
        <w:t>7</w:t>
      </w:r>
      <w:bookmarkEnd w:id="36"/>
      <w:bookmarkEnd w:id="37"/>
      <w:r>
        <w:rPr>
          <w:rFonts w:hint="eastAsia" w:ascii="宋体" w:hAnsi="宋体" w:eastAsia="宋体" w:cs="宋体"/>
          <w:sz w:val="28"/>
          <w:szCs w:val="28"/>
          <w:u w:val="none"/>
        </w:rPr>
        <w:t>.投标截止时间的顺延</w:t>
      </w:r>
      <w:bookmarkEnd w:id="38"/>
      <w:bookmarkEnd w:id="39"/>
      <w:bookmarkEnd w:id="40"/>
    </w:p>
    <w:p w14:paraId="39EC424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为使投标人准备投标时有足够的时间对</w:t>
      </w:r>
      <w:r>
        <w:rPr>
          <w:rFonts w:hint="eastAsia" w:ascii="宋体" w:hAnsi="宋体" w:eastAsia="宋体" w:cs="宋体"/>
          <w:sz w:val="28"/>
          <w:szCs w:val="28"/>
          <w:lang w:eastAsia="zh-CN"/>
        </w:rPr>
        <w:t>采购文件</w:t>
      </w:r>
      <w:r>
        <w:rPr>
          <w:rFonts w:hint="eastAsia" w:ascii="宋体" w:hAnsi="宋体" w:eastAsia="宋体" w:cs="宋体"/>
          <w:sz w:val="28"/>
          <w:szCs w:val="28"/>
        </w:rPr>
        <w:t>的澄清或者修改部分进行研究，采购人将依法决定是否顺延投标截止时间。</w:t>
      </w:r>
    </w:p>
    <w:p w14:paraId="0E6753FA">
      <w:pPr>
        <w:spacing w:line="240" w:lineRule="atLeast"/>
        <w:rPr>
          <w:rFonts w:hint="eastAsia" w:ascii="宋体" w:hAnsi="宋体" w:eastAsia="宋体" w:cs="宋体"/>
          <w:sz w:val="28"/>
          <w:szCs w:val="28"/>
        </w:rPr>
      </w:pPr>
    </w:p>
    <w:p w14:paraId="0339A6D7">
      <w:pPr>
        <w:pStyle w:val="3"/>
        <w:tabs>
          <w:tab w:val="left" w:pos="900"/>
        </w:tabs>
        <w:spacing w:before="0" w:line="240" w:lineRule="atLeast"/>
        <w:ind w:left="1080" w:leftChars="257" w:hanging="540"/>
        <w:rPr>
          <w:rFonts w:hint="eastAsia" w:ascii="宋体" w:hAnsi="宋体" w:eastAsia="宋体" w:cs="宋体"/>
          <w:sz w:val="28"/>
          <w:szCs w:val="28"/>
        </w:rPr>
      </w:pPr>
      <w:bookmarkStart w:id="41" w:name="_Toc516367020"/>
      <w:bookmarkStart w:id="42" w:name="_Toc518923069"/>
      <w:bookmarkStart w:id="43" w:name="_Toc15988"/>
      <w:bookmarkStart w:id="44" w:name="_Toc12158"/>
      <w:bookmarkStart w:id="45" w:name="_Toc520356150"/>
      <w:bookmarkStart w:id="46" w:name="_Toc216582807"/>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投标文件</w:t>
      </w:r>
      <w:bookmarkEnd w:id="41"/>
      <w:r>
        <w:rPr>
          <w:rFonts w:hint="eastAsia" w:ascii="宋体" w:hAnsi="宋体" w:eastAsia="宋体" w:cs="宋体"/>
          <w:sz w:val="28"/>
          <w:szCs w:val="28"/>
        </w:rPr>
        <w:t>的编制</w:t>
      </w:r>
      <w:bookmarkEnd w:id="42"/>
      <w:bookmarkEnd w:id="43"/>
      <w:bookmarkEnd w:id="44"/>
      <w:bookmarkEnd w:id="45"/>
      <w:bookmarkEnd w:id="46"/>
    </w:p>
    <w:p w14:paraId="3D9FC363">
      <w:pPr>
        <w:pStyle w:val="5"/>
        <w:rPr>
          <w:rFonts w:hint="eastAsia" w:ascii="宋体" w:hAnsi="宋体" w:eastAsia="宋体" w:cs="宋体"/>
          <w:sz w:val="28"/>
          <w:szCs w:val="28"/>
        </w:rPr>
      </w:pPr>
    </w:p>
    <w:p w14:paraId="5D822F46">
      <w:pPr>
        <w:pStyle w:val="4"/>
        <w:tabs>
          <w:tab w:val="left" w:pos="900"/>
        </w:tabs>
        <w:spacing w:before="0" w:after="0" w:line="240" w:lineRule="atLeast"/>
        <w:rPr>
          <w:rFonts w:hint="eastAsia" w:ascii="宋体" w:hAnsi="宋体" w:eastAsia="宋体" w:cs="宋体"/>
          <w:sz w:val="28"/>
          <w:szCs w:val="28"/>
          <w:u w:val="none"/>
        </w:rPr>
      </w:pPr>
      <w:bookmarkStart w:id="47" w:name="_Toc8995"/>
      <w:bookmarkStart w:id="48" w:name="_Toc1063"/>
      <w:bookmarkStart w:id="49" w:name="_Toc520356151"/>
      <w:bookmarkStart w:id="50" w:name="_Toc518923070"/>
      <w:bookmarkStart w:id="51" w:name="_Toc516367021"/>
      <w:r>
        <w:rPr>
          <w:rFonts w:hint="eastAsia" w:ascii="宋体" w:hAnsi="宋体" w:eastAsia="宋体" w:cs="宋体"/>
          <w:sz w:val="28"/>
          <w:szCs w:val="28"/>
          <w:u w:val="none"/>
        </w:rPr>
        <w:t>8.</w:t>
      </w:r>
      <w:r>
        <w:rPr>
          <w:rFonts w:hint="eastAsia" w:ascii="宋体" w:hAnsi="宋体" w:eastAsia="宋体" w:cs="宋体"/>
          <w:sz w:val="28"/>
          <w:szCs w:val="28"/>
          <w:u w:val="none"/>
        </w:rPr>
        <w:tab/>
      </w:r>
      <w:r>
        <w:rPr>
          <w:rFonts w:hint="eastAsia" w:ascii="宋体" w:hAnsi="宋体" w:eastAsia="宋体" w:cs="宋体"/>
          <w:sz w:val="28"/>
          <w:szCs w:val="28"/>
          <w:u w:val="none"/>
        </w:rPr>
        <w:t>投标范围及投标文件中标准和计量单位的使用</w:t>
      </w:r>
      <w:bookmarkEnd w:id="47"/>
      <w:bookmarkEnd w:id="48"/>
      <w:bookmarkEnd w:id="49"/>
      <w:bookmarkEnd w:id="50"/>
      <w:bookmarkEnd w:id="51"/>
    </w:p>
    <w:p w14:paraId="2A277D0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8.1</w:t>
      </w:r>
      <w:r>
        <w:rPr>
          <w:rFonts w:hint="eastAsia" w:ascii="宋体" w:hAnsi="宋体" w:eastAsia="宋体" w:cs="宋体"/>
          <w:sz w:val="28"/>
          <w:szCs w:val="28"/>
        </w:rPr>
        <w:tab/>
      </w:r>
      <w:r>
        <w:rPr>
          <w:rFonts w:hint="eastAsia" w:ascii="宋体" w:hAnsi="宋体" w:eastAsia="宋体" w:cs="宋体"/>
          <w:sz w:val="28"/>
          <w:szCs w:val="28"/>
        </w:rPr>
        <w:t>项目有分包的，投标人可对</w:t>
      </w:r>
      <w:r>
        <w:rPr>
          <w:rFonts w:hint="eastAsia" w:ascii="宋体" w:hAnsi="宋体" w:eastAsia="宋体" w:cs="宋体"/>
          <w:sz w:val="28"/>
          <w:szCs w:val="28"/>
          <w:lang w:eastAsia="zh-CN"/>
        </w:rPr>
        <w:t>采购文件</w:t>
      </w:r>
      <w:r>
        <w:rPr>
          <w:rFonts w:hint="eastAsia" w:ascii="宋体" w:hAnsi="宋体" w:eastAsia="宋体" w:cs="宋体"/>
          <w:sz w:val="28"/>
          <w:szCs w:val="28"/>
        </w:rPr>
        <w:t>其中一个或几个分包进行投标，除非在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中另有规定。</w:t>
      </w:r>
    </w:p>
    <w:p w14:paraId="4EA49A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8.2    </w:t>
      </w:r>
      <w:r>
        <w:rPr>
          <w:rFonts w:hint="eastAsia" w:ascii="宋体" w:hAnsi="宋体" w:eastAsia="宋体" w:cs="宋体"/>
          <w:sz w:val="28"/>
          <w:szCs w:val="28"/>
          <w:lang w:eastAsia="zh-CN"/>
        </w:rPr>
        <w:t>投标人</w:t>
      </w:r>
      <w:r>
        <w:rPr>
          <w:rFonts w:hint="eastAsia" w:ascii="宋体" w:hAnsi="宋体" w:eastAsia="宋体" w:cs="宋体"/>
          <w:sz w:val="28"/>
          <w:szCs w:val="28"/>
        </w:rPr>
        <w:t>应当对所投分包</w:t>
      </w:r>
      <w:r>
        <w:rPr>
          <w:rFonts w:hint="eastAsia" w:ascii="宋体" w:hAnsi="宋体" w:eastAsia="宋体" w:cs="宋体"/>
          <w:sz w:val="28"/>
          <w:szCs w:val="28"/>
          <w:lang w:eastAsia="zh-CN"/>
        </w:rPr>
        <w:t>采购文件</w:t>
      </w:r>
      <w:r>
        <w:rPr>
          <w:rFonts w:hint="eastAsia" w:ascii="宋体" w:hAnsi="宋体" w:eastAsia="宋体" w:cs="宋体"/>
          <w:sz w:val="28"/>
          <w:szCs w:val="28"/>
        </w:rPr>
        <w:t>中“</w:t>
      </w:r>
      <w:r>
        <w:rPr>
          <w:rFonts w:hint="eastAsia" w:ascii="宋体" w:hAnsi="宋体" w:eastAsia="宋体" w:cs="宋体"/>
          <w:sz w:val="28"/>
          <w:szCs w:val="28"/>
          <w:lang w:eastAsia="zh-CN"/>
        </w:rPr>
        <w:t>货物需求一览表及技术规格</w:t>
      </w:r>
      <w:r>
        <w:rPr>
          <w:rFonts w:hint="eastAsia" w:ascii="宋体" w:hAnsi="宋体" w:eastAsia="宋体" w:cs="宋体"/>
          <w:sz w:val="28"/>
          <w:szCs w:val="28"/>
        </w:rPr>
        <w:t>”所列的所有内容进行投标，如仅响应某一包中的部分内容，其该包投标将被认定为</w:t>
      </w:r>
      <w:r>
        <w:rPr>
          <w:rFonts w:hint="eastAsia" w:ascii="宋体" w:hAnsi="宋体" w:eastAsia="宋体" w:cs="宋体"/>
          <w:b/>
          <w:bCs/>
          <w:sz w:val="28"/>
          <w:szCs w:val="28"/>
        </w:rPr>
        <w:t>投标无效</w:t>
      </w:r>
      <w:r>
        <w:rPr>
          <w:rFonts w:hint="eastAsia" w:ascii="宋体" w:hAnsi="宋体" w:eastAsia="宋体" w:cs="宋体"/>
          <w:sz w:val="28"/>
          <w:szCs w:val="28"/>
        </w:rPr>
        <w:t>。</w:t>
      </w:r>
    </w:p>
    <w:p w14:paraId="185B811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8.3     无论</w:t>
      </w:r>
      <w:r>
        <w:rPr>
          <w:rFonts w:hint="eastAsia" w:ascii="宋体" w:hAnsi="宋体" w:eastAsia="宋体" w:cs="宋体"/>
          <w:sz w:val="28"/>
          <w:szCs w:val="28"/>
          <w:lang w:eastAsia="zh-CN"/>
        </w:rPr>
        <w:t>采购文件</w:t>
      </w:r>
      <w:r>
        <w:rPr>
          <w:rFonts w:hint="eastAsia" w:ascii="宋体" w:hAnsi="宋体" w:eastAsia="宋体" w:cs="宋体"/>
          <w:sz w:val="28"/>
          <w:szCs w:val="28"/>
        </w:rPr>
        <w:t>第5章</w:t>
      </w:r>
      <w:r>
        <w:rPr>
          <w:rFonts w:hint="eastAsia" w:ascii="宋体" w:hAnsi="宋体" w:eastAsia="宋体" w:cs="宋体"/>
          <w:sz w:val="28"/>
          <w:szCs w:val="28"/>
          <w:lang w:eastAsia="zh-CN"/>
        </w:rPr>
        <w:t>采购需求</w:t>
      </w:r>
      <w:r>
        <w:rPr>
          <w:rFonts w:hint="eastAsia" w:ascii="宋体" w:hAnsi="宋体" w:eastAsia="宋体" w:cs="宋体"/>
          <w:sz w:val="28"/>
          <w:szCs w:val="28"/>
        </w:rPr>
        <w:t>中是否要求，投标人所投货物均应符合国家强制性标准。</w:t>
      </w:r>
    </w:p>
    <w:p w14:paraId="2BF3D16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8.4     除</w:t>
      </w:r>
      <w:r>
        <w:rPr>
          <w:rFonts w:hint="eastAsia" w:ascii="宋体" w:hAnsi="宋体" w:eastAsia="宋体" w:cs="宋体"/>
          <w:sz w:val="28"/>
          <w:szCs w:val="28"/>
          <w:lang w:eastAsia="zh-CN"/>
        </w:rPr>
        <w:t>采购文件</w:t>
      </w:r>
      <w:r>
        <w:rPr>
          <w:rFonts w:hint="eastAsia" w:ascii="宋体" w:hAnsi="宋体" w:eastAsia="宋体" w:cs="宋体"/>
          <w:sz w:val="28"/>
          <w:szCs w:val="28"/>
        </w:rPr>
        <w:t>中有特殊要求外，投标文件中所使用的计量单位，应采用中华人民共和国法定计量单位。</w:t>
      </w:r>
    </w:p>
    <w:p w14:paraId="7F7F6739">
      <w:pPr>
        <w:pStyle w:val="4"/>
        <w:tabs>
          <w:tab w:val="left" w:pos="900"/>
        </w:tabs>
        <w:spacing w:before="0" w:after="0" w:line="240" w:lineRule="atLeast"/>
        <w:rPr>
          <w:rFonts w:hint="eastAsia" w:ascii="宋体" w:hAnsi="宋体" w:eastAsia="宋体" w:cs="宋体"/>
          <w:sz w:val="28"/>
          <w:szCs w:val="28"/>
          <w:u w:val="none"/>
        </w:rPr>
      </w:pPr>
      <w:bookmarkStart w:id="52" w:name="_Ref467306676"/>
      <w:bookmarkStart w:id="53" w:name="_Ref467306195"/>
      <w:bookmarkStart w:id="54" w:name="_Toc516367022"/>
      <w:bookmarkStart w:id="55" w:name="_Toc518923071"/>
      <w:bookmarkStart w:id="56" w:name="_Toc29809"/>
      <w:bookmarkStart w:id="57" w:name="_Toc520356152"/>
      <w:r>
        <w:rPr>
          <w:rFonts w:hint="eastAsia" w:ascii="宋体" w:hAnsi="宋体" w:eastAsia="宋体" w:cs="宋体"/>
          <w:sz w:val="28"/>
          <w:szCs w:val="28"/>
          <w:u w:val="none"/>
        </w:rPr>
        <w:t>9.投标文件</w:t>
      </w:r>
      <w:bookmarkEnd w:id="52"/>
      <w:bookmarkEnd w:id="53"/>
      <w:bookmarkEnd w:id="54"/>
      <w:r>
        <w:rPr>
          <w:rFonts w:hint="eastAsia" w:ascii="宋体" w:hAnsi="宋体" w:eastAsia="宋体" w:cs="宋体"/>
          <w:sz w:val="28"/>
          <w:szCs w:val="28"/>
          <w:u w:val="none"/>
        </w:rPr>
        <w:t>构成</w:t>
      </w:r>
      <w:bookmarkEnd w:id="55"/>
      <w:bookmarkEnd w:id="56"/>
      <w:bookmarkEnd w:id="57"/>
    </w:p>
    <w:p w14:paraId="27CFD07D">
      <w:pPr>
        <w:spacing w:line="240" w:lineRule="atLeast"/>
        <w:ind w:left="1050" w:hanging="1050" w:hangingChars="375"/>
        <w:rPr>
          <w:rFonts w:hint="eastAsia" w:ascii="宋体" w:hAnsi="宋体" w:eastAsia="宋体" w:cs="宋体"/>
          <w:sz w:val="28"/>
          <w:szCs w:val="28"/>
        </w:rPr>
      </w:pPr>
      <w:bookmarkStart w:id="58" w:name="_Ref467052588"/>
      <w:r>
        <w:rPr>
          <w:rFonts w:hint="eastAsia" w:ascii="宋体" w:hAnsi="宋体" w:eastAsia="宋体" w:cs="宋体"/>
          <w:sz w:val="28"/>
          <w:szCs w:val="28"/>
        </w:rPr>
        <w:t xml:space="preserve">9.1 </w:t>
      </w:r>
      <w:r>
        <w:rPr>
          <w:rFonts w:hint="eastAsia" w:ascii="宋体" w:hAnsi="宋体" w:eastAsia="宋体" w:cs="宋体"/>
          <w:sz w:val="28"/>
          <w:szCs w:val="28"/>
          <w:lang w:val="en-US" w:eastAsia="zh-CN"/>
        </w:rPr>
        <w:t xml:space="preserve">   </w:t>
      </w:r>
      <w:bookmarkEnd w:id="58"/>
      <w:r>
        <w:rPr>
          <w:rFonts w:hint="eastAsia" w:ascii="宋体" w:hAnsi="宋体" w:eastAsia="宋体" w:cs="宋体"/>
          <w:b/>
          <w:bCs/>
          <w:sz w:val="28"/>
          <w:szCs w:val="28"/>
          <w:u w:val="single"/>
          <w:lang w:val="en-US" w:eastAsia="zh-CN"/>
        </w:rPr>
        <w:t>投标单位应完整地按采购文件提供的投标文件格式及要求编写投标文件，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01F6973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9.2    上述文件应按照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w:t>
      </w:r>
    </w:p>
    <w:p w14:paraId="72EEA5F9">
      <w:pPr>
        <w:pStyle w:val="4"/>
        <w:tabs>
          <w:tab w:val="left" w:pos="900"/>
        </w:tabs>
        <w:spacing w:before="0" w:after="0" w:line="240" w:lineRule="atLeast"/>
        <w:rPr>
          <w:rFonts w:hint="eastAsia" w:ascii="宋体" w:hAnsi="宋体" w:eastAsia="宋体" w:cs="宋体"/>
          <w:sz w:val="28"/>
          <w:szCs w:val="28"/>
          <w:u w:val="none"/>
        </w:rPr>
      </w:pPr>
      <w:bookmarkStart w:id="59" w:name="_Toc29995"/>
      <w:bookmarkStart w:id="60" w:name="_Toc516367023"/>
      <w:bookmarkStart w:id="61" w:name="_Toc23536"/>
      <w:bookmarkStart w:id="62" w:name="_Toc518923072"/>
      <w:bookmarkStart w:id="63" w:name="_Toc520356153"/>
      <w:bookmarkStart w:id="64" w:name="_Toc508185920"/>
      <w:bookmarkStart w:id="65" w:name="_Toc520356155"/>
      <w:r>
        <w:rPr>
          <w:rFonts w:hint="eastAsia" w:ascii="宋体" w:hAnsi="宋体" w:eastAsia="宋体" w:cs="宋体"/>
          <w:sz w:val="28"/>
          <w:szCs w:val="28"/>
          <w:u w:val="none"/>
        </w:rPr>
        <w:t>10.</w:t>
      </w:r>
      <w:r>
        <w:rPr>
          <w:rFonts w:hint="eastAsia" w:ascii="宋体" w:hAnsi="宋体" w:eastAsia="宋体" w:cs="宋体"/>
          <w:sz w:val="28"/>
          <w:szCs w:val="28"/>
          <w:u w:val="none"/>
        </w:rPr>
        <w:tab/>
      </w:r>
      <w:r>
        <w:rPr>
          <w:rFonts w:hint="eastAsia" w:ascii="宋体" w:hAnsi="宋体" w:eastAsia="宋体" w:cs="宋体"/>
          <w:sz w:val="28"/>
          <w:szCs w:val="28"/>
          <w:u w:val="none"/>
        </w:rPr>
        <w:t>证明投标标的的合格性和符合</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规定的投标文件</w:t>
      </w:r>
      <w:bookmarkEnd w:id="59"/>
      <w:bookmarkEnd w:id="60"/>
      <w:bookmarkEnd w:id="61"/>
      <w:bookmarkEnd w:id="62"/>
      <w:bookmarkEnd w:id="63"/>
      <w:bookmarkEnd w:id="64"/>
    </w:p>
    <w:p w14:paraId="42CED64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10.1</w:t>
      </w:r>
      <w:r>
        <w:rPr>
          <w:rFonts w:hint="eastAsia" w:ascii="宋体" w:hAnsi="宋体" w:eastAsia="宋体" w:cs="宋体"/>
          <w:sz w:val="28"/>
          <w:szCs w:val="28"/>
        </w:rPr>
        <w:tab/>
      </w:r>
      <w:r>
        <w:rPr>
          <w:rFonts w:hint="eastAsia" w:ascii="宋体" w:hAnsi="宋体" w:eastAsia="宋体" w:cs="宋体"/>
          <w:sz w:val="28"/>
          <w:szCs w:val="28"/>
        </w:rPr>
        <w:t>供应商应提交证明文件，证明其投标内容符合</w:t>
      </w:r>
      <w:r>
        <w:rPr>
          <w:rFonts w:hint="eastAsia" w:ascii="宋体" w:hAnsi="宋体" w:eastAsia="宋体" w:cs="宋体"/>
          <w:sz w:val="28"/>
          <w:szCs w:val="28"/>
          <w:lang w:eastAsia="zh-CN"/>
        </w:rPr>
        <w:t>采购文件</w:t>
      </w:r>
      <w:r>
        <w:rPr>
          <w:rFonts w:hint="eastAsia" w:ascii="宋体" w:hAnsi="宋体" w:eastAsia="宋体" w:cs="宋体"/>
          <w:sz w:val="28"/>
          <w:szCs w:val="28"/>
        </w:rPr>
        <w:t>规定。该证明文件是投标文件的一部分。</w:t>
      </w:r>
    </w:p>
    <w:p w14:paraId="648030D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w:t>
      </w:r>
      <w:r>
        <w:rPr>
          <w:rFonts w:hint="eastAsia" w:ascii="宋体" w:hAnsi="宋体" w:eastAsia="宋体" w:cs="宋体"/>
          <w:sz w:val="28"/>
          <w:szCs w:val="28"/>
        </w:rPr>
        <w:tab/>
      </w:r>
      <w:r>
        <w:rPr>
          <w:rFonts w:hint="eastAsia" w:ascii="宋体" w:hAnsi="宋体" w:eastAsia="宋体" w:cs="宋体"/>
          <w:sz w:val="28"/>
          <w:szCs w:val="28"/>
        </w:rPr>
        <w:t>上款所述的证明文件，可以是文字资料、图纸和数据，它包括：</w:t>
      </w:r>
    </w:p>
    <w:p w14:paraId="7C72F7F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10.2.1</w:t>
      </w:r>
      <w:r>
        <w:rPr>
          <w:rFonts w:hint="eastAsia" w:ascii="宋体" w:hAnsi="宋体" w:eastAsia="宋体" w:cs="宋体"/>
          <w:sz w:val="28"/>
          <w:szCs w:val="28"/>
        </w:rPr>
        <w:tab/>
      </w:r>
      <w:r>
        <w:rPr>
          <w:rFonts w:hint="eastAsia" w:ascii="宋体" w:hAnsi="宋体" w:eastAsia="宋体" w:cs="宋体"/>
          <w:sz w:val="28"/>
          <w:szCs w:val="28"/>
          <w:lang w:eastAsia="zh-CN"/>
        </w:rPr>
        <w:t>货物</w:t>
      </w:r>
      <w:r>
        <w:rPr>
          <w:rFonts w:hint="eastAsia" w:ascii="宋体" w:hAnsi="宋体" w:eastAsia="宋体" w:cs="宋体"/>
          <w:sz w:val="28"/>
          <w:szCs w:val="28"/>
        </w:rPr>
        <w:t>主要技术指标的详细说明；</w:t>
      </w:r>
    </w:p>
    <w:p w14:paraId="4B56C05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10.2.2</w:t>
      </w:r>
      <w:r>
        <w:rPr>
          <w:rFonts w:hint="eastAsia" w:ascii="宋体" w:hAnsi="宋体" w:eastAsia="宋体" w:cs="宋体"/>
          <w:sz w:val="28"/>
          <w:szCs w:val="28"/>
        </w:rPr>
        <w:tab/>
      </w:r>
      <w:r>
        <w:rPr>
          <w:rFonts w:hint="eastAsia" w:ascii="宋体" w:hAnsi="宋体" w:eastAsia="宋体" w:cs="宋体"/>
          <w:sz w:val="28"/>
          <w:szCs w:val="28"/>
        </w:rPr>
        <w:t>货物从买方开始使用至</w:t>
      </w:r>
      <w:r>
        <w:rPr>
          <w:rFonts w:hint="eastAsia" w:ascii="宋体" w:hAnsi="宋体" w:eastAsia="宋体" w:cs="宋体"/>
          <w:sz w:val="28"/>
          <w:szCs w:val="28"/>
          <w:lang w:eastAsia="zh-CN"/>
        </w:rPr>
        <w:t>采购文件</w:t>
      </w:r>
      <w:r>
        <w:rPr>
          <w:rFonts w:hint="eastAsia" w:ascii="宋体" w:hAnsi="宋体" w:eastAsia="宋体" w:cs="宋体"/>
          <w:sz w:val="28"/>
          <w:szCs w:val="28"/>
        </w:rPr>
        <w:t>规定的保质期内正常、连续地使用所必须的备件和专用工具清单，包括备件和专用工具的货源及现行价格；</w:t>
      </w:r>
    </w:p>
    <w:p w14:paraId="3568405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10.2.3</w:t>
      </w:r>
      <w:r>
        <w:rPr>
          <w:rFonts w:hint="eastAsia" w:ascii="宋体" w:hAnsi="宋体" w:eastAsia="宋体" w:cs="宋体"/>
          <w:sz w:val="28"/>
          <w:szCs w:val="28"/>
        </w:rPr>
        <w:tab/>
      </w:r>
      <w:r>
        <w:rPr>
          <w:rFonts w:hint="eastAsia" w:ascii="宋体" w:hAnsi="宋体" w:eastAsia="宋体" w:cs="宋体"/>
          <w:sz w:val="28"/>
          <w:szCs w:val="28"/>
        </w:rPr>
        <w:t>对照</w:t>
      </w:r>
      <w:r>
        <w:rPr>
          <w:rFonts w:hint="eastAsia" w:ascii="宋体" w:hAnsi="宋体" w:eastAsia="宋体" w:cs="宋体"/>
          <w:sz w:val="28"/>
          <w:szCs w:val="28"/>
          <w:lang w:eastAsia="zh-CN"/>
        </w:rPr>
        <w:t>采购文件</w:t>
      </w:r>
      <w:r>
        <w:rPr>
          <w:rFonts w:hint="eastAsia" w:ascii="宋体" w:hAnsi="宋体" w:eastAsia="宋体" w:cs="宋体"/>
          <w:sz w:val="28"/>
          <w:szCs w:val="28"/>
        </w:rPr>
        <w:t>技术规格，逐条说明所提供货物及伴随的工程和货物已对</w:t>
      </w:r>
      <w:r>
        <w:rPr>
          <w:rFonts w:hint="eastAsia" w:ascii="宋体" w:hAnsi="宋体" w:eastAsia="宋体" w:cs="宋体"/>
          <w:sz w:val="28"/>
          <w:szCs w:val="28"/>
          <w:lang w:eastAsia="zh-CN"/>
        </w:rPr>
        <w:t>采购文件</w:t>
      </w:r>
      <w:r>
        <w:rPr>
          <w:rFonts w:hint="eastAsia" w:ascii="宋体" w:hAnsi="宋体" w:eastAsia="宋体" w:cs="宋体"/>
          <w:sz w:val="28"/>
          <w:szCs w:val="28"/>
        </w:rPr>
        <w:t>的技术规格做出了实质性的响应，或申明与技术规格条文的偏差和例外。</w:t>
      </w:r>
    </w:p>
    <w:p w14:paraId="75C3597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10.3</w:t>
      </w:r>
      <w:r>
        <w:rPr>
          <w:rFonts w:hint="eastAsia" w:ascii="宋体" w:hAnsi="宋体" w:eastAsia="宋体" w:cs="宋体"/>
          <w:sz w:val="28"/>
          <w:szCs w:val="28"/>
        </w:rPr>
        <w:tab/>
      </w:r>
      <w:r>
        <w:rPr>
          <w:rFonts w:hint="eastAsia" w:ascii="宋体" w:hAnsi="宋体" w:eastAsia="宋体" w:cs="宋体"/>
          <w:sz w:val="28"/>
          <w:szCs w:val="28"/>
        </w:rPr>
        <w:t>投标人在投标中可以选用替代牌号或分类号，但这些替代要实质上相当于技术规格的要求。采购人、采购代理机构承诺不以上述参照品牌型号或分类号作为评标时判定其投标是否有效的标准。</w:t>
      </w:r>
    </w:p>
    <w:p w14:paraId="50AD2FB3">
      <w:pPr>
        <w:pStyle w:val="4"/>
        <w:spacing w:before="0" w:after="0" w:line="240" w:lineRule="atLeast"/>
        <w:rPr>
          <w:rFonts w:hint="eastAsia" w:ascii="宋体" w:hAnsi="宋体" w:eastAsia="宋体" w:cs="宋体"/>
          <w:sz w:val="28"/>
          <w:szCs w:val="28"/>
          <w:u w:val="none"/>
        </w:rPr>
      </w:pPr>
      <w:bookmarkStart w:id="66" w:name="_Toc13010"/>
      <w:bookmarkStart w:id="67" w:name="_Toc518923073"/>
      <w:bookmarkStart w:id="68" w:name="_Toc24655"/>
      <w:r>
        <w:rPr>
          <w:rFonts w:hint="eastAsia" w:ascii="宋体" w:hAnsi="宋体" w:eastAsia="宋体" w:cs="宋体"/>
          <w:sz w:val="28"/>
          <w:szCs w:val="28"/>
          <w:u w:val="none"/>
        </w:rPr>
        <w:t>11.投标报价</w:t>
      </w:r>
      <w:bookmarkEnd w:id="65"/>
      <w:bookmarkEnd w:id="66"/>
      <w:bookmarkEnd w:id="67"/>
      <w:bookmarkEnd w:id="68"/>
    </w:p>
    <w:p w14:paraId="7582B1A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11.1</w:t>
      </w:r>
      <w:r>
        <w:rPr>
          <w:rFonts w:hint="eastAsia" w:ascii="宋体" w:hAnsi="宋体" w:eastAsia="宋体" w:cs="宋体"/>
          <w:sz w:val="28"/>
          <w:szCs w:val="28"/>
        </w:rPr>
        <w:tab/>
      </w:r>
      <w:r>
        <w:rPr>
          <w:rFonts w:hint="eastAsia" w:ascii="宋体" w:hAnsi="宋体" w:eastAsia="宋体" w:cs="宋体"/>
          <w:sz w:val="28"/>
          <w:szCs w:val="28"/>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E06A847">
      <w:pPr>
        <w:spacing w:line="240" w:lineRule="atLeast"/>
        <w:ind w:left="105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11.2</w:t>
      </w:r>
      <w:r>
        <w:rPr>
          <w:rFonts w:hint="eastAsia" w:ascii="宋体" w:hAnsi="宋体" w:eastAsia="宋体" w:cs="宋体"/>
          <w:color w:val="auto"/>
          <w:sz w:val="28"/>
          <w:szCs w:val="28"/>
        </w:rPr>
        <w:tab/>
      </w:r>
      <w:r>
        <w:rPr>
          <w:rFonts w:hint="eastAsia" w:ascii="宋体" w:hAnsi="宋体" w:eastAsia="宋体" w:cs="宋体"/>
          <w:color w:val="auto"/>
          <w:sz w:val="28"/>
          <w:szCs w:val="28"/>
        </w:rPr>
        <w:t>投标人应在投标分项报价表上标明分项服务的价格（如适用），并由法定代表人或其委托代理人签署。</w:t>
      </w:r>
    </w:p>
    <w:p w14:paraId="004C879B">
      <w:pPr>
        <w:pStyle w:val="9"/>
        <w:rPr>
          <w:rFonts w:hint="eastAsia" w:ascii="宋体" w:hAnsi="宋体" w:eastAsia="宋体" w:cs="宋体"/>
          <w:color w:val="auto"/>
          <w:kern w:val="2"/>
          <w:sz w:val="28"/>
          <w:szCs w:val="28"/>
          <w:lang w:val="en-US" w:eastAsia="zh-CN" w:bidi="ar-SA"/>
        </w:rPr>
      </w:pPr>
      <w:bookmarkStart w:id="69" w:name="_Ref467306513"/>
      <w:bookmarkStart w:id="70" w:name="_Toc520356156"/>
      <w:bookmarkStart w:id="71" w:name="_Toc13611"/>
      <w:bookmarkStart w:id="72" w:name="_Toc518923074"/>
      <w:r>
        <w:rPr>
          <w:rFonts w:hint="eastAsia" w:ascii="宋体" w:hAnsi="宋体" w:eastAsia="宋体" w:cs="宋体"/>
          <w:color w:val="auto"/>
          <w:kern w:val="2"/>
          <w:sz w:val="28"/>
          <w:szCs w:val="28"/>
          <w:lang w:val="en-US" w:eastAsia="zh-CN" w:bidi="ar-SA"/>
        </w:rPr>
        <w:t>11.3</w:t>
      </w:r>
      <w:r>
        <w:rPr>
          <w:rFonts w:hint="eastAsia" w:ascii="宋体" w:hAnsi="宋体" w:eastAsia="宋体" w:cs="宋体"/>
          <w:color w:val="auto"/>
          <w:kern w:val="2"/>
          <w:sz w:val="28"/>
          <w:szCs w:val="28"/>
          <w:lang w:val="en-US" w:eastAsia="zh-CN" w:bidi="ar-SA"/>
        </w:rPr>
        <w:tab/>
      </w:r>
      <w:r>
        <w:rPr>
          <w:rFonts w:hint="eastAsia" w:ascii="宋体" w:hAnsi="宋体" w:eastAsia="宋体" w:cs="宋体"/>
          <w:color w:val="auto"/>
          <w:kern w:val="2"/>
          <w:sz w:val="28"/>
          <w:szCs w:val="28"/>
          <w:lang w:val="en-US" w:eastAsia="zh-CN" w:bidi="ar-SA"/>
        </w:rPr>
        <w:t xml:space="preserve"> 投标分项报价表上的价格应按下列方式填写：</w:t>
      </w:r>
    </w:p>
    <w:p w14:paraId="225F5A80">
      <w:pPr>
        <w:pStyle w:val="9"/>
        <w:ind w:left="1120" w:hanging="1120" w:hangingChars="4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11.3.1 投标货物（包括备品备件、专用工具等）的出厂价（包括已在中国国内的进口货物完税后的仓库交货价、展室交货价或货架交货价），投标货物安装、调试、检验、技术服务和培训等费用；</w:t>
      </w:r>
    </w:p>
    <w:p w14:paraId="70B55C7D">
      <w:pPr>
        <w:pStyle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11.3.2 货物运至最终目的地的运输费和保险费用。</w:t>
      </w:r>
    </w:p>
    <w:p w14:paraId="4EEC80F9">
      <w:pPr>
        <w:spacing w:line="240" w:lineRule="atLeast"/>
        <w:ind w:left="1050" w:hanging="1050" w:hangingChars="37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11.4</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供应商所报的各分项投标单价在合同履行过程中是固定不变的，不得以任何理由予以变更。任何包含价格调整要求的投标，其投标将被认定为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8"/>
          <w:szCs w:val="28"/>
          <w:lang w:val="en-US" w:eastAsia="zh-CN"/>
        </w:rPr>
        <w:t>投标无效</w:t>
      </w:r>
      <w:r>
        <w:rPr>
          <w:rFonts w:hint="eastAsia" w:ascii="宋体" w:hAnsi="宋体" w:eastAsia="宋体" w:cs="宋体"/>
          <w:color w:val="auto"/>
          <w:sz w:val="28"/>
          <w:szCs w:val="28"/>
          <w:lang w:val="en-US" w:eastAsia="zh-CN"/>
        </w:rPr>
        <w:t>。</w:t>
      </w:r>
    </w:p>
    <w:p w14:paraId="3DDFBD8B">
      <w:pPr>
        <w:spacing w:line="240" w:lineRule="atLeast"/>
        <w:ind w:left="1050" w:hanging="1050" w:hangingChars="37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11.5</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每种货物只能有一个投标报价。采购人不接受具有附加条件的报价。</w:t>
      </w:r>
    </w:p>
    <w:p w14:paraId="7C0179DA">
      <w:pPr>
        <w:spacing w:line="240" w:lineRule="atLeast"/>
        <w:ind w:left="1050" w:hanging="1054" w:hangingChars="375"/>
        <w:rPr>
          <w:rFonts w:hint="eastAsia" w:ascii="宋体" w:hAnsi="宋体" w:eastAsia="宋体" w:cs="宋体"/>
          <w:b/>
          <w:color w:val="auto"/>
          <w:kern w:val="0"/>
          <w:sz w:val="28"/>
          <w:szCs w:val="28"/>
          <w:u w:val="none"/>
          <w:lang w:val="en-US" w:eastAsia="zh-CN" w:bidi="ar-SA"/>
        </w:rPr>
      </w:pPr>
      <w:r>
        <w:rPr>
          <w:rFonts w:hint="eastAsia" w:ascii="宋体" w:hAnsi="宋体" w:eastAsia="宋体" w:cs="宋体"/>
          <w:b/>
          <w:color w:val="auto"/>
          <w:kern w:val="0"/>
          <w:sz w:val="28"/>
          <w:szCs w:val="28"/>
          <w:u w:val="none"/>
          <w:lang w:val="en-US" w:eastAsia="zh-CN" w:bidi="ar-SA"/>
        </w:rPr>
        <w:t>12.投标保证金</w:t>
      </w:r>
      <w:bookmarkEnd w:id="69"/>
      <w:bookmarkEnd w:id="70"/>
      <w:bookmarkEnd w:id="71"/>
      <w:bookmarkEnd w:id="72"/>
    </w:p>
    <w:p w14:paraId="20DBBBD8">
      <w:pPr>
        <w:spacing w:line="240" w:lineRule="atLeast"/>
        <w:ind w:left="1050" w:hanging="1050" w:hangingChars="375"/>
        <w:rPr>
          <w:rFonts w:hint="eastAsia" w:ascii="宋体" w:hAnsi="宋体" w:eastAsia="宋体" w:cs="宋体"/>
          <w:sz w:val="28"/>
          <w:szCs w:val="28"/>
        </w:rPr>
      </w:pPr>
      <w:bookmarkStart w:id="73" w:name="_Ref467306302"/>
      <w:r>
        <w:rPr>
          <w:rFonts w:hint="eastAsia" w:ascii="宋体" w:hAnsi="宋体" w:eastAsia="宋体" w:cs="宋体"/>
          <w:sz w:val="28"/>
          <w:szCs w:val="28"/>
        </w:rPr>
        <w:t>12.1</w:t>
      </w:r>
      <w:r>
        <w:rPr>
          <w:rFonts w:hint="eastAsia" w:ascii="宋体" w:hAnsi="宋体" w:eastAsia="宋体" w:cs="宋体"/>
          <w:sz w:val="28"/>
          <w:szCs w:val="28"/>
        </w:rPr>
        <w:tab/>
      </w:r>
      <w:r>
        <w:rPr>
          <w:rFonts w:hint="eastAsia" w:ascii="宋体" w:hAnsi="宋体" w:eastAsia="宋体" w:cs="宋体"/>
          <w:sz w:val="28"/>
          <w:szCs w:val="28"/>
        </w:rPr>
        <w:t>投标人应提交</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中规定的投标保证金</w:t>
      </w:r>
      <w:bookmarkEnd w:id="73"/>
      <w:r>
        <w:rPr>
          <w:rFonts w:hint="eastAsia" w:ascii="宋体" w:hAnsi="宋体" w:eastAsia="宋体" w:cs="宋体"/>
          <w:sz w:val="28"/>
          <w:szCs w:val="28"/>
        </w:rPr>
        <w:t>，并作为其投标的一部分。</w:t>
      </w:r>
    </w:p>
    <w:p w14:paraId="7754703A">
      <w:pPr>
        <w:spacing w:line="240" w:lineRule="atLeast"/>
        <w:ind w:left="1054" w:hanging="1054" w:hangingChars="375"/>
        <w:rPr>
          <w:rFonts w:hint="eastAsia" w:ascii="宋体" w:hAnsi="宋体" w:eastAsia="宋体" w:cs="宋体"/>
          <w:b/>
          <w:bCs/>
          <w:sz w:val="28"/>
          <w:szCs w:val="28"/>
        </w:rPr>
      </w:pPr>
      <w:r>
        <w:rPr>
          <w:rFonts w:hint="eastAsia" w:ascii="宋体" w:hAnsi="宋体" w:eastAsia="宋体" w:cs="宋体"/>
          <w:b/>
          <w:bCs/>
          <w:sz w:val="28"/>
          <w:szCs w:val="28"/>
        </w:rPr>
        <w:t>12.2</w:t>
      </w:r>
      <w:r>
        <w:rPr>
          <w:rFonts w:hint="eastAsia" w:ascii="宋体" w:hAnsi="宋体" w:eastAsia="宋体" w:cs="宋体"/>
          <w:b/>
          <w:bCs/>
          <w:sz w:val="28"/>
          <w:szCs w:val="28"/>
        </w:rPr>
        <w:tab/>
      </w:r>
      <w:r>
        <w:rPr>
          <w:rFonts w:hint="eastAsia" w:ascii="宋体" w:hAnsi="宋体" w:eastAsia="宋体" w:cs="宋体"/>
          <w:b/>
          <w:bCs/>
          <w:sz w:val="28"/>
          <w:szCs w:val="28"/>
        </w:rPr>
        <w:t>投标人存在下列情形的，投标保证金不予退还：</w:t>
      </w:r>
    </w:p>
    <w:p w14:paraId="412EA7A8">
      <w:pPr>
        <w:spacing w:line="240" w:lineRule="atLeast"/>
        <w:ind w:left="1054" w:hanging="1054" w:hangingChars="375"/>
        <w:rPr>
          <w:rFonts w:hint="eastAsia" w:ascii="宋体" w:hAnsi="宋体" w:eastAsia="宋体" w:cs="宋体"/>
          <w:b/>
          <w:bCs/>
          <w:sz w:val="28"/>
          <w:szCs w:val="28"/>
        </w:rPr>
      </w:pPr>
      <w:r>
        <w:rPr>
          <w:rFonts w:hint="eastAsia" w:ascii="宋体" w:hAnsi="宋体" w:eastAsia="宋体" w:cs="宋体"/>
          <w:b/>
          <w:bCs/>
          <w:sz w:val="28"/>
          <w:szCs w:val="28"/>
        </w:rPr>
        <w:t xml:space="preserve">      （1）在投标有效期内，撤销投标的；</w:t>
      </w:r>
    </w:p>
    <w:p w14:paraId="59144E9C">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（2）中标后不按本须知第30条的规定与采购人签订合同的；</w:t>
      </w:r>
    </w:p>
    <w:p w14:paraId="6617B381">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（3）中标后不按本须知第31条的规定提交履约保证金的；</w:t>
      </w:r>
    </w:p>
    <w:p w14:paraId="04792B6C">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（4）中标后不按本须知第32条的规定缴纳中标服务费的；</w:t>
      </w:r>
    </w:p>
    <w:p w14:paraId="621A95DF">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（5）存在其他违法违规行为的。</w:t>
      </w:r>
    </w:p>
    <w:p w14:paraId="1BA8F5A8">
      <w:pPr>
        <w:spacing w:line="240" w:lineRule="atLeast"/>
        <w:ind w:left="1050" w:hanging="1050" w:hangingChars="375"/>
        <w:rPr>
          <w:rFonts w:hint="eastAsia" w:ascii="宋体" w:hAnsi="宋体" w:eastAsia="宋体" w:cs="宋体"/>
          <w:sz w:val="28"/>
          <w:szCs w:val="28"/>
        </w:rPr>
      </w:pPr>
      <w:bookmarkStart w:id="74" w:name="_Ref467306336"/>
      <w:r>
        <w:rPr>
          <w:rFonts w:hint="eastAsia" w:ascii="宋体" w:hAnsi="宋体" w:eastAsia="宋体" w:cs="宋体"/>
          <w:sz w:val="28"/>
          <w:szCs w:val="28"/>
        </w:rPr>
        <w:t>12.3</w:t>
      </w:r>
      <w:r>
        <w:rPr>
          <w:rFonts w:hint="eastAsia" w:ascii="宋体" w:hAnsi="宋体" w:eastAsia="宋体" w:cs="宋体"/>
          <w:sz w:val="28"/>
          <w:szCs w:val="28"/>
        </w:rPr>
        <w:tab/>
      </w:r>
      <w:bookmarkEnd w:id="74"/>
      <w:r>
        <w:rPr>
          <w:rFonts w:hint="eastAsia" w:ascii="宋体" w:hAnsi="宋体" w:eastAsia="宋体" w:cs="宋体"/>
          <w:sz w:val="28"/>
          <w:szCs w:val="28"/>
        </w:rPr>
        <w:t>政府采购信用担保试点范围内的项目，接受符合财政部门规定的政府采购投标担开户行银行保函原件。</w:t>
      </w:r>
    </w:p>
    <w:p w14:paraId="62352F6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12.4</w:t>
      </w:r>
      <w:r>
        <w:rPr>
          <w:rFonts w:hint="eastAsia" w:ascii="宋体" w:hAnsi="宋体" w:eastAsia="宋体" w:cs="宋体"/>
          <w:sz w:val="28"/>
          <w:szCs w:val="28"/>
        </w:rPr>
        <w:tab/>
      </w:r>
      <w:r>
        <w:rPr>
          <w:rFonts w:hint="eastAsia" w:ascii="宋体" w:hAnsi="宋体" w:eastAsia="宋体" w:cs="宋体"/>
          <w:sz w:val="28"/>
          <w:szCs w:val="28"/>
        </w:rPr>
        <w:t>投标人未按本须知第12.1和12.3条规定提交投标保证金的，其投标将被认定为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2ABAD5ED">
      <w:pPr>
        <w:spacing w:line="240" w:lineRule="atLeast"/>
        <w:rPr>
          <w:rFonts w:hint="eastAsia" w:ascii="宋体" w:hAnsi="宋体" w:eastAsia="宋体" w:cs="宋体"/>
          <w:sz w:val="28"/>
          <w:szCs w:val="28"/>
        </w:rPr>
      </w:pPr>
      <w:r>
        <w:rPr>
          <w:rFonts w:hint="eastAsia" w:ascii="宋体" w:hAnsi="宋体" w:eastAsia="宋体" w:cs="宋体"/>
          <w:sz w:val="28"/>
          <w:szCs w:val="28"/>
        </w:rPr>
        <w:t>12.4.1  采用电汇形式的，一般可以实时入账；</w:t>
      </w:r>
    </w:p>
    <w:p w14:paraId="6F61277C">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w:t>
      </w:r>
      <w:r>
        <w:rPr>
          <w:rFonts w:hint="eastAsia" w:ascii="宋体" w:hAnsi="宋体" w:eastAsia="宋体" w:cs="宋体"/>
          <w:sz w:val="28"/>
          <w:szCs w:val="28"/>
          <w:lang w:eastAsia="zh-CN"/>
        </w:rPr>
        <w:t>采购文件</w:t>
      </w:r>
      <w:r>
        <w:rPr>
          <w:rFonts w:hint="eastAsia" w:ascii="宋体" w:hAnsi="宋体" w:eastAsia="宋体" w:cs="宋体"/>
          <w:sz w:val="28"/>
          <w:szCs w:val="28"/>
        </w:rPr>
        <w:t>的第22.2条相关规定处理。</w:t>
      </w:r>
    </w:p>
    <w:p w14:paraId="44627B6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12.5    联合体投标的，可以由联合体中的一方或者共同提交投标保证金。以一方名义提交投标保证金的，对联合体各方均具有约束力。</w:t>
      </w:r>
    </w:p>
    <w:p w14:paraId="6FCF924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12.6</w:t>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b/>
          <w:sz w:val="28"/>
          <w:szCs w:val="28"/>
        </w:rPr>
        <w:t>投标保证金的退还</w:t>
      </w:r>
    </w:p>
    <w:p w14:paraId="7053E5A5">
      <w:pPr>
        <w:spacing w:line="240" w:lineRule="atLeast"/>
        <w:ind w:left="1190" w:hanging="1190" w:hangingChars="425"/>
        <w:rPr>
          <w:rFonts w:hint="eastAsia" w:ascii="宋体" w:hAnsi="宋体" w:eastAsia="宋体" w:cs="宋体"/>
          <w:sz w:val="28"/>
          <w:szCs w:val="28"/>
        </w:rPr>
      </w:pPr>
      <w:r>
        <w:rPr>
          <w:rFonts w:hint="eastAsia" w:ascii="宋体" w:hAnsi="宋体" w:eastAsia="宋体" w:cs="宋体"/>
          <w:sz w:val="28"/>
          <w:szCs w:val="28"/>
        </w:rPr>
        <w:t>12.6.1  中标人应在与采购人签订合同之日起5个工作日内，及时联系保证金收受机构办理投标保证金无息退还手续。</w:t>
      </w:r>
    </w:p>
    <w:p w14:paraId="6BED8227">
      <w:pPr>
        <w:ind w:left="1190" w:hanging="1190" w:hangingChars="425"/>
        <w:rPr>
          <w:rFonts w:hint="eastAsia" w:ascii="宋体" w:hAnsi="宋体" w:eastAsia="宋体" w:cs="宋体"/>
          <w:sz w:val="28"/>
          <w:szCs w:val="28"/>
        </w:rPr>
      </w:pPr>
      <w:r>
        <w:rPr>
          <w:rFonts w:hint="eastAsia" w:ascii="宋体" w:hAnsi="宋体" w:eastAsia="宋体" w:cs="宋体"/>
          <w:sz w:val="28"/>
          <w:szCs w:val="28"/>
        </w:rPr>
        <w:t>12.6.2  未中标投标人的投标保证金将在中标通知书发出之日暨中标结果公告公布之日起5个工作日内无息退还。投标人及时联系保证金收受机构办理退还投标保证金手续。</w:t>
      </w:r>
      <w:bookmarkStart w:id="75" w:name="_Toc518923075"/>
    </w:p>
    <w:p w14:paraId="79C279C8">
      <w:pPr>
        <w:ind w:left="1190" w:hanging="1190" w:hangingChars="425"/>
        <w:rPr>
          <w:rFonts w:hint="eastAsia" w:ascii="宋体" w:hAnsi="宋体" w:eastAsia="宋体" w:cs="宋体"/>
          <w:sz w:val="28"/>
          <w:szCs w:val="28"/>
        </w:rPr>
      </w:pPr>
      <w:r>
        <w:rPr>
          <w:rFonts w:hint="eastAsia" w:ascii="宋体" w:hAnsi="宋体" w:eastAsia="宋体" w:cs="宋体"/>
          <w:sz w:val="28"/>
          <w:szCs w:val="28"/>
        </w:rPr>
        <w:t xml:space="preserve">12.6.3  </w:t>
      </w:r>
      <w:bookmarkEnd w:id="75"/>
      <w:r>
        <w:rPr>
          <w:rFonts w:hint="eastAsia" w:ascii="宋体" w:hAnsi="宋体" w:eastAsia="宋体" w:cs="宋体"/>
          <w:sz w:val="28"/>
          <w:szCs w:val="28"/>
        </w:rPr>
        <w:t>政府采购投标担开户行银行保函不予退回。</w:t>
      </w:r>
    </w:p>
    <w:p w14:paraId="54D34634">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12.7    因投标人自身原因导致无法及时退还的，采购人或采购代理机构将不承担相应责任。</w:t>
      </w:r>
    </w:p>
    <w:p w14:paraId="6393E6E6">
      <w:pPr>
        <w:pStyle w:val="4"/>
        <w:spacing w:before="0" w:after="0" w:line="240" w:lineRule="atLeast"/>
        <w:rPr>
          <w:rFonts w:hint="eastAsia" w:ascii="宋体" w:hAnsi="宋体" w:eastAsia="宋体" w:cs="宋体"/>
          <w:sz w:val="28"/>
          <w:szCs w:val="28"/>
          <w:u w:val="none"/>
        </w:rPr>
      </w:pPr>
      <w:bookmarkStart w:id="76" w:name="_Toc520356157"/>
      <w:bookmarkStart w:id="77" w:name="_Toc8893"/>
      <w:bookmarkStart w:id="78" w:name="_Toc1011"/>
      <w:bookmarkStart w:id="79" w:name="_Toc518923076"/>
      <w:r>
        <w:rPr>
          <w:rFonts w:hint="eastAsia" w:ascii="宋体" w:hAnsi="宋体" w:eastAsia="宋体" w:cs="宋体"/>
          <w:sz w:val="28"/>
          <w:szCs w:val="28"/>
          <w:u w:val="none"/>
        </w:rPr>
        <w:t>13.投标有效期</w:t>
      </w:r>
      <w:bookmarkEnd w:id="76"/>
      <w:bookmarkEnd w:id="77"/>
      <w:bookmarkEnd w:id="78"/>
      <w:bookmarkEnd w:id="79"/>
    </w:p>
    <w:p w14:paraId="3E1D843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13.1</w:t>
      </w:r>
      <w:r>
        <w:rPr>
          <w:rFonts w:hint="eastAsia" w:ascii="宋体" w:hAnsi="宋体" w:eastAsia="宋体" w:cs="宋体"/>
          <w:sz w:val="28"/>
          <w:szCs w:val="28"/>
        </w:rPr>
        <w:tab/>
      </w:r>
      <w:r>
        <w:rPr>
          <w:rFonts w:hint="eastAsia" w:ascii="宋体" w:hAnsi="宋体" w:eastAsia="宋体" w:cs="宋体"/>
          <w:sz w:val="28"/>
          <w:szCs w:val="28"/>
        </w:rPr>
        <w:t>投标应在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中规定时间内保持有效。投标有效期不满足要求的投标，其投标将被认定为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14B3D9B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13.2</w:t>
      </w:r>
      <w:r>
        <w:rPr>
          <w:rFonts w:hint="eastAsia" w:ascii="宋体" w:hAnsi="宋体" w:eastAsia="宋体" w:cs="宋体"/>
          <w:sz w:val="28"/>
          <w:szCs w:val="28"/>
        </w:rPr>
        <w:tab/>
      </w:r>
      <w:r>
        <w:rPr>
          <w:rFonts w:hint="eastAsia" w:ascii="宋体" w:hAnsi="宋体" w:eastAsia="宋体" w:cs="宋体"/>
          <w:sz w:val="28"/>
          <w:szCs w:val="28"/>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A26A32A">
      <w:pPr>
        <w:pStyle w:val="4"/>
        <w:spacing w:before="0" w:after="0" w:line="240" w:lineRule="atLeast"/>
        <w:rPr>
          <w:rFonts w:hint="eastAsia" w:ascii="宋体" w:hAnsi="宋体" w:eastAsia="宋体" w:cs="宋体"/>
          <w:sz w:val="28"/>
          <w:szCs w:val="28"/>
          <w:u w:val="none"/>
        </w:rPr>
      </w:pPr>
      <w:bookmarkStart w:id="80" w:name="_Toc520356158"/>
      <w:bookmarkStart w:id="81" w:name="_Toc518923077"/>
      <w:bookmarkStart w:id="82" w:name="_Toc16114"/>
      <w:bookmarkStart w:id="83" w:name="_Toc24374"/>
      <w:r>
        <w:rPr>
          <w:rFonts w:hint="eastAsia" w:ascii="宋体" w:hAnsi="宋体" w:eastAsia="宋体" w:cs="宋体"/>
          <w:sz w:val="28"/>
          <w:szCs w:val="28"/>
          <w:u w:val="none"/>
        </w:rPr>
        <w:t>14.</w:t>
      </w:r>
      <w:bookmarkEnd w:id="80"/>
      <w:bookmarkEnd w:id="81"/>
      <w:bookmarkEnd w:id="82"/>
      <w:r>
        <w:rPr>
          <w:rFonts w:hint="eastAsia" w:ascii="宋体" w:hAnsi="宋体" w:eastAsia="宋体" w:cs="宋体"/>
          <w:sz w:val="28"/>
          <w:szCs w:val="28"/>
          <w:u w:val="none"/>
          <w:lang w:eastAsia="zh-CN"/>
        </w:rPr>
        <w:t>投标</w:t>
      </w:r>
      <w:r>
        <w:rPr>
          <w:rFonts w:hint="eastAsia" w:ascii="宋体" w:hAnsi="宋体" w:eastAsia="宋体" w:cs="宋体"/>
          <w:b/>
          <w:bCs/>
          <w:kern w:val="2"/>
          <w:sz w:val="28"/>
          <w:szCs w:val="28"/>
          <w:highlight w:val="none"/>
          <w:u w:val="none"/>
          <w:lang w:val="en-US" w:eastAsia="zh-CN" w:bidi="ar-SA"/>
        </w:rPr>
        <w:t>文件的签署及规定</w:t>
      </w:r>
      <w:bookmarkEnd w:id="83"/>
    </w:p>
    <w:p w14:paraId="76DDE815">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rPr>
        <w:t>14.1</w:t>
      </w:r>
      <w:r>
        <w:rPr>
          <w:rFonts w:hint="eastAsia" w:ascii="宋体" w:hAnsi="宋体" w:eastAsia="宋体" w:cs="宋体"/>
          <w:sz w:val="28"/>
          <w:szCs w:val="28"/>
        </w:rPr>
        <w:tab/>
      </w:r>
      <w:r>
        <w:rPr>
          <w:rFonts w:hint="eastAsia" w:ascii="宋体" w:hAnsi="宋体" w:eastAsia="宋体" w:cs="宋体"/>
          <w:sz w:val="28"/>
          <w:szCs w:val="28"/>
          <w:lang w:eastAsia="zh-CN"/>
        </w:rPr>
        <w:t>投标人</w:t>
      </w:r>
      <w:r>
        <w:rPr>
          <w:rFonts w:hint="eastAsia" w:ascii="宋体" w:hAnsi="宋体" w:eastAsia="宋体" w:cs="宋体"/>
          <w:sz w:val="28"/>
          <w:szCs w:val="28"/>
          <w:lang w:val="en-US" w:eastAsia="zh-CN"/>
        </w:rPr>
        <w:t>应按投标人须知资料表中的规定，准备和递交（加密上传）电子投标文件。</w:t>
      </w:r>
    </w:p>
    <w:p w14:paraId="46A0A48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14.2</w:t>
      </w:r>
      <w:r>
        <w:rPr>
          <w:rFonts w:hint="eastAsia" w:ascii="宋体" w:hAnsi="宋体" w:eastAsia="宋体" w:cs="宋体"/>
          <w:sz w:val="28"/>
          <w:szCs w:val="28"/>
        </w:rPr>
        <w:tab/>
      </w:r>
      <w:r>
        <w:rPr>
          <w:rFonts w:hint="eastAsia" w:ascii="宋体" w:hAnsi="宋体" w:eastAsia="宋体" w:cs="宋体"/>
          <w:sz w:val="28"/>
          <w:szCs w:val="28"/>
        </w:rPr>
        <w:t>所有</w:t>
      </w:r>
      <w:r>
        <w:rPr>
          <w:rFonts w:hint="eastAsia" w:ascii="宋体" w:hAnsi="宋体" w:eastAsia="宋体" w:cs="宋体"/>
          <w:sz w:val="28"/>
          <w:szCs w:val="28"/>
          <w:lang w:eastAsia="zh-CN"/>
        </w:rPr>
        <w:t>投标文件</w:t>
      </w:r>
      <w:r>
        <w:rPr>
          <w:rFonts w:hint="eastAsia" w:ascii="宋体" w:hAnsi="宋体" w:eastAsia="宋体" w:cs="宋体"/>
          <w:sz w:val="28"/>
          <w:szCs w:val="28"/>
        </w:rPr>
        <w:t>应按照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w:t>
      </w:r>
    </w:p>
    <w:p w14:paraId="098122D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14.3   </w:t>
      </w:r>
      <w:r>
        <w:rPr>
          <w:rFonts w:hint="eastAsia" w:ascii="宋体" w:hAnsi="宋体" w:eastAsia="宋体" w:cs="宋体"/>
          <w:sz w:val="28"/>
          <w:szCs w:val="28"/>
          <w:lang w:eastAsia="zh-CN"/>
        </w:rPr>
        <w:t>投标文件</w:t>
      </w:r>
      <w:r>
        <w:rPr>
          <w:rFonts w:hint="eastAsia" w:ascii="宋体" w:hAnsi="宋体" w:eastAsia="宋体" w:cs="宋体"/>
          <w:sz w:val="28"/>
          <w:szCs w:val="28"/>
        </w:rPr>
        <w:t>因字迹潦草、表达不清或</w:t>
      </w:r>
      <w:r>
        <w:rPr>
          <w:rFonts w:hint="eastAsia" w:ascii="宋体" w:hAnsi="宋体" w:eastAsia="宋体" w:cs="宋体"/>
          <w:sz w:val="28"/>
          <w:szCs w:val="28"/>
          <w:lang w:val="en-US" w:eastAsia="zh-CN"/>
        </w:rPr>
        <w:t>未按照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规定的格式填写、签署和盖章所引起的后果由</w:t>
      </w:r>
      <w:r>
        <w:rPr>
          <w:rFonts w:hint="eastAsia" w:ascii="宋体" w:hAnsi="宋体" w:eastAsia="宋体" w:cs="宋体"/>
          <w:sz w:val="28"/>
          <w:szCs w:val="28"/>
          <w:lang w:eastAsia="zh-CN"/>
        </w:rPr>
        <w:t>投标人</w:t>
      </w:r>
      <w:r>
        <w:rPr>
          <w:rFonts w:hint="eastAsia" w:ascii="宋体" w:hAnsi="宋体" w:eastAsia="宋体" w:cs="宋体"/>
          <w:sz w:val="28"/>
          <w:szCs w:val="28"/>
        </w:rPr>
        <w:t>负责。</w:t>
      </w:r>
    </w:p>
    <w:p w14:paraId="14AFDECD">
      <w:pPr>
        <w:spacing w:line="240" w:lineRule="atLeast"/>
        <w:rPr>
          <w:rFonts w:hint="eastAsia" w:ascii="宋体" w:hAnsi="宋体" w:eastAsia="宋体" w:cs="宋体"/>
          <w:sz w:val="28"/>
          <w:szCs w:val="28"/>
        </w:rPr>
      </w:pPr>
    </w:p>
    <w:p w14:paraId="39CE81F6">
      <w:pPr>
        <w:pStyle w:val="3"/>
        <w:spacing w:before="0" w:line="240" w:lineRule="atLeast"/>
        <w:ind w:left="1080" w:leftChars="257" w:hanging="540"/>
        <w:rPr>
          <w:rFonts w:hint="eastAsia" w:ascii="宋体" w:hAnsi="宋体" w:eastAsia="宋体" w:cs="宋体"/>
          <w:sz w:val="28"/>
          <w:szCs w:val="28"/>
        </w:rPr>
      </w:pPr>
      <w:bookmarkStart w:id="84" w:name="_Toc520356159"/>
      <w:bookmarkStart w:id="85" w:name="_Toc216582808"/>
      <w:bookmarkStart w:id="86" w:name="_Toc1867"/>
      <w:bookmarkStart w:id="87" w:name="_Toc518923078"/>
      <w:bookmarkStart w:id="88" w:name="_Toc10653"/>
      <w:r>
        <w:rPr>
          <w:rFonts w:hint="eastAsia" w:ascii="宋体" w:hAnsi="宋体" w:eastAsia="宋体" w:cs="宋体"/>
          <w:sz w:val="28"/>
          <w:szCs w:val="28"/>
        </w:rPr>
        <w:t>四   投标文件的递交</w:t>
      </w:r>
      <w:bookmarkEnd w:id="84"/>
      <w:bookmarkEnd w:id="85"/>
      <w:bookmarkEnd w:id="86"/>
      <w:bookmarkEnd w:id="87"/>
      <w:bookmarkEnd w:id="88"/>
    </w:p>
    <w:p w14:paraId="7D675AC5">
      <w:pPr>
        <w:pStyle w:val="5"/>
        <w:rPr>
          <w:rFonts w:hint="eastAsia" w:ascii="宋体" w:hAnsi="宋体" w:eastAsia="宋体" w:cs="宋体"/>
          <w:sz w:val="28"/>
          <w:szCs w:val="28"/>
        </w:rPr>
      </w:pPr>
    </w:p>
    <w:p w14:paraId="42E3EF03">
      <w:pPr>
        <w:pStyle w:val="4"/>
        <w:numPr>
          <w:ilvl w:val="0"/>
          <w:numId w:val="1"/>
        </w:numPr>
        <w:spacing w:before="0" w:after="0" w:line="240" w:lineRule="atLeast"/>
        <w:rPr>
          <w:rFonts w:hint="eastAsia" w:ascii="宋体" w:hAnsi="宋体" w:eastAsia="宋体" w:cs="宋体"/>
          <w:sz w:val="28"/>
          <w:szCs w:val="28"/>
          <w:u w:val="none"/>
        </w:rPr>
      </w:pPr>
      <w:bookmarkStart w:id="89" w:name="_Toc12285"/>
      <w:bookmarkStart w:id="90" w:name="_Toc520356160"/>
      <w:bookmarkStart w:id="91" w:name="_Toc518923079"/>
      <w:bookmarkStart w:id="92" w:name="_Toc8602"/>
      <w:r>
        <w:rPr>
          <w:rFonts w:hint="eastAsia" w:ascii="宋体" w:hAnsi="宋体" w:eastAsia="宋体" w:cs="宋体"/>
          <w:sz w:val="28"/>
          <w:szCs w:val="28"/>
          <w:u w:val="none"/>
        </w:rPr>
        <w:t>投标文件的密封和标记</w:t>
      </w:r>
      <w:bookmarkEnd w:id="89"/>
      <w:bookmarkEnd w:id="90"/>
      <w:bookmarkEnd w:id="91"/>
      <w:bookmarkEnd w:id="92"/>
    </w:p>
    <w:p w14:paraId="14B1F6DC">
      <w:pPr>
        <w:tabs>
          <w:tab w:val="left" w:pos="4830"/>
        </w:tabs>
        <w:spacing w:line="240" w:lineRule="atLeast"/>
        <w:ind w:left="1050" w:hanging="1050" w:hangingChars="375"/>
        <w:rPr>
          <w:rFonts w:hint="eastAsia" w:ascii="宋体" w:hAnsi="宋体" w:eastAsia="宋体" w:cs="宋体"/>
          <w:u w:val="single"/>
        </w:rPr>
      </w:pPr>
      <w:r>
        <w:rPr>
          <w:rFonts w:hint="eastAsia" w:ascii="宋体" w:hAnsi="宋体" w:eastAsia="宋体" w:cs="宋体"/>
          <w:sz w:val="28"/>
          <w:szCs w:val="28"/>
        </w:rPr>
        <w:t xml:space="preserve">15.1   </w:t>
      </w:r>
      <w:r>
        <w:rPr>
          <w:rFonts w:hint="eastAsia" w:ascii="宋体" w:hAnsi="宋体" w:eastAsia="宋体" w:cs="宋体"/>
          <w:b/>
          <w:bCs/>
          <w:kern w:val="2"/>
          <w:sz w:val="28"/>
          <w:szCs w:val="28"/>
          <w:highlight w:val="none"/>
          <w:u w:val="single"/>
          <w:lang w:val="en-US" w:eastAsia="zh-CN" w:bidi="ar-SA"/>
        </w:rPr>
        <w:t>为方便评审及进行资格审查，投标人应完整地按采购文件提供的投标文件格式及要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严格按照政采云电子投标流程制作并上传电子投标文件）</w:t>
      </w:r>
    </w:p>
    <w:p w14:paraId="23808C1E">
      <w:pPr>
        <w:pStyle w:val="4"/>
        <w:tabs>
          <w:tab w:val="left" w:pos="4830"/>
        </w:tabs>
        <w:spacing w:before="0" w:after="0" w:line="240" w:lineRule="atLeast"/>
        <w:ind w:left="1120" w:hanging="1120" w:hangingChars="400"/>
        <w:rPr>
          <w:rFonts w:hint="eastAsia" w:ascii="宋体" w:hAnsi="宋体" w:eastAsia="宋体" w:cs="宋体"/>
          <w:b w:val="0"/>
          <w:kern w:val="2"/>
          <w:sz w:val="28"/>
          <w:szCs w:val="28"/>
          <w:u w:val="none"/>
          <w:lang w:val="en-US" w:eastAsia="zh-CN" w:bidi="ar-SA"/>
        </w:rPr>
      </w:pPr>
      <w:bookmarkStart w:id="93" w:name="_Toc26309"/>
      <w:bookmarkStart w:id="94" w:name="_Toc520356161"/>
      <w:bookmarkStart w:id="95" w:name="_Toc518923080"/>
      <w:bookmarkStart w:id="96" w:name="_Toc12504"/>
      <w:r>
        <w:rPr>
          <w:rFonts w:hint="eastAsia" w:ascii="宋体" w:hAnsi="宋体" w:eastAsia="宋体" w:cs="宋体"/>
          <w:b w:val="0"/>
          <w:kern w:val="2"/>
          <w:sz w:val="28"/>
          <w:szCs w:val="28"/>
          <w:u w:val="none"/>
          <w:lang w:val="en-US" w:eastAsia="zh-CN" w:bidi="ar-SA"/>
        </w:rPr>
        <w:t>15.2    投标人因自身原因导致电子投标文件无法导入电子评标系统的，该投标文件视为无效文件。</w:t>
      </w:r>
      <w:bookmarkEnd w:id="93"/>
    </w:p>
    <w:p w14:paraId="6343C902">
      <w:pPr>
        <w:pStyle w:val="4"/>
        <w:tabs>
          <w:tab w:val="left" w:pos="4830"/>
        </w:tabs>
        <w:spacing w:before="0" w:after="0" w:line="240" w:lineRule="atLeast"/>
        <w:ind w:left="1120" w:hanging="1120" w:hangingChars="400"/>
        <w:rPr>
          <w:rFonts w:hint="eastAsia" w:ascii="宋体" w:hAnsi="宋体" w:eastAsia="宋体" w:cs="宋体"/>
          <w:b w:val="0"/>
          <w:kern w:val="2"/>
          <w:sz w:val="28"/>
          <w:szCs w:val="28"/>
          <w:u w:val="none"/>
          <w:lang w:val="en-US" w:eastAsia="zh-CN" w:bidi="ar-SA"/>
        </w:rPr>
      </w:pPr>
      <w:bookmarkStart w:id="97" w:name="_Toc13509"/>
      <w:r>
        <w:rPr>
          <w:rFonts w:hint="eastAsia" w:ascii="宋体" w:hAnsi="宋体" w:eastAsia="宋体" w:cs="宋体"/>
          <w:b w:val="0"/>
          <w:kern w:val="2"/>
          <w:sz w:val="28"/>
          <w:szCs w:val="28"/>
          <w:u w:val="none"/>
          <w:lang w:val="en-US" w:eastAsia="zh-CN" w:bidi="ar-SA"/>
        </w:rPr>
        <w:t>15.3    电子投标文件具有法律效力,与其他形式的投标文件在内容和格式上等同，若投标文件与采购文件要求不一致，其内容影响成交结果时，责任由投标单位自行承担。</w:t>
      </w:r>
      <w:bookmarkEnd w:id="97"/>
    </w:p>
    <w:p w14:paraId="47D60249">
      <w:pPr>
        <w:pStyle w:val="4"/>
        <w:tabs>
          <w:tab w:val="left" w:pos="4830"/>
        </w:tabs>
        <w:spacing w:before="0" w:after="0" w:line="240" w:lineRule="atLeast"/>
        <w:rPr>
          <w:rFonts w:hint="eastAsia" w:ascii="宋体" w:hAnsi="宋体" w:eastAsia="宋体" w:cs="宋体"/>
          <w:b/>
          <w:bCs/>
          <w:sz w:val="28"/>
          <w:szCs w:val="28"/>
          <w:u w:val="none"/>
        </w:rPr>
      </w:pPr>
      <w:bookmarkStart w:id="98" w:name="_Toc9446"/>
      <w:r>
        <w:rPr>
          <w:rFonts w:hint="eastAsia" w:ascii="宋体" w:hAnsi="宋体" w:eastAsia="宋体" w:cs="宋体"/>
          <w:b/>
          <w:bCs/>
          <w:kern w:val="2"/>
          <w:sz w:val="28"/>
          <w:szCs w:val="28"/>
          <w:u w:val="none"/>
          <w:lang w:val="en-US" w:eastAsia="zh-CN" w:bidi="ar-SA"/>
        </w:rPr>
        <w:t>1</w:t>
      </w:r>
      <w:r>
        <w:rPr>
          <w:rFonts w:hint="eastAsia" w:ascii="宋体" w:hAnsi="宋体" w:eastAsia="宋体" w:cs="宋体"/>
          <w:b/>
          <w:bCs/>
          <w:sz w:val="28"/>
          <w:szCs w:val="28"/>
          <w:u w:val="none"/>
        </w:rPr>
        <w:t>6.投标截止</w:t>
      </w:r>
      <w:bookmarkEnd w:id="94"/>
      <w:bookmarkEnd w:id="95"/>
      <w:bookmarkEnd w:id="96"/>
      <w:bookmarkEnd w:id="98"/>
    </w:p>
    <w:p w14:paraId="624BE730">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16.1</w:t>
      </w:r>
      <w:r>
        <w:rPr>
          <w:rFonts w:hint="eastAsia" w:ascii="宋体" w:hAnsi="宋体" w:eastAsia="宋体" w:cs="宋体"/>
          <w:sz w:val="28"/>
          <w:szCs w:val="28"/>
          <w:lang w:val="en-US" w:eastAsia="zh-CN"/>
        </w:rPr>
        <w:tab/>
      </w:r>
      <w:r>
        <w:rPr>
          <w:rFonts w:hint="eastAsia" w:ascii="宋体" w:hAnsi="宋体" w:eastAsia="宋体" w:cs="宋体"/>
          <w:b/>
          <w:bCs/>
          <w:sz w:val="28"/>
          <w:szCs w:val="28"/>
          <w:u w:val="single"/>
          <w:lang w:val="en-US" w:eastAsia="zh-CN"/>
        </w:rPr>
        <w:t>投标人应在投标人须知资料表中规定的截止时间前，将投标文件递交到招标公告中规定的地点。解密时间30分钟，逾期未解密的视为投标无效。</w:t>
      </w:r>
      <w:bookmarkStart w:id="99" w:name="_Toc520356162"/>
      <w:bookmarkStart w:id="100" w:name="_Toc32748"/>
      <w:bookmarkStart w:id="101" w:name="_Toc518923081"/>
    </w:p>
    <w:p w14:paraId="13867646">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16.2</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采购人和采购代理机构有权按本须知的规定，延迟投标截止时间。在此情况下，采购人、采购代理机构和投标人受投标截止时间制约的所有权利和义务均应延长至新的截止时间。</w:t>
      </w:r>
    </w:p>
    <w:p w14:paraId="681C4412">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16.3   采购人和采购代理机构将拒绝接收在投标截止时间后上传的投标文件。</w:t>
      </w:r>
    </w:p>
    <w:p w14:paraId="59828653">
      <w:pPr>
        <w:pStyle w:val="4"/>
        <w:tabs>
          <w:tab w:val="left" w:pos="4830"/>
        </w:tabs>
        <w:spacing w:before="0" w:after="0" w:line="240" w:lineRule="atLeast"/>
        <w:ind w:left="1120" w:hanging="1124" w:hangingChars="400"/>
        <w:rPr>
          <w:rFonts w:hint="eastAsia" w:ascii="宋体" w:hAnsi="宋体" w:eastAsia="宋体" w:cs="宋体"/>
          <w:sz w:val="28"/>
          <w:szCs w:val="28"/>
          <w:u w:val="none"/>
        </w:rPr>
      </w:pPr>
      <w:bookmarkStart w:id="102" w:name="_Toc29331"/>
      <w:r>
        <w:rPr>
          <w:rFonts w:hint="eastAsia" w:ascii="宋体" w:hAnsi="宋体" w:eastAsia="宋体" w:cs="宋体"/>
          <w:sz w:val="28"/>
          <w:szCs w:val="28"/>
          <w:u w:val="none"/>
        </w:rPr>
        <w:t>17.投标文件的接收、修改与撤回</w:t>
      </w:r>
      <w:bookmarkEnd w:id="99"/>
      <w:bookmarkEnd w:id="100"/>
      <w:bookmarkEnd w:id="101"/>
      <w:bookmarkEnd w:id="102"/>
    </w:p>
    <w:p w14:paraId="5C0B2566">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在投标截止时间后上传投标文件的，采购人和采购代理机构将</w:t>
      </w:r>
      <w:r>
        <w:rPr>
          <w:rFonts w:hint="eastAsia" w:ascii="宋体" w:hAnsi="宋体" w:eastAsia="宋体" w:cs="宋体"/>
          <w:b/>
          <w:bCs/>
          <w:sz w:val="28"/>
          <w:szCs w:val="28"/>
          <w:lang w:val="en-US" w:eastAsia="zh-CN"/>
        </w:rPr>
        <w:t>拒绝接收</w:t>
      </w:r>
      <w:r>
        <w:rPr>
          <w:rFonts w:hint="eastAsia" w:ascii="宋体" w:hAnsi="宋体" w:eastAsia="宋体" w:cs="宋体"/>
          <w:sz w:val="28"/>
          <w:szCs w:val="28"/>
          <w:lang w:val="en-US" w:eastAsia="zh-CN"/>
        </w:rPr>
        <w:t>。</w:t>
      </w:r>
    </w:p>
    <w:p w14:paraId="5C600777">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采购人或者采购代理机构收到投标文件后，应当如实记载投标文件的送达时间和密封情况。</w:t>
      </w:r>
    </w:p>
    <w:p w14:paraId="01C25D07">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17.3</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递交投标文件以后，如果投标人要进行修改或撤回投标，须提出书面申请并在投标截止时间前上传至</w:t>
      </w:r>
      <w:r>
        <w:rPr>
          <w:rFonts w:hint="eastAsia" w:ascii="宋体" w:hAnsi="宋体" w:eastAsia="宋体" w:cs="宋体"/>
          <w:b/>
          <w:bCs/>
          <w:sz w:val="28"/>
          <w:szCs w:val="28"/>
          <w:lang w:val="en-US" w:eastAsia="zh-CN"/>
        </w:rPr>
        <w:t>新疆政采云平台https：//www.zcygov.cn</w:t>
      </w:r>
      <w:r>
        <w:rPr>
          <w:rFonts w:hint="eastAsia" w:ascii="宋体" w:hAnsi="宋体" w:eastAsia="宋体" w:cs="宋体"/>
          <w:sz w:val="28"/>
          <w:szCs w:val="28"/>
          <w:lang w:val="en-US" w:eastAsia="zh-CN"/>
        </w:rPr>
        <w:t>，投标人对投标文件的修改或撤回通知应按本须知规定编制、密封、标记。采购人和采购代理机构将予以接收，并视为投标文件的组成部分。</w:t>
      </w:r>
    </w:p>
    <w:p w14:paraId="62B3ABBB">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17.4</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在投标截止期之后，采购人和采购代理机构不接受投标人主动对其投标文件做任何修改。</w:t>
      </w:r>
    </w:p>
    <w:p w14:paraId="4D5EDA31">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17.5</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采购人和采购代理机构对所接收投标文件概不退回。</w:t>
      </w:r>
    </w:p>
    <w:p w14:paraId="7F710B7F">
      <w:pPr>
        <w:pStyle w:val="3"/>
        <w:spacing w:before="0" w:line="240" w:lineRule="atLeast"/>
        <w:ind w:left="1080" w:leftChars="257" w:hanging="540"/>
        <w:rPr>
          <w:rFonts w:hint="eastAsia" w:ascii="宋体" w:hAnsi="宋体" w:eastAsia="宋体" w:cs="宋体"/>
          <w:sz w:val="28"/>
          <w:szCs w:val="28"/>
        </w:rPr>
      </w:pPr>
      <w:bookmarkStart w:id="103" w:name="_Toc13557"/>
      <w:bookmarkStart w:id="104" w:name="_Toc520356163"/>
      <w:bookmarkStart w:id="105" w:name="_Toc216582809"/>
      <w:bookmarkStart w:id="106" w:name="_Toc518923082"/>
    </w:p>
    <w:p w14:paraId="16E0A808">
      <w:pPr>
        <w:pStyle w:val="3"/>
        <w:spacing w:before="0" w:line="240" w:lineRule="atLeast"/>
        <w:ind w:left="1080" w:leftChars="257" w:hanging="540"/>
        <w:rPr>
          <w:rFonts w:hint="eastAsia" w:ascii="宋体" w:hAnsi="宋体" w:eastAsia="宋体" w:cs="宋体"/>
          <w:sz w:val="28"/>
          <w:szCs w:val="28"/>
        </w:rPr>
      </w:pPr>
      <w:bookmarkStart w:id="107" w:name="_Toc27150"/>
      <w:r>
        <w:rPr>
          <w:rFonts w:hint="eastAsia" w:ascii="宋体" w:hAnsi="宋体" w:eastAsia="宋体" w:cs="宋体"/>
          <w:sz w:val="28"/>
          <w:szCs w:val="28"/>
        </w:rPr>
        <w:t>五   开标及评标</w:t>
      </w:r>
      <w:bookmarkEnd w:id="103"/>
      <w:bookmarkEnd w:id="104"/>
      <w:bookmarkEnd w:id="105"/>
      <w:bookmarkEnd w:id="106"/>
      <w:bookmarkEnd w:id="107"/>
    </w:p>
    <w:p w14:paraId="2E0EDAEA">
      <w:pPr>
        <w:pStyle w:val="5"/>
        <w:rPr>
          <w:rFonts w:hint="eastAsia" w:ascii="宋体" w:hAnsi="宋体" w:eastAsia="宋体" w:cs="宋体"/>
          <w:sz w:val="28"/>
          <w:szCs w:val="28"/>
        </w:rPr>
      </w:pPr>
    </w:p>
    <w:p w14:paraId="320FD3DD">
      <w:pPr>
        <w:pStyle w:val="4"/>
        <w:spacing w:before="0" w:after="0" w:line="240" w:lineRule="atLeast"/>
        <w:rPr>
          <w:rFonts w:hint="eastAsia" w:ascii="宋体" w:hAnsi="宋体" w:eastAsia="宋体" w:cs="宋体"/>
          <w:sz w:val="28"/>
          <w:szCs w:val="28"/>
          <w:u w:val="none"/>
        </w:rPr>
      </w:pPr>
      <w:bookmarkStart w:id="108" w:name="_Toc29188"/>
      <w:bookmarkStart w:id="109" w:name="_Toc518923083"/>
      <w:bookmarkStart w:id="110" w:name="_Toc520356164"/>
      <w:r>
        <w:rPr>
          <w:rFonts w:hint="eastAsia" w:ascii="宋体" w:hAnsi="宋体" w:eastAsia="宋体" w:cs="宋体"/>
          <w:sz w:val="28"/>
          <w:szCs w:val="28"/>
          <w:u w:val="none"/>
        </w:rPr>
        <w:t>18.开标</w:t>
      </w:r>
      <w:bookmarkEnd w:id="108"/>
      <w:bookmarkEnd w:id="109"/>
      <w:bookmarkEnd w:id="110"/>
    </w:p>
    <w:p w14:paraId="53E5CAF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18.1</w:t>
      </w:r>
      <w:r>
        <w:rPr>
          <w:rFonts w:hint="eastAsia" w:ascii="宋体" w:hAnsi="宋体" w:eastAsia="宋体" w:cs="宋体"/>
          <w:sz w:val="28"/>
          <w:szCs w:val="28"/>
        </w:rPr>
        <w:tab/>
      </w:r>
      <w:r>
        <w:rPr>
          <w:rFonts w:hint="eastAsia" w:ascii="宋体" w:hAnsi="宋体" w:eastAsia="宋体" w:cs="宋体"/>
          <w:sz w:val="28"/>
          <w:szCs w:val="28"/>
        </w:rPr>
        <w:t>采购人和采购代理机构将按</w:t>
      </w:r>
      <w:r>
        <w:rPr>
          <w:rFonts w:hint="eastAsia" w:ascii="宋体" w:hAnsi="宋体" w:eastAsia="宋体" w:cs="宋体"/>
          <w:sz w:val="28"/>
          <w:szCs w:val="28"/>
          <w:u w:val="single"/>
        </w:rPr>
        <w:t>投标人须知资料表</w:t>
      </w:r>
      <w:r>
        <w:rPr>
          <w:rFonts w:hint="eastAsia" w:ascii="宋体" w:hAnsi="宋体" w:eastAsia="宋体" w:cs="宋体"/>
          <w:sz w:val="28"/>
          <w:szCs w:val="28"/>
        </w:rPr>
        <w:t xml:space="preserve">中规定的开标时间和地点组织公开开标并邀请所有投标人代表参加。  </w:t>
      </w:r>
    </w:p>
    <w:p w14:paraId="3A22596F">
      <w:pPr>
        <w:spacing w:line="240" w:lineRule="atLeast"/>
        <w:ind w:firstLine="1120" w:firstLineChars="400"/>
        <w:rPr>
          <w:rFonts w:hint="eastAsia" w:ascii="宋体" w:hAnsi="宋体" w:eastAsia="宋体" w:cs="宋体"/>
          <w:sz w:val="28"/>
          <w:szCs w:val="28"/>
        </w:rPr>
      </w:pPr>
      <w:r>
        <w:rPr>
          <w:rFonts w:hint="eastAsia" w:ascii="宋体" w:hAnsi="宋体" w:eastAsia="宋体" w:cs="宋体"/>
          <w:sz w:val="28"/>
          <w:szCs w:val="28"/>
        </w:rPr>
        <w:t>投标人不足3家的，不得开标。</w:t>
      </w:r>
    </w:p>
    <w:p w14:paraId="40A72F94">
      <w:pPr>
        <w:spacing w:line="240" w:lineRule="atLeast"/>
        <w:ind w:left="1050" w:hanging="1050" w:hangingChars="375"/>
        <w:rPr>
          <w:rFonts w:hint="eastAsia" w:ascii="宋体" w:hAnsi="宋体" w:eastAsia="宋体" w:cs="宋体"/>
          <w:b/>
          <w:bCs/>
          <w:sz w:val="28"/>
          <w:szCs w:val="28"/>
          <w:u w:val="single"/>
          <w:lang w:val="en-US" w:eastAsia="zh-CN"/>
        </w:rPr>
      </w:pPr>
      <w:bookmarkStart w:id="111" w:name="_Toc520356165"/>
      <w:r>
        <w:rPr>
          <w:rFonts w:hint="eastAsia" w:ascii="宋体" w:hAnsi="宋体" w:eastAsia="宋体" w:cs="宋体"/>
          <w:sz w:val="28"/>
          <w:szCs w:val="28"/>
          <w:lang w:val="en-US" w:eastAsia="zh-CN"/>
        </w:rPr>
        <w:t xml:space="preserve">18.2    </w:t>
      </w:r>
      <w:r>
        <w:rPr>
          <w:rFonts w:hint="eastAsia" w:ascii="宋体" w:hAnsi="宋体" w:eastAsia="宋体" w:cs="宋体"/>
          <w:b/>
          <w:bCs/>
          <w:sz w:val="28"/>
          <w:szCs w:val="28"/>
          <w:u w:val="single"/>
          <w:lang w:val="en-US" w:eastAsia="zh-CN"/>
        </w:rPr>
        <w:t>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采购文件，其投标文件将被拒绝评审。未按规定时间在采购文件要求的开评标系统解密成功的电子投标文件无效。</w:t>
      </w:r>
    </w:p>
    <w:p w14:paraId="12C51FDB">
      <w:pPr>
        <w:spacing w:line="240" w:lineRule="atLeast"/>
        <w:ind w:left="1050" w:hanging="1050" w:hangingChars="375"/>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 xml:space="preserve">18.3    </w:t>
      </w:r>
      <w:r>
        <w:rPr>
          <w:rFonts w:hint="eastAsia" w:ascii="宋体" w:hAnsi="宋体" w:eastAsia="宋体" w:cs="宋体"/>
          <w:b/>
          <w:bCs/>
          <w:sz w:val="28"/>
          <w:szCs w:val="28"/>
          <w:u w:val="single"/>
          <w:lang w:val="en-US" w:eastAsia="zh-CN"/>
        </w:rPr>
        <w:t>投标人在规定时间内对投标文件进行解密 ，时长为 30 分钟。</w:t>
      </w:r>
    </w:p>
    <w:p w14:paraId="2950D50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lang w:val="en-US" w:eastAsia="zh-CN"/>
        </w:rPr>
        <w:t xml:space="preserve">18.4    </w:t>
      </w:r>
      <w:r>
        <w:rPr>
          <w:rFonts w:hint="eastAsia" w:ascii="宋体" w:hAnsi="宋体" w:eastAsia="宋体" w:cs="宋体"/>
          <w:b/>
          <w:bCs/>
          <w:sz w:val="28"/>
          <w:szCs w:val="28"/>
          <w:u w:val="single"/>
          <w:lang w:val="en-US" w:eastAsia="zh-CN"/>
        </w:rPr>
        <w:t>由采购代理机构开启开标记录，须投标人在政采云平台对报价进行签字确认</w:t>
      </w:r>
      <w:r>
        <w:rPr>
          <w:rFonts w:hint="eastAsia" w:ascii="宋体" w:hAnsi="宋体" w:eastAsia="宋体" w:cs="宋体"/>
          <w:sz w:val="28"/>
          <w:szCs w:val="28"/>
          <w:u w:val="single"/>
          <w:lang w:val="en-US" w:eastAsia="zh-CN"/>
        </w:rPr>
        <w:t>。</w:t>
      </w:r>
    </w:p>
    <w:p w14:paraId="65E6913B">
      <w:pPr>
        <w:pStyle w:val="4"/>
        <w:spacing w:before="0" w:after="0" w:line="240" w:lineRule="atLeast"/>
        <w:rPr>
          <w:rFonts w:hint="eastAsia" w:ascii="宋体" w:hAnsi="宋体" w:eastAsia="宋体" w:cs="宋体"/>
          <w:sz w:val="28"/>
          <w:szCs w:val="28"/>
          <w:u w:val="none"/>
        </w:rPr>
      </w:pPr>
      <w:bookmarkStart w:id="112" w:name="_Toc7968"/>
      <w:bookmarkStart w:id="113" w:name="_Toc1457"/>
      <w:bookmarkStart w:id="114" w:name="_Toc518923084"/>
      <w:r>
        <w:rPr>
          <w:rFonts w:hint="eastAsia" w:ascii="宋体" w:hAnsi="宋体" w:eastAsia="宋体" w:cs="宋体"/>
          <w:sz w:val="28"/>
          <w:szCs w:val="28"/>
          <w:u w:val="none"/>
        </w:rPr>
        <w:t>19</w:t>
      </w:r>
      <w:bookmarkEnd w:id="111"/>
      <w:r>
        <w:rPr>
          <w:rFonts w:hint="eastAsia" w:ascii="宋体" w:hAnsi="宋体" w:eastAsia="宋体" w:cs="宋体"/>
          <w:sz w:val="28"/>
          <w:szCs w:val="28"/>
          <w:u w:val="none"/>
        </w:rPr>
        <w:t>.资格审查及组建评标委员会</w:t>
      </w:r>
      <w:bookmarkEnd w:id="112"/>
      <w:bookmarkEnd w:id="113"/>
      <w:bookmarkEnd w:id="114"/>
    </w:p>
    <w:p w14:paraId="33B2886E">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 xml:space="preserve">19.1    </w:t>
      </w:r>
      <w:r>
        <w:rPr>
          <w:rFonts w:hint="eastAsia" w:ascii="宋体" w:hAnsi="宋体" w:eastAsia="宋体" w:cs="宋体"/>
          <w:sz w:val="28"/>
          <w:szCs w:val="28"/>
          <w:lang w:eastAsia="zh-CN"/>
        </w:rPr>
        <w:t>采购人或采购代理机构</w:t>
      </w:r>
      <w:r>
        <w:rPr>
          <w:rFonts w:hint="eastAsia" w:ascii="宋体" w:hAnsi="宋体" w:eastAsia="宋体" w:cs="宋体"/>
          <w:sz w:val="28"/>
          <w:szCs w:val="28"/>
        </w:rPr>
        <w:t>依据法律法规和</w:t>
      </w:r>
      <w:r>
        <w:rPr>
          <w:rFonts w:hint="eastAsia" w:ascii="宋体" w:hAnsi="宋体" w:eastAsia="宋体" w:cs="宋体"/>
          <w:sz w:val="28"/>
          <w:szCs w:val="28"/>
          <w:lang w:eastAsia="zh-CN"/>
        </w:rPr>
        <w:t>采购文件</w:t>
      </w:r>
      <w:r>
        <w:rPr>
          <w:rFonts w:hint="eastAsia" w:ascii="宋体" w:hAnsi="宋体" w:eastAsia="宋体" w:cs="宋体"/>
          <w:sz w:val="28"/>
          <w:szCs w:val="28"/>
        </w:rPr>
        <w:t>中规定的内容，对投标人的资格进行审查。未按要求提供资格审查资料的投标人或其中一项未通过的投标人，将视为资格审查不合格，未能通过资格审查的投标人不进入下一阶段的评审，将被认定为</w:t>
      </w:r>
      <w:r>
        <w:rPr>
          <w:rFonts w:hint="eastAsia" w:ascii="宋体" w:hAnsi="宋体" w:eastAsia="宋体" w:cs="宋体"/>
          <w:b/>
          <w:bCs/>
          <w:sz w:val="28"/>
          <w:szCs w:val="28"/>
        </w:rPr>
        <w:t>无效投标</w:t>
      </w:r>
      <w:r>
        <w:rPr>
          <w:rFonts w:hint="eastAsia" w:ascii="宋体" w:hAnsi="宋体" w:eastAsia="宋体" w:cs="宋体"/>
          <w:sz w:val="28"/>
          <w:szCs w:val="28"/>
        </w:rPr>
        <w:t>。</w:t>
      </w:r>
    </w:p>
    <w:p w14:paraId="0DDDD366">
      <w:pPr>
        <w:spacing w:line="240" w:lineRule="atLeast"/>
        <w:ind w:left="1117" w:leftChars="532" w:firstLine="0" w:firstLineChars="0"/>
        <w:rPr>
          <w:rFonts w:hint="eastAsia" w:ascii="宋体" w:hAnsi="宋体" w:eastAsia="宋体" w:cs="宋体"/>
          <w:sz w:val="28"/>
          <w:szCs w:val="28"/>
        </w:rPr>
      </w:pPr>
      <w:r>
        <w:rPr>
          <w:rFonts w:hint="eastAsia" w:ascii="宋体" w:hAnsi="宋体" w:eastAsia="宋体" w:cs="宋体"/>
          <w:sz w:val="28"/>
          <w:szCs w:val="28"/>
        </w:rPr>
        <w:t>通过资格审查的</w:t>
      </w:r>
      <w:r>
        <w:rPr>
          <w:rFonts w:hint="eastAsia" w:ascii="宋体" w:hAnsi="宋体" w:eastAsia="宋体" w:cs="宋体"/>
          <w:sz w:val="28"/>
          <w:szCs w:val="28"/>
          <w:lang w:eastAsia="zh-CN"/>
        </w:rPr>
        <w:t>投标单位</w:t>
      </w:r>
      <w:r>
        <w:rPr>
          <w:rFonts w:hint="eastAsia" w:ascii="宋体" w:hAnsi="宋体" w:eastAsia="宋体" w:cs="宋体"/>
          <w:sz w:val="28"/>
          <w:szCs w:val="28"/>
        </w:rPr>
        <w:t>少于不足三家的，不得评标。</w:t>
      </w:r>
    </w:p>
    <w:p w14:paraId="1C48E5F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19.2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投标人存在不良信用记录的，其投标将被认定为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70E83499">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19.2.1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不良信用记录指：投标人参加采购活动前三年内，被“信用中国”网站列入失信被执行人和</w:t>
      </w:r>
      <w:r>
        <w:rPr>
          <w:rFonts w:hint="eastAsia" w:ascii="宋体" w:hAnsi="宋体" w:eastAsia="宋体" w:cs="宋体"/>
          <w:sz w:val="28"/>
          <w:szCs w:val="28"/>
          <w:lang w:val="en-US" w:eastAsia="zh-CN"/>
        </w:rPr>
        <w:t>重大税收违法失信主体</w:t>
      </w:r>
      <w:r>
        <w:rPr>
          <w:rFonts w:hint="eastAsia" w:ascii="宋体" w:hAnsi="宋体" w:eastAsia="宋体" w:cs="宋体"/>
          <w:sz w:val="28"/>
          <w:szCs w:val="28"/>
        </w:rPr>
        <w:t>的、被“中国政府采购网”网站列入政府采购严重违法失信行为记录名单（处罚期限尚未届满的）的投标人；以及存在《中华人民共和国政府采购法实施条例》第十九条规定的行政处罚记录。</w:t>
      </w:r>
    </w:p>
    <w:p w14:paraId="3CC1BD20">
      <w:pPr>
        <w:spacing w:line="240" w:lineRule="atLeast"/>
        <w:ind w:left="1130" w:leftChars="538" w:firstLine="0" w:firstLineChars="0"/>
        <w:jc w:val="left"/>
        <w:rPr>
          <w:rFonts w:hint="eastAsia" w:ascii="宋体" w:hAnsi="宋体" w:eastAsia="宋体" w:cs="宋体"/>
          <w:color w:val="auto"/>
          <w:sz w:val="28"/>
          <w:szCs w:val="28"/>
        </w:rPr>
      </w:pPr>
      <w:r>
        <w:rPr>
          <w:rFonts w:hint="eastAsia" w:ascii="宋体" w:hAnsi="宋体" w:eastAsia="宋体" w:cs="宋体"/>
          <w:sz w:val="28"/>
          <w:szCs w:val="28"/>
        </w:rPr>
        <w:t>以联合体形式参加投标的，联合体任何成员存在以上不良信用记录</w:t>
      </w:r>
      <w:r>
        <w:rPr>
          <w:rFonts w:hint="eastAsia" w:ascii="宋体" w:hAnsi="宋体" w:eastAsia="宋体" w:cs="宋体"/>
          <w:color w:val="auto"/>
          <w:sz w:val="28"/>
          <w:szCs w:val="28"/>
        </w:rPr>
        <w:t>的，联合体投标将被认定为</w:t>
      </w:r>
      <w:r>
        <w:rPr>
          <w:rFonts w:hint="eastAsia" w:ascii="宋体" w:hAnsi="宋体" w:eastAsia="宋体" w:cs="宋体"/>
          <w:b/>
          <w:color w:val="auto"/>
          <w:sz w:val="28"/>
          <w:szCs w:val="28"/>
        </w:rPr>
        <w:t>投标无效</w:t>
      </w:r>
      <w:r>
        <w:rPr>
          <w:rFonts w:hint="eastAsia" w:ascii="宋体" w:hAnsi="宋体" w:eastAsia="宋体" w:cs="宋体"/>
          <w:color w:val="auto"/>
          <w:sz w:val="28"/>
          <w:szCs w:val="28"/>
        </w:rPr>
        <w:t>。</w:t>
      </w:r>
    </w:p>
    <w:p w14:paraId="119C5C2E">
      <w:pPr>
        <w:pStyle w:val="5"/>
        <w:ind w:left="1120" w:leftChars="0" w:hanging="1120" w:hangingChars="400"/>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19.2.2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查询及记录方式：采购人或采购代理机构经办人将查询网页打印、签字并存档备查。投标人不良信用记录以采购人或采购代理机构查询结果为准。</w:t>
      </w:r>
    </w:p>
    <w:p w14:paraId="6DB13BE0">
      <w:pPr>
        <w:pStyle w:val="6"/>
        <w:ind w:left="1117" w:leftChars="532" w:firstLine="0" w:firstLineChars="0"/>
        <w:rPr>
          <w:rFonts w:hint="eastAsia"/>
          <w:color w:val="auto"/>
        </w:rPr>
      </w:pPr>
      <w:r>
        <w:rPr>
          <w:rFonts w:hint="eastAsia" w:ascii="宋体" w:hAnsi="宋体" w:eastAsia="宋体" w:cs="宋体"/>
          <w:color w:val="auto"/>
          <w:kern w:val="0"/>
          <w:sz w:val="28"/>
          <w:szCs w:val="28"/>
          <w:lang w:val="en-US" w:eastAsia="zh-CN" w:bidi="ar-SA"/>
        </w:rPr>
        <w:t>在本采购文件规定的查询时间之后，网站信息发生的任何变更均不再作为评标依据。</w:t>
      </w:r>
    </w:p>
    <w:p w14:paraId="158ECC6B">
      <w:pPr>
        <w:spacing w:line="240" w:lineRule="atLeast"/>
        <w:ind w:left="991" w:hanging="991" w:hangingChars="354"/>
        <w:rPr>
          <w:rFonts w:hint="eastAsia" w:ascii="宋体" w:hAnsi="宋体" w:eastAsia="宋体" w:cs="宋体"/>
          <w:b/>
          <w:bCs/>
          <w:color w:val="auto"/>
          <w:sz w:val="28"/>
          <w:szCs w:val="28"/>
          <w:u w:val="single"/>
        </w:rPr>
      </w:pPr>
      <w:r>
        <w:rPr>
          <w:rFonts w:hint="eastAsia" w:ascii="宋体" w:hAnsi="宋体" w:eastAsia="宋体" w:cs="宋体"/>
          <w:color w:val="auto"/>
          <w:sz w:val="28"/>
          <w:szCs w:val="28"/>
        </w:rPr>
        <w:t>19.3   按照《中华人民共和国政府采购法》、《中华人民共和国政府采购法实施条例》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中华人民共和国财政部令第87号《政府采购货物和服务招标投标管理办法》及本项目本级和上级财政部门的有关规定依法组建的评标委员会，负责本项目评标工作。</w:t>
      </w:r>
      <w:bookmarkStart w:id="115" w:name="_Toc520356166"/>
      <w:r>
        <w:rPr>
          <w:rFonts w:hint="eastAsia" w:ascii="宋体" w:hAnsi="宋体" w:eastAsia="宋体" w:cs="宋体"/>
          <w:b/>
          <w:bCs/>
          <w:color w:val="auto"/>
          <w:sz w:val="28"/>
          <w:szCs w:val="28"/>
        </w:rPr>
        <w:t>本项目评标委员会由5人组成（依法从政采云平台专家库随机抽取专家</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名）。</w:t>
      </w:r>
    </w:p>
    <w:p w14:paraId="0AA6F80B">
      <w:pPr>
        <w:pStyle w:val="4"/>
        <w:spacing w:before="0" w:after="0" w:line="240" w:lineRule="atLeast"/>
        <w:rPr>
          <w:rFonts w:hint="eastAsia" w:ascii="宋体" w:hAnsi="宋体" w:eastAsia="宋体" w:cs="宋体"/>
          <w:b w:val="0"/>
          <w:bCs/>
          <w:sz w:val="28"/>
          <w:szCs w:val="28"/>
          <w:bdr w:val="single" w:color="auto" w:sz="4" w:space="0"/>
        </w:rPr>
      </w:pPr>
      <w:bookmarkStart w:id="116" w:name="_Toc22595"/>
      <w:bookmarkStart w:id="117" w:name="_Toc30370"/>
      <w:bookmarkStart w:id="118" w:name="_Toc518923085"/>
      <w:r>
        <w:rPr>
          <w:rFonts w:hint="eastAsia" w:ascii="宋体" w:hAnsi="宋体" w:eastAsia="宋体" w:cs="宋体"/>
          <w:sz w:val="28"/>
          <w:szCs w:val="28"/>
          <w:u w:val="none"/>
        </w:rPr>
        <w:t>20.投标文件的</w:t>
      </w:r>
      <w:bookmarkEnd w:id="115"/>
      <w:r>
        <w:rPr>
          <w:rFonts w:hint="eastAsia" w:ascii="宋体" w:hAnsi="宋体" w:eastAsia="宋体" w:cs="宋体"/>
          <w:sz w:val="28"/>
          <w:szCs w:val="28"/>
          <w:u w:val="none"/>
        </w:rPr>
        <w:t>符合性审查与澄清</w:t>
      </w:r>
      <w:bookmarkEnd w:id="116"/>
      <w:bookmarkEnd w:id="117"/>
      <w:bookmarkEnd w:id="118"/>
    </w:p>
    <w:p w14:paraId="2AE67BB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20.1   符合性审查是指依据</w:t>
      </w:r>
      <w:r>
        <w:rPr>
          <w:rFonts w:hint="eastAsia" w:ascii="宋体" w:hAnsi="宋体" w:eastAsia="宋体" w:cs="宋体"/>
          <w:sz w:val="28"/>
          <w:szCs w:val="28"/>
          <w:lang w:eastAsia="zh-CN"/>
        </w:rPr>
        <w:t>采购文件</w:t>
      </w:r>
      <w:r>
        <w:rPr>
          <w:rFonts w:hint="eastAsia" w:ascii="宋体" w:hAnsi="宋体" w:eastAsia="宋体" w:cs="宋体"/>
          <w:sz w:val="28"/>
          <w:szCs w:val="28"/>
        </w:rPr>
        <w:t>的规定，从投标文件的有效性和完整性对</w:t>
      </w:r>
      <w:r>
        <w:rPr>
          <w:rFonts w:hint="eastAsia" w:ascii="宋体" w:hAnsi="宋体" w:eastAsia="宋体" w:cs="宋体"/>
          <w:sz w:val="28"/>
          <w:szCs w:val="28"/>
          <w:lang w:eastAsia="zh-CN"/>
        </w:rPr>
        <w:t>采购文件</w:t>
      </w:r>
      <w:r>
        <w:rPr>
          <w:rFonts w:hint="eastAsia" w:ascii="宋体" w:hAnsi="宋体" w:eastAsia="宋体" w:cs="宋体"/>
          <w:sz w:val="28"/>
          <w:szCs w:val="28"/>
        </w:rPr>
        <w:t>的响应程度进行审查，以确定是否对</w:t>
      </w:r>
      <w:r>
        <w:rPr>
          <w:rFonts w:hint="eastAsia" w:ascii="宋体" w:hAnsi="宋体" w:eastAsia="宋体" w:cs="宋体"/>
          <w:sz w:val="28"/>
          <w:szCs w:val="28"/>
          <w:lang w:eastAsia="zh-CN"/>
        </w:rPr>
        <w:t>采购文件</w:t>
      </w:r>
      <w:r>
        <w:rPr>
          <w:rFonts w:hint="eastAsia" w:ascii="宋体" w:hAnsi="宋体" w:eastAsia="宋体" w:cs="宋体"/>
          <w:sz w:val="28"/>
          <w:szCs w:val="28"/>
        </w:rPr>
        <w:t>的实质性要求做出响应。</w:t>
      </w:r>
      <w:bookmarkStart w:id="119" w:name="_Hlt522424701"/>
      <w:bookmarkEnd w:id="119"/>
      <w:bookmarkStart w:id="120" w:name="_Toc520356167"/>
    </w:p>
    <w:p w14:paraId="3F8D203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rPr>
        <w:tab/>
      </w:r>
      <w:r>
        <w:rPr>
          <w:rFonts w:hint="eastAsia" w:ascii="宋体" w:hAnsi="宋体" w:eastAsia="宋体" w:cs="宋体"/>
          <w:sz w:val="28"/>
          <w:szCs w:val="28"/>
        </w:rPr>
        <w:t>投标文件的澄清</w:t>
      </w:r>
    </w:p>
    <w:p w14:paraId="2F42EBA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20.2.1  在评审期间，</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将以书面方式要求</w:t>
      </w:r>
      <w:r>
        <w:rPr>
          <w:rFonts w:hint="eastAsia" w:ascii="宋体" w:hAnsi="宋体" w:eastAsia="宋体" w:cs="宋体"/>
          <w:sz w:val="28"/>
          <w:szCs w:val="28"/>
          <w:lang w:eastAsia="zh-CN"/>
        </w:rPr>
        <w:t>投标人</w:t>
      </w:r>
      <w:r>
        <w:rPr>
          <w:rFonts w:hint="eastAsia" w:ascii="宋体" w:hAnsi="宋体" w:eastAsia="宋体" w:cs="宋体"/>
          <w:sz w:val="28"/>
          <w:szCs w:val="28"/>
        </w:rPr>
        <w:t>对其</w:t>
      </w:r>
      <w:r>
        <w:rPr>
          <w:rFonts w:hint="eastAsia" w:ascii="宋体" w:hAnsi="宋体" w:eastAsia="宋体" w:cs="宋体"/>
          <w:sz w:val="28"/>
          <w:szCs w:val="28"/>
          <w:lang w:eastAsia="zh-CN"/>
        </w:rPr>
        <w:t>投标</w:t>
      </w:r>
      <w:r>
        <w:rPr>
          <w:rFonts w:hint="eastAsia" w:ascii="宋体" w:hAnsi="宋体" w:eastAsia="宋体" w:cs="宋体"/>
          <w:sz w:val="28"/>
          <w:szCs w:val="28"/>
        </w:rPr>
        <w:t>文件中含义不明确、对同类问题表述不一致或者有明显文字和计算错误的内容，以及</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认为</w:t>
      </w:r>
      <w:r>
        <w:rPr>
          <w:rFonts w:hint="eastAsia" w:ascii="宋体" w:hAnsi="宋体" w:eastAsia="宋体" w:cs="宋体"/>
          <w:sz w:val="28"/>
          <w:szCs w:val="28"/>
          <w:lang w:eastAsia="zh-CN"/>
        </w:rPr>
        <w:t>投标人</w:t>
      </w:r>
      <w:r>
        <w:rPr>
          <w:rFonts w:hint="eastAsia" w:ascii="宋体" w:hAnsi="宋体" w:eastAsia="宋体" w:cs="宋体"/>
          <w:sz w:val="28"/>
          <w:szCs w:val="28"/>
        </w:rPr>
        <w:t>的报价明显低于其他通过符合性检查</w:t>
      </w:r>
      <w:r>
        <w:rPr>
          <w:rFonts w:hint="eastAsia" w:ascii="宋体" w:hAnsi="宋体" w:eastAsia="宋体" w:cs="宋体"/>
          <w:sz w:val="28"/>
          <w:szCs w:val="28"/>
          <w:lang w:eastAsia="zh-CN"/>
        </w:rPr>
        <w:t>投标人</w:t>
      </w:r>
      <w:r>
        <w:rPr>
          <w:rFonts w:hint="eastAsia" w:ascii="宋体" w:hAnsi="宋体" w:eastAsia="宋体" w:cs="宋体"/>
          <w:sz w:val="28"/>
          <w:szCs w:val="28"/>
        </w:rPr>
        <w:t>的报价，有可能影响履约的情况作必要的澄清、说明或补正。</w:t>
      </w:r>
      <w:r>
        <w:rPr>
          <w:rFonts w:hint="eastAsia" w:ascii="宋体" w:hAnsi="宋体" w:eastAsia="宋体" w:cs="宋体"/>
          <w:sz w:val="28"/>
          <w:szCs w:val="28"/>
          <w:lang w:eastAsia="zh-CN"/>
        </w:rPr>
        <w:t>投标人</w:t>
      </w:r>
      <w:r>
        <w:rPr>
          <w:rFonts w:hint="eastAsia" w:ascii="宋体" w:hAnsi="宋体" w:eastAsia="宋体" w:cs="宋体"/>
          <w:sz w:val="28"/>
          <w:szCs w:val="28"/>
        </w:rPr>
        <w:t>澄清、说明或补正。应在</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规定的时间内以书面方式进行，并不得超出</w:t>
      </w:r>
      <w:r>
        <w:rPr>
          <w:rFonts w:hint="eastAsia" w:ascii="宋体" w:hAnsi="宋体" w:eastAsia="宋体" w:cs="宋体"/>
          <w:sz w:val="28"/>
          <w:szCs w:val="28"/>
          <w:lang w:eastAsia="zh-CN"/>
        </w:rPr>
        <w:t>投标</w:t>
      </w:r>
      <w:r>
        <w:rPr>
          <w:rFonts w:hint="eastAsia" w:ascii="宋体" w:hAnsi="宋体" w:eastAsia="宋体" w:cs="宋体"/>
          <w:sz w:val="28"/>
          <w:szCs w:val="28"/>
        </w:rPr>
        <w:t>文件范围或者改变</w:t>
      </w:r>
      <w:r>
        <w:rPr>
          <w:rFonts w:hint="eastAsia" w:ascii="宋体" w:hAnsi="宋体" w:eastAsia="宋体" w:cs="宋体"/>
          <w:sz w:val="28"/>
          <w:szCs w:val="28"/>
          <w:lang w:eastAsia="zh-CN"/>
        </w:rPr>
        <w:t>投标文件</w:t>
      </w:r>
      <w:r>
        <w:rPr>
          <w:rFonts w:hint="eastAsia" w:ascii="宋体" w:hAnsi="宋体" w:eastAsia="宋体" w:cs="宋体"/>
          <w:sz w:val="28"/>
          <w:szCs w:val="28"/>
        </w:rPr>
        <w:t>的实质性内容。</w:t>
      </w:r>
    </w:p>
    <w:p w14:paraId="2D68410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20.2.2  投标人的澄清、说明或补正将作为投标文件的一部分。</w:t>
      </w:r>
    </w:p>
    <w:p w14:paraId="283653D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20.3   投标文件报价出现前后不一致的，按照下列规定修正：</w:t>
      </w:r>
    </w:p>
    <w:p w14:paraId="36C06DDC">
      <w:pPr>
        <w:spacing w:line="240" w:lineRule="atLeast"/>
        <w:ind w:left="1190" w:hanging="1190" w:hangingChars="425"/>
        <w:rPr>
          <w:rFonts w:hint="eastAsia" w:ascii="宋体" w:hAnsi="宋体" w:eastAsia="宋体" w:cs="宋体"/>
          <w:sz w:val="28"/>
          <w:szCs w:val="28"/>
        </w:rPr>
      </w:pPr>
      <w:r>
        <w:rPr>
          <w:rFonts w:hint="eastAsia" w:ascii="宋体" w:hAnsi="宋体" w:eastAsia="宋体" w:cs="宋体"/>
          <w:sz w:val="28"/>
          <w:szCs w:val="28"/>
        </w:rPr>
        <w:t>　　  （一）投标文件中开标一览表（报价表）内容与投标文件中相应内容不一致的，以开标一览表（报价表）为准；</w:t>
      </w:r>
    </w:p>
    <w:p w14:paraId="7188A70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（二）大写金额和小写金额不一致的，以大写金额为准；</w:t>
      </w:r>
    </w:p>
    <w:p w14:paraId="428029F5">
      <w:pPr>
        <w:spacing w:line="240" w:lineRule="atLeast"/>
        <w:ind w:left="1190" w:hanging="1190" w:hangingChars="425"/>
        <w:rPr>
          <w:rFonts w:hint="eastAsia" w:ascii="宋体" w:hAnsi="宋体" w:eastAsia="宋体" w:cs="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（三）单价金额小数点或者百分比有明显错位的，以开标一览表的</w:t>
      </w:r>
      <w:r>
        <w:rPr>
          <w:rFonts w:hint="eastAsia" w:ascii="宋体" w:hAnsi="宋体" w:eastAsia="宋体" w:cs="宋体"/>
          <w:color w:val="auto"/>
          <w:sz w:val="28"/>
          <w:szCs w:val="28"/>
          <w:lang w:eastAsia="zh-CN"/>
        </w:rPr>
        <w:t>单价</w:t>
      </w:r>
      <w:r>
        <w:rPr>
          <w:rFonts w:hint="eastAsia" w:ascii="宋体" w:hAnsi="宋体" w:eastAsia="宋体" w:cs="宋体"/>
          <w:color w:val="auto"/>
          <w:sz w:val="28"/>
          <w:szCs w:val="28"/>
        </w:rPr>
        <w:t>为准，并修改</w:t>
      </w:r>
      <w:r>
        <w:rPr>
          <w:rFonts w:hint="eastAsia" w:ascii="宋体" w:hAnsi="宋体" w:eastAsia="宋体" w:cs="宋体"/>
          <w:color w:val="auto"/>
          <w:sz w:val="28"/>
          <w:szCs w:val="28"/>
          <w:lang w:eastAsia="zh-CN"/>
        </w:rPr>
        <w:t>总价</w:t>
      </w:r>
      <w:r>
        <w:rPr>
          <w:rFonts w:hint="eastAsia" w:ascii="宋体" w:hAnsi="宋体" w:eastAsia="宋体" w:cs="宋体"/>
          <w:color w:val="auto"/>
          <w:sz w:val="28"/>
          <w:szCs w:val="28"/>
        </w:rPr>
        <w:t>；</w:t>
      </w:r>
    </w:p>
    <w:p w14:paraId="6D962038">
      <w:pPr>
        <w:spacing w:line="240" w:lineRule="atLeast"/>
        <w:ind w:left="1050" w:hanging="1050" w:hangingChars="375"/>
        <w:rPr>
          <w:rFonts w:hint="eastAsia" w:ascii="宋体" w:hAnsi="宋体" w:eastAsia="宋体" w:cs="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（四）总价金额与按单价汇总金额不一致的，以单价金额计算结果为准。</w:t>
      </w:r>
    </w:p>
    <w:p w14:paraId="61FE53C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同时出现两种以上不一致的，按照前款规定的顺序修正。修正后的报价按照第20.2条的规定经投标人确认后产生约束力，投标人不确认的，将被认定为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6B3E3706">
      <w:pPr>
        <w:spacing w:line="240" w:lineRule="atLeast"/>
        <w:ind w:left="735" w:leftChars="350" w:firstLine="140" w:firstLineChars="50"/>
        <w:rPr>
          <w:rFonts w:hint="eastAsia" w:ascii="宋体" w:hAnsi="宋体" w:eastAsia="宋体" w:cs="宋体"/>
          <w:sz w:val="28"/>
          <w:szCs w:val="28"/>
        </w:rPr>
      </w:pPr>
      <w:r>
        <w:rPr>
          <w:rFonts w:hint="eastAsia" w:ascii="宋体" w:hAnsi="宋体" w:eastAsia="宋体" w:cs="宋体"/>
          <w:sz w:val="28"/>
          <w:szCs w:val="28"/>
        </w:rPr>
        <w:t>对不同文字文本投标文件的解释发生异议的，以中文文本为准。</w:t>
      </w:r>
    </w:p>
    <w:p w14:paraId="487FEF3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   如一个分包内只有一种产品，不同投标人所投产品为同一品牌的，按如下方式处理：</w:t>
      </w:r>
    </w:p>
    <w:p w14:paraId="022F052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20.4.1 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eastAsia="宋体" w:cs="宋体"/>
          <w:sz w:val="28"/>
          <w:szCs w:val="28"/>
          <w:lang w:eastAsia="zh-CN"/>
        </w:rPr>
        <w:t>采购文件</w:t>
      </w:r>
      <w:r>
        <w:rPr>
          <w:rFonts w:hint="eastAsia" w:ascii="宋体" w:hAnsi="宋体" w:eastAsia="宋体" w:cs="宋体"/>
          <w:sz w:val="28"/>
          <w:szCs w:val="28"/>
        </w:rPr>
        <w:t>中评标办法规定的方式确定一个投标人获得中标人推荐资格；未规定的采取随机抽取方式确定，其他同品牌投标人不作为中标候选人。</w:t>
      </w:r>
    </w:p>
    <w:p w14:paraId="43E5370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eastAsia="宋体" w:cs="宋体"/>
          <w:sz w:val="28"/>
          <w:szCs w:val="28"/>
          <w:lang w:eastAsia="zh-CN"/>
        </w:rPr>
        <w:t>采购文件</w:t>
      </w:r>
      <w:r>
        <w:rPr>
          <w:rFonts w:hint="eastAsia" w:ascii="宋体" w:hAnsi="宋体" w:eastAsia="宋体" w:cs="宋体"/>
          <w:sz w:val="28"/>
          <w:szCs w:val="28"/>
        </w:rPr>
        <w:t>中评标办法规定的方式确定一个投标人获得中标人推荐资格；未规定的采取随机抽取方式确定，其他同品牌投标人不作为中标候选人。</w:t>
      </w:r>
    </w:p>
    <w:p w14:paraId="79BEF5B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20.5如一个分包内包含多种产品的，采购人或采购代理机构将在投标人须知资料表中载明核心产品，多家投标人提供的核心产品品牌相同的，按第20.4条规定处理。</w:t>
      </w:r>
    </w:p>
    <w:p w14:paraId="05FB8A6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20.6投标人所投产品如被列入财政部与国家主管部门颁发的节能产品目录或环境标志产品目录或无线局域网产品目录，应提供相关证明，在评标时予以优先采购，具体优先采购办法见第六章评标方法和标准。</w:t>
      </w:r>
    </w:p>
    <w:p w14:paraId="406F1796">
      <w:pPr>
        <w:pStyle w:val="4"/>
        <w:spacing w:before="0" w:after="0" w:line="240" w:lineRule="atLeast"/>
        <w:rPr>
          <w:rFonts w:hint="eastAsia" w:ascii="宋体" w:hAnsi="宋体" w:eastAsia="宋体" w:cs="宋体"/>
          <w:sz w:val="28"/>
          <w:szCs w:val="28"/>
          <w:u w:val="none"/>
        </w:rPr>
      </w:pPr>
      <w:bookmarkStart w:id="121" w:name="_Toc518923086"/>
      <w:bookmarkStart w:id="122" w:name="_Toc14928"/>
      <w:bookmarkStart w:id="123" w:name="_Toc32032"/>
      <w:r>
        <w:rPr>
          <w:rFonts w:hint="eastAsia" w:ascii="宋体" w:hAnsi="宋体" w:eastAsia="宋体" w:cs="宋体"/>
          <w:sz w:val="28"/>
          <w:szCs w:val="28"/>
          <w:u w:val="none"/>
        </w:rPr>
        <w:t>21.投标偏离</w:t>
      </w:r>
      <w:bookmarkEnd w:id="121"/>
      <w:bookmarkEnd w:id="122"/>
      <w:bookmarkEnd w:id="123"/>
    </w:p>
    <w:p w14:paraId="63601C34">
      <w:pPr>
        <w:spacing w:line="240" w:lineRule="atLeast"/>
        <w:ind w:left="955" w:leftChars="99" w:hanging="747" w:hangingChars="267"/>
        <w:rPr>
          <w:rFonts w:hint="eastAsia" w:ascii="宋体" w:hAnsi="宋体" w:eastAsia="宋体" w:cs="宋体"/>
          <w:sz w:val="28"/>
          <w:szCs w:val="28"/>
        </w:rPr>
      </w:pPr>
      <w:r>
        <w:rPr>
          <w:rFonts w:hint="eastAsia" w:ascii="宋体" w:hAnsi="宋体" w:eastAsia="宋体" w:cs="宋体"/>
          <w:sz w:val="28"/>
          <w:szCs w:val="28"/>
        </w:rPr>
        <w:t xml:space="preserve">     评标委员会可以接受投标文件中不构成实质性偏离的不正规或不一致。</w:t>
      </w:r>
    </w:p>
    <w:p w14:paraId="030018A9">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24" w:name="_Toc518923087"/>
      <w:bookmarkStart w:id="125" w:name="_Toc31926"/>
      <w:bookmarkStart w:id="126" w:name="_Toc10407"/>
      <w:r>
        <w:rPr>
          <w:rFonts w:hint="eastAsia" w:ascii="宋体" w:hAnsi="宋体" w:eastAsia="宋体" w:cs="宋体"/>
          <w:sz w:val="28"/>
          <w:szCs w:val="28"/>
          <w:u w:val="none"/>
        </w:rPr>
        <w:t>22.</w:t>
      </w:r>
      <w:bookmarkEnd w:id="124"/>
      <w:r>
        <w:rPr>
          <w:rFonts w:hint="eastAsia" w:ascii="宋体" w:hAnsi="宋体" w:eastAsia="宋体" w:cs="宋体"/>
          <w:sz w:val="28"/>
          <w:szCs w:val="28"/>
          <w:u w:val="none"/>
        </w:rPr>
        <w:t>投标无效</w:t>
      </w:r>
      <w:bookmarkEnd w:id="125"/>
      <w:bookmarkEnd w:id="126"/>
    </w:p>
    <w:p w14:paraId="2B0B7B4F">
      <w:pPr>
        <w:pageBreakBefore w:val="0"/>
        <w:widowControl w:val="0"/>
        <w:kinsoku/>
        <w:wordWrap/>
        <w:overflowPunct/>
        <w:topLinePunct w:val="0"/>
        <w:bidi w:val="0"/>
        <w:snapToGrid/>
        <w:spacing w:line="240" w:lineRule="atLeast"/>
        <w:ind w:left="1002" w:leftChars="-23"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22.1   在比较与评价之前，根据本须知的规定，评标委员会要审查每份投标文件是否实质上响应了</w:t>
      </w:r>
      <w:r>
        <w:rPr>
          <w:rFonts w:hint="eastAsia" w:ascii="宋体" w:hAnsi="宋体" w:eastAsia="宋体" w:cs="宋体"/>
          <w:sz w:val="28"/>
          <w:szCs w:val="28"/>
          <w:lang w:eastAsia="zh-CN"/>
        </w:rPr>
        <w:t>采购文件</w:t>
      </w:r>
      <w:r>
        <w:rPr>
          <w:rFonts w:hint="eastAsia" w:ascii="宋体" w:hAnsi="宋体" w:eastAsia="宋体" w:cs="宋体"/>
          <w:sz w:val="28"/>
          <w:szCs w:val="28"/>
        </w:rPr>
        <w:t>的要求。实质上响应的投标应该是与</w:t>
      </w:r>
      <w:r>
        <w:rPr>
          <w:rFonts w:hint="eastAsia" w:ascii="宋体" w:hAnsi="宋体" w:eastAsia="宋体" w:cs="宋体"/>
          <w:sz w:val="28"/>
          <w:szCs w:val="28"/>
          <w:lang w:eastAsia="zh-CN"/>
        </w:rPr>
        <w:t>采购文件</w:t>
      </w:r>
      <w:r>
        <w:rPr>
          <w:rFonts w:hint="eastAsia" w:ascii="宋体" w:hAnsi="宋体" w:eastAsia="宋体" w:cs="宋体"/>
          <w:sz w:val="28"/>
          <w:szCs w:val="28"/>
        </w:rPr>
        <w:t>要求的全部条款、条件和规格相符，没有重大偏离的投标。对关键条款的偏离，将被认定为</w:t>
      </w:r>
      <w:r>
        <w:rPr>
          <w:rFonts w:hint="eastAsia" w:ascii="宋体" w:hAnsi="宋体" w:eastAsia="宋体" w:cs="宋体"/>
          <w:b/>
          <w:sz w:val="28"/>
          <w:szCs w:val="28"/>
        </w:rPr>
        <w:t>投标无效</w:t>
      </w:r>
      <w:r>
        <w:rPr>
          <w:rFonts w:hint="eastAsia" w:ascii="宋体" w:hAnsi="宋体" w:eastAsia="宋体" w:cs="宋体"/>
          <w:sz w:val="28"/>
          <w:szCs w:val="28"/>
        </w:rPr>
        <w:t>。投标人不得通过修正或撤销不符合要求的偏离从而使其投标成为实质上响应的投标。</w:t>
      </w:r>
    </w:p>
    <w:p w14:paraId="15ED63EC">
      <w:pPr>
        <w:pageBreakBefore w:val="0"/>
        <w:widowControl w:val="0"/>
        <w:kinsoku/>
        <w:wordWrap/>
        <w:overflowPunct/>
        <w:topLinePunct w:val="0"/>
        <w:bidi w:val="0"/>
        <w:snapToGrid/>
        <w:spacing w:line="240" w:lineRule="atLeast"/>
        <w:ind w:left="1069" w:leftChars="509" w:firstLine="70" w:firstLineChars="25"/>
        <w:textAlignment w:val="auto"/>
        <w:rPr>
          <w:rFonts w:hint="eastAsia" w:ascii="宋体" w:hAnsi="宋体" w:eastAsia="宋体" w:cs="宋体"/>
          <w:sz w:val="28"/>
          <w:szCs w:val="28"/>
        </w:rPr>
      </w:pPr>
      <w:r>
        <w:rPr>
          <w:rFonts w:hint="eastAsia" w:ascii="宋体" w:hAnsi="宋体" w:eastAsia="宋体" w:cs="宋体"/>
          <w:sz w:val="28"/>
          <w:szCs w:val="28"/>
        </w:rPr>
        <w:t>评标委员会决定投标的响应性只根据</w:t>
      </w:r>
      <w:r>
        <w:rPr>
          <w:rFonts w:hint="eastAsia" w:ascii="宋体" w:hAnsi="宋体" w:eastAsia="宋体" w:cs="宋体"/>
          <w:sz w:val="28"/>
          <w:szCs w:val="28"/>
          <w:lang w:eastAsia="zh-CN"/>
        </w:rPr>
        <w:t>采购文件</w:t>
      </w:r>
      <w:r>
        <w:rPr>
          <w:rFonts w:hint="eastAsia" w:ascii="宋体" w:hAnsi="宋体" w:eastAsia="宋体" w:cs="宋体"/>
          <w:sz w:val="28"/>
          <w:szCs w:val="28"/>
        </w:rPr>
        <w:t>要求、投标文件内容及财政主管部门指定相关信息发布媒体。</w:t>
      </w:r>
    </w:p>
    <w:p w14:paraId="132CC845">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22.2</w:t>
      </w:r>
      <w:r>
        <w:rPr>
          <w:rFonts w:hint="eastAsia" w:ascii="宋体" w:hAnsi="宋体" w:eastAsia="宋体" w:cs="宋体"/>
          <w:sz w:val="28"/>
          <w:szCs w:val="28"/>
        </w:rPr>
        <w:tab/>
      </w:r>
      <w:r>
        <w:rPr>
          <w:rFonts w:hint="eastAsia" w:ascii="宋体" w:hAnsi="宋体" w:eastAsia="宋体" w:cs="宋体"/>
          <w:sz w:val="28"/>
          <w:szCs w:val="28"/>
        </w:rPr>
        <w:t>如发现下列情况之一的，其投标将被认定为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r>
        <w:rPr>
          <w:rFonts w:hint="eastAsia" w:ascii="宋体" w:hAnsi="宋体" w:eastAsia="宋体" w:cs="宋体"/>
          <w:b/>
          <w:sz w:val="28"/>
          <w:szCs w:val="28"/>
        </w:rPr>
        <w:t>以下情形应当在</w:t>
      </w:r>
      <w:r>
        <w:rPr>
          <w:rFonts w:hint="eastAsia" w:ascii="宋体" w:hAnsi="宋体" w:eastAsia="宋体" w:cs="宋体"/>
          <w:b/>
          <w:sz w:val="28"/>
          <w:szCs w:val="28"/>
          <w:lang w:eastAsia="zh-CN"/>
        </w:rPr>
        <w:t>采购文件</w:t>
      </w:r>
      <w:r>
        <w:rPr>
          <w:rFonts w:hint="eastAsia" w:ascii="宋体" w:hAnsi="宋体" w:eastAsia="宋体" w:cs="宋体"/>
          <w:b/>
          <w:sz w:val="28"/>
          <w:szCs w:val="28"/>
        </w:rPr>
        <w:t>中规定，并以醒目的方式标明</w:t>
      </w:r>
      <w:r>
        <w:rPr>
          <w:rFonts w:hint="eastAsia" w:ascii="宋体" w:hAnsi="宋体" w:eastAsia="宋体" w:cs="宋体"/>
          <w:sz w:val="28"/>
          <w:szCs w:val="28"/>
        </w:rPr>
        <w:t>）</w:t>
      </w:r>
    </w:p>
    <w:p w14:paraId="07E3D684">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未按</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规定的形式和金额提交投标保证金的；</w:t>
      </w:r>
    </w:p>
    <w:p w14:paraId="38FAFC8D">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未按照</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规定要求签署、盖章的；</w:t>
      </w:r>
    </w:p>
    <w:p w14:paraId="2938E746">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未满足</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中技术条款的实质性要求；</w:t>
      </w:r>
    </w:p>
    <w:p w14:paraId="22E82C39">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与其他投标人串通投标，或者与采购人串通投标；</w:t>
      </w:r>
    </w:p>
    <w:p w14:paraId="12763E07">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属于</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规定的其他投标无效情形；</w:t>
      </w:r>
    </w:p>
    <w:p w14:paraId="4F3235F6">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评标委员会认为投标人的报价明显低于其他通过符合性检查投标人的报价，有可能影响履约的，且投标人未按照规定证明其报价合理性的；</w:t>
      </w:r>
    </w:p>
    <w:p w14:paraId="2A01E449">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投标文件含有采购人不能接受的附加条件的；</w:t>
      </w:r>
    </w:p>
    <w:p w14:paraId="100D668B">
      <w:pPr>
        <w:pageBreakBefore w:val="0"/>
        <w:widowControl w:val="0"/>
        <w:numPr>
          <w:ilvl w:val="0"/>
          <w:numId w:val="2"/>
        </w:numPr>
        <w:tabs>
          <w:tab w:val="left" w:pos="0"/>
        </w:tabs>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不符合法规和</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中规定的其他实质性要求的。</w:t>
      </w:r>
    </w:p>
    <w:p w14:paraId="1D25F39A">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27" w:name="_Toc518923088"/>
      <w:bookmarkStart w:id="128" w:name="_Toc30440"/>
      <w:bookmarkStart w:id="129" w:name="_Toc23137"/>
      <w:r>
        <w:rPr>
          <w:rFonts w:hint="eastAsia" w:ascii="宋体" w:hAnsi="宋体" w:eastAsia="宋体" w:cs="宋体"/>
          <w:sz w:val="28"/>
          <w:szCs w:val="28"/>
          <w:u w:val="none"/>
        </w:rPr>
        <w:t>23</w:t>
      </w:r>
      <w:bookmarkEnd w:id="120"/>
      <w:r>
        <w:rPr>
          <w:rFonts w:hint="eastAsia" w:ascii="宋体" w:hAnsi="宋体" w:eastAsia="宋体" w:cs="宋体"/>
          <w:sz w:val="28"/>
          <w:szCs w:val="28"/>
          <w:u w:val="none"/>
        </w:rPr>
        <w:t>.比较与评价</w:t>
      </w:r>
      <w:bookmarkEnd w:id="127"/>
      <w:bookmarkEnd w:id="128"/>
      <w:bookmarkEnd w:id="129"/>
    </w:p>
    <w:p w14:paraId="45CD1BA1">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23.1</w:t>
      </w:r>
      <w:r>
        <w:rPr>
          <w:rFonts w:hint="eastAsia" w:ascii="宋体" w:hAnsi="宋体" w:eastAsia="宋体" w:cs="宋体"/>
          <w:sz w:val="28"/>
          <w:szCs w:val="28"/>
        </w:rPr>
        <w:tab/>
      </w:r>
      <w:r>
        <w:rPr>
          <w:rFonts w:hint="eastAsia" w:ascii="宋体" w:hAnsi="宋体" w:eastAsia="宋体" w:cs="宋体"/>
          <w:sz w:val="28"/>
          <w:szCs w:val="28"/>
        </w:rPr>
        <w:t>经符合性审查合格的投标文件，评标委员会将根据</w:t>
      </w:r>
      <w:r>
        <w:rPr>
          <w:rFonts w:hint="eastAsia" w:ascii="宋体" w:hAnsi="宋体" w:eastAsia="宋体" w:cs="宋体"/>
          <w:sz w:val="28"/>
          <w:szCs w:val="28"/>
          <w:lang w:eastAsia="zh-CN"/>
        </w:rPr>
        <w:t>采购文件</w:t>
      </w:r>
      <w:r>
        <w:rPr>
          <w:rFonts w:hint="eastAsia" w:ascii="宋体" w:hAnsi="宋体" w:eastAsia="宋体" w:cs="宋体"/>
          <w:sz w:val="28"/>
          <w:szCs w:val="28"/>
        </w:rPr>
        <w:t>确定的评标方法和标准，对其技术部分和商务部分作进一步的比较和评价。</w:t>
      </w:r>
    </w:p>
    <w:p w14:paraId="189EE3D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 xml:space="preserve">23.2  </w:t>
      </w:r>
      <w:r>
        <w:rPr>
          <w:rFonts w:hint="eastAsia" w:ascii="宋体" w:hAnsi="宋体" w:eastAsia="宋体" w:cs="宋体"/>
          <w:sz w:val="28"/>
          <w:szCs w:val="28"/>
        </w:rPr>
        <w:tab/>
      </w:r>
      <w:r>
        <w:rPr>
          <w:rFonts w:hint="eastAsia" w:ascii="宋体" w:hAnsi="宋体" w:eastAsia="宋体" w:cs="宋体"/>
          <w:sz w:val="28"/>
          <w:szCs w:val="28"/>
        </w:rPr>
        <w:t>评标严格按照</w:t>
      </w:r>
      <w:r>
        <w:rPr>
          <w:rFonts w:hint="eastAsia" w:ascii="宋体" w:hAnsi="宋体" w:eastAsia="宋体" w:cs="宋体"/>
          <w:sz w:val="28"/>
          <w:szCs w:val="28"/>
          <w:lang w:eastAsia="zh-CN"/>
        </w:rPr>
        <w:t>采购文件</w:t>
      </w:r>
      <w:r>
        <w:rPr>
          <w:rFonts w:hint="eastAsia" w:ascii="宋体" w:hAnsi="宋体" w:eastAsia="宋体" w:cs="宋体"/>
          <w:sz w:val="28"/>
          <w:szCs w:val="28"/>
        </w:rPr>
        <w:t>的要求和条件进行。根据实际情况，在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中规定采用下列一种评标方法，详细评标标准见</w:t>
      </w:r>
      <w:r>
        <w:rPr>
          <w:rFonts w:hint="eastAsia" w:ascii="宋体" w:hAnsi="宋体" w:eastAsia="宋体" w:cs="宋体"/>
          <w:sz w:val="28"/>
          <w:szCs w:val="28"/>
          <w:lang w:eastAsia="zh-CN"/>
        </w:rPr>
        <w:t>采购文件</w:t>
      </w:r>
      <w:r>
        <w:rPr>
          <w:rFonts w:hint="eastAsia" w:ascii="宋体" w:hAnsi="宋体" w:eastAsia="宋体" w:cs="宋体"/>
          <w:sz w:val="28"/>
          <w:szCs w:val="28"/>
        </w:rPr>
        <w:t>第六章：</w:t>
      </w:r>
    </w:p>
    <w:p w14:paraId="44131521">
      <w:pPr>
        <w:pStyle w:val="9"/>
        <w:pageBreakBefore w:val="0"/>
        <w:widowControl w:val="0"/>
        <w:kinsoku/>
        <w:wordWrap/>
        <w:overflowPunct/>
        <w:topLinePunct w:val="0"/>
        <w:bidi w:val="0"/>
        <w:snapToGrid/>
        <w:spacing w:line="240" w:lineRule="atLeast"/>
        <w:ind w:left="899" w:leftChars="342" w:hanging="181"/>
        <w:textAlignment w:val="auto"/>
        <w:rPr>
          <w:rFonts w:hint="eastAsia" w:ascii="宋体" w:hAnsi="宋体" w:eastAsia="宋体" w:cs="宋体"/>
          <w:sz w:val="28"/>
          <w:szCs w:val="28"/>
        </w:rPr>
      </w:pPr>
      <w:r>
        <w:rPr>
          <w:rFonts w:hint="eastAsia" w:ascii="宋体" w:hAnsi="宋体" w:eastAsia="宋体" w:cs="宋体"/>
          <w:sz w:val="28"/>
          <w:szCs w:val="28"/>
        </w:rPr>
        <w:t>（1） 最低评标价法，是指投标文件满足</w:t>
      </w:r>
      <w:r>
        <w:rPr>
          <w:rFonts w:hint="eastAsia" w:ascii="宋体" w:hAnsi="宋体" w:eastAsia="宋体" w:cs="宋体"/>
          <w:sz w:val="28"/>
          <w:szCs w:val="28"/>
          <w:lang w:eastAsia="zh-CN"/>
        </w:rPr>
        <w:t>采购文件</w:t>
      </w:r>
      <w:r>
        <w:rPr>
          <w:rFonts w:hint="eastAsia" w:ascii="宋体" w:hAnsi="宋体" w:eastAsia="宋体" w:cs="宋体"/>
          <w:sz w:val="28"/>
          <w:szCs w:val="28"/>
        </w:rPr>
        <w:t>全部实质性要求，且投标报价最低的投标人为中标候选人的评标方法。</w:t>
      </w:r>
    </w:p>
    <w:p w14:paraId="546E6CA9">
      <w:pPr>
        <w:pStyle w:val="9"/>
        <w:pageBreakBefore w:val="0"/>
        <w:widowControl w:val="0"/>
        <w:kinsoku/>
        <w:wordWrap/>
        <w:overflowPunct/>
        <w:topLinePunct w:val="0"/>
        <w:bidi w:val="0"/>
        <w:snapToGrid/>
        <w:spacing w:line="240" w:lineRule="atLeast"/>
        <w:ind w:left="898" w:leftChars="342" w:hanging="180"/>
        <w:textAlignment w:val="auto"/>
        <w:rPr>
          <w:rFonts w:hint="eastAsia" w:ascii="宋体" w:hAnsi="宋体" w:eastAsia="宋体" w:cs="宋体"/>
          <w:bCs/>
          <w:sz w:val="28"/>
          <w:szCs w:val="28"/>
        </w:rPr>
      </w:pPr>
      <w:r>
        <w:rPr>
          <w:rFonts w:hint="eastAsia" w:ascii="宋体" w:hAnsi="宋体" w:eastAsia="宋体" w:cs="宋体"/>
          <w:b/>
          <w:bCs/>
          <w:sz w:val="28"/>
          <w:szCs w:val="28"/>
        </w:rPr>
        <w:t xml:space="preserve">（2） </w:t>
      </w:r>
      <w:r>
        <w:rPr>
          <w:rFonts w:hint="eastAsia" w:ascii="宋体" w:hAnsi="宋体" w:eastAsia="宋体" w:cs="宋体"/>
          <w:b/>
          <w:bCs/>
          <w:sz w:val="28"/>
          <w:szCs w:val="28"/>
          <w:u w:val="single"/>
        </w:rPr>
        <w:t>综合评分法，是指投标文件满足</w:t>
      </w:r>
      <w:r>
        <w:rPr>
          <w:rFonts w:hint="eastAsia" w:ascii="宋体" w:hAnsi="宋体" w:eastAsia="宋体" w:cs="宋体"/>
          <w:b/>
          <w:bCs/>
          <w:sz w:val="28"/>
          <w:szCs w:val="28"/>
          <w:u w:val="single"/>
          <w:lang w:eastAsia="zh-CN"/>
        </w:rPr>
        <w:t>采购文件</w:t>
      </w:r>
      <w:r>
        <w:rPr>
          <w:rFonts w:hint="eastAsia" w:ascii="宋体" w:hAnsi="宋体" w:eastAsia="宋体" w:cs="宋体"/>
          <w:b/>
          <w:bCs/>
          <w:sz w:val="28"/>
          <w:szCs w:val="28"/>
          <w:u w:val="single"/>
        </w:rPr>
        <w:t>全部实质性要求，且按照评审因素的量化指标评审得分最高的投标人为中标候选人的评标方法。</w:t>
      </w:r>
    </w:p>
    <w:p w14:paraId="49C36C8F">
      <w:pPr>
        <w:pStyle w:val="9"/>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23.3   根据《政府采购促进中小企业发展管理办法》（财库[2020]46 号）、关于进一步加大政府采购支持中小企业力度的通知财库〔2022〕19号和《三部门联合发布关于促进残疾人就业政府采购政策的通知》（财库〔2017〕141 号）的规定，对满足价格扣除条件且在</w:t>
      </w:r>
      <w:r>
        <w:rPr>
          <w:rFonts w:hint="eastAsia" w:ascii="宋体" w:hAnsi="宋体" w:eastAsia="宋体" w:cs="宋体"/>
          <w:sz w:val="28"/>
          <w:szCs w:val="28"/>
          <w:lang w:eastAsia="zh-CN"/>
        </w:rPr>
        <w:t>投标文件</w:t>
      </w:r>
      <w:r>
        <w:rPr>
          <w:rFonts w:hint="eastAsia" w:ascii="宋体" w:hAnsi="宋体" w:eastAsia="宋体" w:cs="宋体"/>
          <w:sz w:val="28"/>
          <w:szCs w:val="28"/>
        </w:rPr>
        <w:t>中提交了《中小企业声明函》</w:t>
      </w:r>
      <w:r>
        <w:rPr>
          <w:rFonts w:hint="eastAsia" w:ascii="宋体" w:hAnsi="宋体" w:eastAsia="宋体" w:cs="宋体"/>
          <w:sz w:val="28"/>
          <w:szCs w:val="28"/>
          <w:lang w:eastAsia="zh-CN"/>
        </w:rPr>
        <w:t>，</w:t>
      </w:r>
      <w:r>
        <w:rPr>
          <w:rFonts w:hint="eastAsia" w:ascii="宋体" w:hAnsi="宋体" w:eastAsia="宋体" w:cs="宋体"/>
          <w:sz w:val="28"/>
          <w:szCs w:val="28"/>
        </w:rPr>
        <w:t>其投标报价扣除</w:t>
      </w:r>
      <w:r>
        <w:rPr>
          <w:rFonts w:hint="eastAsia" w:ascii="宋体" w:hAnsi="宋体" w:eastAsia="宋体" w:cs="宋体"/>
          <w:sz w:val="28"/>
          <w:szCs w:val="28"/>
          <w:u w:val="single"/>
        </w:rPr>
        <w:t xml:space="preserve"> 10% </w:t>
      </w:r>
      <w:r>
        <w:rPr>
          <w:rFonts w:hint="eastAsia" w:ascii="宋体" w:hAnsi="宋体" w:eastAsia="宋体" w:cs="宋体"/>
          <w:sz w:val="28"/>
          <w:szCs w:val="28"/>
        </w:rPr>
        <w:t>后参与评审。对于同时属于小微企业或残疾人福利性单位的，不重复进行投标报价扣除。具体办法详见</w:t>
      </w:r>
      <w:r>
        <w:rPr>
          <w:rFonts w:hint="eastAsia" w:ascii="宋体" w:hAnsi="宋体" w:eastAsia="宋体" w:cs="宋体"/>
          <w:sz w:val="28"/>
          <w:szCs w:val="28"/>
          <w:lang w:eastAsia="zh-CN"/>
        </w:rPr>
        <w:t>采购文件</w:t>
      </w:r>
      <w:r>
        <w:rPr>
          <w:rFonts w:hint="eastAsia" w:ascii="宋体" w:hAnsi="宋体" w:eastAsia="宋体" w:cs="宋体"/>
          <w:sz w:val="28"/>
          <w:szCs w:val="28"/>
        </w:rPr>
        <w:t>第 6 章。</w:t>
      </w:r>
    </w:p>
    <w:p w14:paraId="572D6B49">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30" w:name="_Toc520356168"/>
      <w:bookmarkStart w:id="131" w:name="_Toc518923089"/>
      <w:bookmarkStart w:id="132" w:name="_Toc31765"/>
      <w:bookmarkStart w:id="133" w:name="_Toc11069"/>
      <w:r>
        <w:rPr>
          <w:rFonts w:hint="eastAsia" w:ascii="宋体" w:hAnsi="宋体" w:eastAsia="宋体" w:cs="宋体"/>
          <w:sz w:val="28"/>
          <w:szCs w:val="28"/>
          <w:u w:val="none"/>
        </w:rPr>
        <w:t>24</w:t>
      </w:r>
      <w:bookmarkEnd w:id="130"/>
      <w:r>
        <w:rPr>
          <w:rFonts w:hint="eastAsia" w:ascii="宋体" w:hAnsi="宋体" w:eastAsia="宋体" w:cs="宋体"/>
          <w:sz w:val="28"/>
          <w:szCs w:val="28"/>
          <w:u w:val="none"/>
        </w:rPr>
        <w:t>.废标</w:t>
      </w:r>
      <w:bookmarkEnd w:id="131"/>
      <w:bookmarkEnd w:id="132"/>
      <w:bookmarkEnd w:id="133"/>
    </w:p>
    <w:p w14:paraId="00AFC6A2">
      <w:pPr>
        <w:pageBreakBefore w:val="0"/>
        <w:widowControl w:val="0"/>
        <w:kinsoku/>
        <w:wordWrap/>
        <w:overflowPunct/>
        <w:topLinePunct w:val="0"/>
        <w:bidi w:val="0"/>
        <w:snapToGrid/>
        <w:spacing w:line="240" w:lineRule="atLeast"/>
        <w:ind w:left="908" w:leftChars="399" w:hanging="70" w:hangingChars="25"/>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出现下列情形之一，将导致项目废标： </w:t>
      </w:r>
    </w:p>
    <w:p w14:paraId="012153D2">
      <w:pPr>
        <w:pageBreakBefore w:val="0"/>
        <w:widowControl w:val="0"/>
        <w:kinsoku/>
        <w:wordWrap/>
        <w:overflowPunct/>
        <w:topLinePunct w:val="0"/>
        <w:bidi w:val="0"/>
        <w:snapToGrid/>
        <w:spacing w:line="240" w:lineRule="atLeast"/>
        <w:ind w:left="1051" w:leftChars="266" w:hanging="492" w:hangingChars="175"/>
        <w:textAlignment w:val="auto"/>
        <w:rPr>
          <w:rFonts w:hint="eastAsia" w:ascii="宋体" w:hAnsi="宋体" w:eastAsia="宋体" w:cs="宋体"/>
          <w:b/>
          <w:bCs/>
          <w:sz w:val="28"/>
          <w:szCs w:val="28"/>
        </w:rPr>
      </w:pPr>
      <w:r>
        <w:rPr>
          <w:rFonts w:hint="eastAsia" w:ascii="宋体" w:hAnsi="宋体" w:eastAsia="宋体" w:cs="宋体"/>
          <w:b/>
          <w:bCs/>
          <w:sz w:val="28"/>
          <w:szCs w:val="28"/>
        </w:rPr>
        <w:t>（1）符合专业条件的投标人或者对</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做实质性响应的投标人不足三家；</w:t>
      </w:r>
    </w:p>
    <w:p w14:paraId="5EECE87B">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（2）出现影响采购公正的违法、违规行为的；</w:t>
      </w:r>
    </w:p>
    <w:p w14:paraId="2B4C948F">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（3）投标人的报价均超过了采购预算，采购人不能支付的；</w:t>
      </w:r>
    </w:p>
    <w:p w14:paraId="472D31B7">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（4）因重大变故，采购任务取消的。</w:t>
      </w:r>
    </w:p>
    <w:p w14:paraId="78822042">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34" w:name="_Toc13682"/>
      <w:bookmarkStart w:id="135" w:name="_Toc518923090"/>
      <w:bookmarkStart w:id="136" w:name="_Toc12734"/>
      <w:bookmarkStart w:id="137" w:name="_Toc520356169"/>
      <w:r>
        <w:rPr>
          <w:rFonts w:hint="eastAsia" w:ascii="宋体" w:hAnsi="宋体" w:eastAsia="宋体" w:cs="宋体"/>
          <w:sz w:val="28"/>
          <w:szCs w:val="28"/>
          <w:u w:val="none"/>
        </w:rPr>
        <w:t>25.保密原则</w:t>
      </w:r>
      <w:bookmarkEnd w:id="134"/>
      <w:bookmarkEnd w:id="135"/>
      <w:bookmarkEnd w:id="136"/>
    </w:p>
    <w:p w14:paraId="41223E8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25.1</w:t>
      </w:r>
      <w:r>
        <w:rPr>
          <w:rFonts w:hint="eastAsia" w:ascii="宋体" w:hAnsi="宋体" w:eastAsia="宋体" w:cs="宋体"/>
          <w:sz w:val="28"/>
          <w:szCs w:val="28"/>
        </w:rPr>
        <w:tab/>
      </w:r>
      <w:r>
        <w:rPr>
          <w:rFonts w:hint="eastAsia" w:ascii="宋体" w:hAnsi="宋体" w:eastAsia="宋体" w:cs="宋体"/>
          <w:sz w:val="28"/>
          <w:szCs w:val="28"/>
        </w:rPr>
        <w:t>评标将在严格保密的情况下进行。</w:t>
      </w:r>
    </w:p>
    <w:p w14:paraId="7AE3785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25.2</w:t>
      </w:r>
      <w:r>
        <w:rPr>
          <w:rFonts w:hint="eastAsia" w:ascii="宋体" w:hAnsi="宋体" w:eastAsia="宋体" w:cs="宋体"/>
          <w:sz w:val="28"/>
          <w:szCs w:val="28"/>
        </w:rPr>
        <w:tab/>
      </w:r>
      <w:r>
        <w:rPr>
          <w:rFonts w:hint="eastAsia" w:ascii="宋体" w:hAnsi="宋体" w:eastAsia="宋体" w:cs="宋体"/>
          <w:sz w:val="28"/>
          <w:szCs w:val="28"/>
        </w:rPr>
        <w:t>政府采购评审专家应当遵守评审工作纪律，不得泄露评审文件、评审情况和评审中获悉的商业秘密。</w:t>
      </w:r>
    </w:p>
    <w:p w14:paraId="185BA7A5">
      <w:pPr>
        <w:pStyle w:val="5"/>
        <w:pageBreakBefore w:val="0"/>
        <w:widowControl w:val="0"/>
        <w:kinsoku/>
        <w:wordWrap/>
        <w:overflowPunct/>
        <w:topLinePunct w:val="0"/>
        <w:bidi w:val="0"/>
        <w:snapToGrid/>
        <w:spacing w:line="240" w:lineRule="atLeast"/>
        <w:ind w:left="0" w:leftChars="0" w:firstLine="0" w:firstLineChars="0"/>
        <w:textAlignment w:val="auto"/>
        <w:rPr>
          <w:rFonts w:hint="eastAsia"/>
        </w:rPr>
      </w:pPr>
    </w:p>
    <w:p w14:paraId="39406908">
      <w:pPr>
        <w:pStyle w:val="3"/>
        <w:pageBreakBefore w:val="0"/>
        <w:widowControl w:val="0"/>
        <w:kinsoku/>
        <w:wordWrap/>
        <w:overflowPunct/>
        <w:topLinePunct w:val="0"/>
        <w:bidi w:val="0"/>
        <w:snapToGrid/>
        <w:spacing w:before="0" w:line="240" w:lineRule="atLeast"/>
        <w:ind w:left="1080" w:leftChars="257" w:hanging="540"/>
        <w:textAlignment w:val="auto"/>
        <w:rPr>
          <w:rFonts w:hint="eastAsia" w:ascii="宋体" w:hAnsi="宋体" w:eastAsia="宋体" w:cs="宋体"/>
          <w:sz w:val="28"/>
          <w:szCs w:val="28"/>
        </w:rPr>
      </w:pPr>
      <w:bookmarkStart w:id="138" w:name="_Toc518923091"/>
      <w:bookmarkStart w:id="139" w:name="_Toc216582810"/>
      <w:bookmarkStart w:id="140" w:name="_Toc20201"/>
      <w:bookmarkStart w:id="141" w:name="_Toc9372"/>
      <w:r>
        <w:rPr>
          <w:rFonts w:hint="eastAsia" w:ascii="宋体" w:hAnsi="宋体" w:eastAsia="宋体" w:cs="宋体"/>
          <w:sz w:val="28"/>
          <w:szCs w:val="28"/>
        </w:rPr>
        <w:t xml:space="preserve">六   </w:t>
      </w:r>
      <w:bookmarkEnd w:id="137"/>
      <w:r>
        <w:rPr>
          <w:rFonts w:hint="eastAsia" w:ascii="宋体" w:hAnsi="宋体" w:eastAsia="宋体" w:cs="宋体"/>
          <w:sz w:val="28"/>
          <w:szCs w:val="28"/>
        </w:rPr>
        <w:t>确定中标</w:t>
      </w:r>
      <w:bookmarkEnd w:id="138"/>
      <w:bookmarkEnd w:id="139"/>
      <w:bookmarkEnd w:id="140"/>
      <w:bookmarkEnd w:id="141"/>
    </w:p>
    <w:p w14:paraId="6D7C83D1">
      <w:pPr>
        <w:pStyle w:val="5"/>
        <w:pageBreakBefore w:val="0"/>
        <w:widowControl w:val="0"/>
        <w:kinsoku/>
        <w:wordWrap/>
        <w:overflowPunct/>
        <w:topLinePunct w:val="0"/>
        <w:bidi w:val="0"/>
        <w:snapToGrid/>
        <w:spacing w:line="240" w:lineRule="atLeast"/>
        <w:textAlignment w:val="auto"/>
        <w:rPr>
          <w:rFonts w:hint="eastAsia" w:ascii="宋体" w:hAnsi="宋体" w:eastAsia="宋体" w:cs="宋体"/>
          <w:sz w:val="28"/>
          <w:szCs w:val="28"/>
        </w:rPr>
      </w:pPr>
    </w:p>
    <w:p w14:paraId="551B5BB1">
      <w:pPr>
        <w:pageBreakBefore w:val="0"/>
        <w:widowControl w:val="0"/>
        <w:kinsoku/>
        <w:wordWrap/>
        <w:overflowPunct/>
        <w:topLinePunct w:val="0"/>
        <w:bidi w:val="0"/>
        <w:snapToGrid/>
        <w:spacing w:line="240" w:lineRule="atLeast"/>
        <w:textAlignment w:val="auto"/>
        <w:rPr>
          <w:rFonts w:hint="eastAsia"/>
        </w:rPr>
      </w:pPr>
    </w:p>
    <w:p w14:paraId="1FD68629">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42" w:name="_Ref467307010"/>
      <w:bookmarkStart w:id="143" w:name="_Toc518923092"/>
      <w:bookmarkStart w:id="144" w:name="_Toc520356170"/>
      <w:bookmarkStart w:id="145" w:name="_Toc20881"/>
      <w:bookmarkStart w:id="146" w:name="_Toc25482"/>
      <w:r>
        <w:rPr>
          <w:rFonts w:hint="eastAsia" w:ascii="宋体" w:hAnsi="宋体" w:eastAsia="宋体" w:cs="宋体"/>
          <w:sz w:val="28"/>
          <w:szCs w:val="28"/>
          <w:u w:val="none"/>
        </w:rPr>
        <w:t>26.中标候选人的确定原则及标准</w:t>
      </w:r>
      <w:bookmarkEnd w:id="142"/>
      <w:bookmarkEnd w:id="143"/>
      <w:bookmarkEnd w:id="144"/>
      <w:bookmarkEnd w:id="145"/>
      <w:bookmarkEnd w:id="146"/>
    </w:p>
    <w:p w14:paraId="6384644A">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除第28条规定外，对实质上响应</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的投标人按下列方法进行排序，确定中标候选人：</w:t>
      </w:r>
    </w:p>
    <w:p w14:paraId="188E2C30">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（1）采用最低评标价法的，除了算术修正和落实政府采购政策需进行的价格扣除外，不对投标人的投标价格进行任何调整。评标结果按修正和扣除后的投标报价由低到高顺序排列。报价相同的处理方式详见</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第6章。</w:t>
      </w:r>
    </w:p>
    <w:p w14:paraId="319C1548">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（2）采用综合评分法的，评标结果按评审后得分由高到低顺序排列。得分相同的，按修正和扣除后的投标报价由低到高顺序排列。得分与投标报价均相同的处理方式详见</w:t>
      </w:r>
      <w:r>
        <w:rPr>
          <w:rFonts w:hint="eastAsia" w:ascii="宋体" w:hAnsi="宋体" w:eastAsia="宋体" w:cs="宋体"/>
          <w:b/>
          <w:bCs w:val="0"/>
          <w:sz w:val="28"/>
          <w:szCs w:val="28"/>
          <w:lang w:eastAsia="zh-CN"/>
        </w:rPr>
        <w:t>采购文件</w:t>
      </w:r>
      <w:r>
        <w:rPr>
          <w:rFonts w:hint="eastAsia" w:ascii="宋体" w:hAnsi="宋体" w:eastAsia="宋体" w:cs="宋体"/>
          <w:b/>
          <w:bCs w:val="0"/>
          <w:sz w:val="28"/>
          <w:szCs w:val="28"/>
        </w:rPr>
        <w:t>第6章。</w:t>
      </w:r>
    </w:p>
    <w:p w14:paraId="2D4A8DD2">
      <w:pPr>
        <w:pStyle w:val="7"/>
        <w:pageBreakBefore w:val="0"/>
        <w:widowControl w:val="0"/>
        <w:tabs>
          <w:tab w:val="clear" w:pos="567"/>
        </w:tabs>
        <w:kinsoku/>
        <w:wordWrap/>
        <w:overflowPunct/>
        <w:topLinePunct w:val="0"/>
        <w:bidi w:val="0"/>
        <w:snapToGrid/>
        <w:spacing w:before="0" w:line="240" w:lineRule="atLeast"/>
        <w:ind w:firstLine="562" w:firstLineChars="200"/>
        <w:textAlignment w:val="auto"/>
        <w:rPr>
          <w:rFonts w:hint="eastAsia" w:ascii="宋体" w:hAnsi="宋体" w:eastAsia="宋体" w:cs="宋体"/>
          <w:b/>
          <w:sz w:val="28"/>
          <w:szCs w:val="28"/>
          <w:u w:val="none"/>
        </w:rPr>
      </w:pPr>
      <w:r>
        <w:rPr>
          <w:rFonts w:hint="eastAsia" w:ascii="宋体" w:hAnsi="宋体" w:eastAsia="宋体" w:cs="宋体"/>
          <w:b/>
          <w:bCs/>
          <w:i w:val="0"/>
          <w:iCs w:val="0"/>
          <w:kern w:val="2"/>
          <w:sz w:val="28"/>
          <w:szCs w:val="28"/>
          <w:highlight w:val="none"/>
          <w:u w:val="none"/>
          <w:lang w:val="en-US" w:eastAsia="zh-CN" w:bidi="ar-SA"/>
        </w:rPr>
        <w:t>本项目为公开采购，评标办法采用上述第（2）条：综合评分法。</w:t>
      </w:r>
    </w:p>
    <w:p w14:paraId="4AE85DAF">
      <w:pPr>
        <w:pStyle w:val="7"/>
        <w:pageBreakBefore w:val="0"/>
        <w:widowControl w:val="0"/>
        <w:tabs>
          <w:tab w:val="clear" w:pos="567"/>
        </w:tabs>
        <w:kinsoku/>
        <w:wordWrap/>
        <w:overflowPunct/>
        <w:topLinePunct w:val="0"/>
        <w:bidi w:val="0"/>
        <w:snapToGrid/>
        <w:spacing w:before="0" w:line="240" w:lineRule="atLeas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确定中标候选人</w:t>
      </w:r>
    </w:p>
    <w:p w14:paraId="46B3D1EC">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①采购代理机构应当在评标结束后</w:t>
      </w:r>
      <w:r>
        <w:rPr>
          <w:rFonts w:hint="eastAsia" w:ascii="宋体" w:hAnsi="宋体" w:eastAsia="宋体" w:cs="宋体"/>
          <w:bCs/>
          <w:sz w:val="28"/>
          <w:szCs w:val="28"/>
          <w:u w:val="single"/>
        </w:rPr>
        <w:t xml:space="preserve"> 2 </w:t>
      </w:r>
      <w:r>
        <w:rPr>
          <w:rFonts w:hint="eastAsia" w:ascii="宋体" w:hAnsi="宋体" w:eastAsia="宋体" w:cs="宋体"/>
          <w:bCs/>
          <w:sz w:val="28"/>
          <w:szCs w:val="28"/>
        </w:rPr>
        <w:t>个工作日内将评标报告送采购人。</w:t>
      </w:r>
    </w:p>
    <w:p w14:paraId="16967EC4">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②采购人不委托评审小组直接确定中标人。评审小组推荐中标候选人的数量为</w:t>
      </w:r>
      <w:r>
        <w:rPr>
          <w:rFonts w:hint="eastAsia" w:ascii="宋体" w:hAnsi="宋体" w:eastAsia="宋体" w:cs="宋体"/>
          <w:bCs/>
          <w:sz w:val="28"/>
          <w:szCs w:val="28"/>
          <w:u w:val="single"/>
        </w:rPr>
        <w:t xml:space="preserve"> 3 </w:t>
      </w:r>
      <w:r>
        <w:rPr>
          <w:rFonts w:hint="eastAsia" w:ascii="宋体" w:hAnsi="宋体" w:eastAsia="宋体" w:cs="宋体"/>
          <w:bCs/>
          <w:sz w:val="28"/>
          <w:szCs w:val="28"/>
        </w:rPr>
        <w:t>家。采购人应当自收到评标报告之日起</w:t>
      </w:r>
      <w:r>
        <w:rPr>
          <w:rFonts w:hint="eastAsia" w:ascii="宋体" w:hAnsi="宋体" w:eastAsia="宋体" w:cs="宋体"/>
          <w:bCs/>
          <w:sz w:val="28"/>
          <w:szCs w:val="28"/>
          <w:u w:val="single"/>
          <w:lang w:val="en-US" w:eastAsia="zh-CN"/>
        </w:rPr>
        <w:t>5</w:t>
      </w:r>
      <w:r>
        <w:rPr>
          <w:rFonts w:hint="eastAsia" w:ascii="宋体" w:hAnsi="宋体" w:eastAsia="宋体" w:cs="宋体"/>
          <w:bCs/>
          <w:sz w:val="28"/>
          <w:szCs w:val="28"/>
        </w:rPr>
        <w:t>个工作日内，在评标报告确定的中标候选人名单中按顺序确定中标人。</w:t>
      </w:r>
    </w:p>
    <w:p w14:paraId="39C6708F">
      <w:pPr>
        <w:pStyle w:val="7"/>
        <w:pageBreakBefore w:val="0"/>
        <w:widowControl w:val="0"/>
        <w:tabs>
          <w:tab w:val="clear" w:pos="567"/>
        </w:tabs>
        <w:kinsoku/>
        <w:wordWrap/>
        <w:overflowPunct/>
        <w:topLinePunct w:val="0"/>
        <w:bidi w:val="0"/>
        <w:snapToGrid/>
        <w:spacing w:before="0"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③本项目采用的采购方式为公开招标，评分方法：综合评分法，投标文件满足</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全部实质性要求，且按照评审因素的量化指标，评审小组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全部实质性要求，且按照评审因素的量化指标评审得分最高的投标人为排名第一的中标候选人。</w:t>
      </w:r>
    </w:p>
    <w:p w14:paraId="1B20E9CC">
      <w:pPr>
        <w:pStyle w:val="7"/>
        <w:pageBreakBefore w:val="0"/>
        <w:widowControl w:val="0"/>
        <w:tabs>
          <w:tab w:val="clear" w:pos="567"/>
        </w:tabs>
        <w:kinsoku/>
        <w:wordWrap/>
        <w:overflowPunct/>
        <w:topLinePunct w:val="0"/>
        <w:bidi w:val="0"/>
        <w:snapToGrid/>
        <w:spacing w:before="0" w:line="240" w:lineRule="atLeast"/>
        <w:ind w:firstLine="560" w:firstLineChars="200"/>
        <w:textAlignment w:val="auto"/>
        <w:rPr>
          <w:rFonts w:hint="eastAsia" w:ascii="宋体" w:hAnsi="宋体" w:eastAsia="宋体" w:cs="宋体"/>
        </w:rPr>
      </w:pPr>
      <w:r>
        <w:rPr>
          <w:rFonts w:hint="eastAsia" w:ascii="宋体" w:hAnsi="宋体" w:eastAsia="宋体" w:cs="宋体"/>
          <w:bCs/>
          <w:sz w:val="28"/>
          <w:szCs w:val="28"/>
        </w:rPr>
        <w:t>④采购人依据评审小组推荐的中标候选人确定中标人。采购人根据评审小组的评标报告，应以排名第一的中标候选人为中标人。排名第一的中标候选人放弃中标或因不可抗力提出不能履行合同，或者</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1AD1EC8A">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47" w:name="_Toc520356171"/>
      <w:bookmarkStart w:id="148" w:name="_Toc13969"/>
      <w:bookmarkStart w:id="149" w:name="_Toc518923093"/>
      <w:bookmarkStart w:id="150" w:name="_Toc9968"/>
      <w:r>
        <w:rPr>
          <w:rFonts w:hint="eastAsia" w:ascii="宋体" w:hAnsi="宋体" w:eastAsia="宋体" w:cs="宋体"/>
          <w:sz w:val="28"/>
          <w:szCs w:val="28"/>
          <w:u w:val="none"/>
        </w:rPr>
        <w:t>27</w:t>
      </w:r>
      <w:bookmarkEnd w:id="147"/>
      <w:r>
        <w:rPr>
          <w:rFonts w:hint="eastAsia" w:ascii="宋体" w:hAnsi="宋体" w:eastAsia="宋体" w:cs="宋体"/>
          <w:sz w:val="28"/>
          <w:szCs w:val="28"/>
          <w:u w:val="none"/>
        </w:rPr>
        <w:t>.确定中标候选人和中标人</w:t>
      </w:r>
      <w:bookmarkEnd w:id="148"/>
      <w:bookmarkEnd w:id="149"/>
      <w:bookmarkEnd w:id="150"/>
    </w:p>
    <w:p w14:paraId="2F61941E">
      <w:pPr>
        <w:spacing w:line="240" w:lineRule="atLeast"/>
        <w:ind w:left="838" w:leftChars="399"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评标委员会将根据评标标准，按投标人须知资料表中规定数量推荐中标候选人；或根据采购人的委托，直接确定中标人。</w:t>
      </w:r>
    </w:p>
    <w:p w14:paraId="7D266C5A">
      <w:pPr>
        <w:pStyle w:val="4"/>
        <w:tabs>
          <w:tab w:val="left" w:pos="900"/>
        </w:tabs>
        <w:spacing w:before="0" w:after="0" w:line="240" w:lineRule="atLeast"/>
        <w:rPr>
          <w:rFonts w:hint="eastAsia" w:ascii="宋体" w:hAnsi="宋体" w:eastAsia="宋体" w:cs="宋体"/>
          <w:sz w:val="28"/>
          <w:szCs w:val="28"/>
          <w:u w:val="none"/>
        </w:rPr>
      </w:pPr>
      <w:bookmarkStart w:id="151" w:name="_Toc520356173"/>
      <w:bookmarkStart w:id="152" w:name="_Ref467306874"/>
      <w:bookmarkStart w:id="153" w:name="_Toc11230"/>
      <w:bookmarkStart w:id="154" w:name="_Toc518923094"/>
      <w:r>
        <w:rPr>
          <w:rFonts w:hint="eastAsia" w:ascii="宋体" w:hAnsi="宋体" w:eastAsia="宋体" w:cs="宋体"/>
          <w:sz w:val="28"/>
          <w:szCs w:val="28"/>
          <w:u w:val="none"/>
        </w:rPr>
        <w:t>28</w:t>
      </w:r>
      <w:bookmarkEnd w:id="151"/>
      <w:bookmarkEnd w:id="152"/>
      <w:r>
        <w:rPr>
          <w:rFonts w:hint="eastAsia" w:ascii="宋体" w:hAnsi="宋体" w:eastAsia="宋体" w:cs="宋体"/>
          <w:sz w:val="28"/>
          <w:szCs w:val="28"/>
          <w:u w:val="none"/>
        </w:rPr>
        <w:t>.采购任务取消</w:t>
      </w:r>
      <w:bookmarkEnd w:id="153"/>
      <w:bookmarkEnd w:id="154"/>
    </w:p>
    <w:p w14:paraId="458246D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因重大变故采购任务取消时，采购人有权拒绝任何投标人中标，且对受影响的投标人不承担任何责任。</w:t>
      </w:r>
      <w:bookmarkStart w:id="155" w:name="_Toc520356174"/>
    </w:p>
    <w:p w14:paraId="0FBB8DAA">
      <w:pPr>
        <w:pStyle w:val="4"/>
        <w:spacing w:before="0" w:after="0" w:line="240" w:lineRule="atLeast"/>
        <w:rPr>
          <w:rFonts w:hint="eastAsia" w:ascii="宋体" w:hAnsi="宋体" w:eastAsia="宋体" w:cs="宋体"/>
          <w:sz w:val="28"/>
          <w:szCs w:val="28"/>
          <w:u w:val="none"/>
          <w:lang w:eastAsia="zh-CN"/>
        </w:rPr>
      </w:pPr>
      <w:bookmarkStart w:id="156" w:name="_Toc18841"/>
      <w:bookmarkStart w:id="157" w:name="_Toc518923095"/>
      <w:bookmarkStart w:id="158" w:name="_Toc166"/>
      <w:r>
        <w:rPr>
          <w:rFonts w:hint="eastAsia" w:ascii="宋体" w:hAnsi="宋体" w:eastAsia="宋体" w:cs="宋体"/>
          <w:sz w:val="28"/>
          <w:szCs w:val="28"/>
          <w:u w:val="none"/>
        </w:rPr>
        <w:t>29.中标通知书</w:t>
      </w:r>
      <w:bookmarkEnd w:id="155"/>
      <w:r>
        <w:rPr>
          <w:rFonts w:hint="eastAsia" w:ascii="宋体" w:hAnsi="宋体" w:eastAsia="宋体" w:cs="宋体"/>
          <w:sz w:val="28"/>
          <w:szCs w:val="28"/>
          <w:u w:val="none"/>
        </w:rPr>
        <w:t>和</w:t>
      </w:r>
      <w:bookmarkEnd w:id="156"/>
      <w:bookmarkEnd w:id="157"/>
      <w:r>
        <w:rPr>
          <w:rFonts w:hint="eastAsia" w:ascii="宋体" w:hAnsi="宋体" w:eastAsia="宋体" w:cs="宋体"/>
          <w:sz w:val="28"/>
          <w:szCs w:val="28"/>
          <w:u w:val="none"/>
          <w:lang w:eastAsia="zh-CN"/>
        </w:rPr>
        <w:t>中标公示</w:t>
      </w:r>
      <w:bookmarkEnd w:id="158"/>
    </w:p>
    <w:p w14:paraId="5D41969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29.1</w:t>
      </w:r>
      <w:r>
        <w:rPr>
          <w:rFonts w:hint="eastAsia" w:ascii="宋体" w:hAnsi="宋体" w:eastAsia="宋体" w:cs="宋体"/>
          <w:sz w:val="28"/>
          <w:szCs w:val="28"/>
        </w:rPr>
        <w:tab/>
      </w:r>
      <w:r>
        <w:rPr>
          <w:rFonts w:hint="eastAsia" w:ascii="宋体" w:hAnsi="宋体" w:eastAsia="宋体" w:cs="宋体"/>
          <w:sz w:val="28"/>
          <w:szCs w:val="28"/>
        </w:rPr>
        <w:t>在投标有效期内，中标人确定后，采购人或者采购代理机构发布中标公告，同时以书面形式向中标人发出中标通知书；</w:t>
      </w:r>
    </w:p>
    <w:p w14:paraId="40C1AEA7">
      <w:pPr>
        <w:spacing w:line="240" w:lineRule="atLeast"/>
        <w:ind w:left="1050" w:hanging="1050" w:hangingChars="375"/>
        <w:rPr>
          <w:rFonts w:hint="eastAsia" w:ascii="宋体" w:hAnsi="宋体" w:eastAsia="宋体" w:cs="宋体"/>
        </w:rPr>
      </w:pPr>
      <w:r>
        <w:rPr>
          <w:rFonts w:hint="eastAsia" w:ascii="宋体" w:hAnsi="宋体" w:eastAsia="宋体" w:cs="宋体"/>
          <w:sz w:val="28"/>
          <w:szCs w:val="28"/>
        </w:rPr>
        <w:t>29.2</w:t>
      </w:r>
      <w:r>
        <w:rPr>
          <w:rFonts w:hint="eastAsia" w:ascii="宋体" w:hAnsi="宋体" w:eastAsia="宋体" w:cs="宋体"/>
          <w:sz w:val="28"/>
          <w:szCs w:val="28"/>
        </w:rPr>
        <w:tab/>
      </w:r>
      <w:r>
        <w:rPr>
          <w:rFonts w:hint="eastAsia" w:ascii="宋体" w:hAnsi="宋体" w:eastAsia="宋体" w:cs="宋体"/>
          <w:sz w:val="28"/>
          <w:szCs w:val="28"/>
        </w:rPr>
        <w:t>中标通知书是合同的组成部分；</w:t>
      </w:r>
    </w:p>
    <w:p w14:paraId="6DA46E06">
      <w:pPr>
        <w:pStyle w:val="4"/>
        <w:spacing w:before="0" w:after="0" w:line="240" w:lineRule="atLeast"/>
        <w:rPr>
          <w:rFonts w:hint="eastAsia" w:ascii="宋体" w:hAnsi="宋体" w:eastAsia="宋体" w:cs="宋体"/>
          <w:sz w:val="28"/>
          <w:szCs w:val="28"/>
          <w:u w:val="none"/>
        </w:rPr>
      </w:pPr>
      <w:bookmarkStart w:id="159" w:name="_Toc518923096"/>
      <w:bookmarkStart w:id="160" w:name="_Ref467307062"/>
      <w:bookmarkStart w:id="161" w:name="_Toc2887"/>
      <w:bookmarkStart w:id="162" w:name="_Toc9416"/>
      <w:bookmarkStart w:id="163" w:name="_Ref467306377"/>
      <w:bookmarkStart w:id="164" w:name="_Ref467306978"/>
      <w:bookmarkStart w:id="165" w:name="_Ref467307204"/>
      <w:bookmarkStart w:id="166" w:name="_Toc520356175"/>
      <w:r>
        <w:rPr>
          <w:rFonts w:hint="eastAsia" w:ascii="宋体" w:hAnsi="宋体" w:eastAsia="宋体" w:cs="宋体"/>
          <w:sz w:val="28"/>
          <w:szCs w:val="28"/>
          <w:u w:val="none"/>
        </w:rPr>
        <w:t>30.签订合同</w:t>
      </w:r>
      <w:bookmarkEnd w:id="159"/>
      <w:bookmarkEnd w:id="160"/>
      <w:bookmarkEnd w:id="161"/>
      <w:bookmarkEnd w:id="162"/>
      <w:bookmarkEnd w:id="163"/>
      <w:bookmarkEnd w:id="164"/>
      <w:bookmarkEnd w:id="165"/>
      <w:bookmarkEnd w:id="166"/>
    </w:p>
    <w:p w14:paraId="242E700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30.1</w:t>
      </w:r>
      <w:r>
        <w:rPr>
          <w:rFonts w:hint="eastAsia" w:ascii="宋体" w:hAnsi="宋体" w:eastAsia="宋体" w:cs="宋体"/>
          <w:sz w:val="28"/>
          <w:szCs w:val="28"/>
        </w:rPr>
        <w:tab/>
      </w:r>
      <w:r>
        <w:rPr>
          <w:rFonts w:hint="eastAsia" w:ascii="宋体" w:hAnsi="宋体" w:eastAsia="宋体" w:cs="宋体"/>
          <w:sz w:val="28"/>
          <w:szCs w:val="28"/>
        </w:rPr>
        <w:t>中标人应当自发出中标通知书之日起30日内，与采购人签订合同。</w:t>
      </w:r>
    </w:p>
    <w:p w14:paraId="6688D31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30.2</w:t>
      </w:r>
      <w:r>
        <w:rPr>
          <w:rFonts w:hint="eastAsia" w:ascii="宋体" w:hAnsi="宋体" w:eastAsia="宋体" w:cs="宋体"/>
          <w:sz w:val="28"/>
          <w:szCs w:val="28"/>
        </w:rPr>
        <w:tab/>
      </w:r>
      <w:bookmarkStart w:id="167" w:name="_Ref467307090"/>
      <w:bookmarkStart w:id="168" w:name="_Toc520356176"/>
      <w:bookmarkStart w:id="169" w:name="_Ref467306425"/>
      <w:r>
        <w:rPr>
          <w:rFonts w:hint="eastAsia" w:ascii="宋体" w:hAnsi="宋体" w:eastAsia="宋体" w:cs="宋体"/>
          <w:sz w:val="28"/>
          <w:szCs w:val="28"/>
          <w:lang w:eastAsia="zh-CN"/>
        </w:rPr>
        <w:t>采购文件</w:t>
      </w:r>
      <w:r>
        <w:rPr>
          <w:rFonts w:hint="eastAsia" w:ascii="宋体" w:hAnsi="宋体" w:eastAsia="宋体" w:cs="宋体"/>
          <w:sz w:val="28"/>
          <w:szCs w:val="28"/>
        </w:rPr>
        <w:t>、中标人的投标文件及其澄清文件等，均为签订合同的依据。</w:t>
      </w:r>
    </w:p>
    <w:p w14:paraId="2D22AF1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30.3   中标人拒绝与采购人签订合同的，采购人可以按照评审报告推荐的中标候选人名单排序，确定下一中标候选人为中标人，也可以重新开展政府采购活动。</w:t>
      </w:r>
    </w:p>
    <w:p w14:paraId="709010C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30.4   当出现法规规定的</w:t>
      </w:r>
      <w:r>
        <w:rPr>
          <w:rFonts w:hint="eastAsia" w:ascii="宋体" w:hAnsi="宋体" w:eastAsia="宋体" w:cs="宋体"/>
          <w:b/>
          <w:sz w:val="28"/>
          <w:szCs w:val="28"/>
        </w:rPr>
        <w:t>中标无效或中标结果无效</w:t>
      </w:r>
      <w:r>
        <w:rPr>
          <w:rFonts w:hint="eastAsia" w:ascii="宋体" w:hAnsi="宋体" w:eastAsia="宋体" w:cs="宋体"/>
          <w:sz w:val="28"/>
          <w:szCs w:val="28"/>
        </w:rPr>
        <w:t>情形时，采购人可与排名下一位的中标候选人另行签订合同，或依法重新开展采购活动。</w:t>
      </w:r>
    </w:p>
    <w:p w14:paraId="7CCADCC4">
      <w:pPr>
        <w:pStyle w:val="4"/>
        <w:spacing w:before="0" w:after="0" w:line="240" w:lineRule="atLeast"/>
        <w:rPr>
          <w:rFonts w:hint="eastAsia" w:ascii="宋体" w:hAnsi="宋体" w:eastAsia="宋体" w:cs="宋体"/>
          <w:sz w:val="28"/>
          <w:szCs w:val="28"/>
          <w:u w:val="none"/>
        </w:rPr>
      </w:pPr>
      <w:bookmarkStart w:id="170" w:name="_Toc10591"/>
      <w:bookmarkStart w:id="171" w:name="_Toc31323"/>
      <w:bookmarkStart w:id="172" w:name="_Toc518923097"/>
      <w:r>
        <w:rPr>
          <w:rFonts w:hint="eastAsia" w:ascii="宋体" w:hAnsi="宋体" w:eastAsia="宋体" w:cs="宋体"/>
          <w:sz w:val="28"/>
          <w:szCs w:val="28"/>
          <w:u w:val="none"/>
        </w:rPr>
        <w:t>31.履约保证金</w:t>
      </w:r>
      <w:bookmarkEnd w:id="167"/>
      <w:bookmarkEnd w:id="168"/>
      <w:bookmarkEnd w:id="169"/>
      <w:bookmarkEnd w:id="170"/>
      <w:bookmarkEnd w:id="171"/>
      <w:bookmarkEnd w:id="172"/>
    </w:p>
    <w:p w14:paraId="0D22072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31.1</w:t>
      </w:r>
      <w:r>
        <w:rPr>
          <w:rFonts w:hint="eastAsia" w:ascii="宋体" w:hAnsi="宋体" w:eastAsia="宋体" w:cs="宋体"/>
          <w:sz w:val="28"/>
          <w:szCs w:val="28"/>
        </w:rPr>
        <w:tab/>
      </w:r>
      <w:r>
        <w:rPr>
          <w:rFonts w:hint="eastAsia" w:ascii="宋体" w:hAnsi="宋体" w:eastAsia="宋体" w:cs="宋体"/>
          <w:sz w:val="28"/>
          <w:szCs w:val="28"/>
        </w:rPr>
        <w:t>中标人应按照</w:t>
      </w:r>
      <w:r>
        <w:rPr>
          <w:rFonts w:hint="eastAsia" w:ascii="宋体" w:hAnsi="宋体" w:eastAsia="宋体" w:cs="宋体"/>
          <w:sz w:val="28"/>
          <w:szCs w:val="28"/>
          <w:u w:val="single"/>
        </w:rPr>
        <w:t>投标人须知资料表</w:t>
      </w:r>
      <w:r>
        <w:rPr>
          <w:rFonts w:hint="eastAsia" w:ascii="宋体" w:hAnsi="宋体" w:eastAsia="宋体" w:cs="宋体"/>
          <w:sz w:val="28"/>
          <w:szCs w:val="28"/>
        </w:rPr>
        <w:t>规定向采购人缴纳履约保证金。</w:t>
      </w:r>
    </w:p>
    <w:p w14:paraId="0524B09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31.2</w:t>
      </w:r>
      <w:r>
        <w:rPr>
          <w:rFonts w:hint="eastAsia" w:ascii="宋体" w:hAnsi="宋体" w:eastAsia="宋体" w:cs="宋体"/>
          <w:sz w:val="28"/>
          <w:szCs w:val="28"/>
        </w:rPr>
        <w:tab/>
      </w:r>
      <w:r>
        <w:rPr>
          <w:rFonts w:hint="eastAsia" w:ascii="宋体" w:hAnsi="宋体" w:eastAsia="宋体" w:cs="宋体"/>
          <w:sz w:val="28"/>
          <w:szCs w:val="28"/>
        </w:rPr>
        <w:t>政府采购利用担保试点范围内的项目，除31.1规定的情形外，中标人也可以按照财政部门的规定，向采购人提供合格的履约担保函（格式见本章附件</w:t>
      </w:r>
      <w:r>
        <w:rPr>
          <w:rFonts w:hint="eastAsia" w:ascii="宋体" w:hAnsi="宋体" w:eastAsia="宋体" w:cs="宋体"/>
          <w:sz w:val="28"/>
          <w:szCs w:val="28"/>
          <w:lang w:val="en-US" w:eastAsia="zh-CN"/>
        </w:rPr>
        <w:t>1</w:t>
      </w:r>
      <w:r>
        <w:rPr>
          <w:rFonts w:hint="eastAsia" w:ascii="宋体" w:hAnsi="宋体" w:eastAsia="宋体" w:cs="宋体"/>
          <w:sz w:val="28"/>
          <w:szCs w:val="28"/>
        </w:rPr>
        <w:t>）。</w:t>
      </w:r>
    </w:p>
    <w:p w14:paraId="48E46FC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31.3   如果中标人没有按照上述履约保证金的规定执行，将视为放弃中标资格，中标人的投标保证金将不予退还。在此情况下，采购人可确定下一候选人为中标人，也可以重新开展采购活动。</w:t>
      </w:r>
    </w:p>
    <w:p w14:paraId="20C4914B">
      <w:pPr>
        <w:pStyle w:val="4"/>
        <w:spacing w:before="0" w:after="0" w:line="240" w:lineRule="atLeast"/>
        <w:rPr>
          <w:rFonts w:hint="eastAsia" w:ascii="宋体" w:hAnsi="宋体" w:eastAsia="宋体" w:cs="宋体"/>
          <w:sz w:val="28"/>
          <w:szCs w:val="28"/>
          <w:u w:val="none"/>
        </w:rPr>
      </w:pPr>
      <w:bookmarkStart w:id="173" w:name="_Toc32593"/>
      <w:bookmarkStart w:id="174" w:name="_Toc518923098"/>
      <w:bookmarkStart w:id="175" w:name="_Toc9590"/>
      <w:r>
        <w:rPr>
          <w:rFonts w:hint="eastAsia" w:ascii="宋体" w:hAnsi="宋体" w:eastAsia="宋体" w:cs="宋体"/>
          <w:sz w:val="28"/>
          <w:szCs w:val="28"/>
          <w:u w:val="none"/>
        </w:rPr>
        <w:t>32.中标服务费</w:t>
      </w:r>
      <w:bookmarkEnd w:id="173"/>
      <w:bookmarkEnd w:id="174"/>
      <w:bookmarkEnd w:id="175"/>
    </w:p>
    <w:p w14:paraId="05A62B7E">
      <w:pPr>
        <w:spacing w:line="240" w:lineRule="atLeast"/>
        <w:ind w:left="910" w:leftChars="200" w:hanging="490" w:hangingChars="175"/>
        <w:rPr>
          <w:rFonts w:hint="eastAsia" w:ascii="宋体" w:hAnsi="宋体" w:eastAsia="宋体" w:cs="宋体"/>
          <w:sz w:val="28"/>
          <w:szCs w:val="28"/>
        </w:rPr>
      </w:pPr>
      <w:r>
        <w:rPr>
          <w:rFonts w:hint="eastAsia" w:ascii="宋体" w:hAnsi="宋体" w:eastAsia="宋体" w:cs="宋体"/>
          <w:sz w:val="28"/>
          <w:szCs w:val="28"/>
        </w:rPr>
        <w:t xml:space="preserve">   中标人须按照</w:t>
      </w:r>
      <w:r>
        <w:rPr>
          <w:rFonts w:hint="eastAsia" w:ascii="宋体" w:hAnsi="宋体" w:eastAsia="宋体" w:cs="宋体"/>
          <w:sz w:val="28"/>
          <w:szCs w:val="28"/>
          <w:u w:val="single"/>
        </w:rPr>
        <w:t>投标须知资料表</w:t>
      </w:r>
      <w:r>
        <w:rPr>
          <w:rFonts w:hint="eastAsia" w:ascii="宋体" w:hAnsi="宋体" w:eastAsia="宋体" w:cs="宋体"/>
          <w:sz w:val="28"/>
          <w:szCs w:val="28"/>
        </w:rPr>
        <w:t>规定，向采购代理机构支付中标服务费。</w:t>
      </w:r>
    </w:p>
    <w:p w14:paraId="455752A3">
      <w:pPr>
        <w:pStyle w:val="4"/>
        <w:spacing w:before="0" w:after="0" w:line="240" w:lineRule="atLeast"/>
        <w:rPr>
          <w:rFonts w:hint="eastAsia" w:ascii="宋体" w:hAnsi="宋体" w:eastAsia="宋体" w:cs="宋体"/>
          <w:sz w:val="28"/>
          <w:szCs w:val="28"/>
          <w:u w:val="none"/>
        </w:rPr>
      </w:pPr>
      <w:bookmarkStart w:id="176" w:name="_Toc28232"/>
      <w:bookmarkStart w:id="177" w:name="_Toc15631"/>
      <w:bookmarkStart w:id="178" w:name="_Toc518923099"/>
      <w:r>
        <w:rPr>
          <w:rFonts w:hint="eastAsia" w:ascii="宋体" w:hAnsi="宋体" w:eastAsia="宋体" w:cs="宋体"/>
          <w:sz w:val="28"/>
          <w:szCs w:val="28"/>
          <w:u w:val="none"/>
        </w:rPr>
        <w:t>33.政府采购信用担保</w:t>
      </w:r>
      <w:bookmarkEnd w:id="176"/>
      <w:bookmarkEnd w:id="177"/>
      <w:bookmarkEnd w:id="178"/>
    </w:p>
    <w:p w14:paraId="1169B6F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33.1   本项目是否属于信用担保试点范围见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4A788908">
      <w:pPr>
        <w:spacing w:line="240" w:lineRule="atLeast"/>
        <w:ind w:left="991" w:hanging="991" w:hangingChars="354"/>
        <w:rPr>
          <w:rFonts w:hint="eastAsia" w:ascii="宋体" w:hAnsi="宋体" w:eastAsia="宋体" w:cs="宋体"/>
          <w:sz w:val="28"/>
          <w:szCs w:val="28"/>
        </w:rPr>
      </w:pPr>
      <w:r>
        <w:rPr>
          <w:rFonts w:hint="eastAsia" w:ascii="宋体" w:hAnsi="宋体" w:eastAsia="宋体" w:cs="宋体"/>
          <w:sz w:val="28"/>
          <w:szCs w:val="28"/>
        </w:rPr>
        <w:t>33.2   如属于政府采购信用担保试点范围内，中小型企业投标人可以自由按照财政部门的规定，采用投标担保、履约担保和融资担保。</w:t>
      </w:r>
    </w:p>
    <w:p w14:paraId="3F7EE36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33.2.1 投标人递交的投标担保函和履约担保函应符合本</w:t>
      </w:r>
      <w:r>
        <w:rPr>
          <w:rFonts w:hint="eastAsia" w:ascii="宋体" w:hAnsi="宋体" w:eastAsia="宋体" w:cs="宋体"/>
          <w:sz w:val="28"/>
          <w:szCs w:val="28"/>
          <w:lang w:eastAsia="zh-CN"/>
        </w:rPr>
        <w:t>采购文件</w:t>
      </w:r>
      <w:r>
        <w:rPr>
          <w:rFonts w:hint="eastAsia" w:ascii="宋体" w:hAnsi="宋体" w:eastAsia="宋体" w:cs="宋体"/>
          <w:sz w:val="28"/>
          <w:szCs w:val="28"/>
        </w:rPr>
        <w:t>的规定。</w:t>
      </w:r>
    </w:p>
    <w:p w14:paraId="0B83708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33.2.2 中标人可以采取融资担保的形式为政府采购项目履约进行融资。</w:t>
      </w:r>
    </w:p>
    <w:p w14:paraId="4BDCC9F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33.2.3 合格的政府采购专业信用担保机构见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0013237D">
      <w:pPr>
        <w:pStyle w:val="4"/>
        <w:spacing w:before="0" w:after="0" w:line="240" w:lineRule="atLeast"/>
        <w:rPr>
          <w:rFonts w:hint="eastAsia" w:ascii="宋体" w:hAnsi="宋体" w:eastAsia="宋体" w:cs="宋体"/>
          <w:sz w:val="28"/>
          <w:szCs w:val="28"/>
          <w:u w:val="none"/>
        </w:rPr>
      </w:pPr>
      <w:bookmarkStart w:id="179" w:name="_Toc26042"/>
      <w:bookmarkStart w:id="180" w:name="_Toc15149"/>
      <w:bookmarkStart w:id="181" w:name="_Toc518923100"/>
      <w:r>
        <w:rPr>
          <w:rFonts w:hint="eastAsia" w:ascii="宋体" w:hAnsi="宋体" w:eastAsia="宋体" w:cs="宋体"/>
          <w:sz w:val="28"/>
          <w:szCs w:val="28"/>
          <w:u w:val="none"/>
        </w:rPr>
        <w:t>34.廉洁自律规定</w:t>
      </w:r>
      <w:bookmarkEnd w:id="179"/>
      <w:bookmarkEnd w:id="180"/>
      <w:bookmarkEnd w:id="181"/>
    </w:p>
    <w:p w14:paraId="1B22E7A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34.1   采购代理机构工作人员不得以不正当手段获取政府采购代理业务，不得与采购人、投标人恶意串通操纵政府采购活动。</w:t>
      </w:r>
    </w:p>
    <w:p w14:paraId="588DD19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34.2   采购代理机构工作人员不得接受采购人或者投标人组织的宴请、旅游、娱乐，不得收受礼品、现金、有价证券等，不得向采购人或者投标人报销应当由个人承担的费用。</w:t>
      </w:r>
    </w:p>
    <w:p w14:paraId="47AA2C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34.3   为强化采购代理机构内部监督机制，投标人可按</w:t>
      </w:r>
      <w:r>
        <w:rPr>
          <w:rFonts w:hint="eastAsia" w:ascii="宋体" w:hAnsi="宋体" w:eastAsia="宋体" w:cs="宋体"/>
          <w:sz w:val="28"/>
          <w:szCs w:val="28"/>
          <w:u w:val="single"/>
        </w:rPr>
        <w:t>投标人须知资料表中的</w:t>
      </w:r>
      <w:r>
        <w:rPr>
          <w:rFonts w:hint="eastAsia" w:ascii="宋体" w:hAnsi="宋体" w:eastAsia="宋体" w:cs="宋体"/>
          <w:sz w:val="28"/>
          <w:szCs w:val="28"/>
        </w:rPr>
        <w:t>监督电话和信箱，反映采购代理机构的廉洁自律等问题。</w:t>
      </w:r>
    </w:p>
    <w:p w14:paraId="68E4DF0E">
      <w:pPr>
        <w:pStyle w:val="4"/>
        <w:spacing w:before="0" w:after="0" w:line="240" w:lineRule="atLeast"/>
        <w:rPr>
          <w:rFonts w:hint="eastAsia" w:ascii="宋体" w:hAnsi="宋体" w:eastAsia="宋体" w:cs="宋体"/>
          <w:sz w:val="28"/>
          <w:szCs w:val="28"/>
          <w:u w:val="none"/>
        </w:rPr>
      </w:pPr>
      <w:bookmarkStart w:id="182" w:name="_Toc11975"/>
      <w:bookmarkStart w:id="183" w:name="_Toc518923101"/>
      <w:bookmarkStart w:id="184" w:name="_Toc660"/>
      <w:r>
        <w:rPr>
          <w:rFonts w:hint="eastAsia" w:ascii="宋体" w:hAnsi="宋体" w:eastAsia="宋体" w:cs="宋体"/>
          <w:sz w:val="28"/>
          <w:szCs w:val="28"/>
          <w:u w:val="none"/>
        </w:rPr>
        <w:t>35.人员回避</w:t>
      </w:r>
      <w:bookmarkEnd w:id="182"/>
      <w:bookmarkEnd w:id="183"/>
      <w:bookmarkEnd w:id="184"/>
    </w:p>
    <w:p w14:paraId="11235EB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       投标人认为采购人员及其相关人员有法律法规所列与其他投标人有利害关系的，可以向采购人或采购代理机构书面提出回避申请，并说明理由。</w:t>
      </w:r>
    </w:p>
    <w:p w14:paraId="2E45DCF9">
      <w:pPr>
        <w:pStyle w:val="4"/>
        <w:spacing w:before="0" w:after="0" w:line="240" w:lineRule="atLeast"/>
        <w:rPr>
          <w:rFonts w:hint="eastAsia" w:ascii="宋体" w:hAnsi="宋体" w:eastAsia="宋体" w:cs="宋体"/>
          <w:sz w:val="28"/>
          <w:szCs w:val="28"/>
          <w:u w:val="none"/>
        </w:rPr>
      </w:pPr>
      <w:bookmarkStart w:id="185" w:name="_Toc28615"/>
      <w:bookmarkStart w:id="186" w:name="_Toc102"/>
      <w:bookmarkStart w:id="187" w:name="_Toc11115"/>
      <w:bookmarkStart w:id="188" w:name="_Toc1148"/>
      <w:bookmarkStart w:id="189" w:name="_Toc5666"/>
      <w:bookmarkStart w:id="190" w:name="_Toc515647798"/>
      <w:r>
        <w:rPr>
          <w:rFonts w:hint="eastAsia" w:ascii="宋体" w:hAnsi="宋体" w:eastAsia="宋体" w:cs="宋体"/>
          <w:sz w:val="28"/>
          <w:szCs w:val="28"/>
          <w:u w:val="none"/>
        </w:rPr>
        <w:t>36.质疑与接收</w:t>
      </w:r>
      <w:bookmarkEnd w:id="185"/>
      <w:bookmarkEnd w:id="186"/>
      <w:bookmarkEnd w:id="187"/>
      <w:bookmarkEnd w:id="188"/>
      <w:bookmarkEnd w:id="189"/>
      <w:bookmarkEnd w:id="190"/>
    </w:p>
    <w:p w14:paraId="1D5512F6">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36.1  投标人认为</w:t>
      </w:r>
      <w:r>
        <w:rPr>
          <w:rFonts w:hint="eastAsia" w:ascii="宋体" w:hAnsi="宋体" w:eastAsia="宋体" w:cs="宋体"/>
          <w:sz w:val="28"/>
          <w:szCs w:val="28"/>
          <w:lang w:eastAsia="zh-CN"/>
        </w:rPr>
        <w:t>采购文件</w:t>
      </w:r>
      <w:r>
        <w:rPr>
          <w:rFonts w:hint="eastAsia" w:ascii="宋体" w:hAnsi="宋体" w:eastAsia="宋体" w:cs="宋体"/>
          <w:sz w:val="28"/>
          <w:szCs w:val="28"/>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027BDA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36.2  质疑投标人应按照财政部制定的《政府采购质疑函范本》格式（可从财政部官方网站下载）和《政府采购质疑和投诉办法》的要求，在法定质疑期内以纸质形式提出质疑，针对同一采购程序环节的质疑应一次性提出。</w:t>
      </w:r>
    </w:p>
    <w:p w14:paraId="4CFC400D">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超出法定质疑期的、重复提出的、分次提出的或内容、形式不符合《政府采购质疑和投诉办法》的，质疑投标人将依法承担不利后果。</w:t>
      </w:r>
    </w:p>
    <w:p w14:paraId="0000E45F">
      <w:pPr>
        <w:spacing w:line="240" w:lineRule="atLeast"/>
        <w:ind w:left="840" w:hanging="840" w:hangingChars="300"/>
        <w:rPr>
          <w:rFonts w:hint="eastAsia" w:ascii="宋体" w:hAnsi="宋体" w:eastAsia="宋体" w:cs="宋体"/>
          <w:sz w:val="28"/>
          <w:szCs w:val="28"/>
          <w:u w:val="single"/>
        </w:rPr>
      </w:pPr>
      <w:r>
        <w:rPr>
          <w:rFonts w:hint="eastAsia" w:ascii="宋体" w:hAnsi="宋体" w:eastAsia="宋体" w:cs="宋体"/>
          <w:sz w:val="28"/>
          <w:szCs w:val="28"/>
        </w:rPr>
        <w:t>36.3  采购代理机构质疑函接收部门、联系电话和通讯地址, 见</w:t>
      </w:r>
      <w:r>
        <w:rPr>
          <w:rFonts w:hint="eastAsia" w:ascii="宋体" w:hAnsi="宋体" w:eastAsia="宋体" w:cs="宋体"/>
          <w:sz w:val="28"/>
          <w:szCs w:val="28"/>
          <w:u w:val="single"/>
        </w:rPr>
        <w:t>投标人须知资料表。</w:t>
      </w:r>
    </w:p>
    <w:p w14:paraId="70720B84">
      <w:pPr>
        <w:spacing w:line="240" w:lineRule="atLeast"/>
        <w:rPr>
          <w:rFonts w:hint="eastAsia" w:ascii="宋体" w:hAnsi="宋体" w:eastAsia="宋体" w:cs="宋体"/>
          <w:b/>
          <w:kern w:val="0"/>
          <w:sz w:val="28"/>
          <w:szCs w:val="28"/>
          <w:u w:val="none"/>
          <w:lang w:val="en-US" w:eastAsia="zh-CN" w:bidi="ar-SA"/>
        </w:rPr>
      </w:pPr>
      <w:r>
        <w:rPr>
          <w:rFonts w:hint="eastAsia" w:ascii="宋体" w:hAnsi="宋体" w:eastAsia="宋体" w:cs="宋体"/>
          <w:b/>
          <w:kern w:val="0"/>
          <w:sz w:val="28"/>
          <w:szCs w:val="28"/>
          <w:u w:val="none"/>
          <w:lang w:val="en-US" w:eastAsia="zh-CN" w:bidi="ar-SA"/>
        </w:rPr>
        <w:t>37.质疑的提出</w:t>
      </w:r>
    </w:p>
    <w:p w14:paraId="1223934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37.1</w:t>
      </w:r>
      <w:r>
        <w:rPr>
          <w:rFonts w:hint="eastAsia" w:ascii="宋体" w:hAnsi="宋体" w:eastAsia="宋体" w:cs="宋体"/>
          <w:sz w:val="28"/>
          <w:szCs w:val="28"/>
        </w:rPr>
        <w:t xml:space="preserve">  本采购文件中所称质疑及答复，是指参加本次采购活动的投标人对政府采购活动中的采购文件、采购过程和成交结果向采购方提出质疑，采购方答复质疑的行为。</w:t>
      </w:r>
    </w:p>
    <w:p w14:paraId="378BF3E2">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37.2</w:t>
      </w:r>
      <w:r>
        <w:rPr>
          <w:rFonts w:hint="eastAsia" w:ascii="宋体" w:hAnsi="宋体" w:eastAsia="宋体" w:cs="宋体"/>
          <w:sz w:val="28"/>
          <w:szCs w:val="28"/>
        </w:rPr>
        <w:t xml:space="preserve">  投标人认为采购文件、采购过程和成交结果使自己的权益受到损害的，可以在知道或者应知其权益受到损害之日起7个工作日内，以书面形式向采购方提出质疑。投标人应知其权益受到损害之日，是指：</w:t>
      </w:r>
    </w:p>
    <w:p w14:paraId="2DA94D0F">
      <w:pPr>
        <w:spacing w:line="240" w:lineRule="atLeast"/>
        <w:ind w:left="838" w:leftChars="399"/>
        <w:rPr>
          <w:rFonts w:hint="eastAsia" w:ascii="宋体" w:hAnsi="宋体" w:eastAsia="宋体" w:cs="宋体"/>
          <w:sz w:val="28"/>
          <w:szCs w:val="28"/>
        </w:rPr>
      </w:pPr>
      <w:r>
        <w:rPr>
          <w:rFonts w:hint="eastAsia" w:ascii="宋体" w:hAnsi="宋体" w:eastAsia="宋体" w:cs="宋体"/>
          <w:sz w:val="28"/>
          <w:szCs w:val="28"/>
        </w:rPr>
        <w:t>（一）对可以质疑的采购文件提出质疑的，为收到采购文件之日或者采购文件公告期限届满之日；</w:t>
      </w:r>
    </w:p>
    <w:p w14:paraId="12EEA133">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（二）对采购过程提出质疑的，为各采购程序环节结束之日；</w:t>
      </w:r>
    </w:p>
    <w:p w14:paraId="6B404E8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（三）对成交结果提出质疑的，为成交结果公告期限届满之日。</w:t>
      </w:r>
    </w:p>
    <w:p w14:paraId="5DAAC62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7.3</w:t>
      </w:r>
      <w:r>
        <w:rPr>
          <w:rFonts w:hint="eastAsia" w:ascii="宋体" w:hAnsi="宋体" w:eastAsia="宋体" w:cs="宋体"/>
          <w:sz w:val="28"/>
          <w:szCs w:val="28"/>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4064C176">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37.4</w:t>
      </w:r>
      <w:r>
        <w:rPr>
          <w:rFonts w:hint="eastAsia" w:ascii="宋体" w:hAnsi="宋体" w:eastAsia="宋体" w:cs="宋体"/>
          <w:sz w:val="28"/>
          <w:szCs w:val="28"/>
        </w:rPr>
        <w:t xml:space="preserve">  对采购过程和成交结果提出质疑的，质疑人为直接参与本项目的报价方。采购过程,即从采购项目信息公告发布起到成交结果公告止，包括采购文件的发出、提交投标文件、投标文件开启、评审等各个采购程序环节。</w:t>
      </w:r>
    </w:p>
    <w:p w14:paraId="3B6D85E4">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37.5</w:t>
      </w:r>
      <w:r>
        <w:rPr>
          <w:rFonts w:hint="eastAsia" w:ascii="宋体" w:hAnsi="宋体" w:eastAsia="宋体" w:cs="宋体"/>
          <w:sz w:val="28"/>
          <w:szCs w:val="28"/>
        </w:rPr>
        <w:t xml:space="preserve">  提出质疑应当符合下列条件：</w:t>
      </w:r>
    </w:p>
    <w:p w14:paraId="27244A8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（一）质疑主体应当符合有关规定；</w:t>
      </w:r>
    </w:p>
    <w:p w14:paraId="4E32EB53">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（二）在质疑法定期限内提出；</w:t>
      </w:r>
    </w:p>
    <w:p w14:paraId="62F333F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（三）属于可以提出质疑的政府采购事项受理范围和本项目采购人的管辖权范围；</w:t>
      </w:r>
    </w:p>
    <w:p w14:paraId="7B2C1B2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（四）政府采购法律、法规、规章规定的其他条件。</w:t>
      </w:r>
    </w:p>
    <w:p w14:paraId="6B23A871">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37.6</w:t>
      </w:r>
      <w:r>
        <w:rPr>
          <w:rFonts w:hint="eastAsia" w:ascii="宋体" w:hAnsi="宋体" w:eastAsia="宋体" w:cs="宋体"/>
          <w:sz w:val="28"/>
          <w:szCs w:val="28"/>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706A6A8">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37.7</w:t>
      </w:r>
      <w:r>
        <w:rPr>
          <w:rFonts w:hint="eastAsia" w:ascii="宋体" w:hAnsi="宋体" w:eastAsia="宋体" w:cs="宋体"/>
          <w:sz w:val="28"/>
          <w:szCs w:val="28"/>
        </w:rPr>
        <w:t xml:space="preserve">  质疑人所提供的证明材料应当具有真实性、合法性以及与质疑事项的关联性和证明力，否则不能作为认定该质疑事项成立的依据。</w:t>
      </w:r>
    </w:p>
    <w:p w14:paraId="414766FD">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37.8</w:t>
      </w:r>
      <w:r>
        <w:rPr>
          <w:rFonts w:hint="eastAsia" w:ascii="宋体" w:hAnsi="宋体" w:eastAsia="宋体" w:cs="宋体"/>
          <w:sz w:val="28"/>
          <w:szCs w:val="28"/>
        </w:rPr>
        <w:t xml:space="preserve"> 质疑人提出质疑时应当提交质疑函。质疑函包括下列内容：</w:t>
      </w:r>
    </w:p>
    <w:p w14:paraId="31892B4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（一）提出质疑的质疑人的名称、地址、邮编、联系人及联系电话等；</w:t>
      </w:r>
    </w:p>
    <w:p w14:paraId="68B9361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（二）质疑项目的名称、编号；</w:t>
      </w:r>
    </w:p>
    <w:p w14:paraId="47278860">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（三）质疑事项；</w:t>
      </w:r>
    </w:p>
    <w:p w14:paraId="0807185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（四）事实依据和证明材料；</w:t>
      </w:r>
    </w:p>
    <w:p w14:paraId="3202778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（五）法律依据；</w:t>
      </w:r>
    </w:p>
    <w:p w14:paraId="2340A71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（六）提出质疑的日期。</w:t>
      </w:r>
    </w:p>
    <w:p w14:paraId="7FD6597E">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108544F8">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37.9</w:t>
      </w:r>
      <w:r>
        <w:rPr>
          <w:rFonts w:hint="eastAsia" w:ascii="宋体" w:hAnsi="宋体" w:eastAsia="宋体" w:cs="宋体"/>
          <w:sz w:val="28"/>
          <w:szCs w:val="28"/>
        </w:rPr>
        <w:t xml:space="preserve">  质疑人可以委托代理人进行质疑。代理人应当提交授权委托书。授权委托书应当载明委托代理的具体权限、期限和相关事项。</w:t>
      </w:r>
    </w:p>
    <w:p w14:paraId="06D9E48E">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37.10</w:t>
      </w:r>
      <w:r>
        <w:rPr>
          <w:rFonts w:hint="eastAsia" w:ascii="宋体" w:hAnsi="宋体" w:eastAsia="宋体" w:cs="宋体"/>
          <w:sz w:val="28"/>
          <w:szCs w:val="28"/>
        </w:rPr>
        <w:t xml:space="preserve">  质疑的审查和受理</w:t>
      </w:r>
    </w:p>
    <w:p w14:paraId="0C47954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采购方在收到质疑函后应当及时审查是否符合质疑受理条件，对符合质疑受理条件的，及时予以受理。</w:t>
      </w:r>
    </w:p>
    <w:p w14:paraId="0F8C29C8">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37.11</w:t>
      </w:r>
      <w:r>
        <w:rPr>
          <w:rFonts w:hint="eastAsia" w:ascii="宋体" w:hAnsi="宋体" w:eastAsia="宋体" w:cs="宋体"/>
          <w:sz w:val="28"/>
          <w:szCs w:val="28"/>
        </w:rPr>
        <w:t xml:space="preserve">  对不符合质疑受理条件的，分别按照下列不同情形予以处理：</w:t>
      </w:r>
    </w:p>
    <w:p w14:paraId="009B7E0D">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（一）质疑函内容不符合规定的，告知质疑人进行修改并重新提出质疑。修改后质疑事项仍不具体、不明确或者最终递交质疑函的时间超过质疑法定期限的，不予受理；</w:t>
      </w:r>
    </w:p>
    <w:p w14:paraId="58D8FB62">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（二）质疑主体不符合有关规定的，告知质疑人不予受理；</w:t>
      </w:r>
    </w:p>
    <w:p w14:paraId="5985BA4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（三）超过质疑法定期限提出质疑的，告知质疑人不予受理；</w:t>
      </w:r>
    </w:p>
    <w:p w14:paraId="431FCD2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（四）对不属于可以提出质疑的政府采购事项提出质疑的，告知质疑人不予受理；</w:t>
      </w:r>
    </w:p>
    <w:p w14:paraId="4E39F13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（五）质疑不属于本项目采购方管辖的，告知质疑人向有管辖权的采购人提出质疑；</w:t>
      </w:r>
    </w:p>
    <w:p w14:paraId="1CDD8A47">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（六）质疑不符合其他条件的，告知质疑人不予受理。</w:t>
      </w:r>
    </w:p>
    <w:p w14:paraId="5353C5B5">
      <w:pPr>
        <w:spacing w:line="240" w:lineRule="atLeast"/>
        <w:rPr>
          <w:rFonts w:hint="eastAsia" w:ascii="宋体" w:hAnsi="宋体" w:eastAsia="宋体" w:cs="宋体"/>
          <w:b/>
          <w:bCs/>
          <w:sz w:val="28"/>
          <w:szCs w:val="28"/>
        </w:rPr>
      </w:pPr>
      <w:r>
        <w:rPr>
          <w:rFonts w:hint="eastAsia" w:ascii="宋体" w:hAnsi="宋体" w:eastAsia="宋体" w:cs="宋体"/>
          <w:b/>
          <w:bCs/>
          <w:sz w:val="28"/>
          <w:szCs w:val="28"/>
          <w:lang w:val="en-US" w:eastAsia="zh-CN"/>
        </w:rPr>
        <w:t>38.</w:t>
      </w:r>
      <w:r>
        <w:rPr>
          <w:rFonts w:hint="eastAsia" w:ascii="宋体" w:hAnsi="宋体" w:eastAsia="宋体" w:cs="宋体"/>
          <w:b/>
          <w:bCs/>
          <w:sz w:val="28"/>
          <w:szCs w:val="28"/>
        </w:rPr>
        <w:t>质疑的处理和答复</w:t>
      </w:r>
    </w:p>
    <w:p w14:paraId="0F9DBCD4">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38.1</w:t>
      </w:r>
      <w:r>
        <w:rPr>
          <w:rFonts w:hint="eastAsia" w:ascii="宋体" w:hAnsi="宋体" w:eastAsia="宋体" w:cs="宋体"/>
          <w:sz w:val="28"/>
          <w:szCs w:val="28"/>
        </w:rPr>
        <w:t xml:space="preserve">  采购方受理质疑后，将及时把质疑函发送给被质疑人，并要求其在一定限期人提交书面答复，同时提供有关证据、依据和相关材料。</w:t>
      </w:r>
    </w:p>
    <w:p w14:paraId="37673850">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38.2</w:t>
      </w:r>
      <w:r>
        <w:rPr>
          <w:rFonts w:hint="eastAsia" w:ascii="宋体" w:hAnsi="宋体" w:eastAsia="宋体" w:cs="宋体"/>
          <w:sz w:val="28"/>
          <w:szCs w:val="28"/>
        </w:rPr>
        <w:t xml:space="preserve">  对于质疑事项中涉及的问题较多、情况比较复杂的，为了全面查清事实、取得充分的证据，采购方认为有必要时，可以进行调查取证或者组织质证。</w:t>
      </w:r>
    </w:p>
    <w:p w14:paraId="6A503AEF">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38.3</w:t>
      </w:r>
      <w:r>
        <w:rPr>
          <w:rFonts w:hint="eastAsia" w:ascii="宋体" w:hAnsi="宋体" w:eastAsia="宋体" w:cs="宋体"/>
          <w:sz w:val="28"/>
          <w:szCs w:val="28"/>
        </w:rPr>
        <w:t xml:space="preserve">  对评审过程、成交结果提出质疑的，采购方可以组织原评审委员会协助答复质疑。</w:t>
      </w:r>
    </w:p>
    <w:p w14:paraId="26FADEA0">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38.4</w:t>
      </w:r>
      <w:r>
        <w:rPr>
          <w:rFonts w:hint="eastAsia" w:ascii="宋体" w:hAnsi="宋体" w:eastAsia="宋体" w:cs="宋体"/>
          <w:sz w:val="28"/>
          <w:szCs w:val="28"/>
        </w:rPr>
        <w:t xml:space="preserve">  质疑处理过程中，质疑人书面申请撤回质疑的，将终止质疑处理程序。</w:t>
      </w:r>
    </w:p>
    <w:p w14:paraId="0B88D6B9">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38.5</w:t>
      </w:r>
      <w:r>
        <w:rPr>
          <w:rFonts w:hint="eastAsia" w:ascii="宋体" w:hAnsi="宋体" w:eastAsia="宋体" w:cs="宋体"/>
          <w:sz w:val="28"/>
          <w:szCs w:val="28"/>
        </w:rPr>
        <w:t xml:space="preserve">  质疑人拒绝配合采购方依法对质疑进行调查处理的，采购方将按质疑人自动撤回质疑处理；被质疑人拒绝配合采购方依法对质疑进行调查处理的，采购方将视同其认可质疑事项。</w:t>
      </w:r>
    </w:p>
    <w:p w14:paraId="146E4434">
      <w:pPr>
        <w:spacing w:line="360" w:lineRule="auto"/>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38.6</w:t>
      </w:r>
      <w:r>
        <w:rPr>
          <w:rFonts w:hint="eastAsia" w:ascii="宋体" w:hAnsi="宋体" w:eastAsia="宋体" w:cs="宋体"/>
          <w:sz w:val="28"/>
          <w:szCs w:val="28"/>
        </w:rPr>
        <w:t xml:space="preserve">  采购方将在正式受理质疑后7个工作日内作出答复。</w:t>
      </w:r>
    </w:p>
    <w:p w14:paraId="2A7ED26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38.7</w:t>
      </w:r>
      <w:r>
        <w:rPr>
          <w:rFonts w:hint="eastAsia" w:ascii="宋体" w:hAnsi="宋体" w:eastAsia="宋体" w:cs="宋体"/>
          <w:sz w:val="28"/>
          <w:szCs w:val="28"/>
        </w:rPr>
        <w:t xml:space="preserve">  采购方将书面答复质疑，质疑答复包括下列内容：</w:t>
      </w:r>
    </w:p>
    <w:p w14:paraId="4EDEC623">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（一）质疑人名称；</w:t>
      </w:r>
    </w:p>
    <w:p w14:paraId="3A5C94F2">
      <w:pPr>
        <w:spacing w:line="360" w:lineRule="auto"/>
        <w:ind w:left="851" w:leftChars="405" w:hanging="1"/>
        <w:rPr>
          <w:rFonts w:hint="eastAsia" w:ascii="宋体" w:hAnsi="宋体" w:eastAsia="宋体" w:cs="宋体"/>
          <w:sz w:val="28"/>
          <w:szCs w:val="28"/>
          <w:lang w:eastAsia="zh-CN"/>
        </w:rPr>
      </w:pPr>
      <w:r>
        <w:rPr>
          <w:rFonts w:hint="eastAsia" w:ascii="宋体" w:hAnsi="宋体" w:eastAsia="宋体" w:cs="宋体"/>
          <w:sz w:val="28"/>
          <w:szCs w:val="28"/>
        </w:rPr>
        <w:t>（二）收到质疑函的日期、质疑项目名称及编号</w:t>
      </w:r>
      <w:r>
        <w:rPr>
          <w:rFonts w:hint="eastAsia" w:ascii="宋体" w:hAnsi="宋体" w:eastAsia="宋体" w:cs="宋体"/>
          <w:sz w:val="28"/>
          <w:szCs w:val="28"/>
          <w:lang w:eastAsia="zh-CN"/>
        </w:rPr>
        <w:t>；</w:t>
      </w:r>
    </w:p>
    <w:p w14:paraId="6EDA4417">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(三)质疑事项、质疑答复的具体内容、事实依据和法律依据；</w:t>
      </w:r>
    </w:p>
    <w:p w14:paraId="14AF0312">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（四）告知质疑人依法投诉的权利；</w:t>
      </w:r>
    </w:p>
    <w:p w14:paraId="5EB5DA4F">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（五）质疑答复日期。</w:t>
      </w:r>
    </w:p>
    <w:p w14:paraId="2DE6F6C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38.8</w:t>
      </w:r>
      <w:r>
        <w:rPr>
          <w:rFonts w:hint="eastAsia" w:ascii="宋体" w:hAnsi="宋体" w:eastAsia="宋体" w:cs="宋体"/>
          <w:sz w:val="28"/>
          <w:szCs w:val="28"/>
        </w:rPr>
        <w:t xml:space="preserve">  质疑人有下列行为之一的，属于虚假、恶意质疑，将由采购方建议财政       </w:t>
      </w:r>
    </w:p>
    <w:p w14:paraId="49AC5C89">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部门将其列入不良行为记录名单，禁止其1至3年内参加政府采购活动：</w:t>
      </w:r>
    </w:p>
    <w:p w14:paraId="238D481D">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（一）捏造事实；</w:t>
      </w:r>
    </w:p>
    <w:p w14:paraId="1D203157">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（二）提供虚假材料；</w:t>
      </w:r>
    </w:p>
    <w:p w14:paraId="5D40B2F3">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（三）以非法手段取得证明材料或者无法提供证据的合法来源；</w:t>
      </w:r>
    </w:p>
    <w:p w14:paraId="17ABAC9E">
      <w:pPr>
        <w:spacing w:line="240" w:lineRule="atLeast"/>
        <w:ind w:left="900" w:hanging="1050" w:hangingChars="375"/>
        <w:rPr>
          <w:rFonts w:hint="eastAsia" w:ascii="仿宋_GB2312" w:hAnsi="宋体" w:eastAsia="仿宋_GB2312"/>
          <w:sz w:val="24"/>
        </w:rPr>
      </w:pPr>
      <w:r>
        <w:rPr>
          <w:rFonts w:hint="eastAsia" w:ascii="宋体" w:hAnsi="宋体" w:eastAsia="宋体" w:cs="宋体"/>
          <w:sz w:val="28"/>
          <w:szCs w:val="28"/>
        </w:rPr>
        <w:t>（四）法律法规规定的其他违法情形。</w:t>
      </w:r>
    </w:p>
    <w:p w14:paraId="52ACF009">
      <w:pPr>
        <w:jc w:val="center"/>
        <w:outlineLvl w:val="1"/>
        <w:rPr>
          <w:rFonts w:hint="eastAsia" w:ascii="宋体" w:hAnsi="宋体" w:eastAsia="宋体" w:cs="宋体"/>
          <w:b/>
          <w:bCs/>
          <w:sz w:val="24"/>
        </w:rPr>
      </w:pPr>
      <w:r>
        <w:rPr>
          <w:rFonts w:hint="eastAsia" w:ascii="仿宋_GB2312" w:hAnsi="宋体" w:eastAsia="仿宋_GB2312"/>
          <w:kern w:val="2"/>
          <w:szCs w:val="24"/>
        </w:rPr>
        <w:br w:type="page"/>
      </w:r>
      <w:bookmarkStart w:id="191" w:name="_Toc13540"/>
      <w:r>
        <w:rPr>
          <w:rFonts w:hint="eastAsia" w:ascii="宋体" w:hAnsi="宋体" w:eastAsia="宋体" w:cs="宋体"/>
          <w:b/>
          <w:bCs/>
          <w:sz w:val="24"/>
        </w:rPr>
        <w:t>质疑函范本</w:t>
      </w:r>
      <w:bookmarkEnd w:id="191"/>
    </w:p>
    <w:p w14:paraId="15947E40">
      <w:pPr>
        <w:keepNext w:val="0"/>
        <w:keepLines w:val="0"/>
        <w:pageBreakBefore w:val="0"/>
        <w:widowControl w:val="0"/>
        <w:kinsoku/>
        <w:wordWrap/>
        <w:overflowPunct/>
        <w:topLinePunct w:val="0"/>
        <w:autoSpaceDE/>
        <w:autoSpaceDN/>
        <w:bidi w:val="0"/>
        <w:adjustRightInd w:val="0"/>
        <w:snapToGrid w:val="0"/>
        <w:spacing w:before="312" w:beforeLines="100" w:line="440" w:lineRule="exact"/>
        <w:textAlignment w:val="auto"/>
        <w:rPr>
          <w:rFonts w:hint="eastAsia" w:ascii="宋体" w:hAnsi="宋体" w:eastAsia="宋体" w:cs="宋体"/>
          <w:bCs/>
          <w:sz w:val="24"/>
        </w:rPr>
      </w:pPr>
      <w:bookmarkStart w:id="192" w:name="_Toc24926"/>
      <w:bookmarkStart w:id="193" w:name="_Toc9491"/>
      <w:bookmarkStart w:id="194" w:name="_Toc7044"/>
      <w:bookmarkStart w:id="195" w:name="_Toc13218"/>
      <w:bookmarkStart w:id="196" w:name="_Toc32439"/>
      <w:bookmarkStart w:id="197" w:name="_Toc20504"/>
      <w:bookmarkStart w:id="198" w:name="_Toc31020"/>
      <w:bookmarkStart w:id="199" w:name="_Toc29534"/>
      <w:bookmarkStart w:id="200" w:name="_Toc28797"/>
      <w:r>
        <w:rPr>
          <w:rFonts w:hint="eastAsia" w:ascii="宋体" w:hAnsi="宋体" w:eastAsia="宋体" w:cs="宋体"/>
          <w:bCs/>
          <w:sz w:val="24"/>
        </w:rPr>
        <w:t>一、质疑供应商基本信息</w:t>
      </w:r>
      <w:bookmarkEnd w:id="192"/>
      <w:bookmarkEnd w:id="193"/>
      <w:bookmarkEnd w:id="194"/>
      <w:bookmarkEnd w:id="195"/>
      <w:bookmarkEnd w:id="196"/>
      <w:bookmarkEnd w:id="197"/>
      <w:bookmarkEnd w:id="198"/>
      <w:bookmarkEnd w:id="199"/>
      <w:bookmarkEnd w:id="200"/>
    </w:p>
    <w:p w14:paraId="65B2971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BD0E56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F3F1A0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B5B30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6C136DF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1096534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DCEA8D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01" w:name="_Toc20123"/>
      <w:bookmarkStart w:id="202" w:name="_Toc30222"/>
      <w:bookmarkStart w:id="203" w:name="_Toc27681"/>
      <w:bookmarkStart w:id="204" w:name="_Toc31363"/>
      <w:bookmarkStart w:id="205" w:name="_Toc226"/>
      <w:bookmarkStart w:id="206" w:name="_Toc4409"/>
      <w:bookmarkStart w:id="207" w:name="_Toc12179"/>
      <w:bookmarkStart w:id="208" w:name="_Toc32083"/>
      <w:bookmarkStart w:id="209" w:name="_Toc3694"/>
      <w:r>
        <w:rPr>
          <w:rFonts w:hint="eastAsia" w:ascii="宋体" w:hAnsi="宋体" w:eastAsia="宋体" w:cs="宋体"/>
          <w:bCs/>
          <w:sz w:val="24"/>
        </w:rPr>
        <w:t>二、质疑项目基本情况</w:t>
      </w:r>
      <w:bookmarkEnd w:id="201"/>
      <w:bookmarkEnd w:id="202"/>
      <w:bookmarkEnd w:id="203"/>
      <w:bookmarkEnd w:id="204"/>
      <w:bookmarkEnd w:id="205"/>
      <w:bookmarkEnd w:id="206"/>
      <w:bookmarkEnd w:id="207"/>
      <w:bookmarkEnd w:id="208"/>
      <w:bookmarkEnd w:id="209"/>
    </w:p>
    <w:p w14:paraId="57560FA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7638A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CA4FAA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28DF1B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455A993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10" w:name="_Toc4900"/>
      <w:bookmarkStart w:id="211" w:name="_Toc4978"/>
      <w:bookmarkStart w:id="212" w:name="_Toc17475"/>
      <w:bookmarkStart w:id="213" w:name="_Toc17103"/>
      <w:bookmarkStart w:id="214" w:name="_Toc21644"/>
      <w:bookmarkStart w:id="215" w:name="_Toc1349"/>
      <w:bookmarkStart w:id="216" w:name="_Toc21917"/>
      <w:bookmarkStart w:id="217" w:name="_Toc12401"/>
      <w:r>
        <w:rPr>
          <w:rFonts w:hint="eastAsia" w:ascii="宋体" w:hAnsi="宋体" w:eastAsia="宋体" w:cs="宋体"/>
          <w:bCs/>
          <w:sz w:val="24"/>
        </w:rPr>
        <w:t>三、质疑事项具体内容</w:t>
      </w:r>
      <w:bookmarkEnd w:id="210"/>
      <w:bookmarkEnd w:id="211"/>
      <w:bookmarkEnd w:id="212"/>
      <w:bookmarkEnd w:id="213"/>
      <w:bookmarkEnd w:id="214"/>
      <w:bookmarkEnd w:id="215"/>
      <w:bookmarkEnd w:id="216"/>
      <w:bookmarkEnd w:id="217"/>
    </w:p>
    <w:p w14:paraId="2EEF374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F08A8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48E1CE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u w:val="dotted"/>
        </w:rPr>
        <w:t xml:space="preserve">                                                  </w:t>
      </w:r>
    </w:p>
    <w:p w14:paraId="0C35AF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11F85B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14:paraId="3DCC95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质疑事项2</w:t>
      </w:r>
      <w:r>
        <w:rPr>
          <w:rFonts w:hint="eastAsia" w:ascii="宋体" w:hAnsi="宋体" w:eastAsia="宋体" w:cs="宋体"/>
          <w:sz w:val="24"/>
          <w:u w:val="dotted"/>
        </w:rPr>
        <w:t xml:space="preserve">                                        </w:t>
      </w:r>
    </w:p>
    <w:p w14:paraId="43A6919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18" w:name="_Toc12953"/>
      <w:bookmarkStart w:id="219" w:name="_Toc19561"/>
      <w:bookmarkStart w:id="220" w:name="_Toc31962"/>
      <w:bookmarkStart w:id="221" w:name="_Toc14716"/>
      <w:bookmarkStart w:id="222" w:name="_Toc11725"/>
      <w:bookmarkStart w:id="223" w:name="_Toc11711"/>
      <w:bookmarkStart w:id="224" w:name="_Toc30785"/>
      <w:bookmarkStart w:id="225" w:name="_Toc15774"/>
      <w:bookmarkStart w:id="226" w:name="_Toc19138"/>
      <w:r>
        <w:rPr>
          <w:rFonts w:hint="eastAsia" w:ascii="宋体" w:hAnsi="宋体" w:eastAsia="宋体" w:cs="宋体"/>
          <w:bCs/>
          <w:sz w:val="24"/>
        </w:rPr>
        <w:t>四、与质疑事项相关的质疑请求</w:t>
      </w:r>
      <w:bookmarkEnd w:id="218"/>
      <w:bookmarkEnd w:id="219"/>
      <w:bookmarkEnd w:id="220"/>
      <w:bookmarkEnd w:id="221"/>
      <w:bookmarkEnd w:id="222"/>
      <w:bookmarkEnd w:id="223"/>
      <w:bookmarkEnd w:id="224"/>
      <w:bookmarkEnd w:id="225"/>
      <w:bookmarkEnd w:id="226"/>
    </w:p>
    <w:p w14:paraId="5681CB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5EC806D">
      <w:pPr>
        <w:rPr>
          <w:rFonts w:hint="eastAsia" w:ascii="宋体" w:hAnsi="宋体" w:eastAsia="宋体" w:cs="宋体"/>
          <w:sz w:val="24"/>
        </w:rPr>
      </w:pPr>
      <w:r>
        <w:rPr>
          <w:rFonts w:hint="eastAsia" w:ascii="宋体" w:hAnsi="宋体" w:eastAsia="宋体" w:cs="宋体"/>
          <w:sz w:val="24"/>
        </w:rPr>
        <w:t xml:space="preserve">签字(签章)：                   公章：                      </w:t>
      </w:r>
    </w:p>
    <w:p w14:paraId="3DB2249A">
      <w:pPr>
        <w:rPr>
          <w:rFonts w:hint="eastAsia" w:ascii="宋体" w:hAnsi="宋体" w:eastAsia="宋体" w:cs="宋体"/>
          <w:sz w:val="24"/>
        </w:rPr>
      </w:pPr>
      <w:r>
        <w:rPr>
          <w:rFonts w:hint="eastAsia" w:ascii="宋体" w:hAnsi="宋体" w:eastAsia="宋体" w:cs="宋体"/>
          <w:sz w:val="24"/>
        </w:rPr>
        <w:t xml:space="preserve">日期：    </w:t>
      </w:r>
    </w:p>
    <w:p w14:paraId="55F1D1F7">
      <w:pPr>
        <w:rPr>
          <w:rFonts w:hint="eastAsia" w:ascii="宋体" w:hAnsi="宋体" w:eastAsia="宋体" w:cs="宋体"/>
          <w:b/>
          <w:sz w:val="24"/>
        </w:rPr>
      </w:pPr>
      <w:r>
        <w:rPr>
          <w:rFonts w:hint="eastAsia" w:ascii="宋体" w:hAnsi="宋体" w:eastAsia="宋体" w:cs="宋体"/>
          <w:b/>
          <w:sz w:val="24"/>
        </w:rPr>
        <w:t>质疑函制作说明：</w:t>
      </w:r>
    </w:p>
    <w:p w14:paraId="4458C5A8">
      <w:pPr>
        <w:widowControl/>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EC2D408">
      <w:pPr>
        <w:widowControl/>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10D1BEC">
      <w:pPr>
        <w:widowControl/>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348F881">
      <w:pPr>
        <w:widowControl/>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3FF77510">
      <w:pPr>
        <w:widowControl/>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96091C8">
      <w:pPr>
        <w:spacing w:line="240" w:lineRule="atLeast"/>
        <w:ind w:left="1050" w:hanging="900" w:hangingChars="375"/>
        <w:rPr>
          <w:rFonts w:hint="eastAsia" w:ascii="宋体" w:hAnsi="宋体" w:eastAsia="宋体" w:cs="宋体"/>
          <w:sz w:val="28"/>
          <w:szCs w:val="28"/>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7EA1D57">
      <w:pPr>
        <w:pStyle w:val="3"/>
        <w:spacing w:before="0" w:line="240" w:lineRule="atLeast"/>
        <w:ind w:left="1080" w:leftChars="257" w:hanging="540"/>
        <w:rPr>
          <w:rFonts w:hint="eastAsia" w:ascii="宋体" w:hAnsi="宋体" w:eastAsia="宋体" w:cs="宋体"/>
          <w:sz w:val="28"/>
          <w:szCs w:val="28"/>
        </w:rPr>
      </w:pPr>
      <w:r>
        <w:rPr>
          <w:rFonts w:hint="eastAsia" w:ascii="宋体" w:hAnsi="宋体" w:eastAsia="宋体" w:cs="宋体"/>
          <w:sz w:val="28"/>
          <w:szCs w:val="28"/>
        </w:rPr>
        <w:br w:type="page"/>
      </w:r>
      <w:bookmarkStart w:id="227" w:name="_Toc31390"/>
      <w:bookmarkStart w:id="228" w:name="_Toc13691"/>
      <w:bookmarkStart w:id="229" w:name="_Toc518923103"/>
      <w:r>
        <w:rPr>
          <w:rFonts w:hint="eastAsia" w:ascii="宋体" w:hAnsi="宋体" w:eastAsia="宋体" w:cs="宋体"/>
          <w:sz w:val="28"/>
          <w:szCs w:val="28"/>
        </w:rPr>
        <w:t>附件1：</w:t>
      </w:r>
      <w:bookmarkEnd w:id="227"/>
      <w:bookmarkEnd w:id="228"/>
      <w:bookmarkEnd w:id="229"/>
      <w:bookmarkStart w:id="230" w:name="_Toc9591"/>
      <w:bookmarkStart w:id="231" w:name="_Toc518923104"/>
      <w:bookmarkStart w:id="232" w:name="_Toc16485"/>
      <w:r>
        <w:rPr>
          <w:rFonts w:hint="eastAsia" w:ascii="宋体" w:hAnsi="宋体" w:eastAsia="宋体" w:cs="宋体"/>
          <w:sz w:val="28"/>
          <w:szCs w:val="28"/>
        </w:rPr>
        <w:t>履约担保函格式</w:t>
      </w:r>
      <w:bookmarkEnd w:id="230"/>
      <w:bookmarkEnd w:id="231"/>
      <w:bookmarkEnd w:id="232"/>
    </w:p>
    <w:p w14:paraId="16619CA1">
      <w:pPr>
        <w:pStyle w:val="3"/>
        <w:spacing w:before="0" w:line="240" w:lineRule="atLeast"/>
        <w:ind w:left="1080" w:leftChars="257" w:hanging="540"/>
        <w:rPr>
          <w:rFonts w:hint="eastAsia" w:ascii="宋体" w:hAnsi="宋体" w:eastAsia="宋体" w:cs="宋体"/>
          <w:b w:val="0"/>
          <w:sz w:val="28"/>
          <w:szCs w:val="28"/>
        </w:rPr>
      </w:pPr>
      <w:bookmarkStart w:id="233" w:name="_Toc515904842"/>
      <w:bookmarkStart w:id="234" w:name="_Toc11300"/>
      <w:bookmarkStart w:id="235" w:name="_Toc518923105"/>
      <w:bookmarkStart w:id="236" w:name="_Toc26934"/>
      <w:r>
        <w:rPr>
          <w:rFonts w:hint="eastAsia" w:ascii="宋体" w:hAnsi="宋体" w:eastAsia="宋体" w:cs="宋体"/>
          <w:sz w:val="28"/>
          <w:szCs w:val="28"/>
        </w:rPr>
        <w:t>（采用政府采购信用担保形式时使用）</w:t>
      </w:r>
      <w:bookmarkEnd w:id="233"/>
      <w:bookmarkEnd w:id="234"/>
      <w:bookmarkEnd w:id="235"/>
      <w:bookmarkEnd w:id="236"/>
    </w:p>
    <w:p w14:paraId="1B0BE329">
      <w:pPr>
        <w:jc w:val="center"/>
        <w:rPr>
          <w:rFonts w:hint="eastAsia" w:ascii="宋体" w:hAnsi="宋体" w:eastAsia="宋体" w:cs="宋体"/>
          <w:sz w:val="28"/>
          <w:szCs w:val="28"/>
        </w:rPr>
      </w:pPr>
      <w:r>
        <w:rPr>
          <w:rFonts w:hint="eastAsia" w:ascii="宋体" w:hAnsi="宋体" w:eastAsia="宋体" w:cs="宋体"/>
          <w:sz w:val="28"/>
          <w:szCs w:val="28"/>
        </w:rPr>
        <w:t>政府采购履约担保函</w:t>
      </w:r>
    </w:p>
    <w:p w14:paraId="7F833CCF">
      <w:pPr>
        <w:rPr>
          <w:rFonts w:hint="eastAsia" w:ascii="宋体" w:hAnsi="宋体" w:eastAsia="宋体" w:cs="宋体"/>
          <w:sz w:val="28"/>
          <w:szCs w:val="28"/>
        </w:rPr>
      </w:pPr>
      <w:r>
        <w:rPr>
          <w:rFonts w:hint="eastAsia" w:ascii="宋体" w:hAnsi="宋体" w:eastAsia="宋体" w:cs="宋体"/>
          <w:sz w:val="28"/>
          <w:szCs w:val="28"/>
        </w:rPr>
        <w:t xml:space="preserve">                                                   编号：</w:t>
      </w:r>
    </w:p>
    <w:p w14:paraId="30D693B9">
      <w:pPr>
        <w:pageBreakBefore w:val="0"/>
        <w:widowControl w:val="0"/>
        <w:kinsoku/>
        <w:wordWrap/>
        <w:overflowPunct/>
        <w:topLinePunct w:val="0"/>
        <w:bidi w:val="0"/>
        <w:snapToGrid w:val="0"/>
        <w:spacing w:line="288" w:lineRule="auto"/>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（采购人）：</w:t>
      </w:r>
    </w:p>
    <w:p w14:paraId="2F00B522">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鉴于你方与</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（以下简称投标人）于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日签定编号为   的《</w:t>
      </w:r>
      <w:r>
        <w:rPr>
          <w:rFonts w:hint="eastAsia" w:ascii="宋体" w:hAnsi="宋体" w:eastAsia="宋体" w:cs="宋体"/>
          <w:sz w:val="28"/>
          <w:szCs w:val="28"/>
          <w:u w:val="single"/>
        </w:rPr>
        <w:t xml:space="preserve">           </w:t>
      </w:r>
      <w:r>
        <w:rPr>
          <w:rFonts w:hint="eastAsia" w:ascii="宋体" w:hAnsi="宋体" w:eastAsia="宋体" w:cs="宋体"/>
          <w:sz w:val="28"/>
          <w:szCs w:val="28"/>
        </w:rPr>
        <w:t>政府采购合同》（以下简称主合同），且依据该合同的约定，投标人应在</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日前向你方交纳履约保证金，且可以履约担保函的形式交纳履约保证金。应投标人的申请，我方以保证的方式向你方提供如下履约保证金担保：</w:t>
      </w:r>
    </w:p>
    <w:p w14:paraId="5B757E3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一、保证责任的情形及保证金额</w:t>
      </w:r>
    </w:p>
    <w:p w14:paraId="1B359B1C">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（一）在投标人出现下列情形之一时，我方承担保证责任：</w:t>
      </w:r>
    </w:p>
    <w:p w14:paraId="7E58CFEA">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1．将中标项目转让给他人，或者在投标文件中未说明，且未经采购招标机构人同意，将中标项目分包给他人的；</w:t>
      </w:r>
    </w:p>
    <w:p w14:paraId="153E816A">
      <w:pPr>
        <w:pageBreakBefore w:val="0"/>
        <w:widowControl w:val="0"/>
        <w:kinsoku/>
        <w:wordWrap/>
        <w:overflowPunct/>
        <w:topLinePunct w:val="0"/>
        <w:bidi w:val="0"/>
        <w:snapToGrid w:val="0"/>
        <w:spacing w:line="288" w:lineRule="auto"/>
        <w:textAlignment w:val="auto"/>
        <w:rPr>
          <w:rFonts w:hint="eastAsia" w:ascii="宋体" w:hAnsi="宋体" w:eastAsia="宋体" w:cs="宋体"/>
          <w:sz w:val="28"/>
          <w:szCs w:val="28"/>
        </w:rPr>
      </w:pPr>
      <w:r>
        <w:rPr>
          <w:rFonts w:hint="eastAsia" w:ascii="宋体" w:hAnsi="宋体" w:eastAsia="宋体" w:cs="宋体"/>
          <w:sz w:val="28"/>
          <w:szCs w:val="28"/>
        </w:rPr>
        <w:t>　　2．主合同约定的应当缴纳履约保证金的情形</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27BB79FF">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（1）未按主合同约定的质量、数量和期限供应货物/提供服务/完成工程的；</w:t>
      </w:r>
    </w:p>
    <w:p w14:paraId="4D82415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（二）我方的保证范围是主合同约定的合同价款总额的</w:t>
      </w:r>
      <w:r>
        <w:rPr>
          <w:rFonts w:hint="eastAsia" w:ascii="宋体" w:hAnsi="宋体" w:eastAsia="宋体" w:cs="宋体"/>
          <w:sz w:val="28"/>
          <w:szCs w:val="28"/>
          <w:u w:val="single"/>
        </w:rPr>
        <w:t xml:space="preserve">        </w:t>
      </w:r>
      <w:r>
        <w:rPr>
          <w:rFonts w:hint="eastAsia" w:ascii="宋体" w:hAnsi="宋体" w:eastAsia="宋体" w:cs="宋体"/>
          <w:sz w:val="28"/>
          <w:szCs w:val="28"/>
        </w:rPr>
        <w:t>%数额为</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），币种为</w:t>
      </w:r>
      <w:r>
        <w:rPr>
          <w:rFonts w:hint="eastAsia" w:ascii="宋体" w:hAnsi="宋体" w:eastAsia="宋体" w:cs="宋体"/>
          <w:sz w:val="28"/>
          <w:szCs w:val="28"/>
          <w:u w:val="single"/>
        </w:rPr>
        <w:t xml:space="preserve">        </w:t>
      </w:r>
      <w:r>
        <w:rPr>
          <w:rFonts w:hint="eastAsia" w:ascii="宋体" w:hAnsi="宋体" w:eastAsia="宋体" w:cs="宋体"/>
          <w:sz w:val="28"/>
          <w:szCs w:val="28"/>
        </w:rPr>
        <w:t>。（即主合同履约保证金金额）</w:t>
      </w:r>
    </w:p>
    <w:p w14:paraId="02D5724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二、保证的方式及保证期间</w:t>
      </w:r>
    </w:p>
    <w:p w14:paraId="6E260998">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我方保证的方式为：连带责任保证。</w:t>
      </w:r>
    </w:p>
    <w:p w14:paraId="14BDBF1F">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我方保证的期间为：自本合同生效之日起至投标人按照主合同约定的供货/完工期限届满后</w:t>
      </w:r>
      <w:r>
        <w:rPr>
          <w:rFonts w:hint="eastAsia" w:ascii="宋体" w:hAnsi="宋体" w:eastAsia="宋体" w:cs="宋体"/>
          <w:sz w:val="28"/>
          <w:szCs w:val="28"/>
          <w:u w:val="single"/>
        </w:rPr>
        <w:t xml:space="preserve">     </w:t>
      </w:r>
      <w:r>
        <w:rPr>
          <w:rFonts w:hint="eastAsia" w:ascii="宋体" w:hAnsi="宋体" w:eastAsia="宋体" w:cs="宋体"/>
          <w:sz w:val="28"/>
          <w:szCs w:val="28"/>
        </w:rPr>
        <w:t>日内。</w:t>
      </w:r>
    </w:p>
    <w:p w14:paraId="26BA18BB">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如果投标人未按主合同约定向贵方供应货物/提供服务/完成工程的，由我方在保证金额内向你方支付上述款项。</w:t>
      </w:r>
    </w:p>
    <w:p w14:paraId="4E98895D">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三、承担保证责任的程序</w:t>
      </w:r>
    </w:p>
    <w:p w14:paraId="0695092D">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1．你方要求我方承担保证责任的，应在本保函保证期间内向我方发出书面索赔通知。索赔通知应写明要求索赔的金额，支付款项应到达的帐号。并附有证明投标人违约事实的证明材料。</w:t>
      </w:r>
    </w:p>
    <w:p w14:paraId="4705D07A">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如果你方与投标人因货物质量问题产生争议，你方还需同时提供</w:t>
      </w:r>
      <w:r>
        <w:rPr>
          <w:rFonts w:hint="eastAsia" w:ascii="宋体" w:hAnsi="宋体" w:eastAsia="宋体" w:cs="宋体"/>
          <w:sz w:val="28"/>
          <w:szCs w:val="28"/>
          <w:u w:val="single"/>
        </w:rPr>
        <w:t xml:space="preserve">        </w:t>
      </w:r>
      <w:r>
        <w:rPr>
          <w:rFonts w:hint="eastAsia" w:ascii="宋体" w:hAnsi="宋体" w:eastAsia="宋体" w:cs="宋体"/>
          <w:sz w:val="28"/>
          <w:szCs w:val="28"/>
        </w:rPr>
        <w:t>部门出具的质量检测报告，或经诉讼（仲裁）程序裁决后的裁决书、调解书，本保证人即按照检测结果或裁决书、调解书决定是否承担保证责任。</w:t>
      </w:r>
    </w:p>
    <w:p w14:paraId="7D86B50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我方收到你方的书面索赔通知及相应证明材料，在</w:t>
      </w:r>
      <w:r>
        <w:rPr>
          <w:rFonts w:hint="eastAsia" w:ascii="宋体" w:hAnsi="宋体" w:eastAsia="宋体" w:cs="宋体"/>
          <w:sz w:val="28"/>
          <w:szCs w:val="28"/>
          <w:u w:val="single"/>
        </w:rPr>
        <w:t xml:space="preserve">     </w:t>
      </w:r>
      <w:r>
        <w:rPr>
          <w:rFonts w:hint="eastAsia" w:ascii="宋体" w:hAnsi="宋体" w:eastAsia="宋体" w:cs="宋体"/>
          <w:sz w:val="28"/>
          <w:szCs w:val="28"/>
        </w:rPr>
        <w:t>工作日内进行核定后按照本保函的承诺承担保证责任。</w:t>
      </w:r>
    </w:p>
    <w:p w14:paraId="6B01D6DC">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四、保证责任的终止</w:t>
      </w:r>
    </w:p>
    <w:p w14:paraId="66DA2F0E">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C7A88A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2．我方按照本保函向你方履行了保证责任后，自我方向你方支付款项（支付款项从我方账户划出）之日起，保证责任即终止。</w:t>
      </w:r>
    </w:p>
    <w:p w14:paraId="0A617F7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3．按照法律法规的规定或出现应终止我方保证责任的其它情形的，我方在本保函项下的保证责任亦终止。</w:t>
      </w:r>
    </w:p>
    <w:p w14:paraId="3E10F8C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3AD144E8">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五、免责条款</w:t>
      </w:r>
    </w:p>
    <w:p w14:paraId="2AA17E9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1．因你方违反主合同约定致使投标人不能履行义务的，我方不承担保证责任。</w:t>
      </w:r>
    </w:p>
    <w:p w14:paraId="103549BE">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2．依照法律法规的规定或你方与投标人的另行约定，全部或者部分免除投标人应缴纳的保证金义务的，我方亦免除相应的保证责任。</w:t>
      </w:r>
    </w:p>
    <w:p w14:paraId="3240CF97">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3．因不可抗力造成投标人不能履行供货义务的，我方不承担保证责任。</w:t>
      </w:r>
    </w:p>
    <w:p w14:paraId="4BEF4D6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六、争议的解决</w:t>
      </w:r>
    </w:p>
    <w:p w14:paraId="1ADBEF92">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因本保函发生的纠纷，由你我双方协商解决，协商不成的，通过诉讼程序解决，诉讼管辖地法院为</w:t>
      </w:r>
      <w:r>
        <w:rPr>
          <w:rFonts w:hint="eastAsia" w:ascii="宋体" w:hAnsi="宋体" w:eastAsia="宋体" w:cs="宋体"/>
          <w:sz w:val="28"/>
          <w:szCs w:val="28"/>
          <w:u w:val="single"/>
        </w:rPr>
        <w:t xml:space="preserve">        </w:t>
      </w:r>
      <w:r>
        <w:rPr>
          <w:rFonts w:hint="eastAsia" w:ascii="宋体" w:hAnsi="宋体" w:eastAsia="宋体" w:cs="宋体"/>
          <w:sz w:val="28"/>
          <w:szCs w:val="28"/>
        </w:rPr>
        <w:t>法院。</w:t>
      </w:r>
    </w:p>
    <w:p w14:paraId="1E31D7E0">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七、保函的生效</w:t>
      </w:r>
    </w:p>
    <w:p w14:paraId="4CA8A76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本保函自我方加盖公章之日起生效。</w:t>
      </w:r>
    </w:p>
    <w:p w14:paraId="78D334B5">
      <w:pPr>
        <w:pStyle w:val="5"/>
        <w:spacing w:line="240" w:lineRule="atLeast"/>
        <w:ind w:firstLine="0"/>
        <w:rPr>
          <w:rFonts w:hint="eastAsia" w:ascii="仿宋_GB2312" w:hAnsi="宋体" w:eastAsia="仿宋_GB2312"/>
          <w:kern w:val="2"/>
          <w:szCs w:val="24"/>
        </w:rPr>
      </w:pPr>
      <w:r>
        <w:rPr>
          <w:rFonts w:hint="eastAsia" w:ascii="宋体" w:hAnsi="宋体" w:eastAsia="宋体" w:cs="宋体"/>
          <w:sz w:val="28"/>
          <w:szCs w:val="28"/>
        </w:rPr>
        <w:t xml:space="preserve">保证人：（公章）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   日</w:t>
      </w:r>
    </w:p>
    <w:p w14:paraId="6ED4A4DC">
      <w:pPr>
        <w:pStyle w:val="5"/>
        <w:spacing w:line="240" w:lineRule="atLeast"/>
        <w:ind w:firstLine="0"/>
        <w:rPr>
          <w:rFonts w:hint="eastAsia" w:ascii="仿宋_GB2312" w:hAnsi="宋体" w:eastAsia="仿宋_GB2312"/>
          <w:kern w:val="2"/>
          <w:szCs w:val="24"/>
        </w:rPr>
      </w:pPr>
    </w:p>
    <w:p w14:paraId="1D52001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right="0" w:rightChars="0"/>
        <w:jc w:val="center"/>
        <w:textAlignment w:val="baseline"/>
        <w:outlineLvl w:val="0"/>
        <w:rPr>
          <w:rFonts w:hint="eastAsia" w:ascii="宋体" w:hAnsi="宋体" w:eastAsia="宋体" w:cs="宋体"/>
          <w:b/>
          <w:kern w:val="44"/>
          <w:sz w:val="32"/>
          <w:szCs w:val="20"/>
          <w:lang w:val="en-US" w:eastAsia="zh-CN" w:bidi="ar-SA"/>
        </w:rPr>
      </w:pPr>
      <w:bookmarkStart w:id="237" w:name="_Toc11058"/>
      <w:bookmarkStart w:id="238" w:name="_Toc15188"/>
    </w:p>
    <w:p w14:paraId="7CF7FBE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right="0" w:rightChars="0"/>
        <w:jc w:val="center"/>
        <w:textAlignment w:val="baseline"/>
        <w:outlineLvl w:val="0"/>
        <w:rPr>
          <w:sz w:val="31"/>
          <w:szCs w:val="31"/>
        </w:rPr>
      </w:pPr>
      <w:r>
        <w:rPr>
          <w:rFonts w:hint="eastAsia" w:ascii="宋体" w:hAnsi="宋体" w:eastAsia="宋体" w:cs="宋体"/>
          <w:b/>
          <w:kern w:val="44"/>
          <w:sz w:val="32"/>
          <w:szCs w:val="20"/>
          <w:lang w:val="en-US" w:eastAsia="zh-CN" w:bidi="ar-SA"/>
        </w:rPr>
        <w:t>第2章响应文件格式</w:t>
      </w:r>
      <w:bookmarkEnd w:id="237"/>
      <w:bookmarkEnd w:id="238"/>
    </w:p>
    <w:p w14:paraId="15879D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bl>
      <w:tblPr>
        <w:tblStyle w:val="24"/>
        <w:tblW w:w="9166" w:type="dxa"/>
        <w:jc w:val="center"/>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66"/>
      </w:tblGrid>
      <w:tr w14:paraId="5CEFFFF2">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jc w:val="center"/>
        </w:trPr>
        <w:tc>
          <w:tcPr>
            <w:tcW w:w="9166" w:type="dxa"/>
            <w:shd w:val="clear" w:color="auto" w:fill="FCFEEA"/>
            <w:noWrap w:val="0"/>
            <w:vAlign w:val="top"/>
          </w:tcPr>
          <w:p w14:paraId="60230297">
            <w:pPr>
              <w:spacing w:before="136" w:line="223" w:lineRule="auto"/>
              <w:ind w:right="16"/>
              <w:jc w:val="right"/>
              <w:outlineLvl w:val="1"/>
              <w:rPr>
                <w:rFonts w:ascii="仿宋" w:hAnsi="仿宋" w:eastAsia="仿宋" w:cs="仿宋"/>
                <w:sz w:val="28"/>
                <w:szCs w:val="28"/>
                <w:highlight w:val="none"/>
              </w:rPr>
            </w:pPr>
            <w:bookmarkStart w:id="239" w:name="_Toc8674"/>
            <w:bookmarkStart w:id="240" w:name="_Toc17785"/>
            <w:bookmarkStart w:id="241" w:name="_Toc1591"/>
            <w:bookmarkStart w:id="242" w:name="_Toc11574"/>
            <w:bookmarkStart w:id="243" w:name="_Toc23715"/>
            <w:r>
              <w:rPr>
                <w:rFonts w:ascii="仿宋" w:hAnsi="仿宋" w:eastAsia="仿宋" w:cs="仿宋"/>
                <w:spacing w:val="1"/>
                <w:sz w:val="28"/>
                <w:szCs w:val="28"/>
                <w:highlight w:val="none"/>
              </w:rPr>
              <w:t>【</w:t>
            </w:r>
            <w:r>
              <w:rPr>
                <w:rFonts w:ascii="仿宋" w:hAnsi="仿宋" w:eastAsia="仿宋" w:cs="仿宋"/>
                <w:sz w:val="28"/>
                <w:szCs w:val="28"/>
                <w:highlight w:val="none"/>
              </w:rPr>
              <w:t>正/副本】</w:t>
            </w:r>
            <w:bookmarkEnd w:id="239"/>
            <w:bookmarkEnd w:id="240"/>
            <w:bookmarkEnd w:id="241"/>
            <w:bookmarkEnd w:id="242"/>
            <w:bookmarkEnd w:id="243"/>
          </w:p>
          <w:p w14:paraId="6CC020D5">
            <w:pPr>
              <w:spacing w:line="243" w:lineRule="auto"/>
              <w:rPr>
                <w:rFonts w:ascii="Arial"/>
                <w:sz w:val="21"/>
                <w:highlight w:val="none"/>
              </w:rPr>
            </w:pPr>
          </w:p>
          <w:p w14:paraId="12952E5F">
            <w:pPr>
              <w:spacing w:line="243" w:lineRule="auto"/>
              <w:rPr>
                <w:rFonts w:ascii="Arial"/>
                <w:sz w:val="21"/>
                <w:highlight w:val="none"/>
              </w:rPr>
            </w:pPr>
          </w:p>
          <w:p w14:paraId="55FB5D20">
            <w:pPr>
              <w:spacing w:line="243" w:lineRule="auto"/>
              <w:rPr>
                <w:rFonts w:ascii="Arial"/>
                <w:sz w:val="21"/>
                <w:highlight w:val="none"/>
              </w:rPr>
            </w:pPr>
          </w:p>
          <w:p w14:paraId="1E7D1EC9">
            <w:pPr>
              <w:spacing w:line="243" w:lineRule="auto"/>
              <w:rPr>
                <w:rFonts w:ascii="Arial"/>
                <w:sz w:val="21"/>
                <w:highlight w:val="none"/>
              </w:rPr>
            </w:pPr>
          </w:p>
          <w:p w14:paraId="048E9EC1">
            <w:pPr>
              <w:spacing w:line="243" w:lineRule="auto"/>
              <w:rPr>
                <w:rFonts w:ascii="Arial"/>
                <w:sz w:val="21"/>
                <w:highlight w:val="none"/>
              </w:rPr>
            </w:pPr>
          </w:p>
          <w:p w14:paraId="2D4BC000">
            <w:pPr>
              <w:pStyle w:val="3"/>
              <w:outlineLvl w:val="9"/>
            </w:pPr>
          </w:p>
          <w:p w14:paraId="155CF4AD">
            <w:pPr>
              <w:spacing w:line="243" w:lineRule="auto"/>
              <w:rPr>
                <w:rFonts w:ascii="Arial"/>
                <w:sz w:val="21"/>
                <w:highlight w:val="none"/>
              </w:rPr>
            </w:pPr>
          </w:p>
          <w:p w14:paraId="7BF8A3D5">
            <w:pPr>
              <w:spacing w:line="243" w:lineRule="auto"/>
              <w:rPr>
                <w:rFonts w:ascii="Arial"/>
                <w:sz w:val="21"/>
                <w:highlight w:val="none"/>
              </w:rPr>
            </w:pPr>
          </w:p>
          <w:p w14:paraId="1548D56F">
            <w:pPr>
              <w:spacing w:line="243" w:lineRule="auto"/>
              <w:rPr>
                <w:rFonts w:ascii="Arial"/>
                <w:sz w:val="21"/>
                <w:highlight w:val="none"/>
              </w:rPr>
            </w:pPr>
          </w:p>
          <w:p w14:paraId="69031D68">
            <w:pPr>
              <w:spacing w:line="243" w:lineRule="auto"/>
              <w:rPr>
                <w:rFonts w:ascii="Arial"/>
                <w:sz w:val="21"/>
                <w:highlight w:val="none"/>
              </w:rPr>
            </w:pPr>
          </w:p>
          <w:p w14:paraId="4E261C81">
            <w:pPr>
              <w:spacing w:line="243" w:lineRule="auto"/>
              <w:jc w:val="center"/>
              <w:rPr>
                <w:rFonts w:hint="default" w:eastAsia="宋体"/>
                <w:sz w:val="56"/>
                <w:szCs w:val="56"/>
                <w:highlight w:val="none"/>
                <w:lang w:val="en-US" w:eastAsia="zh-CN"/>
              </w:rPr>
            </w:pPr>
            <w:r>
              <w:rPr>
                <w:rFonts w:hint="eastAsia" w:eastAsia="宋体"/>
                <w:sz w:val="56"/>
                <w:szCs w:val="56"/>
                <w:highlight w:val="none"/>
                <w:lang w:val="en-US" w:eastAsia="zh-CN"/>
              </w:rPr>
              <w:t>********项目</w:t>
            </w:r>
          </w:p>
          <w:p w14:paraId="14E17956">
            <w:pPr>
              <w:spacing w:line="243" w:lineRule="auto"/>
              <w:jc w:val="center"/>
              <w:rPr>
                <w:rFonts w:hint="eastAsia" w:eastAsia="宋体"/>
                <w:sz w:val="32"/>
                <w:szCs w:val="32"/>
                <w:highlight w:val="none"/>
                <w:lang w:val="en-US" w:eastAsia="zh-CN"/>
              </w:rPr>
            </w:pPr>
          </w:p>
          <w:p w14:paraId="4A0CBF9C">
            <w:pPr>
              <w:spacing w:line="243" w:lineRule="auto"/>
              <w:jc w:val="center"/>
              <w:rPr>
                <w:rFonts w:hint="default" w:eastAsia="宋体"/>
                <w:sz w:val="32"/>
                <w:szCs w:val="32"/>
                <w:highlight w:val="none"/>
                <w:lang w:val="en-US" w:eastAsia="zh-CN"/>
              </w:rPr>
            </w:pPr>
            <w:r>
              <w:rPr>
                <w:rFonts w:hint="eastAsia" w:eastAsia="宋体"/>
                <w:sz w:val="32"/>
                <w:szCs w:val="32"/>
                <w:highlight w:val="none"/>
                <w:lang w:val="en-US" w:eastAsia="zh-CN"/>
              </w:rPr>
              <w:t>项目编号：</w:t>
            </w:r>
          </w:p>
          <w:p w14:paraId="3C2E809A">
            <w:pPr>
              <w:spacing w:line="243" w:lineRule="auto"/>
              <w:jc w:val="both"/>
              <w:rPr>
                <w:rFonts w:hint="eastAsia" w:eastAsia="宋体"/>
                <w:sz w:val="56"/>
                <w:szCs w:val="56"/>
                <w:highlight w:val="none"/>
                <w:lang w:val="en-US" w:eastAsia="zh-CN"/>
              </w:rPr>
            </w:pPr>
          </w:p>
          <w:p w14:paraId="6169853E">
            <w:pPr>
              <w:pStyle w:val="3"/>
              <w:outlineLvl w:val="9"/>
              <w:rPr>
                <w:rFonts w:hint="eastAsia"/>
                <w:lang w:val="en-US" w:eastAsia="zh-CN"/>
              </w:rPr>
            </w:pPr>
          </w:p>
          <w:p w14:paraId="411D7430">
            <w:pPr>
              <w:spacing w:line="243" w:lineRule="auto"/>
              <w:jc w:val="both"/>
              <w:rPr>
                <w:rFonts w:hint="eastAsia" w:eastAsia="宋体"/>
                <w:sz w:val="56"/>
                <w:szCs w:val="56"/>
                <w:highlight w:val="none"/>
                <w:lang w:val="en-US" w:eastAsia="zh-CN"/>
              </w:rPr>
            </w:pPr>
          </w:p>
          <w:p w14:paraId="55BC953C">
            <w:pPr>
              <w:spacing w:line="243" w:lineRule="auto"/>
              <w:jc w:val="center"/>
              <w:rPr>
                <w:rFonts w:hint="eastAsia" w:ascii="Arial" w:eastAsia="宋体"/>
                <w:sz w:val="56"/>
                <w:szCs w:val="56"/>
                <w:highlight w:val="none"/>
                <w:lang w:val="en-US" w:eastAsia="zh-CN"/>
              </w:rPr>
            </w:pPr>
            <w:r>
              <w:rPr>
                <w:rFonts w:hint="eastAsia" w:eastAsia="宋体"/>
                <w:sz w:val="56"/>
                <w:szCs w:val="56"/>
                <w:highlight w:val="none"/>
                <w:lang w:val="en-US" w:eastAsia="zh-CN"/>
              </w:rPr>
              <w:t>响应文件</w:t>
            </w:r>
          </w:p>
          <w:p w14:paraId="2D0E2E96">
            <w:pPr>
              <w:spacing w:line="243" w:lineRule="auto"/>
              <w:rPr>
                <w:rFonts w:ascii="Arial"/>
                <w:sz w:val="21"/>
                <w:highlight w:val="none"/>
              </w:rPr>
            </w:pPr>
          </w:p>
          <w:p w14:paraId="6EBF85A6">
            <w:pPr>
              <w:spacing w:line="243" w:lineRule="auto"/>
              <w:rPr>
                <w:rFonts w:ascii="Arial"/>
                <w:sz w:val="21"/>
                <w:highlight w:val="none"/>
              </w:rPr>
            </w:pPr>
          </w:p>
          <w:p w14:paraId="6DFE09C8">
            <w:pPr>
              <w:spacing w:line="244" w:lineRule="auto"/>
              <w:rPr>
                <w:rFonts w:ascii="Arial"/>
                <w:sz w:val="21"/>
                <w:highlight w:val="none"/>
              </w:rPr>
            </w:pPr>
          </w:p>
          <w:p w14:paraId="60B26496">
            <w:pPr>
              <w:spacing w:line="244" w:lineRule="auto"/>
              <w:rPr>
                <w:rFonts w:ascii="Arial"/>
                <w:sz w:val="21"/>
                <w:highlight w:val="none"/>
              </w:rPr>
            </w:pPr>
          </w:p>
          <w:p w14:paraId="2AE72F01">
            <w:pPr>
              <w:spacing w:before="100" w:line="228" w:lineRule="auto"/>
              <w:ind w:left="1320"/>
              <w:rPr>
                <w:rFonts w:ascii="仿宋" w:hAnsi="仿宋" w:eastAsia="仿宋" w:cs="仿宋"/>
                <w:sz w:val="31"/>
                <w:szCs w:val="31"/>
                <w:highlight w:val="none"/>
              </w:rPr>
            </w:pPr>
            <w:r>
              <w:rPr>
                <w:rFonts w:ascii="仿宋" w:hAnsi="仿宋" w:eastAsia="仿宋" w:cs="仿宋"/>
                <w:spacing w:val="9"/>
                <w:sz w:val="31"/>
                <w:szCs w:val="31"/>
                <w:highlight w:val="none"/>
              </w:rPr>
              <w:t>所响应包号：第</w:t>
            </w:r>
            <w:r>
              <w:rPr>
                <w:rFonts w:hint="eastAsia" w:ascii="仿宋" w:hAnsi="仿宋" w:eastAsia="仿宋" w:cs="仿宋"/>
                <w:spacing w:val="9"/>
                <w:sz w:val="31"/>
                <w:szCs w:val="31"/>
                <w:highlight w:val="none"/>
                <w:u w:val="single"/>
                <w:lang w:val="en-US" w:eastAsia="zh-CN"/>
              </w:rPr>
              <w:t xml:space="preserve">      标段</w:t>
            </w:r>
          </w:p>
          <w:p w14:paraId="4DB27B36">
            <w:pPr>
              <w:spacing w:before="241" w:line="622" w:lineRule="exact"/>
              <w:ind w:left="1320"/>
              <w:rPr>
                <w:rFonts w:ascii="仿宋" w:hAnsi="仿宋" w:eastAsia="仿宋" w:cs="仿宋"/>
                <w:sz w:val="31"/>
                <w:szCs w:val="31"/>
                <w:highlight w:val="none"/>
              </w:rPr>
            </w:pPr>
            <w:r>
              <w:rPr>
                <w:rFonts w:ascii="仿宋" w:hAnsi="仿宋" w:eastAsia="仿宋" w:cs="仿宋"/>
                <w:spacing w:val="6"/>
                <w:position w:val="22"/>
                <w:sz w:val="31"/>
                <w:szCs w:val="31"/>
                <w:highlight w:val="none"/>
              </w:rPr>
              <w:t>项</w:t>
            </w:r>
            <w:r>
              <w:rPr>
                <w:rFonts w:ascii="仿宋" w:hAnsi="仿宋" w:eastAsia="仿宋" w:cs="仿宋"/>
                <w:spacing w:val="3"/>
                <w:position w:val="22"/>
                <w:sz w:val="31"/>
                <w:szCs w:val="31"/>
                <w:highlight w:val="none"/>
              </w:rPr>
              <w:t>目名称：</w:t>
            </w:r>
          </w:p>
          <w:p w14:paraId="070C733F">
            <w:pPr>
              <w:spacing w:line="229" w:lineRule="auto"/>
              <w:ind w:left="1320"/>
              <w:rPr>
                <w:rFonts w:ascii="仿宋" w:hAnsi="仿宋" w:eastAsia="仿宋" w:cs="仿宋"/>
                <w:sz w:val="31"/>
                <w:szCs w:val="31"/>
                <w:highlight w:val="none"/>
              </w:rPr>
            </w:pPr>
            <w:r>
              <w:rPr>
                <w:rFonts w:ascii="仿宋" w:hAnsi="仿宋" w:eastAsia="仿宋" w:cs="仿宋"/>
                <w:spacing w:val="6"/>
                <w:sz w:val="31"/>
                <w:szCs w:val="31"/>
                <w:highlight w:val="none"/>
              </w:rPr>
              <w:t>项</w:t>
            </w:r>
            <w:r>
              <w:rPr>
                <w:rFonts w:ascii="仿宋" w:hAnsi="仿宋" w:eastAsia="仿宋" w:cs="仿宋"/>
                <w:spacing w:val="3"/>
                <w:sz w:val="31"/>
                <w:szCs w:val="31"/>
                <w:highlight w:val="none"/>
              </w:rPr>
              <w:t>目编号：</w:t>
            </w:r>
          </w:p>
          <w:p w14:paraId="211DC8A1">
            <w:pPr>
              <w:spacing w:before="237" w:line="226" w:lineRule="auto"/>
              <w:ind w:left="1320"/>
              <w:rPr>
                <w:rFonts w:ascii="仿宋" w:hAnsi="仿宋" w:eastAsia="仿宋" w:cs="仿宋"/>
                <w:sz w:val="31"/>
                <w:szCs w:val="31"/>
                <w:highlight w:val="none"/>
              </w:rPr>
            </w:pPr>
            <w:r>
              <w:rPr>
                <w:rFonts w:ascii="仿宋" w:hAnsi="仿宋" w:eastAsia="仿宋" w:cs="仿宋"/>
                <w:spacing w:val="5"/>
                <w:sz w:val="31"/>
                <w:szCs w:val="31"/>
                <w:highlight w:val="none"/>
              </w:rPr>
              <w:t>供</w:t>
            </w:r>
            <w:r>
              <w:rPr>
                <w:rFonts w:ascii="仿宋" w:hAnsi="仿宋" w:eastAsia="仿宋" w:cs="仿宋"/>
                <w:spacing w:val="4"/>
                <w:sz w:val="31"/>
                <w:szCs w:val="31"/>
                <w:highlight w:val="none"/>
              </w:rPr>
              <w:t>应商全称：</w:t>
            </w:r>
          </w:p>
          <w:p w14:paraId="317E9529">
            <w:pPr>
              <w:spacing w:line="251" w:lineRule="auto"/>
              <w:rPr>
                <w:rFonts w:ascii="Arial"/>
                <w:sz w:val="21"/>
                <w:highlight w:val="none"/>
              </w:rPr>
            </w:pPr>
          </w:p>
          <w:p w14:paraId="6F325A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pacing w:val="6"/>
                <w:sz w:val="31"/>
                <w:szCs w:val="31"/>
                <w:highlight w:val="none"/>
              </w:rPr>
            </w:pPr>
            <w:r>
              <w:rPr>
                <w:rFonts w:ascii="仿宋" w:hAnsi="仿宋" w:eastAsia="仿宋" w:cs="仿宋"/>
                <w:spacing w:val="12"/>
                <w:sz w:val="31"/>
                <w:szCs w:val="31"/>
                <w:highlight w:val="none"/>
              </w:rPr>
              <w:t>日</w:t>
            </w:r>
            <w:r>
              <w:rPr>
                <w:rFonts w:ascii="仿宋" w:hAnsi="仿宋" w:eastAsia="仿宋" w:cs="仿宋"/>
                <w:spacing w:val="6"/>
                <w:sz w:val="31"/>
                <w:szCs w:val="31"/>
                <w:highlight w:val="none"/>
              </w:rPr>
              <w:t>期：二〇年月日</w:t>
            </w:r>
          </w:p>
          <w:p w14:paraId="77521C1D">
            <w:pPr>
              <w:pStyle w:val="3"/>
              <w:outlineLvl w:val="9"/>
            </w:pPr>
          </w:p>
        </w:tc>
      </w:tr>
    </w:tbl>
    <w:p w14:paraId="3B4AE1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0DEF2CE">
      <w:pPr>
        <w:pStyle w:val="3"/>
      </w:pPr>
    </w:p>
    <w:p w14:paraId="4DDDC2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F81CCE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z w:val="24"/>
          <w:szCs w:val="24"/>
        </w:rPr>
      </w:pPr>
      <w:bookmarkStart w:id="244" w:name="_Toc30794"/>
      <w:bookmarkStart w:id="245" w:name="_Toc686"/>
      <w:r>
        <w:rPr>
          <w:rFonts w:hint="eastAsia" w:ascii="方正小标宋简体" w:hAnsi="方正小标宋简体" w:eastAsia="方正小标宋简体" w:cs="方正小标宋简体"/>
          <w:b w:val="0"/>
          <w:bCs w:val="0"/>
          <w:spacing w:val="9"/>
          <w:sz w:val="24"/>
          <w:szCs w:val="24"/>
        </w:rPr>
        <w:t>第一部分开标一览表及资格证明文件</w:t>
      </w:r>
      <w:bookmarkEnd w:id="244"/>
      <w:bookmarkEnd w:id="245"/>
    </w:p>
    <w:p w14:paraId="24C02A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B4503B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（1）开标一览表；</w:t>
      </w:r>
    </w:p>
    <w:p w14:paraId="1E87D7D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（2）</w:t>
      </w:r>
      <w:r>
        <w:rPr>
          <w:rFonts w:hint="eastAsia" w:ascii="方正仿宋_GBK" w:hAnsi="方正仿宋_GBK" w:eastAsia="方正仿宋_GBK" w:cs="方正仿宋_GBK"/>
          <w:spacing w:val="-2"/>
          <w:sz w:val="24"/>
          <w:szCs w:val="24"/>
          <w:lang w:eastAsia="zh-CN"/>
        </w:rPr>
        <w:t>法人或者非法人组织的营业执照等证明文件复印件（须加盖本单位章）或自然人的身份证明复印件</w:t>
      </w:r>
      <w:r>
        <w:rPr>
          <w:rFonts w:hint="eastAsia" w:ascii="方正仿宋_GBK" w:hAnsi="方正仿宋_GBK" w:eastAsia="方正仿宋_GBK" w:cs="方正仿宋_GBK"/>
          <w:spacing w:val="-2"/>
          <w:sz w:val="24"/>
          <w:szCs w:val="24"/>
        </w:rPr>
        <w:t>；</w:t>
      </w:r>
    </w:p>
    <w:p w14:paraId="21067A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（3）</w:t>
      </w:r>
      <w:r>
        <w:rPr>
          <w:rFonts w:hint="eastAsia" w:ascii="方正仿宋_GBK" w:hAnsi="方正仿宋_GBK" w:eastAsia="方正仿宋_GBK" w:cs="方正仿宋_GBK"/>
          <w:spacing w:val="-2"/>
          <w:sz w:val="24"/>
          <w:szCs w:val="24"/>
          <w:lang w:eastAsia="zh-CN"/>
        </w:rPr>
        <w:t>法定代表人身份证明或法定代表人授权委托书，自然人响应的无需提供；</w:t>
      </w:r>
    </w:p>
    <w:p w14:paraId="0365E32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（4）</w:t>
      </w:r>
      <w:r>
        <w:rPr>
          <w:rFonts w:hint="eastAsia" w:ascii="方正仿宋_GBK" w:hAnsi="方正仿宋_GBK" w:eastAsia="方正仿宋_GBK" w:cs="方正仿宋_GBK"/>
          <w:spacing w:val="-2"/>
          <w:sz w:val="24"/>
          <w:szCs w:val="24"/>
          <w:lang w:eastAsia="zh-CN"/>
        </w:rPr>
        <w:t>2023年度的财务审计报告</w:t>
      </w:r>
      <w:r>
        <w:rPr>
          <w:rFonts w:hint="eastAsia" w:ascii="方正仿宋_GBK" w:hAnsi="方正仿宋_GBK" w:eastAsia="方正仿宋_GBK" w:cs="方正仿宋_GBK"/>
          <w:spacing w:val="-2"/>
          <w:sz w:val="24"/>
          <w:szCs w:val="24"/>
        </w:rPr>
        <w:t>（新成立未满一年的新公司提供</w:t>
      </w:r>
    </w:p>
    <w:p w14:paraId="15575B5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lang w:eastAsia="zh-CN"/>
        </w:rPr>
        <w:t>近三个月内的银行资信证明</w:t>
      </w:r>
      <w:r>
        <w:rPr>
          <w:rFonts w:hint="eastAsia" w:ascii="方正仿宋_GBK" w:hAnsi="方正仿宋_GBK" w:eastAsia="方正仿宋_GBK" w:cs="方正仿宋_GBK"/>
          <w:spacing w:val="-2"/>
          <w:sz w:val="24"/>
          <w:szCs w:val="24"/>
        </w:rPr>
        <w:t>）；</w:t>
      </w:r>
    </w:p>
    <w:p w14:paraId="61D645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（5）</w:t>
      </w:r>
      <w:r>
        <w:rPr>
          <w:rFonts w:hint="eastAsia" w:ascii="方正仿宋_GBK" w:hAnsi="方正仿宋_GBK" w:eastAsia="方正仿宋_GBK" w:cs="方正仿宋_GBK"/>
          <w:spacing w:val="-2"/>
          <w:sz w:val="24"/>
          <w:szCs w:val="24"/>
          <w:lang w:eastAsia="zh-CN"/>
        </w:rPr>
        <w:t>提供依法缴纳近6个月内任意1个月缴纳社会保障金的证明材料（投标人单位的社保缴费凭证及个人明细表）；</w:t>
      </w:r>
    </w:p>
    <w:p w14:paraId="2CD0CA8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（6）</w:t>
      </w:r>
      <w:r>
        <w:rPr>
          <w:rFonts w:hint="eastAsia" w:ascii="方正仿宋_GBK" w:hAnsi="方正仿宋_GBK" w:eastAsia="方正仿宋_GBK" w:cs="方正仿宋_GBK"/>
          <w:spacing w:val="-2"/>
          <w:sz w:val="24"/>
          <w:szCs w:val="24"/>
          <w:lang w:eastAsia="zh-CN"/>
        </w:rPr>
        <w:t>提供依法缴纳近6个月内任意1个月税收证明（税务部门出具的 完税凭证或缴税证明或银行出具的“银行电子缴税付款凭证”）；注：①若为</w:t>
      </w:r>
      <w:r>
        <w:rPr>
          <w:rFonts w:hint="eastAsia" w:ascii="方正仿宋_GBK" w:hAnsi="方正仿宋_GBK" w:eastAsia="方正仿宋_GBK" w:cs="方正仿宋_GBK"/>
          <w:spacing w:val="-2"/>
          <w:sz w:val="24"/>
          <w:szCs w:val="24"/>
          <w:lang w:val="en-US" w:eastAsia="zh-CN"/>
        </w:rPr>
        <w:t>零</w:t>
      </w:r>
      <w:r>
        <w:rPr>
          <w:rFonts w:hint="eastAsia" w:ascii="方正仿宋_GBK" w:hAnsi="方正仿宋_GBK" w:eastAsia="方正仿宋_GBK" w:cs="方正仿宋_GBK"/>
          <w:spacing w:val="-2"/>
          <w:sz w:val="24"/>
          <w:szCs w:val="24"/>
          <w:lang w:eastAsia="zh-CN"/>
        </w:rPr>
        <w:t>申报企业，需提供无欠税证明或国家税务总局电子税务局“申报结果查询截图”。②“税种”非社会保险；</w:t>
      </w:r>
    </w:p>
    <w:p w14:paraId="22A2D34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（7）</w:t>
      </w:r>
      <w:r>
        <w:rPr>
          <w:rFonts w:hint="eastAsia" w:ascii="方正仿宋_GBK" w:hAnsi="方正仿宋_GBK" w:eastAsia="方正仿宋_GBK" w:cs="方正仿宋_GBK"/>
          <w:spacing w:val="-2"/>
          <w:sz w:val="24"/>
          <w:szCs w:val="24"/>
          <w:lang w:eastAsia="zh-CN"/>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p w14:paraId="7CAD5D2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（8）供应商提供针对本次项目《反商业贿赂承诺书》；</w:t>
      </w:r>
    </w:p>
    <w:p w14:paraId="47775B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（9）参加政府采购活动前三年内在经营活动中没有重大违法记录的书面声明</w:t>
      </w:r>
      <w:r>
        <w:rPr>
          <w:rFonts w:hint="eastAsia" w:ascii="方正仿宋_GBK" w:hAnsi="方正仿宋_GBK" w:eastAsia="方正仿宋_GBK" w:cs="方正仿宋_GBK"/>
          <w:spacing w:val="-2"/>
          <w:sz w:val="24"/>
          <w:szCs w:val="24"/>
          <w:lang w:eastAsia="zh-CN"/>
        </w:rPr>
        <w:t>；</w:t>
      </w:r>
    </w:p>
    <w:p w14:paraId="167EAE2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（10）</w:t>
      </w:r>
      <w:r>
        <w:rPr>
          <w:rFonts w:hint="eastAsia" w:ascii="方正仿宋_GBK" w:hAnsi="方正仿宋_GBK" w:eastAsia="方正仿宋_GBK" w:cs="方正仿宋_GBK"/>
          <w:spacing w:val="-2"/>
          <w:sz w:val="24"/>
          <w:szCs w:val="24"/>
          <w:lang w:eastAsia="zh-CN"/>
        </w:rPr>
        <w:t>提供缴纳投标保证金的有效凭证；</w:t>
      </w:r>
    </w:p>
    <w:p w14:paraId="25FA54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（11）供应商可提供有利于投标的其他资格证明材料</w:t>
      </w:r>
      <w:r>
        <w:rPr>
          <w:rFonts w:hint="eastAsia" w:ascii="方正仿宋_GBK" w:hAnsi="方正仿宋_GBK" w:eastAsia="方正仿宋_GBK" w:cs="方正仿宋_GBK"/>
          <w:spacing w:val="-2"/>
          <w:sz w:val="24"/>
          <w:szCs w:val="24"/>
          <w:lang w:eastAsia="zh-CN"/>
        </w:rPr>
        <w:t>。</w:t>
      </w:r>
    </w:p>
    <w:p w14:paraId="63BB34A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方正仿宋_GBK"/>
          <w:sz w:val="22"/>
          <w:szCs w:val="22"/>
          <w:lang w:eastAsia="zh-CN"/>
        </w:rPr>
      </w:pPr>
      <w:r>
        <w:rPr>
          <w:rFonts w:hint="eastAsia" w:ascii="方正仿宋_GBK" w:hAnsi="方正仿宋_GBK" w:eastAsia="方正仿宋_GBK" w:cs="方正仿宋_GBK"/>
          <w:spacing w:val="-2"/>
          <w:sz w:val="24"/>
          <w:szCs w:val="24"/>
        </w:rPr>
        <w:t>注：</w:t>
      </w:r>
      <w:r>
        <w:rPr>
          <w:rFonts w:hint="eastAsia" w:ascii="方正仿宋_GBK" w:hAnsi="方正仿宋_GBK" w:eastAsia="方正仿宋_GBK" w:cs="方正仿宋_GBK"/>
          <w:spacing w:val="-2"/>
          <w:sz w:val="24"/>
          <w:szCs w:val="24"/>
          <w:lang w:eastAsia="zh-CN"/>
        </w:rPr>
        <w:t>近6个月是指2024年2月-2024年8月。</w:t>
      </w:r>
    </w:p>
    <w:p w14:paraId="1A66B4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2"/>
          <w:szCs w:val="22"/>
        </w:rPr>
        <w:sectPr>
          <w:footerReference r:id="rId4" w:type="default"/>
          <w:pgSz w:w="11906" w:h="16838"/>
          <w:pgMar w:top="1440" w:right="1800" w:bottom="1440" w:left="1800" w:header="0" w:footer="893" w:gutter="0"/>
          <w:pgNumType w:fmt="numberInDash" w:start="1"/>
          <w:cols w:space="720" w:num="1"/>
        </w:sectPr>
      </w:pPr>
    </w:p>
    <w:p w14:paraId="3969BC59">
      <w:bookmarkStart w:id="246" w:name="bookmark10"/>
      <w:bookmarkEnd w:id="246"/>
    </w:p>
    <w:p w14:paraId="2C06CD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2"/>
        <w:rPr>
          <w:rFonts w:hint="eastAsia" w:ascii="宋体" w:hAnsi="宋体" w:eastAsia="宋体" w:cs="Times New Roman"/>
          <w:spacing w:val="8"/>
          <w:sz w:val="23"/>
          <w:szCs w:val="23"/>
          <w:lang w:eastAsia="zh-CN"/>
        </w:rPr>
      </w:pPr>
      <w:bookmarkStart w:id="247" w:name="_Toc13721"/>
      <w:bookmarkStart w:id="248" w:name="_Toc7444"/>
      <w:bookmarkStart w:id="249" w:name="_Toc19913"/>
      <w:bookmarkStart w:id="250" w:name="_Toc7902"/>
      <w:r>
        <w:rPr>
          <w:rFonts w:hint="eastAsia" w:ascii="宋体" w:hAnsi="宋体" w:eastAsia="宋体" w:cs="Times New Roman"/>
          <w:b/>
          <w:bCs/>
          <w:spacing w:val="8"/>
          <w:sz w:val="24"/>
          <w:szCs w:val="24"/>
          <w:lang w:eastAsia="zh-CN"/>
        </w:rPr>
        <w:t>1、开标一览表</w:t>
      </w:r>
      <w:bookmarkEnd w:id="247"/>
      <w:bookmarkEnd w:id="248"/>
      <w:bookmarkEnd w:id="249"/>
      <w:bookmarkEnd w:id="250"/>
    </w:p>
    <w:p w14:paraId="30B083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C752C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3EFF74C">
      <w:pPr>
        <w:pStyle w:val="3"/>
        <w:spacing w:before="0" w:line="240" w:lineRule="atLeast"/>
        <w:ind w:left="1080" w:leftChars="257" w:hanging="540"/>
        <w:rPr>
          <w:rFonts w:hint="eastAsia" w:ascii="宋体" w:hAnsi="宋体" w:eastAsia="宋体" w:cs="宋体"/>
          <w:sz w:val="28"/>
          <w:szCs w:val="28"/>
        </w:rPr>
      </w:pPr>
      <w:bookmarkStart w:id="251" w:name="_Toc11332"/>
      <w:r>
        <w:rPr>
          <w:rFonts w:hint="eastAsia" w:ascii="宋体" w:hAnsi="宋体" w:eastAsia="宋体" w:cs="宋体"/>
          <w:sz w:val="28"/>
          <w:szCs w:val="28"/>
        </w:rPr>
        <w:t>开标一览表</w:t>
      </w:r>
      <w:bookmarkEnd w:id="251"/>
    </w:p>
    <w:p w14:paraId="60373F03">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bookmarkStart w:id="252" w:name="_Hlt520356241"/>
      <w:bookmarkEnd w:id="252"/>
      <w:r>
        <w:rPr>
          <w:rFonts w:hint="eastAsia" w:ascii="宋体" w:hAnsi="宋体" w:eastAsia="宋体" w:cs="宋体"/>
          <w:sz w:val="28"/>
          <w:szCs w:val="28"/>
        </w:rPr>
        <w:t xml:space="preserve">项目名称：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项目编号</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74C60A2B">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r>
        <w:rPr>
          <w:rFonts w:hint="eastAsia" w:ascii="宋体" w:hAnsi="宋体" w:eastAsia="宋体" w:cs="宋体"/>
          <w:sz w:val="28"/>
          <w:szCs w:val="28"/>
        </w:rPr>
        <w:t>报价单位：</w:t>
      </w:r>
      <w:r>
        <w:rPr>
          <w:rFonts w:hint="eastAsia" w:ascii="宋体" w:hAnsi="宋体" w:eastAsia="宋体" w:cs="宋体"/>
          <w:sz w:val="28"/>
          <w:szCs w:val="28"/>
          <w:lang w:val="en-US" w:eastAsia="zh-CN"/>
        </w:rPr>
        <w:t>人民币元            标段号：</w:t>
      </w:r>
    </w:p>
    <w:tbl>
      <w:tblPr>
        <w:tblStyle w:val="24"/>
        <w:tblpPr w:leftFromText="180" w:rightFromText="180" w:vertAnchor="text" w:horzAnchor="page" w:tblpX="1551" w:tblpY="269"/>
        <w:tblOverlap w:val="never"/>
        <w:tblW w:w="84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349"/>
        <w:gridCol w:w="2012"/>
        <w:gridCol w:w="1455"/>
        <w:gridCol w:w="1529"/>
        <w:gridCol w:w="1317"/>
      </w:tblGrid>
      <w:tr w14:paraId="6C231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84" w:type="dxa"/>
            <w:tcBorders>
              <w:bottom w:val="single" w:color="000000" w:sz="6" w:space="0"/>
            </w:tcBorders>
            <w:vAlign w:val="top"/>
          </w:tcPr>
          <w:p w14:paraId="0FDDF4E3">
            <w:pPr>
              <w:pStyle w:val="25"/>
              <w:spacing w:before="298" w:line="184" w:lineRule="auto"/>
              <w:ind w:left="151"/>
              <w:rPr>
                <w:sz w:val="24"/>
                <w:szCs w:val="24"/>
              </w:rPr>
            </w:pPr>
            <w:r>
              <w:rPr>
                <w:spacing w:val="-1"/>
                <w:sz w:val="24"/>
                <w:szCs w:val="24"/>
              </w:rPr>
              <w:t>序号</w:t>
            </w:r>
          </w:p>
        </w:tc>
        <w:tc>
          <w:tcPr>
            <w:tcW w:w="1349" w:type="dxa"/>
            <w:tcBorders>
              <w:bottom w:val="single" w:color="000000" w:sz="6" w:space="0"/>
            </w:tcBorders>
            <w:vAlign w:val="top"/>
          </w:tcPr>
          <w:p w14:paraId="716F9821">
            <w:pPr>
              <w:pStyle w:val="25"/>
              <w:spacing w:before="300" w:line="183" w:lineRule="auto"/>
              <w:ind w:left="194"/>
              <w:rPr>
                <w:sz w:val="24"/>
                <w:szCs w:val="24"/>
              </w:rPr>
            </w:pPr>
            <w:r>
              <w:rPr>
                <w:spacing w:val="-1"/>
                <w:sz w:val="24"/>
                <w:szCs w:val="24"/>
              </w:rPr>
              <w:t>标项名称</w:t>
            </w:r>
          </w:p>
        </w:tc>
        <w:tc>
          <w:tcPr>
            <w:tcW w:w="2012" w:type="dxa"/>
            <w:tcBorders>
              <w:top w:val="single" w:color="000000" w:sz="6" w:space="0"/>
              <w:bottom w:val="single" w:color="000000" w:sz="6" w:space="0"/>
            </w:tcBorders>
            <w:vAlign w:val="top"/>
          </w:tcPr>
          <w:p w14:paraId="0B28DBD7">
            <w:pPr>
              <w:pStyle w:val="25"/>
              <w:spacing w:before="255" w:line="221" w:lineRule="auto"/>
              <w:ind w:left="168"/>
              <w:rPr>
                <w:sz w:val="24"/>
                <w:szCs w:val="24"/>
              </w:rPr>
            </w:pPr>
            <w:r>
              <w:rPr>
                <w:spacing w:val="2"/>
                <w:sz w:val="24"/>
                <w:szCs w:val="24"/>
              </w:rPr>
              <w:t>投标报价（元）</w:t>
            </w:r>
          </w:p>
        </w:tc>
        <w:tc>
          <w:tcPr>
            <w:tcW w:w="1455" w:type="dxa"/>
            <w:tcBorders>
              <w:top w:val="single" w:color="000000" w:sz="6" w:space="0"/>
              <w:bottom w:val="single" w:color="000000" w:sz="6" w:space="0"/>
            </w:tcBorders>
            <w:vAlign w:val="top"/>
          </w:tcPr>
          <w:p w14:paraId="59A99483">
            <w:pPr>
              <w:pStyle w:val="25"/>
              <w:spacing w:before="300" w:line="183" w:lineRule="auto"/>
              <w:ind w:left="253"/>
              <w:rPr>
                <w:sz w:val="24"/>
                <w:szCs w:val="24"/>
              </w:rPr>
            </w:pPr>
            <w:r>
              <w:rPr>
                <w:spacing w:val="-2"/>
                <w:sz w:val="24"/>
                <w:szCs w:val="24"/>
              </w:rPr>
              <w:t>履约期限</w:t>
            </w:r>
          </w:p>
        </w:tc>
        <w:tc>
          <w:tcPr>
            <w:tcW w:w="1529" w:type="dxa"/>
            <w:tcBorders>
              <w:top w:val="single" w:color="000000" w:sz="6" w:space="0"/>
              <w:bottom w:val="single" w:color="000000" w:sz="6" w:space="0"/>
            </w:tcBorders>
            <w:vAlign w:val="top"/>
          </w:tcPr>
          <w:p w14:paraId="5B88FF79">
            <w:pPr>
              <w:pStyle w:val="25"/>
              <w:spacing w:before="300" w:line="183" w:lineRule="auto"/>
              <w:ind w:left="291"/>
              <w:rPr>
                <w:sz w:val="24"/>
                <w:szCs w:val="24"/>
              </w:rPr>
            </w:pPr>
            <w:r>
              <w:rPr>
                <w:spacing w:val="-2"/>
                <w:sz w:val="24"/>
                <w:szCs w:val="24"/>
              </w:rPr>
              <w:t>履约地点</w:t>
            </w:r>
          </w:p>
        </w:tc>
        <w:tc>
          <w:tcPr>
            <w:tcW w:w="1317" w:type="dxa"/>
            <w:tcBorders>
              <w:top w:val="single" w:color="000000" w:sz="6" w:space="0"/>
              <w:bottom w:val="single" w:color="000000" w:sz="6" w:space="0"/>
              <w:right w:val="single" w:color="000000" w:sz="6" w:space="0"/>
            </w:tcBorders>
            <w:vAlign w:val="top"/>
          </w:tcPr>
          <w:p w14:paraId="7A8FF150">
            <w:pPr>
              <w:pStyle w:val="25"/>
              <w:spacing w:before="298" w:line="184" w:lineRule="auto"/>
              <w:ind w:left="416"/>
              <w:rPr>
                <w:sz w:val="24"/>
                <w:szCs w:val="24"/>
              </w:rPr>
            </w:pPr>
            <w:r>
              <w:rPr>
                <w:spacing w:val="-1"/>
                <w:sz w:val="24"/>
                <w:szCs w:val="24"/>
              </w:rPr>
              <w:t>备注</w:t>
            </w:r>
          </w:p>
        </w:tc>
      </w:tr>
      <w:tr w14:paraId="39B60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784" w:type="dxa"/>
            <w:tcBorders>
              <w:top w:val="single" w:color="000000" w:sz="6" w:space="0"/>
            </w:tcBorders>
            <w:vAlign w:val="top"/>
          </w:tcPr>
          <w:p w14:paraId="26373C6F">
            <w:pPr>
              <w:spacing w:line="294" w:lineRule="auto"/>
              <w:rPr>
                <w:rFonts w:ascii="Arial"/>
                <w:sz w:val="21"/>
              </w:rPr>
            </w:pPr>
          </w:p>
          <w:p w14:paraId="3986E66B">
            <w:pPr>
              <w:spacing w:line="294" w:lineRule="auto"/>
              <w:rPr>
                <w:rFonts w:ascii="Arial"/>
                <w:sz w:val="21"/>
              </w:rPr>
            </w:pPr>
          </w:p>
          <w:p w14:paraId="6C98E8DE">
            <w:pPr>
              <w:spacing w:line="295" w:lineRule="auto"/>
              <w:rPr>
                <w:rFonts w:ascii="Arial"/>
                <w:sz w:val="21"/>
              </w:rPr>
            </w:pPr>
          </w:p>
          <w:p w14:paraId="457668F3">
            <w:pPr>
              <w:spacing w:line="295" w:lineRule="auto"/>
              <w:rPr>
                <w:rFonts w:ascii="Arial"/>
                <w:sz w:val="21"/>
              </w:rPr>
            </w:pPr>
          </w:p>
          <w:p w14:paraId="41CCCE15">
            <w:pPr>
              <w:pStyle w:val="25"/>
              <w:spacing w:before="103" w:line="174" w:lineRule="auto"/>
              <w:ind w:left="338"/>
              <w:rPr>
                <w:sz w:val="24"/>
                <w:szCs w:val="24"/>
              </w:rPr>
            </w:pPr>
            <w:r>
              <w:rPr>
                <w:sz w:val="24"/>
                <w:szCs w:val="24"/>
              </w:rPr>
              <w:t>1</w:t>
            </w:r>
          </w:p>
        </w:tc>
        <w:tc>
          <w:tcPr>
            <w:tcW w:w="1349" w:type="dxa"/>
            <w:tcBorders>
              <w:top w:val="single" w:color="000000" w:sz="6" w:space="0"/>
            </w:tcBorders>
            <w:vAlign w:val="top"/>
          </w:tcPr>
          <w:p w14:paraId="0AF1CC71">
            <w:pPr>
              <w:rPr>
                <w:rFonts w:ascii="Arial"/>
                <w:sz w:val="21"/>
              </w:rPr>
            </w:pPr>
          </w:p>
        </w:tc>
        <w:tc>
          <w:tcPr>
            <w:tcW w:w="2012" w:type="dxa"/>
            <w:tcBorders>
              <w:top w:val="single" w:color="000000" w:sz="6" w:space="0"/>
            </w:tcBorders>
            <w:vAlign w:val="top"/>
          </w:tcPr>
          <w:p w14:paraId="179A9D6B">
            <w:pPr>
              <w:spacing w:line="285" w:lineRule="auto"/>
              <w:rPr>
                <w:rFonts w:ascii="Arial"/>
                <w:sz w:val="21"/>
              </w:rPr>
            </w:pPr>
          </w:p>
          <w:p w14:paraId="5AAD02DB">
            <w:pPr>
              <w:spacing w:line="285" w:lineRule="auto"/>
              <w:rPr>
                <w:rFonts w:ascii="Arial"/>
                <w:sz w:val="21"/>
              </w:rPr>
            </w:pPr>
          </w:p>
          <w:p w14:paraId="69CBA33F">
            <w:pPr>
              <w:spacing w:line="285" w:lineRule="auto"/>
              <w:rPr>
                <w:rFonts w:ascii="Arial"/>
                <w:sz w:val="21"/>
              </w:rPr>
            </w:pPr>
          </w:p>
          <w:p w14:paraId="383BC0A1">
            <w:pPr>
              <w:pStyle w:val="25"/>
              <w:spacing w:before="103" w:line="626" w:lineRule="exact"/>
              <w:ind w:left="4"/>
              <w:rPr>
                <w:sz w:val="24"/>
                <w:szCs w:val="24"/>
              </w:rPr>
            </w:pPr>
            <w:r>
              <w:rPr>
                <w:spacing w:val="2"/>
                <w:position w:val="30"/>
                <w:sz w:val="24"/>
                <w:szCs w:val="24"/>
              </w:rPr>
              <w:t>大写：</w:t>
            </w:r>
          </w:p>
          <w:p w14:paraId="4411A989">
            <w:pPr>
              <w:pStyle w:val="25"/>
              <w:spacing w:before="1" w:line="180" w:lineRule="auto"/>
              <w:ind w:left="5"/>
              <w:rPr>
                <w:sz w:val="24"/>
                <w:szCs w:val="24"/>
              </w:rPr>
            </w:pPr>
            <w:r>
              <w:rPr>
                <w:spacing w:val="2"/>
                <w:sz w:val="24"/>
                <w:szCs w:val="24"/>
              </w:rPr>
              <w:t>小写：</w:t>
            </w:r>
          </w:p>
        </w:tc>
        <w:tc>
          <w:tcPr>
            <w:tcW w:w="1455" w:type="dxa"/>
            <w:tcBorders>
              <w:top w:val="single" w:color="000000" w:sz="6" w:space="0"/>
            </w:tcBorders>
            <w:vAlign w:val="top"/>
          </w:tcPr>
          <w:p w14:paraId="24B74D52">
            <w:pPr>
              <w:rPr>
                <w:rFonts w:ascii="Arial"/>
                <w:sz w:val="21"/>
              </w:rPr>
            </w:pPr>
          </w:p>
        </w:tc>
        <w:tc>
          <w:tcPr>
            <w:tcW w:w="1529" w:type="dxa"/>
            <w:tcBorders>
              <w:top w:val="single" w:color="000000" w:sz="6" w:space="0"/>
            </w:tcBorders>
            <w:vAlign w:val="top"/>
          </w:tcPr>
          <w:p w14:paraId="1C1EBA70">
            <w:pPr>
              <w:rPr>
                <w:rFonts w:ascii="Arial"/>
                <w:sz w:val="21"/>
              </w:rPr>
            </w:pPr>
          </w:p>
        </w:tc>
        <w:tc>
          <w:tcPr>
            <w:tcW w:w="1317" w:type="dxa"/>
            <w:tcBorders>
              <w:top w:val="single" w:color="000000" w:sz="6" w:space="0"/>
              <w:right w:val="single" w:color="000000" w:sz="6" w:space="0"/>
            </w:tcBorders>
            <w:vAlign w:val="top"/>
          </w:tcPr>
          <w:p w14:paraId="25754547">
            <w:pPr>
              <w:rPr>
                <w:rFonts w:ascii="Arial"/>
                <w:sz w:val="21"/>
              </w:rPr>
            </w:pPr>
          </w:p>
        </w:tc>
      </w:tr>
    </w:tbl>
    <w:p w14:paraId="6648BE3B">
      <w:pPr>
        <w:pStyle w:val="9"/>
        <w:tabs>
          <w:tab w:val="left" w:pos="5580"/>
        </w:tabs>
        <w:spacing w:line="240" w:lineRule="atLeast"/>
        <w:ind w:left="1080" w:leftChars="257" w:hanging="540"/>
        <w:rPr>
          <w:rFonts w:hint="eastAsia" w:ascii="宋体" w:hAnsi="宋体" w:eastAsia="宋体" w:cs="宋体"/>
          <w:sz w:val="28"/>
          <w:szCs w:val="28"/>
        </w:rPr>
      </w:pPr>
    </w:p>
    <w:p w14:paraId="123AC6BF">
      <w:pPr>
        <w:pStyle w:val="9"/>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投标人名称（单位盖章）：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6A87681B">
      <w:pPr>
        <w:pStyle w:val="9"/>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法定代表人或委托代理(签字或盖章)</w:t>
      </w:r>
      <w:r>
        <w:rPr>
          <w:rFonts w:hint="eastAsia" w:hAnsi="宋体" w:eastAsia="宋体" w:cs="宋体"/>
          <w:sz w:val="28"/>
          <w:szCs w:val="28"/>
          <w:lang w:eastAsia="zh-CN"/>
        </w:rPr>
        <w:t>：</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6E259489">
      <w:pPr>
        <w:pStyle w:val="9"/>
        <w:tabs>
          <w:tab w:val="left" w:pos="5580"/>
        </w:tabs>
        <w:spacing w:line="240" w:lineRule="atLeast"/>
        <w:rPr>
          <w:rFonts w:hint="eastAsia" w:ascii="宋体" w:hAnsi="宋体" w:eastAsia="宋体" w:cs="宋体"/>
          <w:sz w:val="28"/>
          <w:szCs w:val="28"/>
        </w:rPr>
      </w:pPr>
    </w:p>
    <w:p w14:paraId="76DE820F">
      <w:pPr>
        <w:pStyle w:val="9"/>
        <w:tabs>
          <w:tab w:val="left" w:pos="5580"/>
        </w:tabs>
        <w:spacing w:line="240" w:lineRule="atLeast"/>
        <w:rPr>
          <w:rFonts w:hint="eastAsia" w:ascii="宋体" w:hAnsi="宋体" w:eastAsia="宋体" w:cs="宋体"/>
          <w:sz w:val="28"/>
          <w:szCs w:val="28"/>
          <w:lang w:val="en-US" w:eastAsia="zh-CN"/>
        </w:rPr>
      </w:pPr>
      <w:r>
        <w:rPr>
          <w:rFonts w:hint="eastAsia" w:ascii="宋体" w:hAnsi="宋体" w:eastAsia="宋体" w:cs="宋体"/>
          <w:sz w:val="28"/>
          <w:szCs w:val="28"/>
        </w:rPr>
        <w:t>注</w:t>
      </w:r>
      <w:r>
        <w:rPr>
          <w:rFonts w:hint="eastAsia" w:hAnsi="宋体" w:eastAsia="宋体" w:cs="宋体"/>
          <w:sz w:val="28"/>
          <w:szCs w:val="28"/>
          <w:lang w:eastAsia="zh-CN"/>
        </w:rPr>
        <w:t>：</w:t>
      </w:r>
      <w:r>
        <w:rPr>
          <w:rFonts w:hint="eastAsia" w:ascii="宋体" w:hAnsi="宋体" w:eastAsia="宋体" w:cs="宋体"/>
          <w:sz w:val="28"/>
          <w:szCs w:val="28"/>
          <w:lang w:val="en-US" w:eastAsia="zh-CN"/>
        </w:rPr>
        <w:t>1、此表中，投标总价应和投标分项报价表的总价相一致。</w:t>
      </w:r>
    </w:p>
    <w:p w14:paraId="11F2EF1E">
      <w:pPr>
        <w:pStyle w:val="9"/>
        <w:spacing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2、如投标报价超过本项目最高限价其投标无效，不能进入下一阶段评审。</w:t>
      </w:r>
    </w:p>
    <w:p w14:paraId="26EE2AA3">
      <w:pPr>
        <w:pStyle w:val="9"/>
        <w:tabs>
          <w:tab w:val="left" w:pos="5580"/>
        </w:tabs>
        <w:spacing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3、投标总价包含：货物的运输、出厂检验、包装、保险、税金、装卸、安装、保管费、检验费，招标代理服务费等所发生的全部费用。</w:t>
      </w:r>
    </w:p>
    <w:p w14:paraId="07F80A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9965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9F46A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2135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72934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829CB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E5058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026E7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E6AE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DACD7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F6814D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eastAsia="宋体"/>
          <w:sz w:val="23"/>
          <w:szCs w:val="23"/>
          <w:lang w:eastAsia="zh-CN"/>
        </w:rPr>
      </w:pPr>
      <w:bookmarkStart w:id="253" w:name="bookmark11"/>
      <w:bookmarkEnd w:id="253"/>
      <w:bookmarkStart w:id="254" w:name="_Toc32351"/>
      <w:bookmarkStart w:id="255" w:name="_Toc3628"/>
      <w:bookmarkStart w:id="256" w:name="_Toc26457"/>
      <w:bookmarkStart w:id="257" w:name="_Toc16625"/>
      <w:r>
        <w:rPr>
          <w:rFonts w:hint="eastAsia" w:ascii="宋体" w:hAnsi="宋体" w:eastAsia="宋体" w:cs="Times New Roman"/>
          <w:b/>
          <w:bCs/>
          <w:spacing w:val="8"/>
          <w:sz w:val="24"/>
          <w:szCs w:val="24"/>
          <w:lang w:eastAsia="zh-CN"/>
        </w:rPr>
        <w:br w:type="page"/>
      </w:r>
      <w:r>
        <w:rPr>
          <w:rFonts w:hint="eastAsia" w:ascii="宋体" w:hAnsi="宋体" w:eastAsia="宋体" w:cs="Times New Roman"/>
          <w:b/>
          <w:bCs/>
          <w:spacing w:val="8"/>
          <w:sz w:val="24"/>
          <w:szCs w:val="24"/>
          <w:lang w:eastAsia="zh-CN"/>
        </w:rPr>
        <w:t>2、法人或者非法人组织的营业执照等证明文件复印件（须加盖本单位章）或自然人的身份证明复印件</w:t>
      </w:r>
      <w:bookmarkEnd w:id="254"/>
      <w:bookmarkEnd w:id="255"/>
      <w:bookmarkEnd w:id="256"/>
      <w:r>
        <w:rPr>
          <w:rFonts w:hint="eastAsia" w:ascii="宋体" w:hAnsi="宋体" w:eastAsia="宋体" w:cs="Times New Roman"/>
          <w:b/>
          <w:bCs/>
          <w:spacing w:val="8"/>
          <w:sz w:val="24"/>
          <w:szCs w:val="24"/>
          <w:lang w:eastAsia="zh-CN"/>
        </w:rPr>
        <w:t>；</w:t>
      </w:r>
      <w:bookmarkEnd w:id="257"/>
    </w:p>
    <w:p w14:paraId="3D43C5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footerReference r:id="rId5" w:type="default"/>
          <w:pgSz w:w="11906" w:h="16838"/>
          <w:pgMar w:top="1440" w:right="1800" w:bottom="1440" w:left="1800" w:header="0" w:footer="893" w:gutter="0"/>
          <w:pgNumType w:fmt="numberInDash"/>
          <w:cols w:space="720" w:num="1"/>
        </w:sectPr>
      </w:pPr>
    </w:p>
    <w:p w14:paraId="3242E2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4526AC9">
      <w:pPr>
        <w:pStyle w:val="7"/>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firstLineChars="0"/>
        <w:jc w:val="left"/>
        <w:textAlignment w:val="baseline"/>
        <w:outlineLvl w:val="2"/>
        <w:rPr>
          <w:rFonts w:hint="eastAsia" w:eastAsia="宋体"/>
          <w:sz w:val="23"/>
          <w:szCs w:val="23"/>
          <w:lang w:eastAsia="zh-CN"/>
        </w:rPr>
      </w:pPr>
      <w:bookmarkStart w:id="258" w:name="_Toc30005"/>
      <w:bookmarkStart w:id="259" w:name="_Toc6957"/>
      <w:bookmarkStart w:id="260" w:name="_Toc3229"/>
      <w:bookmarkStart w:id="261" w:name="_Toc19346"/>
      <w:r>
        <w:rPr>
          <w:rFonts w:hint="eastAsia" w:ascii="宋体" w:hAnsi="宋体" w:eastAsia="宋体" w:cs="Times New Roman"/>
          <w:b/>
          <w:bCs/>
          <w:spacing w:val="8"/>
          <w:sz w:val="24"/>
          <w:szCs w:val="24"/>
          <w:lang w:eastAsia="zh-CN"/>
        </w:rPr>
        <w:t>3、法定代表人身份证明或法定代表人授权委托书，自然人响应的无需提供</w:t>
      </w:r>
      <w:bookmarkEnd w:id="258"/>
      <w:bookmarkEnd w:id="259"/>
      <w:bookmarkEnd w:id="260"/>
      <w:bookmarkEnd w:id="261"/>
    </w:p>
    <w:p w14:paraId="1FDDB6AB">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62" w:name="bookmark20"/>
      <w:bookmarkEnd w:id="262"/>
      <w:bookmarkStart w:id="263" w:name="bookmark14"/>
      <w:bookmarkEnd w:id="263"/>
      <w:bookmarkStart w:id="264" w:name="bookmark16"/>
      <w:bookmarkEnd w:id="264"/>
      <w:bookmarkStart w:id="265" w:name="bookmark43"/>
      <w:bookmarkEnd w:id="265"/>
      <w:bookmarkStart w:id="266" w:name="bookmark13"/>
      <w:bookmarkEnd w:id="266"/>
    </w:p>
    <w:p w14:paraId="5808EA12">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67" w:name="_Toc16088"/>
      <w:bookmarkStart w:id="268" w:name="_Toc983"/>
      <w:bookmarkStart w:id="269" w:name="_Toc31138"/>
      <w:bookmarkStart w:id="270" w:name="_Toc29204"/>
      <w:r>
        <w:rPr>
          <w:rFonts w:hint="eastAsia" w:ascii="宋体" w:hAnsi="宋体" w:eastAsia="宋体" w:cs="宋体"/>
          <w:b/>
          <w:bCs/>
          <w:color w:val="auto"/>
          <w:sz w:val="28"/>
          <w:szCs w:val="28"/>
          <w:highlight w:val="none"/>
        </w:rPr>
        <w:t>法定代表人身份证明</w:t>
      </w:r>
      <w:bookmarkEnd w:id="267"/>
      <w:bookmarkEnd w:id="268"/>
      <w:bookmarkEnd w:id="269"/>
      <w:bookmarkEnd w:id="270"/>
    </w:p>
    <w:p w14:paraId="4A4C69C6">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71" w:name="_Toc19910"/>
      <w:bookmarkStart w:id="272" w:name="_Toc13054"/>
      <w:bookmarkStart w:id="273" w:name="_Toc5183"/>
      <w:bookmarkStart w:id="274" w:name="_Toc14508"/>
      <w:r>
        <w:rPr>
          <w:rFonts w:hint="eastAsia" w:ascii="宋体" w:hAnsi="宋体" w:eastAsia="宋体" w:cs="宋体"/>
          <w:b/>
          <w:bCs/>
          <w:color w:val="auto"/>
          <w:sz w:val="28"/>
          <w:szCs w:val="28"/>
          <w:highlight w:val="none"/>
        </w:rPr>
        <w:t>(法定代表人参与投标时提供)</w:t>
      </w:r>
      <w:bookmarkEnd w:id="271"/>
      <w:bookmarkEnd w:id="272"/>
      <w:bookmarkEnd w:id="273"/>
      <w:bookmarkEnd w:id="274"/>
    </w:p>
    <w:p w14:paraId="15823A2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14:paraId="062E4F4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rPr>
        <w:t xml:space="preserve">  </w:t>
      </w:r>
      <w:r>
        <w:rPr>
          <w:rFonts w:hint="eastAsia" w:ascii="宋体" w:hAnsi="宋体" w:eastAsia="宋体" w:cs="宋体"/>
          <w:color w:val="auto"/>
          <w:kern w:val="2"/>
          <w:sz w:val="24"/>
          <w:szCs w:val="24"/>
          <w:highlight w:val="none"/>
          <w:lang w:val="en-US" w:eastAsia="zh-CN" w:bidi="ar-SA"/>
        </w:rPr>
        <w:t xml:space="preserve">           同志，现任我单位</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职务，为法定代表人，特此证明。</w:t>
      </w:r>
    </w:p>
    <w:p w14:paraId="2E1B5302">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签发日期：                  单位：        </w:t>
      </w:r>
    </w:p>
    <w:p w14:paraId="289C6A88">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附：代表人性别：      年龄：      身份证号码：</w:t>
      </w:r>
    </w:p>
    <w:p w14:paraId="2C7265A7">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p w14:paraId="34062A69">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营业执照号码：              </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经济性质：</w:t>
      </w:r>
    </w:p>
    <w:p w14:paraId="17F08EB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00930F68">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1、法定代表人为企业事业单位、国家机关、社会团体的主要行政负责人。</w:t>
      </w:r>
    </w:p>
    <w:p w14:paraId="1B91A5F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2、内容必须填写真实、清楚、涂改无效，不得转让。</w:t>
      </w:r>
    </w:p>
    <w:p w14:paraId="4EE472A6">
      <w:pPr>
        <w:pStyle w:val="7"/>
        <w:rPr>
          <w:rFonts w:hint="eastAsia" w:ascii="宋体" w:hAnsi="宋体" w:eastAsia="宋体" w:cs="宋体"/>
          <w:color w:val="auto"/>
          <w:kern w:val="2"/>
          <w:sz w:val="24"/>
          <w:szCs w:val="24"/>
          <w:highlight w:val="none"/>
          <w:lang w:val="en-US" w:eastAsia="zh-CN" w:bidi="ar-SA"/>
        </w:rPr>
      </w:pPr>
    </w:p>
    <w:p w14:paraId="22880161">
      <w:pPr>
        <w:rPr>
          <w:rFonts w:hint="eastAsia" w:ascii="宋体" w:hAnsi="宋体" w:eastAsia="宋体" w:cs="宋体"/>
          <w:lang w:val="en-US" w:eastAsia="zh-CN"/>
        </w:rPr>
      </w:pPr>
    </w:p>
    <w:p w14:paraId="39C58B1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61565" cy="1489710"/>
                <wp:effectExtent l="4445" t="4445" r="15240" b="10795"/>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_x0000_s1026" o:spid="_x0000_s1026" o:spt="176" type="#_x0000_t176" style="position:absolute;left:0pt;margin-left:12.15pt;margin-top:0.85pt;height:117.3pt;width:185.95pt;z-index:251659264;mso-width-relative:page;mso-height-relative:page;" fillcolor="#FFFFFF" filled="t" stroked="t" coordsize="21600,21600" o:gfxdata="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2EDydYAAAAIAQAADwAAAAAAAAABACAAAAAiAAAAZHJzL2Rvd25yZXYueG1sUEsB&#10;AhQAFAAAAAgAh07iQEFtPr4wAgAAZAQAAA4AAAAAAAAAAQAgAAAAJQEAAGRycy9lMm9Eb2MueG1s&#10;UEsFBgAAAAAGAAYAWQEAAMcFAAAAAA==&#10;">
                <v:fill on="t" focussize="0,0"/>
                <v:stroke color="#000000" joinstyle="miter"/>
                <v:imagedata o:title=""/>
                <o:lock v:ext="edit" aspectratio="f"/>
                <v:textbo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562860" cy="1452880"/>
                <wp:effectExtent l="7620" t="7620" r="20320" b="2540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4F2827C">
                            <w:pPr>
                              <w:jc w:val="center"/>
                              <w:rPr>
                                <w:rFonts w:hAnsi="宋体"/>
                              </w:rPr>
                            </w:pPr>
                            <w:r>
                              <w:rPr>
                                <w:rFonts w:hAnsi="宋体"/>
                              </w:rPr>
                              <w:t xml:space="preserve">  </w:t>
                            </w: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5"/>
                              <w:rPr>
                                <w:rFonts w:cs="Times New Roman"/>
                              </w:rPr>
                            </w:pPr>
                          </w:p>
                          <w:p w14:paraId="32C544F9">
                            <w:pPr>
                              <w:pStyle w:val="5"/>
                              <w:rPr>
                                <w:rFonts w:cs="Times New Roman"/>
                              </w:rPr>
                            </w:pPr>
                          </w:p>
                          <w:p w14:paraId="415C4A07">
                            <w:pPr>
                              <w:pStyle w:val="5"/>
                              <w:rPr>
                                <w:rFonts w:cs="Times New Roman"/>
                              </w:rPr>
                            </w:pPr>
                          </w:p>
                          <w:p w14:paraId="3D92E64A">
                            <w:pPr>
                              <w:pStyle w:val="5"/>
                              <w:rPr>
                                <w:rFonts w:cs="Times New Roman"/>
                              </w:rPr>
                            </w:pPr>
                          </w:p>
                        </w:txbxContent>
                      </wps:txbx>
                      <wps:bodyPr upright="1"/>
                    </wps:wsp>
                  </a:graphicData>
                </a:graphic>
              </wp:anchor>
            </w:drawing>
          </mc:Choice>
          <mc:Fallback>
            <w:pict>
              <v:roundrect id="_x0000_s1026" o:spid="_x0000_s1026" o:spt="2" style="position:absolute;left:0pt;margin-left:229.8pt;margin-top:2.25pt;height:114.4pt;width:201.8pt;z-index:251660288;mso-width-relative:page;mso-height-relative:page;" fillcolor="#FFFFFF" filled="t" stroked="t" coordsize="21600,21600" arcsize="0.166666666666667" o:gfxdata="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3hGF9oAAAAJAQAADwAAAAAAAAABACAAAAAiAAAAZHJzL2Rvd25yZXYu&#10;eG1sUEsBAhQAFAAAAAgAh07iQFTsdcQyAgAAdgQAAA4AAAAAAAAAAQAgAAAAKQEAAGRycy9lMm9E&#10;b2MueG1sUEsFBgAAAAAGAAYAWQEAAM0FAAAAAA==&#10;">
                <v:fill on="t" focussize="0,0"/>
                <v:stroke weight="1.25pt" color="#808080" joinstyle="round"/>
                <v:imagedata o:title=""/>
                <o:lock v:ext="edit" aspectratio="f"/>
                <v:textbox>
                  <w:txbxContent>
                    <w:p w14:paraId="74F2827C">
                      <w:pPr>
                        <w:jc w:val="center"/>
                        <w:rPr>
                          <w:rFonts w:hAnsi="宋体"/>
                        </w:rPr>
                      </w:pPr>
                      <w:r>
                        <w:rPr>
                          <w:rFonts w:hAnsi="宋体"/>
                        </w:rPr>
                        <w:t xml:space="preserve">  </w:t>
                      </w: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5"/>
                        <w:rPr>
                          <w:rFonts w:cs="Times New Roman"/>
                        </w:rPr>
                      </w:pPr>
                    </w:p>
                    <w:p w14:paraId="32C544F9">
                      <w:pPr>
                        <w:pStyle w:val="5"/>
                        <w:rPr>
                          <w:rFonts w:cs="Times New Roman"/>
                        </w:rPr>
                      </w:pPr>
                    </w:p>
                    <w:p w14:paraId="415C4A07">
                      <w:pPr>
                        <w:pStyle w:val="5"/>
                        <w:rPr>
                          <w:rFonts w:cs="Times New Roman"/>
                        </w:rPr>
                      </w:pPr>
                    </w:p>
                    <w:p w14:paraId="3D92E64A">
                      <w:pPr>
                        <w:pStyle w:val="5"/>
                        <w:rPr>
                          <w:rFonts w:cs="Times New Roman"/>
                        </w:rPr>
                      </w:pPr>
                    </w:p>
                  </w:txbxContent>
                </v:textbox>
              </v:roundrect>
            </w:pict>
          </mc:Fallback>
        </mc:AlternateContent>
      </w:r>
    </w:p>
    <w:p w14:paraId="191E5417">
      <w:pPr>
        <w:spacing w:line="360" w:lineRule="auto"/>
        <w:rPr>
          <w:rFonts w:hint="eastAsia" w:ascii="宋体" w:hAnsi="宋体" w:eastAsia="宋体" w:cs="宋体"/>
          <w:color w:val="auto"/>
          <w:sz w:val="22"/>
          <w:szCs w:val="22"/>
        </w:rPr>
      </w:pPr>
    </w:p>
    <w:p w14:paraId="7CA6C7FC">
      <w:pPr>
        <w:spacing w:line="360" w:lineRule="auto"/>
        <w:rPr>
          <w:rFonts w:hint="eastAsia" w:ascii="宋体" w:hAnsi="宋体" w:eastAsia="宋体" w:cs="宋体"/>
          <w:color w:val="auto"/>
          <w:sz w:val="22"/>
          <w:szCs w:val="22"/>
        </w:rPr>
      </w:pPr>
    </w:p>
    <w:p w14:paraId="51A0CB1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2"/>
          <w:szCs w:val="22"/>
        </w:rPr>
      </w:pPr>
    </w:p>
    <w:p w14:paraId="3B815F5E">
      <w:pPr>
        <w:autoSpaceDE w:val="0"/>
        <w:autoSpaceDN w:val="0"/>
        <w:adjustRightInd w:val="0"/>
        <w:spacing w:line="360" w:lineRule="auto"/>
        <w:ind w:right="246"/>
        <w:rPr>
          <w:rFonts w:hint="eastAsia" w:ascii="宋体" w:hAnsi="宋体" w:eastAsia="宋体" w:cs="宋体"/>
          <w:color w:val="auto"/>
          <w:kern w:val="0"/>
          <w:sz w:val="22"/>
          <w:szCs w:val="22"/>
        </w:rPr>
      </w:pPr>
    </w:p>
    <w:p w14:paraId="748F4A40">
      <w:pPr>
        <w:pStyle w:val="5"/>
        <w:rPr>
          <w:rFonts w:hint="eastAsia" w:ascii="宋体" w:hAnsi="宋体" w:eastAsia="宋体" w:cs="宋体"/>
          <w:color w:val="auto"/>
          <w:kern w:val="0"/>
          <w:sz w:val="22"/>
          <w:szCs w:val="22"/>
        </w:rPr>
      </w:pPr>
    </w:p>
    <w:p w14:paraId="68F3062E">
      <w:pPr>
        <w:pStyle w:val="6"/>
        <w:rPr>
          <w:rFonts w:hint="eastAsia"/>
        </w:rPr>
      </w:pPr>
    </w:p>
    <w:p w14:paraId="764CC149">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hint="eastAsia" w:ascii="宋体" w:hAnsi="宋体" w:cs="宋体"/>
          <w:color w:val="auto"/>
          <w:kern w:val="2"/>
          <w:sz w:val="24"/>
          <w:szCs w:val="24"/>
          <w:highlight w:val="none"/>
          <w:lang w:val="en-US" w:eastAsia="zh-CN" w:bidi="ar-SA"/>
        </w:rPr>
        <w:t xml:space="preserve">           </w:t>
      </w:r>
    </w:p>
    <w:p w14:paraId="6B770570">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hint="eastAsia" w:ascii="宋体" w:hAnsi="宋体" w:cs="宋体"/>
          <w:color w:val="auto"/>
          <w:kern w:val="2"/>
          <w:sz w:val="24"/>
          <w:szCs w:val="24"/>
          <w:highlight w:val="none"/>
          <w:lang w:val="en-US" w:eastAsia="zh-CN" w:bidi="ar-SA"/>
        </w:rPr>
        <w:t xml:space="preserve">           </w:t>
      </w:r>
    </w:p>
    <w:p w14:paraId="0F931522">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hint="eastAsia" w:ascii="宋体" w:hAnsi="宋体" w:cs="宋体"/>
          <w:color w:val="auto"/>
          <w:kern w:val="2"/>
          <w:sz w:val="24"/>
          <w:szCs w:val="24"/>
          <w:highlight w:val="none"/>
          <w:lang w:val="en-US" w:eastAsia="zh-CN" w:bidi="ar-SA"/>
        </w:rPr>
        <w:t xml:space="preserve">           </w:t>
      </w:r>
    </w:p>
    <w:p w14:paraId="53882671">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42F68894">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0628DEE4">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6C45FCE5">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6DADB0F5">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72FEF767">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434C5817">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18DA8BFD">
      <w:pPr>
        <w:rPr>
          <w:rFonts w:hint="eastAsia" w:ascii="宋体" w:hAnsi="宋体" w:eastAsia="宋体" w:cs="宋体"/>
          <w:b/>
          <w:bCs/>
          <w:color w:val="auto"/>
          <w:sz w:val="28"/>
          <w:szCs w:val="28"/>
          <w:highlight w:val="none"/>
        </w:rPr>
      </w:pPr>
      <w:bookmarkStart w:id="275" w:name="_Toc29731"/>
      <w:bookmarkStart w:id="276" w:name="_Toc6249"/>
      <w:r>
        <w:rPr>
          <w:rFonts w:hint="eastAsia" w:ascii="宋体" w:hAnsi="宋体" w:eastAsia="宋体" w:cs="宋体"/>
          <w:b/>
          <w:bCs/>
          <w:color w:val="auto"/>
          <w:sz w:val="28"/>
          <w:szCs w:val="28"/>
          <w:highlight w:val="none"/>
        </w:rPr>
        <w:br w:type="page"/>
      </w:r>
    </w:p>
    <w:p w14:paraId="2105086D">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77" w:name="_Toc6761"/>
      <w:bookmarkStart w:id="278" w:name="_Toc12676"/>
      <w:bookmarkStart w:id="279" w:name="_Toc7634"/>
      <w:bookmarkStart w:id="280" w:name="_Toc30365"/>
      <w:bookmarkStart w:id="281" w:name="_Toc2579"/>
      <w:r>
        <w:rPr>
          <w:rFonts w:hint="eastAsia" w:ascii="宋体" w:hAnsi="宋体" w:eastAsia="宋体" w:cs="宋体"/>
          <w:b/>
          <w:bCs/>
          <w:color w:val="auto"/>
          <w:sz w:val="28"/>
          <w:szCs w:val="28"/>
          <w:highlight w:val="none"/>
        </w:rPr>
        <w:t>法定代表人授权委托书</w:t>
      </w:r>
      <w:bookmarkEnd w:id="275"/>
      <w:bookmarkEnd w:id="276"/>
      <w:bookmarkEnd w:id="277"/>
      <w:bookmarkEnd w:id="278"/>
      <w:bookmarkEnd w:id="279"/>
      <w:bookmarkEnd w:id="280"/>
      <w:bookmarkEnd w:id="281"/>
    </w:p>
    <w:p w14:paraId="5B6BE32B">
      <w:pPr>
        <w:pStyle w:val="9"/>
        <w:tabs>
          <w:tab w:val="left" w:pos="5580"/>
        </w:tabs>
        <w:spacing w:line="240" w:lineRule="atLeas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32"/>
          <w:szCs w:val="22"/>
          <w:highlight w:val="none"/>
        </w:rPr>
        <w:t>（</w:t>
      </w:r>
      <w:r>
        <w:rPr>
          <w:rFonts w:hint="eastAsia" w:ascii="宋体" w:hAnsi="宋体" w:eastAsia="宋体" w:cs="宋体"/>
          <w:b/>
          <w:bCs/>
          <w:color w:val="auto"/>
          <w:sz w:val="28"/>
          <w:szCs w:val="21"/>
          <w:highlight w:val="none"/>
        </w:rPr>
        <w:t>授权委托人参与投标时提供）</w:t>
      </w:r>
    </w:p>
    <w:p w14:paraId="78413842">
      <w:pPr>
        <w:pStyle w:val="9"/>
        <w:tabs>
          <w:tab w:val="left" w:pos="5580"/>
        </w:tabs>
        <w:spacing w:line="540" w:lineRule="exact"/>
        <w:ind w:firstLine="480" w:firstLineChars="200"/>
        <w:rPr>
          <w:rFonts w:hint="eastAsia" w:ascii="宋体" w:hAnsi="宋体" w:eastAsia="宋体" w:cs="宋体"/>
          <w:color w:val="auto"/>
          <w:sz w:val="24"/>
          <w:szCs w:val="24"/>
          <w:highlight w:val="none"/>
        </w:rPr>
      </w:pPr>
    </w:p>
    <w:p w14:paraId="25644EB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 xml:space="preserve">  </w:t>
      </w:r>
      <w:r>
        <w:rPr>
          <w:rFonts w:hint="eastAsia" w:ascii="宋体" w:hAnsi="宋体" w:eastAsia="宋体" w:cs="宋体"/>
          <w:color w:val="auto"/>
          <w:kern w:val="2"/>
          <w:sz w:val="24"/>
          <w:szCs w:val="24"/>
          <w:highlight w:val="none"/>
          <w:lang w:val="en-US" w:eastAsia="zh-CN" w:bidi="ar-SA"/>
        </w:rPr>
        <w:t xml:space="preserve"> 本授权书声明：注册于（国家或地区的名称）的（投标人）的在下面签字的（法人代表姓名、职务）代表我单位授权（单位名称）的在下面签字的（被授权人的姓名、职务）为我单位的合法代理人，就（项目名称）的投标，以我单位名义处理一切与之有关的事务。　　</w:t>
      </w:r>
    </w:p>
    <w:p w14:paraId="42F8CBD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           年     月     日签字生效,特此声明。</w:t>
      </w:r>
    </w:p>
    <w:p w14:paraId="044588C3">
      <w:pPr>
        <w:pStyle w:val="9"/>
        <w:tabs>
          <w:tab w:val="left" w:pos="5580"/>
        </w:tabs>
        <w:spacing w:line="240" w:lineRule="atLeast"/>
        <w:ind w:left="-540" w:leftChars="-257" w:firstLine="900" w:firstLineChars="375"/>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2837815</wp:posOffset>
                </wp:positionH>
                <wp:positionV relativeFrom="paragraph">
                  <wp:posOffset>128905</wp:posOffset>
                </wp:positionV>
                <wp:extent cx="2555240" cy="1379220"/>
                <wp:effectExtent l="7620" t="7620" r="8890" b="2286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wps:txbx>
                      <wps:bodyPr upright="1"/>
                    </wps:wsp>
                  </a:graphicData>
                </a:graphic>
              </wp:anchor>
            </w:drawing>
          </mc:Choice>
          <mc:Fallback>
            <w:pict>
              <v:roundrect id="_x0000_s1026" o:spid="_x0000_s1026" o:spt="2" style="position:absolute;left:0pt;margin-left:223.45pt;margin-top:10.15pt;height:108.6pt;width:201.2pt;z-index:251664384;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iL5tsAAAAKAQAADwAAAAAAAAABACAAAAAiAAAAZHJzL2Rvd25y&#10;ZXYueG1sUEsBAhQAFAAAAAgAh07iQME1y/c0AgAAdgQAAA4AAAAAAAAAAQAgAAAAKgEAAGRycy9l&#10;Mm9Eb2MueG1sUEsFBgAAAAAGAAYAWQEAANAFAAAAAA==&#10;">
                <v:fill on="t" focussize="0,0"/>
                <v:stroke weight="1.25pt" color="#808080" joinstyle="round"/>
                <v:imagedata o:title=""/>
                <o:lock v:ext="edit" aspectratio="f"/>
                <v:textbo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121920</wp:posOffset>
                </wp:positionV>
                <wp:extent cx="2535555" cy="1424940"/>
                <wp:effectExtent l="8255" t="7620" r="889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246A91C">
                            <w:pPr>
                              <w:jc w:val="center"/>
                              <w:rPr>
                                <w:rFonts w:hAnsi="宋体"/>
                              </w:rPr>
                            </w:pPr>
                            <w:r>
                              <w:rPr>
                                <w:rFonts w:hAnsi="宋体"/>
                              </w:rPr>
                              <w:t xml:space="preserve">  </w:t>
                            </w: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wps:txbx>
                      <wps:bodyPr upright="1"/>
                    </wps:wsp>
                  </a:graphicData>
                </a:graphic>
              </wp:anchor>
            </w:drawing>
          </mc:Choice>
          <mc:Fallback>
            <w:pict>
              <v:roundrect id="_x0000_s1026" o:spid="_x0000_s1026" o:spt="2" style="position:absolute;left:0pt;margin-left:5.4pt;margin-top:9.6pt;height:112.2pt;width:199.65pt;z-index:251663360;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0ajGtoAAAAJAQAADwAAAAAAAAABACAAAAAiAAAAZHJzL2Rvd25yZXYueG1s&#10;UEsBAhQAFAAAAAgAh07iQCgtwR4vAgAAdQQAAA4AAAAAAAAAAQAgAAAAKQEAAGRycy9lMm9Eb2Mu&#10;eG1sUEsFBgAAAAAGAAYAWQEAAMoFAAAAAA==&#10;">
                <v:fill on="t" focussize="0,0"/>
                <v:stroke weight="1.25pt" color="#808080" joinstyle="round"/>
                <v:imagedata o:title=""/>
                <o:lock v:ext="edit" aspectratio="f"/>
                <v:textbox>
                  <w:txbxContent>
                    <w:p w14:paraId="5246A91C">
                      <w:pPr>
                        <w:jc w:val="center"/>
                        <w:rPr>
                          <w:rFonts w:hAnsi="宋体"/>
                        </w:rPr>
                      </w:pPr>
                      <w:r>
                        <w:rPr>
                          <w:rFonts w:hAnsi="宋体"/>
                        </w:rPr>
                        <w:t xml:space="preserve">  </w:t>
                      </w: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v:textbox>
              </v:roundrect>
            </w:pict>
          </mc:Fallback>
        </mc:AlternateContent>
      </w:r>
    </w:p>
    <w:p w14:paraId="2039632E">
      <w:pPr>
        <w:spacing w:line="360" w:lineRule="auto"/>
        <w:ind w:firstLine="240" w:firstLineChars="100"/>
        <w:rPr>
          <w:rFonts w:hint="eastAsia" w:ascii="宋体" w:hAnsi="宋体" w:eastAsia="宋体" w:cs="宋体"/>
          <w:color w:val="auto"/>
          <w:sz w:val="24"/>
          <w:szCs w:val="24"/>
        </w:rPr>
      </w:pPr>
    </w:p>
    <w:p w14:paraId="00C34989">
      <w:pPr>
        <w:spacing w:line="360" w:lineRule="auto"/>
        <w:rPr>
          <w:rFonts w:hint="eastAsia" w:ascii="宋体" w:hAnsi="宋体" w:eastAsia="宋体" w:cs="宋体"/>
          <w:color w:val="auto"/>
          <w:sz w:val="24"/>
          <w:szCs w:val="24"/>
        </w:rPr>
      </w:pPr>
    </w:p>
    <w:p w14:paraId="61D65FCF">
      <w:pPr>
        <w:spacing w:line="360" w:lineRule="auto"/>
        <w:ind w:firstLine="240" w:firstLineChars="100"/>
        <w:rPr>
          <w:rFonts w:hint="eastAsia" w:ascii="宋体" w:hAnsi="宋体" w:eastAsia="宋体" w:cs="宋体"/>
          <w:color w:val="auto"/>
          <w:sz w:val="24"/>
          <w:szCs w:val="24"/>
        </w:rPr>
      </w:pPr>
    </w:p>
    <w:p w14:paraId="4EF2D2F8">
      <w:pPr>
        <w:spacing w:line="360" w:lineRule="auto"/>
        <w:ind w:firstLine="240" w:firstLineChars="100"/>
        <w:rPr>
          <w:rFonts w:hint="eastAsia" w:ascii="宋体" w:hAnsi="宋体" w:eastAsia="宋体" w:cs="宋体"/>
          <w:color w:val="auto"/>
          <w:sz w:val="24"/>
          <w:szCs w:val="24"/>
        </w:rPr>
      </w:pPr>
    </w:p>
    <w:p w14:paraId="7AE58B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B32C89">
      <w:pPr>
        <w:pStyle w:val="5"/>
        <w:rPr>
          <w:rFonts w:hint="eastAsia"/>
          <w:lang w:val="en-US" w:eastAsia="zh-CN"/>
        </w:rPr>
      </w:pP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95885</wp:posOffset>
                </wp:positionV>
                <wp:extent cx="2551430" cy="1304290"/>
                <wp:effectExtent l="7620" t="7620" r="12700" b="2159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wps:txbx>
                      <wps:bodyPr upright="1"/>
                    </wps:wsp>
                  </a:graphicData>
                </a:graphic>
              </wp:anchor>
            </w:drawing>
          </mc:Choice>
          <mc:Fallback>
            <w:pict>
              <v:roundrect id="_x0000_s1026" o:spid="_x0000_s1026" o:spt="2" style="position:absolute;left:0pt;margin-left:228.25pt;margin-top:7.55pt;height:102.7pt;width:200.9pt;z-index:251661312;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MIUjtsAAAAKAQAADwAAAAAAAAABACAAAAAiAAAAZHJzL2Rvd25yZXYu&#10;eG1sUEsBAhQAFAAAAAgAh07iQJg+PiQxAgAAdQQAAA4AAAAAAAAAAQAgAAAAKgEAAGRycy9lMm9E&#10;b2MueG1sUEsFBgAAAAAGAAYAWQEAAM0FAAAAAA==&#10;">
                <v:fill on="t" focussize="0,0"/>
                <v:stroke weight="1.25pt" color="#808080" joinstyle="round"/>
                <v:imagedata o:title=""/>
                <o:lock v:ext="edit" aspectratio="f"/>
                <v:textbo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92710</wp:posOffset>
                </wp:positionV>
                <wp:extent cx="2546350" cy="1311910"/>
                <wp:effectExtent l="5080" t="4445" r="20320" b="1714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_x0000_s1026" o:spid="_x0000_s1026" o:spt="176" type="#_x0000_t176" style="position:absolute;left:0pt;margin-left:8.05pt;margin-top:7.3pt;height:103.3pt;width:200.5pt;z-index:251662336;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PAmr1gAAAAkBAAAPAAAAAAAAAAEAIAAAACIAAABkcnMvZG93bnJldi54bWxQ&#10;SwECFAAUAAAACACHTuJA1/VDkzICAABjBAAADgAAAAAAAAABACAAAAAlAQAAZHJzL2Uyb0RvYy54&#10;bWxQSwUGAAAAAAYABgBZAQAAyQUAAAAA&#10;">
                <v:fill on="t" focussize="0,0"/>
                <v:stroke color="#000000" joinstyle="miter"/>
                <v:imagedata o:title=""/>
                <o:lock v:ext="edit" aspectratio="f"/>
                <v:textbo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6B966EC3">
      <w:pPr>
        <w:pStyle w:val="6"/>
        <w:rPr>
          <w:rFonts w:hint="eastAsia"/>
          <w:lang w:val="en-US" w:eastAsia="zh-CN"/>
        </w:rPr>
      </w:pPr>
    </w:p>
    <w:p w14:paraId="227BB53F">
      <w:pPr>
        <w:rPr>
          <w:rFonts w:hint="eastAsia"/>
          <w:lang w:val="en-US" w:eastAsia="zh-CN"/>
        </w:rPr>
      </w:pPr>
    </w:p>
    <w:p w14:paraId="4F6702DB">
      <w:pPr>
        <w:pStyle w:val="5"/>
        <w:rPr>
          <w:rFonts w:hint="eastAsia"/>
          <w:lang w:val="en-US" w:eastAsia="zh-CN"/>
        </w:rPr>
      </w:pPr>
    </w:p>
    <w:p w14:paraId="208D81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DB35A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4783C9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投标人（公章）；                           </w:t>
      </w:r>
    </w:p>
    <w:p w14:paraId="5325B61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法定代表人（签字或盖章）：                     </w:t>
      </w:r>
    </w:p>
    <w:p w14:paraId="088B2C2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p>
    <w:p w14:paraId="1929A5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委托代理人（签字或盖章）：                                   </w:t>
      </w:r>
    </w:p>
    <w:p w14:paraId="726D6DD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身份证号码：                                   </w:t>
      </w:r>
    </w:p>
    <w:p w14:paraId="065DAA7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详细通讯地址：                                 </w:t>
      </w:r>
    </w:p>
    <w:p w14:paraId="1C8AA2B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邮 政 编 码 ：                                 </w:t>
      </w:r>
    </w:p>
    <w:p w14:paraId="430F2F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7679FD6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kern w:val="2"/>
          <w:sz w:val="24"/>
          <w:szCs w:val="24"/>
          <w:highlight w:val="none"/>
          <w:lang w:val="en-US" w:eastAsia="zh-CN" w:bidi="ar-SA"/>
        </w:rPr>
        <w:t xml:space="preserve">电　　　　话： </w:t>
      </w:r>
      <w:r>
        <w:rPr>
          <w:rFonts w:hint="eastAsia" w:ascii="宋体" w:hAnsi="宋体" w:eastAsia="宋体" w:cs="宋体"/>
          <w:color w:val="auto"/>
          <w:sz w:val="22"/>
          <w:szCs w:val="22"/>
        </w:rPr>
        <w:t xml:space="preserve">                                </w:t>
      </w:r>
    </w:p>
    <w:p w14:paraId="1AF2A2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宋体" w:hAnsi="宋体" w:eastAsia="宋体" w:cs="宋体"/>
          <w:color w:val="auto"/>
          <w:kern w:val="2"/>
          <w:sz w:val="24"/>
          <w:szCs w:val="24"/>
          <w:highlight w:val="none"/>
          <w:lang w:val="en-US" w:eastAsia="zh-CN" w:bidi="ar-SA"/>
        </w:rPr>
      </w:pPr>
      <w:bookmarkStart w:id="282" w:name="_Toc20955"/>
      <w:bookmarkStart w:id="283" w:name="_Toc10717"/>
      <w:bookmarkStart w:id="284" w:name="_Toc20985"/>
      <w:bookmarkStart w:id="285" w:name="_Toc9530"/>
      <w:bookmarkStart w:id="286" w:name="_Toc11027"/>
      <w:r>
        <w:rPr>
          <w:rFonts w:hint="eastAsia" w:ascii="宋体" w:hAnsi="宋体" w:eastAsia="宋体" w:cs="宋体"/>
          <w:color w:val="auto"/>
          <w:kern w:val="2"/>
          <w:sz w:val="24"/>
          <w:szCs w:val="24"/>
          <w:highlight w:val="none"/>
          <w:lang w:val="en-US" w:eastAsia="zh-CN" w:bidi="ar-SA"/>
        </w:rPr>
        <w:t>年   月   日</w:t>
      </w:r>
      <w:bookmarkEnd w:id="282"/>
      <w:bookmarkEnd w:id="283"/>
      <w:bookmarkEnd w:id="284"/>
      <w:bookmarkEnd w:id="285"/>
      <w:bookmarkEnd w:id="286"/>
    </w:p>
    <w:p w14:paraId="6AF88CC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7ABF906F">
      <w:pPr>
        <w:pStyle w:val="7"/>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287" w:name="_Toc27536"/>
      <w:bookmarkStart w:id="288" w:name="_Toc9071"/>
      <w:bookmarkStart w:id="289" w:name="_Toc15282"/>
      <w:bookmarkStart w:id="290" w:name="_Toc25153"/>
      <w:r>
        <w:rPr>
          <w:rFonts w:hint="eastAsia" w:ascii="宋体" w:hAnsi="宋体" w:eastAsia="宋体" w:cs="Times New Roman"/>
          <w:b/>
          <w:bCs/>
          <w:spacing w:val="8"/>
          <w:sz w:val="24"/>
          <w:szCs w:val="24"/>
          <w:lang w:eastAsia="zh-CN"/>
        </w:rPr>
        <w:t>4、</w:t>
      </w:r>
      <w:r>
        <w:rPr>
          <w:rFonts w:hint="eastAsia" w:eastAsia="宋体" w:cs="Times New Roman"/>
          <w:b/>
          <w:bCs/>
          <w:spacing w:val="8"/>
          <w:sz w:val="24"/>
          <w:szCs w:val="24"/>
          <w:lang w:eastAsia="zh-CN"/>
        </w:rPr>
        <w:t>2023年度的财务审计报告</w:t>
      </w:r>
      <w:r>
        <w:rPr>
          <w:rFonts w:hint="eastAsia" w:ascii="宋体" w:hAnsi="宋体" w:eastAsia="宋体" w:cs="Times New Roman"/>
          <w:b/>
          <w:bCs/>
          <w:spacing w:val="8"/>
          <w:sz w:val="24"/>
          <w:szCs w:val="24"/>
          <w:lang w:eastAsia="zh-CN"/>
        </w:rPr>
        <w:t>（新成立未满一年的新公司</w:t>
      </w:r>
      <w:bookmarkEnd w:id="287"/>
      <w:bookmarkEnd w:id="288"/>
      <w:bookmarkEnd w:id="289"/>
      <w:bookmarkEnd w:id="290"/>
      <w:bookmarkStart w:id="291" w:name="_Toc21463"/>
      <w:bookmarkStart w:id="292" w:name="_Toc26348"/>
      <w:bookmarkStart w:id="293" w:name="_Toc11549"/>
      <w:bookmarkStart w:id="294" w:name="_Toc19805"/>
      <w:r>
        <w:rPr>
          <w:rFonts w:hint="eastAsia" w:ascii="宋体" w:hAnsi="宋体" w:eastAsia="宋体" w:cs="Times New Roman"/>
          <w:b/>
          <w:bCs/>
          <w:spacing w:val="8"/>
          <w:sz w:val="24"/>
          <w:szCs w:val="24"/>
          <w:lang w:eastAsia="zh-CN"/>
        </w:rPr>
        <w:t>提供近三个月内</w:t>
      </w:r>
      <w:r>
        <w:rPr>
          <w:rFonts w:hint="eastAsia" w:ascii="宋体" w:hAnsi="宋体" w:eastAsia="宋体" w:cs="Times New Roman"/>
          <w:b/>
          <w:bCs/>
          <w:spacing w:val="8"/>
          <w:sz w:val="24"/>
          <w:szCs w:val="24"/>
          <w:lang w:val="en-US" w:eastAsia="zh-CN"/>
        </w:rPr>
        <w:t>有效</w:t>
      </w:r>
      <w:r>
        <w:rPr>
          <w:rFonts w:hint="eastAsia" w:ascii="宋体" w:hAnsi="宋体" w:eastAsia="宋体" w:cs="Times New Roman"/>
          <w:b/>
          <w:bCs/>
          <w:spacing w:val="8"/>
          <w:sz w:val="24"/>
          <w:szCs w:val="24"/>
          <w:lang w:eastAsia="zh-CN"/>
        </w:rPr>
        <w:t>的银行资信证明）；</w:t>
      </w:r>
      <w:bookmarkEnd w:id="291"/>
      <w:bookmarkEnd w:id="292"/>
      <w:bookmarkEnd w:id="293"/>
      <w:bookmarkEnd w:id="294"/>
    </w:p>
    <w:p w14:paraId="4EF03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F70A6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D38DE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53C4E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55169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BF280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FE88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D1A86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68CEC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295" w:name="bookmark44"/>
      <w:bookmarkEnd w:id="295"/>
      <w:bookmarkStart w:id="296" w:name="bookmark15"/>
      <w:bookmarkEnd w:id="296"/>
      <w:bookmarkStart w:id="297" w:name="_Toc28434"/>
      <w:bookmarkStart w:id="298" w:name="_Toc26966"/>
      <w:bookmarkStart w:id="299" w:name="_Toc13901"/>
      <w:bookmarkStart w:id="300" w:name="_Toc3850"/>
      <w:r>
        <w:rPr>
          <w:rFonts w:hint="eastAsia" w:ascii="宋体" w:hAnsi="宋体" w:eastAsia="宋体" w:cs="Times New Roman"/>
          <w:b/>
          <w:bCs/>
          <w:spacing w:val="8"/>
          <w:sz w:val="24"/>
          <w:szCs w:val="24"/>
          <w:lang w:eastAsia="zh-CN"/>
        </w:rPr>
        <w:t>5、</w:t>
      </w:r>
      <w:r>
        <w:rPr>
          <w:rFonts w:hint="eastAsia" w:eastAsia="宋体" w:cs="Times New Roman"/>
          <w:b/>
          <w:bCs/>
          <w:spacing w:val="8"/>
          <w:sz w:val="24"/>
          <w:szCs w:val="24"/>
          <w:lang w:eastAsia="zh-CN"/>
        </w:rPr>
        <w:t>提供依法缴纳近6个月内任意1个月</w:t>
      </w:r>
      <w:r>
        <w:rPr>
          <w:rFonts w:hint="eastAsia" w:ascii="宋体" w:hAnsi="宋体" w:eastAsia="宋体" w:cs="Times New Roman"/>
          <w:b/>
          <w:bCs/>
          <w:spacing w:val="8"/>
          <w:sz w:val="24"/>
          <w:szCs w:val="24"/>
          <w:lang w:eastAsia="zh-CN"/>
        </w:rPr>
        <w:t>缴纳社会保障金的证明材料（投标人单位的社保缴费凭证及个人明细表）；</w:t>
      </w:r>
      <w:bookmarkEnd w:id="297"/>
      <w:bookmarkEnd w:id="298"/>
      <w:bookmarkEnd w:id="299"/>
      <w:bookmarkEnd w:id="300"/>
    </w:p>
    <w:p w14:paraId="216680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3EF5D2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r>
        <w:rPr>
          <w:spacing w:val="4"/>
          <w:sz w:val="23"/>
          <w:szCs w:val="23"/>
        </w:rPr>
        <w:t>注：</w:t>
      </w:r>
      <w:r>
        <w:rPr>
          <w:rFonts w:hint="eastAsia"/>
          <w:spacing w:val="4"/>
          <w:sz w:val="23"/>
          <w:szCs w:val="23"/>
          <w:lang w:eastAsia="zh-CN"/>
        </w:rPr>
        <w:t xml:space="preserve">近六个月是指2024年2月-2024年8月 </w:t>
      </w:r>
      <w:r>
        <w:rPr>
          <w:spacing w:val="4"/>
          <w:sz w:val="23"/>
          <w:szCs w:val="23"/>
        </w:rPr>
        <w:t>；</w:t>
      </w:r>
    </w:p>
    <w:p w14:paraId="7CAA65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026B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8119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A196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C1304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0FD722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301" w:name="bookmark17"/>
      <w:bookmarkEnd w:id="301"/>
      <w:bookmarkStart w:id="302" w:name="_Toc19895"/>
      <w:bookmarkStart w:id="303" w:name="_Toc30985"/>
      <w:bookmarkStart w:id="304" w:name="_Toc30783"/>
      <w:bookmarkStart w:id="305" w:name="_Toc13200"/>
      <w:r>
        <w:rPr>
          <w:rFonts w:hint="eastAsia" w:ascii="宋体" w:hAnsi="宋体" w:eastAsia="宋体" w:cs="Times New Roman"/>
          <w:b/>
          <w:bCs/>
          <w:spacing w:val="8"/>
          <w:sz w:val="24"/>
          <w:szCs w:val="24"/>
          <w:lang w:eastAsia="zh-CN"/>
        </w:rPr>
        <w:t>6、</w:t>
      </w:r>
      <w:r>
        <w:rPr>
          <w:rFonts w:hint="eastAsia" w:eastAsia="宋体" w:cs="Times New Roman"/>
          <w:b/>
          <w:bCs/>
          <w:spacing w:val="8"/>
          <w:sz w:val="24"/>
          <w:szCs w:val="24"/>
          <w:lang w:eastAsia="zh-CN"/>
        </w:rPr>
        <w:t>提供依法缴纳近6个月内任意1个月</w:t>
      </w:r>
      <w:r>
        <w:rPr>
          <w:rFonts w:hint="eastAsia" w:ascii="宋体" w:hAnsi="宋体" w:eastAsia="宋体" w:cs="Times New Roman"/>
          <w:b/>
          <w:bCs/>
          <w:spacing w:val="8"/>
          <w:sz w:val="24"/>
          <w:szCs w:val="24"/>
          <w:lang w:eastAsia="zh-CN"/>
        </w:rPr>
        <w:t>税收证明</w:t>
      </w:r>
      <w:bookmarkEnd w:id="302"/>
      <w:bookmarkEnd w:id="303"/>
      <w:bookmarkEnd w:id="304"/>
      <w:bookmarkEnd w:id="305"/>
    </w:p>
    <w:p w14:paraId="59F268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2AB7EDF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eastAsia="宋体"/>
          <w:sz w:val="23"/>
          <w:szCs w:val="23"/>
          <w:lang w:eastAsia="zh-CN"/>
        </w:rPr>
      </w:pPr>
      <w:bookmarkStart w:id="306" w:name="_Toc21585"/>
      <w:bookmarkStart w:id="307" w:name="_Toc22791"/>
      <w:bookmarkStart w:id="308" w:name="_Toc15140"/>
      <w:bookmarkStart w:id="309" w:name="_Toc1358"/>
      <w:bookmarkStart w:id="310" w:name="_Toc30748"/>
      <w:r>
        <w:rPr>
          <w:spacing w:val="4"/>
          <w:sz w:val="23"/>
          <w:szCs w:val="23"/>
        </w:rPr>
        <w:t>注：</w:t>
      </w:r>
      <w:r>
        <w:rPr>
          <w:rFonts w:hint="eastAsia"/>
          <w:spacing w:val="4"/>
          <w:sz w:val="23"/>
          <w:szCs w:val="23"/>
          <w:lang w:eastAsia="zh-CN"/>
        </w:rPr>
        <w:t>近六个月是指2024年2月-2024年8月</w:t>
      </w:r>
      <w:r>
        <w:rPr>
          <w:spacing w:val="4"/>
          <w:sz w:val="23"/>
          <w:szCs w:val="23"/>
        </w:rPr>
        <w:t>；</w:t>
      </w:r>
      <w:r>
        <w:rPr>
          <w:rFonts w:hint="eastAsia"/>
          <w:spacing w:val="4"/>
          <w:sz w:val="23"/>
          <w:szCs w:val="23"/>
          <w:lang w:eastAsia="zh-CN"/>
        </w:rPr>
        <w:t>税务部门出具的完税凭证或缴税证明或银行出具的“银行电子缴税付款凭证”；①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bookmarkEnd w:id="306"/>
      <w:bookmarkEnd w:id="307"/>
      <w:bookmarkEnd w:id="308"/>
      <w:bookmarkEnd w:id="309"/>
      <w:bookmarkEnd w:id="310"/>
    </w:p>
    <w:p w14:paraId="2A8EF4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2A130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A968D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F4A05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756FA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B3A8A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076AC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222E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4C188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311" w:name="bookmark18"/>
      <w:bookmarkEnd w:id="311"/>
      <w:bookmarkStart w:id="312" w:name="_Toc19804"/>
      <w:bookmarkStart w:id="313" w:name="_Toc8441"/>
      <w:bookmarkStart w:id="314" w:name="_Toc15280"/>
      <w:bookmarkStart w:id="315" w:name="_Toc22680"/>
      <w:r>
        <w:rPr>
          <w:rFonts w:hint="eastAsia" w:ascii="宋体" w:hAnsi="宋体" w:eastAsia="宋体" w:cs="Times New Roman"/>
          <w:b/>
          <w:bCs/>
          <w:spacing w:val="8"/>
          <w:sz w:val="24"/>
          <w:szCs w:val="24"/>
          <w:lang w:eastAsia="zh-CN"/>
        </w:rPr>
        <w:t>7、</w:t>
      </w:r>
      <w:bookmarkEnd w:id="312"/>
      <w:bookmarkEnd w:id="313"/>
      <w:bookmarkEnd w:id="314"/>
      <w:r>
        <w:rPr>
          <w:rFonts w:hint="eastAsia" w:eastAsia="宋体" w:cs="Times New Roman"/>
          <w:b/>
          <w:bCs/>
          <w:spacing w:val="8"/>
          <w:sz w:val="24"/>
          <w:szCs w:val="24"/>
          <w:lang w:eastAsia="zh-CN"/>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r>
        <w:rPr>
          <w:rFonts w:hint="eastAsia" w:ascii="宋体" w:hAnsi="宋体" w:eastAsia="宋体" w:cs="Times New Roman"/>
          <w:b/>
          <w:bCs/>
          <w:spacing w:val="8"/>
          <w:sz w:val="24"/>
          <w:szCs w:val="24"/>
          <w:lang w:eastAsia="zh-CN"/>
        </w:rPr>
        <w:t>(须提供查询截图并加盖公章）；</w:t>
      </w:r>
      <w:bookmarkEnd w:id="315"/>
    </w:p>
    <w:p w14:paraId="77A91E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9915C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CF73F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2DEA939">
      <w:pPr>
        <w:rPr>
          <w:spacing w:val="8"/>
          <w:sz w:val="23"/>
          <w:szCs w:val="23"/>
        </w:rPr>
      </w:pPr>
      <w:bookmarkStart w:id="316" w:name="bookmark45"/>
      <w:bookmarkEnd w:id="316"/>
      <w:bookmarkStart w:id="317" w:name="bookmark19"/>
      <w:bookmarkEnd w:id="317"/>
      <w:r>
        <w:rPr>
          <w:spacing w:val="8"/>
          <w:sz w:val="23"/>
          <w:szCs w:val="23"/>
        </w:rPr>
        <w:br w:type="page"/>
      </w:r>
    </w:p>
    <w:p w14:paraId="6FDBAB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318" w:name="_Toc14826"/>
      <w:bookmarkStart w:id="319" w:name="_Toc17068"/>
      <w:bookmarkStart w:id="320" w:name="_Toc25167"/>
      <w:bookmarkStart w:id="321" w:name="_Toc29395"/>
      <w:r>
        <w:rPr>
          <w:spacing w:val="8"/>
          <w:sz w:val="23"/>
          <w:szCs w:val="23"/>
        </w:rPr>
        <w:t>8、供应商提供针对本次项目《反商业贿赂承诺书》；</w:t>
      </w:r>
      <w:bookmarkEnd w:id="318"/>
      <w:bookmarkEnd w:id="319"/>
      <w:bookmarkEnd w:id="320"/>
      <w:bookmarkEnd w:id="321"/>
    </w:p>
    <w:p w14:paraId="560FC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6FEC7E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3"/>
          <w:szCs w:val="23"/>
        </w:rPr>
      </w:pPr>
      <w:r>
        <w:rPr>
          <w:spacing w:val="8"/>
          <w:sz w:val="24"/>
          <w:szCs w:val="24"/>
        </w:rPr>
        <w:t>反商业贿赂承诺书</w:t>
      </w:r>
    </w:p>
    <w:p w14:paraId="011FAE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63690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
          <w:sz w:val="23"/>
          <w:szCs w:val="23"/>
        </w:rPr>
        <w:t>我单位承诺：</w:t>
      </w:r>
    </w:p>
    <w:p w14:paraId="387611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BE2BCF4">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left"/>
        <w:textAlignment w:val="baseline"/>
        <w:rPr>
          <w:sz w:val="23"/>
          <w:szCs w:val="23"/>
        </w:rPr>
      </w:pPr>
      <w:r>
        <w:rPr>
          <w:spacing w:val="-6"/>
          <w:sz w:val="23"/>
          <w:szCs w:val="23"/>
        </w:rPr>
        <w:t>在参加</w:t>
      </w:r>
      <w:r>
        <w:rPr>
          <w:spacing w:val="-6"/>
          <w:sz w:val="23"/>
          <w:szCs w:val="23"/>
          <w:u w:val="single" w:color="auto"/>
        </w:rPr>
        <w:t>（项目名称及编号）</w:t>
      </w:r>
      <w:r>
        <w:rPr>
          <w:spacing w:val="-6"/>
          <w:sz w:val="23"/>
          <w:szCs w:val="23"/>
        </w:rPr>
        <w:t>时，我单位保证做到：</w:t>
      </w:r>
    </w:p>
    <w:p w14:paraId="282B25A4">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sz w:val="23"/>
          <w:szCs w:val="23"/>
        </w:rPr>
      </w:pPr>
      <w:r>
        <w:rPr>
          <w:spacing w:val="6"/>
          <w:sz w:val="23"/>
          <w:szCs w:val="23"/>
        </w:rPr>
        <w:t>一、公平竞争参加本次招标活动。</w:t>
      </w:r>
    </w:p>
    <w:p w14:paraId="7FC4F7EF">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6" w:firstLineChars="200"/>
        <w:jc w:val="left"/>
        <w:textAlignment w:val="baseline"/>
        <w:rPr>
          <w:sz w:val="23"/>
          <w:szCs w:val="23"/>
        </w:rPr>
      </w:pPr>
      <w:r>
        <w:rPr>
          <w:spacing w:val="9"/>
          <w:sz w:val="23"/>
          <w:szCs w:val="23"/>
        </w:rPr>
        <w:t>二、杜绝任何形式的商业贿赂行为。不向国家工作人员、政府招标代理</w:t>
      </w:r>
      <w:r>
        <w:rPr>
          <w:spacing w:val="6"/>
          <w:sz w:val="23"/>
          <w:szCs w:val="23"/>
        </w:rPr>
        <w:t>机构工作人员、评审专家及其亲属提供礼品礼金、有价证券、购物券、</w:t>
      </w:r>
      <w:r>
        <w:rPr>
          <w:spacing w:val="5"/>
          <w:sz w:val="23"/>
          <w:szCs w:val="23"/>
        </w:rPr>
        <w:t>回扣、佣金、咨询费、劳务费、赞助费、宣传费、宴请；不为其报销各种消费凭证，</w:t>
      </w:r>
    </w:p>
    <w:p w14:paraId="56D0799D">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left"/>
        <w:textAlignment w:val="baseline"/>
        <w:rPr>
          <w:sz w:val="23"/>
          <w:szCs w:val="23"/>
        </w:rPr>
      </w:pPr>
      <w:r>
        <w:rPr>
          <w:spacing w:val="5"/>
          <w:sz w:val="23"/>
          <w:szCs w:val="23"/>
        </w:rPr>
        <w:t>不支付其旅游、娱乐等费用。</w:t>
      </w:r>
    </w:p>
    <w:p w14:paraId="7048FB95">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0" w:firstLineChars="200"/>
        <w:jc w:val="left"/>
        <w:textAlignment w:val="baseline"/>
        <w:rPr>
          <w:sz w:val="23"/>
          <w:szCs w:val="23"/>
        </w:rPr>
      </w:pPr>
      <w:r>
        <w:rPr>
          <w:spacing w:val="10"/>
          <w:position w:val="17"/>
          <w:sz w:val="23"/>
          <w:szCs w:val="23"/>
        </w:rPr>
        <w:t>三、若出现上述行为，我单位及参与投标的工</w:t>
      </w:r>
      <w:r>
        <w:rPr>
          <w:spacing w:val="9"/>
          <w:position w:val="17"/>
          <w:sz w:val="23"/>
          <w:szCs w:val="23"/>
        </w:rPr>
        <w:t>作人员愿意接受按照国家</w:t>
      </w:r>
    </w:p>
    <w:p w14:paraId="71F1779B">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sz w:val="23"/>
          <w:szCs w:val="23"/>
        </w:rPr>
      </w:pPr>
      <w:r>
        <w:rPr>
          <w:spacing w:val="6"/>
          <w:sz w:val="23"/>
          <w:szCs w:val="23"/>
        </w:rPr>
        <w:t>法律法规等有关规定给予的处罚。</w:t>
      </w:r>
    </w:p>
    <w:p w14:paraId="46B3AA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E4E78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1"/>
          <w:sz w:val="23"/>
          <w:szCs w:val="23"/>
        </w:rPr>
        <w:t>供应商名称</w:t>
      </w:r>
      <w:r>
        <w:rPr>
          <w:spacing w:val="-23"/>
          <w:sz w:val="23"/>
          <w:szCs w:val="23"/>
        </w:rPr>
        <w:t>：（</w:t>
      </w:r>
      <w:r>
        <w:rPr>
          <w:spacing w:val="-21"/>
          <w:sz w:val="23"/>
          <w:szCs w:val="23"/>
        </w:rPr>
        <w:t>盖章）</w:t>
      </w:r>
    </w:p>
    <w:p w14:paraId="635493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E7CB4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DE04F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2A9AFD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8"/>
          <w:sz w:val="23"/>
          <w:szCs w:val="23"/>
        </w:rPr>
        <w:t>法定代表人或授权委托人</w:t>
      </w:r>
      <w:r>
        <w:rPr>
          <w:spacing w:val="-3"/>
          <w:sz w:val="23"/>
          <w:szCs w:val="23"/>
        </w:rPr>
        <w:t>：（</w:t>
      </w:r>
      <w:r>
        <w:rPr>
          <w:spacing w:val="-8"/>
          <w:sz w:val="23"/>
          <w:szCs w:val="23"/>
        </w:rPr>
        <w:t>签字或盖章）</w:t>
      </w:r>
    </w:p>
    <w:p w14:paraId="7CC73A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DA96C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45407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8A451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pgSz w:w="11906" w:h="16838"/>
          <w:pgMar w:top="1440" w:right="1800" w:bottom="1440" w:left="1800" w:header="0" w:footer="896" w:gutter="0"/>
          <w:pgNumType w:fmt="numberInDash"/>
          <w:cols w:space="720" w:num="1"/>
        </w:sectPr>
      </w:pPr>
      <w:r>
        <w:rPr>
          <w:spacing w:val="-23"/>
          <w:sz w:val="23"/>
          <w:szCs w:val="23"/>
        </w:rPr>
        <w:t>日期：年月日</w:t>
      </w:r>
    </w:p>
    <w:p w14:paraId="64472E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6DC22A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322" w:name="bookmark21"/>
      <w:bookmarkEnd w:id="322"/>
      <w:bookmarkStart w:id="323" w:name="_Toc19511"/>
      <w:bookmarkStart w:id="324" w:name="_Toc26817"/>
      <w:bookmarkStart w:id="325" w:name="_Toc587"/>
      <w:bookmarkStart w:id="326" w:name="_Toc8457"/>
      <w:r>
        <w:rPr>
          <w:rFonts w:hint="eastAsia" w:ascii="宋体" w:hAnsi="宋体" w:eastAsia="宋体" w:cs="Times New Roman"/>
          <w:b/>
          <w:bCs/>
          <w:spacing w:val="8"/>
          <w:sz w:val="24"/>
          <w:szCs w:val="24"/>
          <w:lang w:eastAsia="zh-CN"/>
        </w:rPr>
        <w:t>9、参加政府采购活动前三年内在经营活动中没有重大违法记录的书面声</w:t>
      </w:r>
      <w:bookmarkEnd w:id="323"/>
      <w:bookmarkEnd w:id="324"/>
      <w:bookmarkEnd w:id="325"/>
      <w:bookmarkEnd w:id="326"/>
    </w:p>
    <w:p w14:paraId="35251EA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pacing w:val="-3"/>
          <w:sz w:val="23"/>
          <w:szCs w:val="23"/>
        </w:rPr>
      </w:pPr>
      <w:bookmarkStart w:id="327" w:name="_Toc10857"/>
      <w:bookmarkStart w:id="328" w:name="_Toc2215"/>
      <w:bookmarkStart w:id="329" w:name="_Toc8114"/>
      <w:bookmarkStart w:id="330" w:name="_Toc1705"/>
      <w:r>
        <w:rPr>
          <w:rFonts w:hint="eastAsia" w:ascii="宋体" w:hAnsi="宋体" w:eastAsia="宋体" w:cs="Times New Roman"/>
          <w:b/>
          <w:bCs/>
          <w:spacing w:val="8"/>
          <w:sz w:val="24"/>
          <w:szCs w:val="24"/>
          <w:lang w:eastAsia="zh-CN"/>
        </w:rPr>
        <w:t>明；（格式自拟）</w:t>
      </w:r>
      <w:bookmarkEnd w:id="327"/>
      <w:bookmarkEnd w:id="328"/>
      <w:bookmarkEnd w:id="329"/>
      <w:bookmarkEnd w:id="330"/>
    </w:p>
    <w:p w14:paraId="2C7B166C">
      <w:pPr>
        <w:pStyle w:val="5"/>
        <w:rPr>
          <w:spacing w:val="-3"/>
          <w:sz w:val="23"/>
          <w:szCs w:val="23"/>
        </w:rPr>
      </w:pPr>
    </w:p>
    <w:p w14:paraId="775AF9CC">
      <w:pPr>
        <w:pStyle w:val="6"/>
        <w:rPr>
          <w:spacing w:val="-3"/>
          <w:sz w:val="23"/>
          <w:szCs w:val="23"/>
        </w:rPr>
      </w:pPr>
    </w:p>
    <w:p w14:paraId="418F4895">
      <w:pPr>
        <w:rPr>
          <w:spacing w:val="-3"/>
          <w:sz w:val="23"/>
          <w:szCs w:val="23"/>
        </w:rPr>
      </w:pPr>
    </w:p>
    <w:p w14:paraId="45271D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331" w:name="_Toc60"/>
      <w:bookmarkStart w:id="332" w:name="_Toc3836"/>
      <w:bookmarkStart w:id="333" w:name="_Toc24795"/>
      <w:bookmarkStart w:id="334" w:name="_Toc21995"/>
      <w:r>
        <w:rPr>
          <w:rFonts w:hint="eastAsia" w:ascii="宋体" w:hAnsi="宋体" w:eastAsia="宋体" w:cs="Times New Roman"/>
          <w:b/>
          <w:bCs/>
          <w:spacing w:val="8"/>
          <w:sz w:val="24"/>
          <w:szCs w:val="24"/>
          <w:lang w:eastAsia="zh-CN"/>
        </w:rPr>
        <w:t>10、提供缴纳投标保证金的有效凭证；</w:t>
      </w:r>
      <w:bookmarkEnd w:id="331"/>
      <w:bookmarkEnd w:id="332"/>
      <w:bookmarkEnd w:id="333"/>
      <w:bookmarkEnd w:id="334"/>
    </w:p>
    <w:p w14:paraId="5FC731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6712C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18BDF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pacing w:val="-8"/>
          <w:sz w:val="23"/>
          <w:szCs w:val="23"/>
        </w:rPr>
      </w:pPr>
      <w:r>
        <w:rPr>
          <w:rFonts w:hint="eastAsia" w:ascii="宋体" w:hAnsi="宋体" w:eastAsia="宋体" w:cs="宋体"/>
          <w:spacing w:val="-8"/>
          <w:sz w:val="23"/>
          <w:szCs w:val="23"/>
          <w:lang w:val="en-US" w:eastAsia="zh-CN"/>
        </w:rPr>
        <w:t>注：</w:t>
      </w:r>
      <w:r>
        <w:rPr>
          <w:rFonts w:hint="eastAsia" w:ascii="宋体" w:hAnsi="宋体" w:eastAsia="宋体" w:cs="宋体"/>
          <w:spacing w:val="-8"/>
          <w:sz w:val="23"/>
          <w:szCs w:val="23"/>
        </w:rPr>
        <w:t>投标人可将本项目投标保证金支付的汇款凭证、汇票或保证金收据（如有）的</w:t>
      </w:r>
      <w:r>
        <w:rPr>
          <w:rFonts w:hint="eastAsia" w:ascii="宋体" w:hAnsi="宋体" w:eastAsia="宋体" w:cs="宋体"/>
          <w:spacing w:val="-8"/>
          <w:sz w:val="23"/>
          <w:szCs w:val="23"/>
          <w:lang w:val="en-US" w:eastAsia="zh-CN"/>
        </w:rPr>
        <w:t>扫描</w:t>
      </w:r>
      <w:r>
        <w:rPr>
          <w:rFonts w:hint="eastAsia" w:ascii="宋体" w:hAnsi="宋体" w:eastAsia="宋体" w:cs="宋体"/>
          <w:spacing w:val="-8"/>
          <w:sz w:val="23"/>
          <w:szCs w:val="23"/>
        </w:rPr>
        <w:t>件作为缴纳凭证装订在本部分</w:t>
      </w:r>
      <w:r>
        <w:rPr>
          <w:rFonts w:hint="eastAsia" w:ascii="宋体" w:hAnsi="宋体" w:eastAsia="宋体" w:cs="宋体"/>
          <w:spacing w:val="-8"/>
          <w:sz w:val="23"/>
          <w:szCs w:val="23"/>
          <w:lang w:eastAsia="zh-CN"/>
        </w:rPr>
        <w:t>；</w:t>
      </w:r>
    </w:p>
    <w:p w14:paraId="47552F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70B53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C57D4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5427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5261F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5F1DC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ED184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877E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B459DB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sectPr>
          <w:pgSz w:w="11906" w:h="16838"/>
          <w:pgMar w:top="1440" w:right="1800" w:bottom="1440" w:left="1800" w:header="0" w:footer="896" w:gutter="0"/>
          <w:pgNumType w:fmt="numberInDash"/>
          <w:cols w:space="720" w:num="1"/>
        </w:sectPr>
      </w:pPr>
      <w:bookmarkStart w:id="335" w:name="bookmark24"/>
      <w:bookmarkEnd w:id="335"/>
      <w:bookmarkStart w:id="336" w:name="_Toc26727"/>
      <w:bookmarkStart w:id="337" w:name="_Toc8425"/>
      <w:bookmarkStart w:id="338" w:name="_Toc23811"/>
      <w:bookmarkStart w:id="339" w:name="_Toc16026"/>
      <w:r>
        <w:rPr>
          <w:rFonts w:hint="eastAsia" w:ascii="宋体" w:hAnsi="宋体" w:eastAsia="宋体" w:cs="Times New Roman"/>
          <w:b/>
          <w:bCs/>
          <w:spacing w:val="8"/>
          <w:sz w:val="24"/>
          <w:szCs w:val="24"/>
          <w:lang w:eastAsia="zh-CN"/>
        </w:rPr>
        <w:t>11、</w:t>
      </w:r>
      <w:bookmarkEnd w:id="336"/>
      <w:bookmarkEnd w:id="337"/>
      <w:bookmarkEnd w:id="338"/>
      <w:bookmarkEnd w:id="339"/>
      <w:bookmarkStart w:id="340" w:name="_Toc14993"/>
      <w:bookmarkStart w:id="341" w:name="_Toc17118"/>
      <w:bookmarkStart w:id="342" w:name="_Toc11499"/>
      <w:bookmarkStart w:id="343" w:name="_Toc4692"/>
      <w:r>
        <w:rPr>
          <w:rFonts w:hint="eastAsia" w:ascii="宋体" w:hAnsi="宋体" w:eastAsia="宋体" w:cs="Times New Roman"/>
          <w:b/>
          <w:bCs/>
          <w:spacing w:val="8"/>
          <w:sz w:val="24"/>
          <w:szCs w:val="24"/>
          <w:lang w:eastAsia="zh-CN"/>
        </w:rPr>
        <w:t>供应商可提供有利于投标的其他资格证明材料</w:t>
      </w:r>
      <w:bookmarkEnd w:id="340"/>
      <w:bookmarkEnd w:id="341"/>
      <w:bookmarkEnd w:id="342"/>
      <w:bookmarkEnd w:id="343"/>
    </w:p>
    <w:p w14:paraId="0CC1BAF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pacing w:val="9"/>
          <w:sz w:val="24"/>
          <w:szCs w:val="24"/>
        </w:rPr>
      </w:pPr>
      <w:bookmarkStart w:id="344" w:name="bookmark27"/>
      <w:bookmarkEnd w:id="344"/>
      <w:bookmarkStart w:id="345" w:name="_Toc11244"/>
      <w:bookmarkStart w:id="346" w:name="_Toc23384"/>
      <w:r>
        <w:rPr>
          <w:rFonts w:hint="eastAsia" w:ascii="方正小标宋简体" w:hAnsi="方正小标宋简体" w:eastAsia="方正小标宋简体" w:cs="方正小标宋简体"/>
          <w:b w:val="0"/>
          <w:bCs w:val="0"/>
          <w:spacing w:val="9"/>
          <w:sz w:val="24"/>
          <w:szCs w:val="24"/>
        </w:rPr>
        <w:t>第二部分商务及技术文件</w:t>
      </w:r>
      <w:bookmarkEnd w:id="345"/>
      <w:bookmarkEnd w:id="346"/>
    </w:p>
    <w:p w14:paraId="614A6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60B013">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000000"/>
          <w:sz w:val="24"/>
        </w:rPr>
        <w:t>1、</w:t>
      </w:r>
      <w:r>
        <w:rPr>
          <w:rFonts w:hint="eastAsia" w:ascii="方正仿宋_GBK" w:hAnsi="方正仿宋_GBK" w:eastAsia="方正仿宋_GBK" w:cs="方正仿宋_GBK"/>
          <w:color w:val="auto"/>
          <w:sz w:val="24"/>
          <w:szCs w:val="24"/>
          <w:highlight w:val="none"/>
        </w:rPr>
        <w:t>投标书</w:t>
      </w:r>
    </w:p>
    <w:p w14:paraId="581E6604">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2、投标分项报价表</w:t>
      </w:r>
    </w:p>
    <w:p w14:paraId="7D92ADC4">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3、货物说明一览表</w:t>
      </w:r>
    </w:p>
    <w:p w14:paraId="3EDFB9D8">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4、技术规格偏离表</w:t>
      </w:r>
    </w:p>
    <w:p w14:paraId="73D52E87">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5、商务条款偏离表</w:t>
      </w:r>
    </w:p>
    <w:p w14:paraId="42CC970F">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6、符合《政府采购促进中小企业发展暂行办法》、《三部门联合发布关于促进残疾人就业政府采购政策的通知》价格扣减条件的投标人须提交）</w:t>
      </w:r>
    </w:p>
    <w:p w14:paraId="31925553">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-1《投标人企业（单位）类型声明函》</w:t>
      </w:r>
    </w:p>
    <w:p w14:paraId="54C17750">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-2《中小企业声明函（货物）》</w:t>
      </w:r>
    </w:p>
    <w:p w14:paraId="4BB72ECC">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-3《残疾人福利性单位声明函》</w:t>
      </w:r>
    </w:p>
    <w:p w14:paraId="638BCDEE">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、投标人关联单位的说明（格式自拟）</w:t>
      </w:r>
    </w:p>
    <w:p w14:paraId="60EB93CE">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20" w:firstLineChars="300"/>
        <w:jc w:val="left"/>
        <w:textAlignment w:val="baseline"/>
        <w:rPr>
          <w:rFonts w:hint="eastAsia" w:ascii="方正仿宋_GBK" w:hAnsi="方正仿宋_GBK" w:eastAsia="方正仿宋_GBK" w:cs="方正仿宋_GBK"/>
          <w:sz w:val="23"/>
          <w:szCs w:val="23"/>
        </w:rPr>
      </w:pP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其他有利于投标人的文件或证明材料</w:t>
      </w:r>
    </w:p>
    <w:p w14:paraId="0D2D6F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p w14:paraId="5149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sectPr>
          <w:pgSz w:w="11906" w:h="16838"/>
          <w:pgMar w:top="1440" w:right="1800" w:bottom="1440" w:left="1800" w:header="0" w:footer="896" w:gutter="0"/>
          <w:pgNumType w:fmt="numberInDash"/>
          <w:cols w:space="720" w:num="1"/>
        </w:sectPr>
      </w:pPr>
    </w:p>
    <w:p w14:paraId="2E8FE255">
      <w:pPr>
        <w:pStyle w:val="4"/>
        <w:spacing w:before="0" w:line="240" w:lineRule="atLeast"/>
        <w:jc w:val="center"/>
        <w:outlineLvl w:val="2"/>
        <w:rPr>
          <w:rFonts w:hint="eastAsia" w:ascii="宋体" w:hAnsi="宋体" w:eastAsia="宋体" w:cs="宋体"/>
          <w:color w:val="auto"/>
          <w:sz w:val="28"/>
          <w:szCs w:val="28"/>
          <w:highlight w:val="none"/>
        </w:rPr>
      </w:pPr>
      <w:bookmarkStart w:id="347" w:name="bookmark36"/>
      <w:bookmarkEnd w:id="347"/>
      <w:bookmarkStart w:id="348" w:name="_Toc2041"/>
      <w:bookmarkStart w:id="349" w:name="_Toc11333"/>
      <w:bookmarkStart w:id="350" w:name="_Toc13151"/>
      <w:bookmarkStart w:id="351" w:name="_Toc14981"/>
      <w:bookmarkStart w:id="352" w:name="_Toc7563"/>
      <w:bookmarkStart w:id="353" w:name="_Toc515647817"/>
      <w:bookmarkStart w:id="354" w:name="_Toc22538"/>
      <w:bookmarkStart w:id="355" w:name="_Toc21883"/>
      <w:bookmarkStart w:id="356" w:name="_Toc14915"/>
      <w:r>
        <w:rPr>
          <w:rFonts w:hint="eastAsia" w:ascii="宋体" w:hAnsi="宋体" w:eastAsia="宋体" w:cs="宋体"/>
          <w:color w:val="auto"/>
          <w:sz w:val="28"/>
          <w:szCs w:val="28"/>
          <w:highlight w:val="none"/>
          <w:u w:val="none"/>
        </w:rPr>
        <w:t xml:space="preserve">1   </w:t>
      </w:r>
      <w:bookmarkStart w:id="357" w:name="_Hlt520355504"/>
      <w:bookmarkEnd w:id="357"/>
      <w:r>
        <w:rPr>
          <w:rFonts w:hint="eastAsia" w:ascii="宋体" w:hAnsi="宋体" w:eastAsia="宋体" w:cs="宋体"/>
          <w:color w:val="auto"/>
          <w:sz w:val="28"/>
          <w:szCs w:val="28"/>
          <w:highlight w:val="none"/>
          <w:u w:val="none"/>
        </w:rPr>
        <w:t>投标书</w:t>
      </w:r>
      <w:bookmarkEnd w:id="348"/>
      <w:bookmarkEnd w:id="349"/>
      <w:bookmarkEnd w:id="350"/>
      <w:bookmarkEnd w:id="351"/>
      <w:bookmarkEnd w:id="352"/>
      <w:bookmarkEnd w:id="353"/>
      <w:bookmarkEnd w:id="354"/>
      <w:bookmarkEnd w:id="355"/>
      <w:bookmarkEnd w:id="356"/>
    </w:p>
    <w:p w14:paraId="76EB5C8B">
      <w:pPr>
        <w:tabs>
          <w:tab w:val="left" w:pos="5580"/>
        </w:tabs>
        <w:spacing w:line="42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17A29BA4">
      <w:pPr>
        <w:pStyle w:val="9"/>
        <w:tabs>
          <w:tab w:val="left" w:pos="5580"/>
        </w:tabs>
        <w:spacing w:line="42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)的投标邀请(</w:t>
      </w:r>
      <w:r>
        <w:rPr>
          <w:rFonts w:hint="eastAsia" w:ascii="宋体" w:hAnsi="宋体" w:eastAsia="宋体" w:cs="宋体"/>
          <w:i/>
          <w:color w:val="auto"/>
          <w:sz w:val="24"/>
          <w:szCs w:val="24"/>
          <w:highlight w:val="none"/>
          <w:u w:val="single"/>
        </w:rPr>
        <w:t>招标编号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份及电子文档</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14:paraId="31529FD0">
      <w:pPr>
        <w:pStyle w:val="9"/>
        <w:tabs>
          <w:tab w:val="left" w:pos="5580"/>
        </w:tabs>
        <w:spacing w:line="420" w:lineRule="exact"/>
        <w:rPr>
          <w:rFonts w:hint="eastAsia" w:ascii="宋体" w:hAnsi="宋体" w:eastAsia="宋体" w:cs="宋体"/>
          <w:color w:val="auto"/>
          <w:sz w:val="24"/>
          <w:szCs w:val="24"/>
          <w:highlight w:val="none"/>
        </w:rPr>
      </w:pPr>
    </w:p>
    <w:p w14:paraId="36A81911">
      <w:pPr>
        <w:pStyle w:val="9"/>
        <w:tabs>
          <w:tab w:val="left" w:pos="5580"/>
        </w:tabs>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14:paraId="31AEA59A">
      <w:pPr>
        <w:pStyle w:val="9"/>
        <w:tabs>
          <w:tab w:val="left" w:pos="720"/>
          <w:tab w:val="left" w:pos="900"/>
        </w:tabs>
        <w:spacing w:line="420" w:lineRule="exact"/>
        <w:ind w:left="768"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（1）附投标价格表中规定的应提供货物的投标总价为</w:t>
      </w:r>
      <w:r>
        <w:rPr>
          <w:rFonts w:hint="eastAsia" w:ascii="宋体" w:hAnsi="宋体" w:eastAsia="宋体" w:cs="宋体"/>
          <w:color w:val="auto"/>
          <w:sz w:val="24"/>
          <w:szCs w:val="24"/>
          <w:highlight w:val="none"/>
          <w:u w:val="single"/>
        </w:rPr>
        <w:t>（用文字和数字表示）</w:t>
      </w:r>
      <w:r>
        <w:rPr>
          <w:rFonts w:hint="eastAsia" w:ascii="宋体" w:hAnsi="宋体" w:eastAsia="宋体" w:cs="宋体"/>
          <w:color w:val="auto"/>
          <w:sz w:val="24"/>
          <w:szCs w:val="24"/>
          <w:highlight w:val="none"/>
        </w:rPr>
        <w:t>。</w:t>
      </w:r>
    </w:p>
    <w:p w14:paraId="7EA89618">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（2）本投标有效期为自投标截止之日起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37E907B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存在、不存在）投资关系（如果是联合体的话）。</w:t>
      </w:r>
    </w:p>
    <w:p w14:paraId="7C426FD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14:paraId="5E4E48C5">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14:paraId="02A2C0B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，我方不是采购代理机构的附属机构。</w:t>
      </w:r>
    </w:p>
    <w:p w14:paraId="591CC796">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（7）在领取中标通知书的同时按招标文件规定的形式，向贵方一次性支付中标服务费。</w:t>
      </w:r>
    </w:p>
    <w:p w14:paraId="3D60C81A">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（8）按照贵方可能要求，提供与其投标有关的一切数据或资料，完全理解贵方不一定接受最高价的投标或收到的任何投标。</w:t>
      </w:r>
    </w:p>
    <w:p w14:paraId="799095F8">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（9）按照招标文件的规定履行合同责任和义务。</w:t>
      </w:r>
    </w:p>
    <w:p w14:paraId="6C1FE56B">
      <w:pPr>
        <w:pStyle w:val="9"/>
        <w:tabs>
          <w:tab w:val="left" w:pos="5580"/>
        </w:tabs>
        <w:spacing w:line="420" w:lineRule="exact"/>
        <w:ind w:left="358"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14:paraId="3CB38F1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09B68CDA">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14:paraId="07AD7E0D">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lang w:val="en-US" w:eastAsia="zh-CN"/>
        </w:rPr>
        <w:t xml:space="preserve">                                    </w:t>
      </w:r>
    </w:p>
    <w:p w14:paraId="37111DDF">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投标人名称（全称）</w:t>
      </w:r>
      <w:r>
        <w:rPr>
          <w:rFonts w:hint="eastAsia" w:ascii="宋体" w:hAnsi="宋体" w:eastAsia="宋体" w:cs="宋体"/>
          <w:color w:val="auto"/>
          <w:sz w:val="24"/>
          <w:szCs w:val="24"/>
          <w:highlight w:val="none"/>
          <w:u w:val="single"/>
          <w:lang w:val="en-US" w:eastAsia="zh-CN"/>
        </w:rPr>
        <w:t xml:space="preserve">                                              </w:t>
      </w:r>
    </w:p>
    <w:p w14:paraId="6A2748AD">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lang w:val="en-US" w:eastAsia="zh-CN"/>
        </w:rPr>
        <w:t xml:space="preserve">                                                  </w:t>
      </w:r>
    </w:p>
    <w:p w14:paraId="10283680">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bookmarkStart w:id="358" w:name="_Hlt520356243"/>
      <w:bookmarkEnd w:id="358"/>
      <w:bookmarkStart w:id="359" w:name="_Hlt520355938"/>
      <w:bookmarkEnd w:id="359"/>
      <w:r>
        <w:rPr>
          <w:rFonts w:hint="eastAsia" w:ascii="宋体" w:hAnsi="宋体" w:eastAsia="宋体" w:cs="宋体"/>
          <w:color w:val="auto"/>
          <w:sz w:val="24"/>
          <w:szCs w:val="24"/>
          <w:highlight w:val="none"/>
          <w:u w:val="single"/>
          <w:lang w:val="en-US" w:eastAsia="zh-CN"/>
        </w:rPr>
        <w:t xml:space="preserve">                                                            </w:t>
      </w:r>
    </w:p>
    <w:p w14:paraId="2DA44B36">
      <w:pPr>
        <w:pStyle w:val="9"/>
        <w:tabs>
          <w:tab w:val="left" w:pos="5580"/>
        </w:tabs>
        <w:spacing w:line="420" w:lineRule="exact"/>
        <w:rPr>
          <w:rFonts w:hint="eastAsia" w:ascii="宋体" w:hAnsi="宋体" w:eastAsia="宋体" w:cs="宋体"/>
          <w:color w:val="auto"/>
          <w:sz w:val="24"/>
          <w:szCs w:val="24"/>
          <w:highlight w:val="none"/>
          <w:u w:val="single"/>
          <w:lang w:val="en-US" w:eastAsia="zh-CN"/>
        </w:rPr>
      </w:pPr>
    </w:p>
    <w:p w14:paraId="52720475">
      <w:pPr>
        <w:pStyle w:val="9"/>
        <w:spacing w:line="240" w:lineRule="atLeast"/>
        <w:jc w:val="center"/>
        <w:outlineLvl w:val="9"/>
        <w:rPr>
          <w:rFonts w:hint="eastAsia" w:ascii="宋体" w:hAnsi="宋体" w:eastAsia="宋体" w:cs="宋体"/>
          <w:b/>
          <w:bCs/>
          <w:color w:val="auto"/>
          <w:sz w:val="28"/>
          <w:szCs w:val="28"/>
          <w:highlight w:val="none"/>
        </w:rPr>
        <w:sectPr>
          <w:pgSz w:w="11906" w:h="16838"/>
          <w:pgMar w:top="1270" w:right="1797" w:bottom="1270" w:left="1797" w:header="0" w:footer="896" w:gutter="0"/>
          <w:pgNumType w:fmt="numberInDash"/>
          <w:cols w:space="720" w:num="1"/>
          <w:docGrid w:type="linesAndChars" w:linePitch="312" w:charSpace="0"/>
        </w:sectPr>
      </w:pPr>
      <w:bookmarkStart w:id="360" w:name="_Toc1881"/>
      <w:bookmarkStart w:id="361" w:name="_Toc10388"/>
      <w:bookmarkStart w:id="362" w:name="_Toc515647818"/>
      <w:bookmarkStart w:id="363" w:name="_Toc21416"/>
      <w:bookmarkStart w:id="364" w:name="_Toc216582815"/>
      <w:bookmarkStart w:id="365" w:name="_Toc9001"/>
      <w:bookmarkStart w:id="366" w:name="_Toc20897"/>
    </w:p>
    <w:p w14:paraId="4F776328">
      <w:pPr>
        <w:pStyle w:val="9"/>
        <w:spacing w:line="240" w:lineRule="atLeast"/>
        <w:jc w:val="center"/>
        <w:outlineLvl w:val="2"/>
        <w:rPr>
          <w:rFonts w:hint="eastAsia" w:ascii="宋体" w:hAnsi="宋体" w:eastAsia="宋体" w:cs="宋体"/>
          <w:b/>
          <w:bCs/>
          <w:color w:val="auto"/>
          <w:sz w:val="28"/>
          <w:szCs w:val="28"/>
          <w:highlight w:val="none"/>
        </w:rPr>
      </w:pPr>
      <w:bookmarkStart w:id="367" w:name="_Toc10397"/>
      <w:bookmarkStart w:id="368" w:name="_Toc15892"/>
      <w:bookmarkStart w:id="369" w:name="_Toc25988"/>
      <w:bookmarkStart w:id="370" w:name="_Toc22665"/>
      <w:r>
        <w:rPr>
          <w:rFonts w:hint="eastAsia"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投标分项报价表</w:t>
      </w:r>
      <w:bookmarkEnd w:id="360"/>
      <w:bookmarkEnd w:id="361"/>
      <w:bookmarkEnd w:id="362"/>
      <w:bookmarkEnd w:id="363"/>
      <w:bookmarkEnd w:id="364"/>
      <w:bookmarkEnd w:id="365"/>
      <w:bookmarkEnd w:id="366"/>
      <w:bookmarkEnd w:id="367"/>
      <w:bookmarkEnd w:id="368"/>
      <w:bookmarkEnd w:id="369"/>
      <w:bookmarkEnd w:id="370"/>
    </w:p>
    <w:p w14:paraId="736DB275">
      <w:pPr>
        <w:pStyle w:val="9"/>
        <w:spacing w:line="240" w:lineRule="atLeast"/>
        <w:jc w:val="both"/>
        <w:outlineLvl w:val="0"/>
        <w:rPr>
          <w:rFonts w:hint="default" w:ascii="宋体" w:hAnsi="宋体" w:eastAsia="宋体" w:cs="宋体"/>
          <w:b/>
          <w:bCs/>
          <w:color w:val="auto"/>
          <w:sz w:val="24"/>
          <w:szCs w:val="24"/>
          <w:highlight w:val="none"/>
          <w:lang w:val="en-US" w:eastAsia="zh-CN"/>
        </w:rPr>
      </w:pPr>
      <w:bookmarkStart w:id="371" w:name="_Toc15243"/>
      <w:bookmarkStart w:id="372" w:name="_Toc2987"/>
      <w:bookmarkStart w:id="373" w:name="_Toc8203"/>
      <w:bookmarkStart w:id="374" w:name="_Toc19755"/>
      <w:bookmarkStart w:id="375" w:name="_Toc1346"/>
      <w:bookmarkStart w:id="376" w:name="_Toc16560"/>
      <w:bookmarkStart w:id="377" w:name="_Toc27603"/>
      <w:r>
        <w:rPr>
          <w:rFonts w:hint="eastAsia" w:ascii="宋体" w:hAnsi="宋体" w:eastAsia="宋体" w:cs="宋体"/>
          <w:sz w:val="24"/>
          <w:szCs w:val="24"/>
        </w:rPr>
        <w:t>项目名称</w:t>
      </w:r>
      <w:r>
        <w:rPr>
          <w:rFonts w:hint="eastAsia" w:hAnsi="宋体" w:eastAsia="宋体" w:cs="宋体"/>
          <w:sz w:val="24"/>
          <w:szCs w:val="24"/>
          <w:lang w:eastAsia="zh-CN"/>
        </w:rPr>
        <w:t>：</w:t>
      </w:r>
      <w:r>
        <w:rPr>
          <w:rFonts w:hint="eastAsia" w:ascii="宋体" w:hAnsi="宋体" w:eastAsia="宋体" w:cs="宋体"/>
          <w:sz w:val="24"/>
          <w:szCs w:val="24"/>
        </w:rPr>
        <w:t xml:space="preserve">                      招标编号</w:t>
      </w:r>
      <w:r>
        <w:rPr>
          <w:rFonts w:hint="eastAsia"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报价单位：</w:t>
      </w:r>
      <w:bookmarkEnd w:id="371"/>
      <w:bookmarkEnd w:id="372"/>
      <w:bookmarkEnd w:id="373"/>
      <w:bookmarkEnd w:id="374"/>
      <w:bookmarkEnd w:id="375"/>
      <w:bookmarkEnd w:id="376"/>
      <w:r>
        <w:rPr>
          <w:rFonts w:hint="eastAsia" w:ascii="宋体" w:hAnsi="宋体" w:eastAsia="宋体" w:cs="宋体"/>
          <w:sz w:val="24"/>
          <w:szCs w:val="24"/>
          <w:lang w:val="en-US" w:eastAsia="zh-CN"/>
        </w:rPr>
        <w:t>人民币元               标段号：</w:t>
      </w:r>
      <w:bookmarkEnd w:id="377"/>
    </w:p>
    <w:tbl>
      <w:tblPr>
        <w:tblStyle w:val="19"/>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06"/>
        <w:gridCol w:w="1585"/>
        <w:gridCol w:w="2106"/>
        <w:gridCol w:w="1863"/>
        <w:gridCol w:w="1863"/>
        <w:gridCol w:w="1863"/>
        <w:gridCol w:w="1370"/>
        <w:gridCol w:w="778"/>
      </w:tblGrid>
      <w:tr w14:paraId="32D3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61" w:type="dxa"/>
            <w:noWrap w:val="0"/>
            <w:vAlign w:val="center"/>
          </w:tcPr>
          <w:p w14:paraId="4CB029DC">
            <w:pPr>
              <w:pStyle w:val="9"/>
              <w:spacing w:line="240" w:lineRule="atLeast"/>
              <w:jc w:val="center"/>
              <w:rPr>
                <w:rFonts w:hint="eastAsia" w:hAnsi="宋体" w:cs="宋体"/>
                <w:bCs/>
                <w:color w:val="000000"/>
                <w:sz w:val="24"/>
              </w:rPr>
            </w:pPr>
            <w:r>
              <w:rPr>
                <w:rFonts w:hint="eastAsia" w:hAnsi="宋体" w:cs="宋体"/>
                <w:bCs/>
                <w:color w:val="000000"/>
                <w:sz w:val="24"/>
              </w:rPr>
              <w:t>序号</w:t>
            </w:r>
          </w:p>
        </w:tc>
        <w:tc>
          <w:tcPr>
            <w:tcW w:w="1806" w:type="dxa"/>
            <w:noWrap w:val="0"/>
            <w:vAlign w:val="center"/>
          </w:tcPr>
          <w:p w14:paraId="69259759">
            <w:pPr>
              <w:pStyle w:val="9"/>
              <w:spacing w:line="240" w:lineRule="atLeast"/>
              <w:jc w:val="center"/>
              <w:rPr>
                <w:rFonts w:hint="eastAsia" w:hAnsi="宋体" w:cs="宋体"/>
                <w:bCs/>
                <w:color w:val="000000"/>
                <w:sz w:val="24"/>
              </w:rPr>
            </w:pPr>
            <w:r>
              <w:rPr>
                <w:rFonts w:hint="eastAsia" w:hAnsi="宋体" w:cs="宋体"/>
                <w:bCs/>
                <w:color w:val="000000"/>
                <w:sz w:val="24"/>
              </w:rPr>
              <w:t>设备名称</w:t>
            </w:r>
          </w:p>
        </w:tc>
        <w:tc>
          <w:tcPr>
            <w:tcW w:w="1585" w:type="dxa"/>
            <w:noWrap w:val="0"/>
            <w:vAlign w:val="center"/>
          </w:tcPr>
          <w:p w14:paraId="2E0DEDD8">
            <w:pPr>
              <w:pStyle w:val="9"/>
              <w:spacing w:line="240" w:lineRule="atLeast"/>
              <w:jc w:val="center"/>
              <w:rPr>
                <w:rFonts w:hint="eastAsia" w:hAnsi="宋体" w:eastAsia="宋体" w:cs="宋体"/>
                <w:bCs/>
                <w:color w:val="000000"/>
                <w:sz w:val="24"/>
                <w:lang w:val="en-US" w:eastAsia="zh-CN"/>
              </w:rPr>
            </w:pPr>
            <w:r>
              <w:rPr>
                <w:rFonts w:hint="eastAsia" w:hAnsi="宋体" w:cs="宋体"/>
                <w:bCs/>
                <w:color w:val="000000"/>
                <w:sz w:val="24"/>
              </w:rPr>
              <w:t>规格</w:t>
            </w:r>
            <w:r>
              <w:rPr>
                <w:rFonts w:hint="eastAsia" w:hAnsi="宋体" w:cs="宋体"/>
                <w:bCs/>
                <w:color w:val="000000"/>
                <w:sz w:val="24"/>
                <w:lang w:val="en-US" w:eastAsia="zh-CN"/>
              </w:rPr>
              <w:t>型号</w:t>
            </w:r>
          </w:p>
        </w:tc>
        <w:tc>
          <w:tcPr>
            <w:tcW w:w="2106" w:type="dxa"/>
            <w:noWrap w:val="0"/>
            <w:vAlign w:val="center"/>
          </w:tcPr>
          <w:p w14:paraId="7C7EADB5">
            <w:pPr>
              <w:pStyle w:val="9"/>
              <w:spacing w:line="240" w:lineRule="atLeast"/>
              <w:jc w:val="center"/>
              <w:rPr>
                <w:rFonts w:hint="eastAsia" w:hAnsi="宋体" w:eastAsia="宋体" w:cs="宋体"/>
                <w:bCs/>
                <w:color w:val="000000"/>
                <w:sz w:val="24"/>
                <w:lang w:eastAsia="zh-CN"/>
              </w:rPr>
            </w:pPr>
            <w:r>
              <w:rPr>
                <w:rFonts w:hint="eastAsia" w:hAnsi="宋体" w:eastAsia="宋体" w:cs="宋体"/>
                <w:bCs/>
                <w:color w:val="000000"/>
                <w:sz w:val="24"/>
                <w:lang w:val="en-US" w:eastAsia="zh-CN"/>
              </w:rPr>
              <w:t>品牌</w:t>
            </w:r>
          </w:p>
        </w:tc>
        <w:tc>
          <w:tcPr>
            <w:tcW w:w="1863" w:type="dxa"/>
            <w:noWrap w:val="0"/>
            <w:vAlign w:val="center"/>
          </w:tcPr>
          <w:p w14:paraId="31F3AFC7">
            <w:pPr>
              <w:pStyle w:val="9"/>
              <w:spacing w:line="240" w:lineRule="atLeast"/>
              <w:jc w:val="center"/>
              <w:rPr>
                <w:rFonts w:hint="eastAsia" w:hAnsi="宋体" w:eastAsia="宋体" w:cs="宋体"/>
                <w:bCs/>
                <w:color w:val="000000"/>
                <w:sz w:val="24"/>
                <w:lang w:val="en-US" w:eastAsia="zh-CN"/>
              </w:rPr>
            </w:pPr>
            <w:r>
              <w:rPr>
                <w:rFonts w:hint="eastAsia" w:hAnsi="宋体" w:eastAsia="宋体" w:cs="宋体"/>
                <w:bCs/>
                <w:color w:val="000000"/>
                <w:sz w:val="24"/>
                <w:lang w:val="en-US" w:eastAsia="zh-CN"/>
              </w:rPr>
              <w:t>制造商名称</w:t>
            </w:r>
          </w:p>
        </w:tc>
        <w:tc>
          <w:tcPr>
            <w:tcW w:w="1863" w:type="dxa"/>
            <w:noWrap w:val="0"/>
            <w:vAlign w:val="center"/>
          </w:tcPr>
          <w:p w14:paraId="6BECB1EE">
            <w:pPr>
              <w:pStyle w:val="9"/>
              <w:spacing w:line="240" w:lineRule="atLeast"/>
              <w:jc w:val="center"/>
              <w:rPr>
                <w:rFonts w:hint="eastAsia" w:hAnsi="宋体" w:cs="宋体"/>
                <w:bCs/>
                <w:color w:val="000000"/>
                <w:sz w:val="24"/>
              </w:rPr>
            </w:pPr>
            <w:r>
              <w:rPr>
                <w:rFonts w:hint="eastAsia" w:hAnsi="宋体" w:cs="宋体"/>
                <w:bCs/>
                <w:color w:val="000000"/>
                <w:sz w:val="24"/>
              </w:rPr>
              <w:t>数 量</w:t>
            </w:r>
          </w:p>
        </w:tc>
        <w:tc>
          <w:tcPr>
            <w:tcW w:w="1863" w:type="dxa"/>
            <w:noWrap w:val="0"/>
            <w:vAlign w:val="center"/>
          </w:tcPr>
          <w:p w14:paraId="07B08707">
            <w:pPr>
              <w:pStyle w:val="9"/>
              <w:spacing w:line="240" w:lineRule="atLeast"/>
              <w:jc w:val="center"/>
              <w:rPr>
                <w:rFonts w:hint="eastAsia" w:hAnsi="宋体" w:eastAsia="宋体" w:cs="宋体"/>
                <w:bCs/>
                <w:color w:val="000000"/>
                <w:sz w:val="24"/>
                <w:lang w:eastAsia="zh-CN"/>
              </w:rPr>
            </w:pPr>
            <w:r>
              <w:rPr>
                <w:rFonts w:hint="eastAsia" w:hAnsi="宋体" w:cs="宋体"/>
                <w:bCs/>
                <w:color w:val="000000"/>
                <w:sz w:val="24"/>
              </w:rPr>
              <w:t>单价</w:t>
            </w:r>
            <w:r>
              <w:rPr>
                <w:rFonts w:hint="eastAsia" w:hAnsi="宋体" w:cs="宋体"/>
                <w:bCs/>
                <w:color w:val="000000"/>
                <w:sz w:val="24"/>
                <w:lang w:eastAsia="zh-CN"/>
              </w:rPr>
              <w:t>（</w:t>
            </w:r>
            <w:r>
              <w:rPr>
                <w:rFonts w:hint="eastAsia" w:hAnsi="宋体" w:cs="宋体"/>
                <w:bCs/>
                <w:color w:val="000000"/>
                <w:sz w:val="24"/>
                <w:lang w:val="en-US" w:eastAsia="zh-CN"/>
              </w:rPr>
              <w:t>元</w:t>
            </w:r>
            <w:r>
              <w:rPr>
                <w:rFonts w:hint="eastAsia" w:hAnsi="宋体" w:cs="宋体"/>
                <w:bCs/>
                <w:color w:val="000000"/>
                <w:sz w:val="24"/>
                <w:lang w:eastAsia="zh-CN"/>
              </w:rPr>
              <w:t>）</w:t>
            </w:r>
          </w:p>
        </w:tc>
        <w:tc>
          <w:tcPr>
            <w:tcW w:w="1370" w:type="dxa"/>
            <w:noWrap w:val="0"/>
            <w:vAlign w:val="center"/>
          </w:tcPr>
          <w:p w14:paraId="75608264">
            <w:pPr>
              <w:pStyle w:val="9"/>
              <w:spacing w:line="240" w:lineRule="atLeast"/>
              <w:jc w:val="center"/>
              <w:rPr>
                <w:rFonts w:hint="eastAsia" w:hAnsi="宋体" w:eastAsia="宋体" w:cs="宋体"/>
                <w:bCs/>
                <w:color w:val="000000"/>
                <w:sz w:val="24"/>
                <w:lang w:eastAsia="zh-CN"/>
              </w:rPr>
            </w:pPr>
            <w:r>
              <w:rPr>
                <w:rFonts w:hint="eastAsia" w:hAnsi="宋体" w:cs="宋体"/>
                <w:bCs/>
                <w:color w:val="000000"/>
                <w:sz w:val="24"/>
                <w:lang w:val="en-US" w:eastAsia="zh-CN"/>
              </w:rPr>
              <w:t>合</w:t>
            </w:r>
            <w:r>
              <w:rPr>
                <w:rFonts w:hint="eastAsia" w:hAnsi="宋体" w:cs="宋体"/>
                <w:bCs/>
                <w:color w:val="000000"/>
                <w:sz w:val="24"/>
              </w:rPr>
              <w:t>价</w:t>
            </w:r>
            <w:r>
              <w:rPr>
                <w:rFonts w:hint="eastAsia" w:hAnsi="宋体" w:cs="宋体"/>
                <w:bCs/>
                <w:color w:val="000000"/>
                <w:sz w:val="24"/>
                <w:lang w:eastAsia="zh-CN"/>
              </w:rPr>
              <w:t>（</w:t>
            </w:r>
            <w:r>
              <w:rPr>
                <w:rFonts w:hint="eastAsia" w:hAnsi="宋体" w:cs="宋体"/>
                <w:bCs/>
                <w:color w:val="000000"/>
                <w:sz w:val="24"/>
                <w:lang w:val="en-US" w:eastAsia="zh-CN"/>
              </w:rPr>
              <w:t>元</w:t>
            </w:r>
            <w:r>
              <w:rPr>
                <w:rFonts w:hint="eastAsia" w:hAnsi="宋体" w:cs="宋体"/>
                <w:bCs/>
                <w:color w:val="000000"/>
                <w:sz w:val="24"/>
                <w:lang w:eastAsia="zh-CN"/>
              </w:rPr>
              <w:t>）</w:t>
            </w:r>
          </w:p>
        </w:tc>
        <w:tc>
          <w:tcPr>
            <w:tcW w:w="778" w:type="dxa"/>
            <w:noWrap w:val="0"/>
            <w:vAlign w:val="center"/>
          </w:tcPr>
          <w:p w14:paraId="25644AF8">
            <w:pPr>
              <w:pStyle w:val="9"/>
              <w:spacing w:line="240" w:lineRule="atLeast"/>
              <w:jc w:val="center"/>
              <w:rPr>
                <w:rFonts w:hint="eastAsia" w:hAnsi="宋体" w:cs="宋体"/>
                <w:bCs/>
                <w:color w:val="000000"/>
                <w:sz w:val="24"/>
              </w:rPr>
            </w:pPr>
            <w:r>
              <w:rPr>
                <w:rFonts w:hint="eastAsia" w:hAnsi="宋体" w:cs="宋体"/>
                <w:bCs/>
                <w:color w:val="000000"/>
                <w:sz w:val="24"/>
              </w:rPr>
              <w:t>备注</w:t>
            </w:r>
          </w:p>
        </w:tc>
      </w:tr>
      <w:tr w14:paraId="0C60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F5FD9E2">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1.</w:t>
            </w:r>
          </w:p>
        </w:tc>
        <w:tc>
          <w:tcPr>
            <w:tcW w:w="1806" w:type="dxa"/>
            <w:noWrap w:val="0"/>
            <w:vAlign w:val="center"/>
          </w:tcPr>
          <w:p w14:paraId="5711AB8B">
            <w:pPr>
              <w:pStyle w:val="9"/>
              <w:spacing w:line="240" w:lineRule="atLeast"/>
              <w:jc w:val="center"/>
              <w:rPr>
                <w:rFonts w:hint="eastAsia" w:hAnsi="宋体" w:cs="宋体"/>
                <w:bCs/>
                <w:color w:val="000000"/>
                <w:sz w:val="24"/>
              </w:rPr>
            </w:pPr>
          </w:p>
        </w:tc>
        <w:tc>
          <w:tcPr>
            <w:tcW w:w="1585" w:type="dxa"/>
            <w:noWrap w:val="0"/>
            <w:vAlign w:val="center"/>
          </w:tcPr>
          <w:p w14:paraId="19AB7DC7">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3466D618">
            <w:pPr>
              <w:pStyle w:val="9"/>
              <w:spacing w:line="240" w:lineRule="atLeast"/>
              <w:jc w:val="both"/>
              <w:rPr>
                <w:rFonts w:hint="eastAsia" w:hAnsi="宋体" w:cs="宋体"/>
                <w:bCs/>
                <w:color w:val="000000"/>
                <w:sz w:val="24"/>
              </w:rPr>
            </w:pPr>
          </w:p>
        </w:tc>
        <w:tc>
          <w:tcPr>
            <w:tcW w:w="1863" w:type="dxa"/>
            <w:noWrap w:val="0"/>
            <w:vAlign w:val="center"/>
          </w:tcPr>
          <w:p w14:paraId="797CD474">
            <w:pPr>
              <w:pStyle w:val="9"/>
              <w:spacing w:line="240" w:lineRule="atLeast"/>
              <w:jc w:val="both"/>
              <w:rPr>
                <w:rFonts w:hint="eastAsia" w:hAnsi="宋体" w:cs="宋体"/>
                <w:bCs/>
                <w:color w:val="000000"/>
                <w:sz w:val="24"/>
              </w:rPr>
            </w:pPr>
          </w:p>
        </w:tc>
        <w:tc>
          <w:tcPr>
            <w:tcW w:w="1863" w:type="dxa"/>
            <w:noWrap w:val="0"/>
            <w:vAlign w:val="center"/>
          </w:tcPr>
          <w:p w14:paraId="7708608B">
            <w:pPr>
              <w:pStyle w:val="9"/>
              <w:spacing w:line="240" w:lineRule="atLeast"/>
              <w:jc w:val="both"/>
              <w:rPr>
                <w:rFonts w:hint="eastAsia" w:hAnsi="宋体" w:cs="宋体"/>
                <w:bCs/>
                <w:color w:val="000000"/>
                <w:sz w:val="24"/>
              </w:rPr>
            </w:pPr>
          </w:p>
        </w:tc>
        <w:tc>
          <w:tcPr>
            <w:tcW w:w="1863" w:type="dxa"/>
            <w:noWrap w:val="0"/>
            <w:vAlign w:val="center"/>
          </w:tcPr>
          <w:p w14:paraId="57A3A8A7">
            <w:pPr>
              <w:pStyle w:val="9"/>
              <w:spacing w:line="240" w:lineRule="atLeast"/>
              <w:jc w:val="both"/>
              <w:rPr>
                <w:rFonts w:hint="eastAsia" w:hAnsi="宋体" w:cs="宋体"/>
                <w:bCs/>
                <w:color w:val="000000"/>
                <w:sz w:val="24"/>
              </w:rPr>
            </w:pPr>
          </w:p>
        </w:tc>
        <w:tc>
          <w:tcPr>
            <w:tcW w:w="1370" w:type="dxa"/>
            <w:noWrap w:val="0"/>
            <w:vAlign w:val="center"/>
          </w:tcPr>
          <w:p w14:paraId="28D2474E">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00BE2568">
            <w:pPr>
              <w:pStyle w:val="9"/>
              <w:spacing w:line="240" w:lineRule="atLeast"/>
              <w:ind w:left="1079" w:leftChars="257" w:hanging="540"/>
              <w:jc w:val="center"/>
              <w:rPr>
                <w:rFonts w:hint="eastAsia" w:hAnsi="宋体" w:cs="宋体"/>
                <w:bCs/>
                <w:color w:val="000000"/>
                <w:sz w:val="24"/>
              </w:rPr>
            </w:pPr>
          </w:p>
        </w:tc>
      </w:tr>
      <w:tr w14:paraId="1952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695B1E7">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2.</w:t>
            </w:r>
          </w:p>
        </w:tc>
        <w:tc>
          <w:tcPr>
            <w:tcW w:w="1806" w:type="dxa"/>
            <w:noWrap w:val="0"/>
            <w:vAlign w:val="center"/>
          </w:tcPr>
          <w:p w14:paraId="706C4B5D">
            <w:pPr>
              <w:pStyle w:val="9"/>
              <w:spacing w:line="240" w:lineRule="atLeast"/>
              <w:jc w:val="center"/>
              <w:rPr>
                <w:rFonts w:hint="eastAsia" w:hAnsi="宋体" w:cs="宋体"/>
                <w:bCs/>
                <w:color w:val="000000"/>
                <w:sz w:val="24"/>
              </w:rPr>
            </w:pPr>
          </w:p>
        </w:tc>
        <w:tc>
          <w:tcPr>
            <w:tcW w:w="1585" w:type="dxa"/>
            <w:noWrap w:val="0"/>
            <w:vAlign w:val="center"/>
          </w:tcPr>
          <w:p w14:paraId="43672312">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2676ACC8">
            <w:pPr>
              <w:pStyle w:val="9"/>
              <w:spacing w:line="240" w:lineRule="atLeast"/>
              <w:ind w:left="1079" w:leftChars="257" w:hanging="540"/>
              <w:jc w:val="both"/>
              <w:rPr>
                <w:rFonts w:hint="eastAsia" w:hAnsi="宋体" w:cs="宋体"/>
                <w:bCs/>
                <w:color w:val="000000"/>
                <w:sz w:val="24"/>
              </w:rPr>
            </w:pPr>
          </w:p>
        </w:tc>
        <w:tc>
          <w:tcPr>
            <w:tcW w:w="1863" w:type="dxa"/>
            <w:noWrap w:val="0"/>
            <w:vAlign w:val="center"/>
          </w:tcPr>
          <w:p w14:paraId="6FB4C7F6">
            <w:pPr>
              <w:pStyle w:val="9"/>
              <w:spacing w:line="240" w:lineRule="atLeast"/>
              <w:ind w:left="1079" w:leftChars="257" w:hanging="540"/>
              <w:jc w:val="both"/>
              <w:rPr>
                <w:rFonts w:hint="eastAsia" w:hAnsi="宋体" w:cs="宋体"/>
                <w:bCs/>
                <w:color w:val="000000"/>
                <w:sz w:val="24"/>
              </w:rPr>
            </w:pPr>
          </w:p>
        </w:tc>
        <w:tc>
          <w:tcPr>
            <w:tcW w:w="1863" w:type="dxa"/>
            <w:noWrap w:val="0"/>
            <w:vAlign w:val="center"/>
          </w:tcPr>
          <w:p w14:paraId="57FA1123">
            <w:pPr>
              <w:pStyle w:val="9"/>
              <w:spacing w:line="240" w:lineRule="atLeast"/>
              <w:jc w:val="both"/>
              <w:rPr>
                <w:rFonts w:hint="eastAsia" w:hAnsi="宋体" w:cs="宋体"/>
                <w:bCs/>
                <w:color w:val="000000"/>
                <w:sz w:val="24"/>
              </w:rPr>
            </w:pPr>
          </w:p>
        </w:tc>
        <w:tc>
          <w:tcPr>
            <w:tcW w:w="1863" w:type="dxa"/>
            <w:noWrap w:val="0"/>
            <w:vAlign w:val="center"/>
          </w:tcPr>
          <w:p w14:paraId="4F886A6F">
            <w:pPr>
              <w:pStyle w:val="9"/>
              <w:spacing w:line="240" w:lineRule="atLeast"/>
              <w:jc w:val="both"/>
              <w:rPr>
                <w:rFonts w:hint="eastAsia" w:hAnsi="宋体" w:cs="宋体"/>
                <w:bCs/>
                <w:color w:val="000000"/>
                <w:sz w:val="24"/>
              </w:rPr>
            </w:pPr>
          </w:p>
        </w:tc>
        <w:tc>
          <w:tcPr>
            <w:tcW w:w="1370" w:type="dxa"/>
            <w:noWrap w:val="0"/>
            <w:vAlign w:val="center"/>
          </w:tcPr>
          <w:p w14:paraId="158D7306">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573C9ACF">
            <w:pPr>
              <w:pStyle w:val="9"/>
              <w:spacing w:line="240" w:lineRule="atLeast"/>
              <w:ind w:left="1079" w:leftChars="257" w:hanging="540"/>
              <w:jc w:val="center"/>
              <w:rPr>
                <w:rFonts w:hint="eastAsia" w:hAnsi="宋体" w:cs="宋体"/>
                <w:bCs/>
                <w:color w:val="000000"/>
                <w:sz w:val="24"/>
              </w:rPr>
            </w:pPr>
          </w:p>
        </w:tc>
      </w:tr>
      <w:tr w14:paraId="5F19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EC45C92">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3.</w:t>
            </w:r>
          </w:p>
        </w:tc>
        <w:tc>
          <w:tcPr>
            <w:tcW w:w="1806" w:type="dxa"/>
            <w:noWrap w:val="0"/>
            <w:vAlign w:val="center"/>
          </w:tcPr>
          <w:p w14:paraId="0708BAF3">
            <w:pPr>
              <w:pStyle w:val="9"/>
              <w:spacing w:line="240" w:lineRule="atLeast"/>
              <w:jc w:val="center"/>
              <w:rPr>
                <w:rFonts w:hint="eastAsia" w:hAnsi="宋体" w:cs="宋体"/>
                <w:bCs/>
                <w:color w:val="000000"/>
                <w:sz w:val="24"/>
              </w:rPr>
            </w:pPr>
          </w:p>
        </w:tc>
        <w:tc>
          <w:tcPr>
            <w:tcW w:w="1585" w:type="dxa"/>
            <w:noWrap w:val="0"/>
            <w:vAlign w:val="center"/>
          </w:tcPr>
          <w:p w14:paraId="15959599">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3DBA7DA5">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62FCCF79">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3517549F">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56392A61">
            <w:pPr>
              <w:pStyle w:val="9"/>
              <w:spacing w:line="240" w:lineRule="atLeast"/>
              <w:ind w:left="1079" w:leftChars="257" w:hanging="540"/>
              <w:jc w:val="center"/>
              <w:rPr>
                <w:rFonts w:hint="eastAsia" w:hAnsi="宋体" w:cs="宋体"/>
                <w:bCs/>
                <w:color w:val="000000"/>
                <w:sz w:val="24"/>
              </w:rPr>
            </w:pPr>
          </w:p>
        </w:tc>
        <w:tc>
          <w:tcPr>
            <w:tcW w:w="1370" w:type="dxa"/>
            <w:noWrap w:val="0"/>
            <w:vAlign w:val="center"/>
          </w:tcPr>
          <w:p w14:paraId="1C09FE9A">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6BEC958D">
            <w:pPr>
              <w:pStyle w:val="9"/>
              <w:spacing w:line="240" w:lineRule="atLeast"/>
              <w:ind w:left="1079" w:leftChars="257" w:hanging="540"/>
              <w:jc w:val="center"/>
              <w:rPr>
                <w:rFonts w:hint="eastAsia" w:hAnsi="宋体" w:cs="宋体"/>
                <w:bCs/>
                <w:color w:val="000000"/>
                <w:sz w:val="24"/>
              </w:rPr>
            </w:pPr>
          </w:p>
        </w:tc>
      </w:tr>
      <w:tr w14:paraId="2D4D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9D90824">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lang w:val="en-US" w:eastAsia="zh-CN"/>
              </w:rPr>
              <w:t>..</w:t>
            </w:r>
            <w:r>
              <w:rPr>
                <w:rFonts w:hint="eastAsia" w:hAnsi="宋体" w:cs="宋体"/>
                <w:bCs/>
                <w:color w:val="000000"/>
                <w:sz w:val="24"/>
              </w:rPr>
              <w:t>.</w:t>
            </w:r>
          </w:p>
        </w:tc>
        <w:tc>
          <w:tcPr>
            <w:tcW w:w="1806" w:type="dxa"/>
            <w:noWrap w:val="0"/>
            <w:vAlign w:val="center"/>
          </w:tcPr>
          <w:p w14:paraId="45800D90">
            <w:pPr>
              <w:pStyle w:val="9"/>
              <w:spacing w:line="240" w:lineRule="atLeast"/>
              <w:jc w:val="center"/>
              <w:rPr>
                <w:rFonts w:hint="eastAsia" w:hAnsi="宋体" w:cs="宋体"/>
                <w:bCs/>
                <w:color w:val="000000"/>
                <w:sz w:val="24"/>
              </w:rPr>
            </w:pPr>
          </w:p>
        </w:tc>
        <w:tc>
          <w:tcPr>
            <w:tcW w:w="1585" w:type="dxa"/>
            <w:noWrap w:val="0"/>
            <w:vAlign w:val="center"/>
          </w:tcPr>
          <w:p w14:paraId="55ED3A71">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655E5DF2">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45A545DF">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1B52CBCB">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41A560B9">
            <w:pPr>
              <w:pStyle w:val="9"/>
              <w:spacing w:line="240" w:lineRule="atLeast"/>
              <w:ind w:left="1079" w:leftChars="257" w:hanging="540"/>
              <w:jc w:val="center"/>
              <w:rPr>
                <w:rFonts w:hint="eastAsia" w:hAnsi="宋体" w:cs="宋体"/>
                <w:bCs/>
                <w:color w:val="000000"/>
                <w:sz w:val="24"/>
              </w:rPr>
            </w:pPr>
          </w:p>
        </w:tc>
        <w:tc>
          <w:tcPr>
            <w:tcW w:w="1370" w:type="dxa"/>
            <w:noWrap w:val="0"/>
            <w:vAlign w:val="center"/>
          </w:tcPr>
          <w:p w14:paraId="70922D3C">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022261FC">
            <w:pPr>
              <w:pStyle w:val="9"/>
              <w:spacing w:line="240" w:lineRule="atLeast"/>
              <w:ind w:left="1079" w:leftChars="257" w:hanging="540"/>
              <w:jc w:val="center"/>
              <w:rPr>
                <w:rFonts w:hint="eastAsia" w:hAnsi="宋体" w:cs="宋体"/>
                <w:bCs/>
                <w:color w:val="000000"/>
                <w:sz w:val="24"/>
              </w:rPr>
            </w:pPr>
          </w:p>
        </w:tc>
      </w:tr>
      <w:tr w14:paraId="761C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4095" w:type="dxa"/>
            <w:gridSpan w:val="9"/>
            <w:noWrap w:val="0"/>
            <w:vAlign w:val="center"/>
          </w:tcPr>
          <w:p w14:paraId="725E22BC">
            <w:pPr>
              <w:pStyle w:val="9"/>
              <w:spacing w:line="240" w:lineRule="atLeast"/>
              <w:ind w:left="1079" w:leftChars="257" w:hanging="540"/>
              <w:jc w:val="left"/>
              <w:rPr>
                <w:rFonts w:hint="eastAsia" w:hAnsi="宋体" w:cs="宋体"/>
                <w:bCs/>
                <w:color w:val="000000"/>
                <w:sz w:val="24"/>
              </w:rPr>
            </w:pPr>
            <w:r>
              <w:rPr>
                <w:rFonts w:hint="eastAsia" w:hAnsi="宋体" w:cs="宋体"/>
                <w:bCs/>
                <w:color w:val="000000"/>
                <w:sz w:val="24"/>
              </w:rPr>
              <w:t>总价：</w:t>
            </w:r>
          </w:p>
        </w:tc>
      </w:tr>
    </w:tbl>
    <w:p w14:paraId="19E723E0">
      <w:pPr>
        <w:pStyle w:val="9"/>
        <w:spacing w:line="240" w:lineRule="atLeast"/>
        <w:ind w:left="1079" w:leftChars="257" w:hanging="540"/>
        <w:rPr>
          <w:rFonts w:hint="eastAsia" w:ascii="宋体" w:hAnsi="宋体" w:eastAsia="宋体" w:cs="宋体"/>
          <w:bCs/>
          <w:color w:val="000000"/>
          <w:sz w:val="24"/>
          <w:szCs w:val="24"/>
        </w:rPr>
      </w:pPr>
    </w:p>
    <w:p w14:paraId="61E6734F">
      <w:pPr>
        <w:pStyle w:val="9"/>
        <w:spacing w:line="240" w:lineRule="atLeast"/>
        <w:ind w:left="1079" w:leftChars="257" w:hanging="540"/>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法定代表人或其委托代理人签字</w:t>
      </w:r>
      <w:r>
        <w:rPr>
          <w:rFonts w:hint="eastAsia" w:hAnsi="宋体" w:eastAsia="宋体" w:cs="宋体"/>
          <w:bCs/>
          <w:color w:val="000000"/>
          <w:sz w:val="24"/>
          <w:szCs w:val="24"/>
          <w:lang w:eastAsia="zh-CN"/>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 xml:space="preserve">                 </w:t>
      </w:r>
    </w:p>
    <w:p w14:paraId="3BFBC8FA">
      <w:pPr>
        <w:pStyle w:val="9"/>
        <w:tabs>
          <w:tab w:val="left" w:pos="5370"/>
        </w:tabs>
        <w:spacing w:line="240" w:lineRule="atLeast"/>
        <w:ind w:left="1079" w:leftChars="257" w:hanging="54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投标人(盖单位章)</w:t>
      </w:r>
      <w:r>
        <w:rPr>
          <w:rFonts w:hint="eastAsia" w:hAnsi="宋体" w:eastAsia="宋体" w:cs="宋体"/>
          <w:bCs/>
          <w:color w:val="000000"/>
          <w:sz w:val="24"/>
          <w:szCs w:val="24"/>
          <w:lang w:eastAsia="zh-CN"/>
        </w:rPr>
        <w:t>：</w:t>
      </w:r>
      <w:r>
        <w:rPr>
          <w:rFonts w:hint="eastAsia" w:ascii="宋体" w:hAnsi="宋体" w:eastAsia="宋体" w:cs="宋体"/>
          <w:bCs/>
          <w:color w:val="000000"/>
          <w:sz w:val="24"/>
          <w:szCs w:val="24"/>
          <w:u w:val="single"/>
        </w:rPr>
        <w:tab/>
      </w:r>
      <w:bookmarkStart w:id="378" w:name="_Toc15015"/>
      <w:bookmarkStart w:id="379" w:name="_Toc22863"/>
      <w:bookmarkStart w:id="380" w:name="_Toc8243"/>
    </w:p>
    <w:bookmarkEnd w:id="378"/>
    <w:bookmarkEnd w:id="379"/>
    <w:bookmarkEnd w:id="380"/>
    <w:p w14:paraId="25D53AA2">
      <w:pPr>
        <w:pStyle w:val="9"/>
        <w:spacing w:line="240" w:lineRule="atLeast"/>
        <w:ind w:left="1079" w:leftChars="257" w:hanging="540"/>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此表中，投标总价应和开标一览表的总价相一致。</w:t>
      </w:r>
    </w:p>
    <w:p w14:paraId="55CBD0BB">
      <w:pPr>
        <w:pStyle w:val="9"/>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投标总价（包含但不限于）：货物的运输、出厂检验、包装、保险、税金、装卸、</w:t>
      </w:r>
      <w:r>
        <w:rPr>
          <w:rFonts w:hint="eastAsia" w:hAnsi="宋体" w:eastAsia="宋体" w:cs="宋体"/>
          <w:sz w:val="24"/>
          <w:szCs w:val="24"/>
          <w:lang w:val="en-US" w:eastAsia="zh-CN"/>
        </w:rPr>
        <w:t>安装、</w:t>
      </w:r>
      <w:r>
        <w:rPr>
          <w:rFonts w:hint="eastAsia" w:ascii="宋体" w:hAnsi="宋体" w:eastAsia="宋体" w:cs="宋体"/>
          <w:sz w:val="24"/>
          <w:szCs w:val="24"/>
          <w:lang w:val="en-US" w:eastAsia="zh-CN"/>
        </w:rPr>
        <w:t>保管费、检验费，招标代理服务费等所发生的全部费用。</w:t>
      </w:r>
    </w:p>
    <w:p w14:paraId="5C74ABA6">
      <w:pPr>
        <w:pStyle w:val="9"/>
        <w:numPr>
          <w:ilvl w:val="0"/>
          <w:numId w:val="0"/>
        </w:numPr>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3.如果不提供详细分项报价将视为没有实质性响应采购文件。</w:t>
      </w:r>
    </w:p>
    <w:p w14:paraId="49CB7188">
      <w:pPr>
        <w:pStyle w:val="9"/>
        <w:numPr>
          <w:ilvl w:val="0"/>
          <w:numId w:val="0"/>
        </w:numPr>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4.如果开标一览表（报价表）内容与投标投标分项报价表内容不一致的，以开标一览表（报价表）内容为准。</w:t>
      </w:r>
    </w:p>
    <w:p w14:paraId="75E53D1F">
      <w:pPr>
        <w:pStyle w:val="9"/>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sectPr>
          <w:pgSz w:w="16838" w:h="11906" w:orient="landscape"/>
          <w:pgMar w:top="1797" w:right="1270" w:bottom="1797" w:left="1270" w:header="851" w:footer="896" w:gutter="0"/>
          <w:pgNumType w:fmt="numberInDash"/>
          <w:cols w:space="720" w:num="1"/>
          <w:docGrid w:type="linesAndChars" w:linePitch="312" w:charSpace="0"/>
        </w:sectPr>
      </w:pPr>
    </w:p>
    <w:p w14:paraId="068CBE4E">
      <w:pPr>
        <w:pStyle w:val="4"/>
        <w:spacing w:before="0" w:line="240" w:lineRule="atLeast"/>
        <w:jc w:val="center"/>
        <w:outlineLvl w:val="2"/>
        <w:rPr>
          <w:rFonts w:hint="eastAsia" w:ascii="宋体" w:hAnsi="宋体" w:eastAsia="宋体" w:cs="宋体"/>
          <w:color w:val="auto"/>
          <w:sz w:val="28"/>
          <w:szCs w:val="28"/>
          <w:highlight w:val="none"/>
        </w:rPr>
      </w:pPr>
      <w:bookmarkStart w:id="381" w:name="_Toc14037"/>
      <w:bookmarkStart w:id="382" w:name="_Toc32333"/>
      <w:bookmarkStart w:id="383" w:name="_Toc9468"/>
      <w:bookmarkStart w:id="384" w:name="_Toc31465"/>
      <w:bookmarkStart w:id="385" w:name="_Toc18267"/>
      <w:bookmarkStart w:id="386" w:name="_Toc19362"/>
      <w:bookmarkStart w:id="387" w:name="_Toc216582816"/>
      <w:bookmarkStart w:id="388" w:name="_Toc32398"/>
      <w:bookmarkStart w:id="389" w:name="_Toc515647819"/>
      <w:bookmarkStart w:id="390" w:name="_Toc10323"/>
      <w:bookmarkStart w:id="391" w:name="_Toc2054"/>
      <w:r>
        <w:rPr>
          <w:rFonts w:hint="eastAsia" w:ascii="宋体" w:hAnsi="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rPr>
        <w:t>货物说明一览表</w:t>
      </w:r>
      <w:bookmarkEnd w:id="381"/>
      <w:bookmarkEnd w:id="382"/>
      <w:bookmarkEnd w:id="383"/>
      <w:bookmarkEnd w:id="384"/>
      <w:bookmarkEnd w:id="385"/>
      <w:bookmarkEnd w:id="386"/>
      <w:bookmarkEnd w:id="387"/>
      <w:bookmarkEnd w:id="388"/>
      <w:bookmarkEnd w:id="389"/>
      <w:bookmarkEnd w:id="390"/>
      <w:bookmarkEnd w:id="391"/>
    </w:p>
    <w:p w14:paraId="7EF7BAD6">
      <w:pPr>
        <w:pStyle w:val="9"/>
        <w:spacing w:line="5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lang w:val="en-US" w:eastAsia="zh-CN"/>
        </w:rPr>
        <w:t>标段号：</w:t>
      </w:r>
      <w:r>
        <w:rPr>
          <w:rFonts w:hint="eastAsia" w:ascii="宋体" w:hAnsi="宋体" w:eastAsia="宋体" w:cs="宋体"/>
          <w:color w:val="auto"/>
          <w:sz w:val="24"/>
          <w:szCs w:val="24"/>
          <w:highlight w:val="none"/>
        </w:rPr>
        <w:t xml:space="preserve">                      </w:t>
      </w:r>
    </w:p>
    <w:p w14:paraId="282ADF21">
      <w:pPr>
        <w:pStyle w:val="9"/>
        <w:spacing w:line="540" w:lineRule="exact"/>
        <w:ind w:left="1080" w:leftChars="257" w:hanging="540"/>
        <w:rPr>
          <w:rFonts w:hint="eastAsia" w:ascii="宋体" w:hAnsi="宋体" w:eastAsia="宋体" w:cs="宋体"/>
          <w:color w:val="auto"/>
          <w:sz w:val="24"/>
          <w:szCs w:val="24"/>
          <w:highlight w:val="none"/>
        </w:rPr>
      </w:pPr>
    </w:p>
    <w:tbl>
      <w:tblPr>
        <w:tblStyle w:val="19"/>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25"/>
        <w:gridCol w:w="1612"/>
        <w:gridCol w:w="1175"/>
        <w:gridCol w:w="1250"/>
        <w:gridCol w:w="1275"/>
        <w:gridCol w:w="763"/>
      </w:tblGrid>
      <w:tr w14:paraId="657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13" w:type="dxa"/>
            <w:noWrap w:val="0"/>
            <w:vAlign w:val="top"/>
          </w:tcPr>
          <w:p w14:paraId="25E5624C">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25" w:type="dxa"/>
            <w:noWrap w:val="0"/>
            <w:vAlign w:val="top"/>
          </w:tcPr>
          <w:p w14:paraId="2987A7DD">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612" w:type="dxa"/>
            <w:noWrap w:val="0"/>
            <w:vAlign w:val="top"/>
          </w:tcPr>
          <w:p w14:paraId="19CD8D5A">
            <w:pPr>
              <w:pStyle w:val="9"/>
              <w:spacing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规格参数</w:t>
            </w:r>
          </w:p>
        </w:tc>
        <w:tc>
          <w:tcPr>
            <w:tcW w:w="1175" w:type="dxa"/>
            <w:noWrap w:val="0"/>
            <w:vAlign w:val="top"/>
          </w:tcPr>
          <w:p w14:paraId="2A07A4A0">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0" w:type="dxa"/>
            <w:noWrap w:val="0"/>
            <w:vAlign w:val="top"/>
          </w:tcPr>
          <w:p w14:paraId="0F37FE6A">
            <w:pPr>
              <w:pStyle w:val="9"/>
              <w:spacing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履约期限</w:t>
            </w:r>
          </w:p>
        </w:tc>
        <w:tc>
          <w:tcPr>
            <w:tcW w:w="1275" w:type="dxa"/>
            <w:noWrap w:val="0"/>
            <w:vAlign w:val="top"/>
          </w:tcPr>
          <w:p w14:paraId="63BA580B">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地点</w:t>
            </w:r>
          </w:p>
        </w:tc>
        <w:tc>
          <w:tcPr>
            <w:tcW w:w="763" w:type="dxa"/>
            <w:noWrap w:val="0"/>
            <w:vAlign w:val="top"/>
          </w:tcPr>
          <w:p w14:paraId="38663F34">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r>
      <w:tr w14:paraId="7A1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1C0F1470">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05BA266">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22636C0D">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7E4C8D6">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0C7CDE94">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181424C5">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576FFCD0">
            <w:pPr>
              <w:pStyle w:val="9"/>
              <w:spacing w:line="540" w:lineRule="exact"/>
              <w:ind w:left="1080" w:leftChars="257" w:hanging="540"/>
              <w:rPr>
                <w:rFonts w:hint="eastAsia" w:ascii="宋体" w:hAnsi="宋体" w:eastAsia="宋体" w:cs="宋体"/>
                <w:color w:val="auto"/>
                <w:sz w:val="24"/>
                <w:szCs w:val="24"/>
                <w:highlight w:val="none"/>
              </w:rPr>
            </w:pPr>
          </w:p>
        </w:tc>
      </w:tr>
      <w:tr w14:paraId="7780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28BB3DE4">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39F4C6A7">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73CC2811">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E5A6E7F">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74700231">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5C366BBE">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4DE079A3">
            <w:pPr>
              <w:pStyle w:val="9"/>
              <w:spacing w:line="540" w:lineRule="exact"/>
              <w:ind w:left="1080" w:leftChars="257" w:hanging="540"/>
              <w:rPr>
                <w:rFonts w:hint="eastAsia" w:ascii="宋体" w:hAnsi="宋体" w:eastAsia="宋体" w:cs="宋体"/>
                <w:color w:val="auto"/>
                <w:sz w:val="24"/>
                <w:szCs w:val="24"/>
                <w:highlight w:val="none"/>
              </w:rPr>
            </w:pPr>
          </w:p>
        </w:tc>
      </w:tr>
      <w:tr w14:paraId="7CE7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467BCECC">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75A3EB20">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22C35495">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5E2D5C00">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63536A9">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792E3C0">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73AD830E">
            <w:pPr>
              <w:pStyle w:val="9"/>
              <w:spacing w:line="540" w:lineRule="exact"/>
              <w:ind w:left="1080" w:leftChars="257" w:hanging="540"/>
              <w:rPr>
                <w:rFonts w:hint="eastAsia" w:ascii="宋体" w:hAnsi="宋体" w:eastAsia="宋体" w:cs="宋体"/>
                <w:color w:val="auto"/>
                <w:sz w:val="24"/>
                <w:szCs w:val="24"/>
                <w:highlight w:val="none"/>
              </w:rPr>
            </w:pPr>
          </w:p>
        </w:tc>
      </w:tr>
      <w:tr w14:paraId="3BDC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31AC9E3E">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08722EEB">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104630E0">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201F0B53">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59D3205">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E05431C">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35359D90">
            <w:pPr>
              <w:pStyle w:val="9"/>
              <w:spacing w:line="540" w:lineRule="exact"/>
              <w:ind w:left="1080" w:leftChars="257" w:hanging="540"/>
              <w:rPr>
                <w:rFonts w:hint="eastAsia" w:ascii="宋体" w:hAnsi="宋体" w:eastAsia="宋体" w:cs="宋体"/>
                <w:color w:val="auto"/>
                <w:sz w:val="24"/>
                <w:szCs w:val="24"/>
                <w:highlight w:val="none"/>
              </w:rPr>
            </w:pPr>
          </w:p>
        </w:tc>
      </w:tr>
      <w:tr w14:paraId="777E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2ED9F2B4">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FAF95A1">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64A16BE0">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5F4C7B93">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224F82D">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79A12072">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5509E601">
            <w:pPr>
              <w:pStyle w:val="9"/>
              <w:spacing w:line="540" w:lineRule="exact"/>
              <w:ind w:left="1080" w:leftChars="257" w:hanging="540"/>
              <w:rPr>
                <w:rFonts w:hint="eastAsia" w:ascii="宋体" w:hAnsi="宋体" w:eastAsia="宋体" w:cs="宋体"/>
                <w:color w:val="auto"/>
                <w:sz w:val="24"/>
                <w:szCs w:val="24"/>
                <w:highlight w:val="none"/>
              </w:rPr>
            </w:pPr>
          </w:p>
        </w:tc>
      </w:tr>
      <w:tr w14:paraId="77F7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68822E65">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21E261D">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355EDA51">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532D3E6">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32C0CB6A">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180A1E4">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28691B8E">
            <w:pPr>
              <w:pStyle w:val="9"/>
              <w:spacing w:line="540" w:lineRule="exact"/>
              <w:ind w:left="1080" w:leftChars="257" w:hanging="540"/>
              <w:rPr>
                <w:rFonts w:hint="eastAsia" w:ascii="宋体" w:hAnsi="宋体" w:eastAsia="宋体" w:cs="宋体"/>
                <w:color w:val="auto"/>
                <w:sz w:val="24"/>
                <w:szCs w:val="24"/>
                <w:highlight w:val="none"/>
              </w:rPr>
            </w:pPr>
          </w:p>
        </w:tc>
      </w:tr>
      <w:tr w14:paraId="7AAF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663BDC6F">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46BDE1C8">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3C0A0604">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69D02C04">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0E1E7EBA">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37029D81">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2381C4A7">
            <w:pPr>
              <w:pStyle w:val="9"/>
              <w:spacing w:line="540" w:lineRule="exact"/>
              <w:ind w:left="1080" w:leftChars="257" w:hanging="540"/>
              <w:rPr>
                <w:rFonts w:hint="eastAsia" w:ascii="宋体" w:hAnsi="宋体" w:eastAsia="宋体" w:cs="宋体"/>
                <w:color w:val="auto"/>
                <w:sz w:val="24"/>
                <w:szCs w:val="24"/>
                <w:highlight w:val="none"/>
              </w:rPr>
            </w:pPr>
          </w:p>
        </w:tc>
      </w:tr>
      <w:tr w14:paraId="7EE9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top"/>
          </w:tcPr>
          <w:p w14:paraId="097DEAE1">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799FC887">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0352A8C7">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6879544E">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32F14348">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350F8504">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6A4C1A05">
            <w:pPr>
              <w:pStyle w:val="9"/>
              <w:spacing w:line="540" w:lineRule="exact"/>
              <w:ind w:left="1080" w:leftChars="257" w:hanging="540"/>
              <w:rPr>
                <w:rFonts w:hint="eastAsia" w:ascii="宋体" w:hAnsi="宋体" w:eastAsia="宋体" w:cs="宋体"/>
                <w:color w:val="auto"/>
                <w:sz w:val="24"/>
                <w:szCs w:val="24"/>
                <w:highlight w:val="none"/>
              </w:rPr>
            </w:pPr>
          </w:p>
        </w:tc>
      </w:tr>
    </w:tbl>
    <w:p w14:paraId="5011744F">
      <w:pPr>
        <w:pStyle w:val="9"/>
        <w:spacing w:line="540" w:lineRule="exact"/>
        <w:ind w:left="1080" w:leftChars="257" w:hanging="540"/>
        <w:rPr>
          <w:rFonts w:hint="eastAsia" w:ascii="宋体" w:hAnsi="宋体" w:eastAsia="宋体" w:cs="宋体"/>
          <w:color w:val="auto"/>
          <w:sz w:val="24"/>
          <w:szCs w:val="24"/>
          <w:highlight w:val="none"/>
        </w:rPr>
      </w:pPr>
    </w:p>
    <w:p w14:paraId="0B7FBB41">
      <w:pPr>
        <w:pStyle w:val="9"/>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3DB9AAD5">
      <w:pPr>
        <w:pStyle w:val="9"/>
        <w:tabs>
          <w:tab w:val="left" w:pos="5370"/>
        </w:tabs>
        <w:spacing w:line="54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p>
    <w:p w14:paraId="076E8F1A">
      <w:pPr>
        <w:pStyle w:val="9"/>
        <w:spacing w:line="540" w:lineRule="exact"/>
        <w:ind w:left="1080" w:leftChars="257" w:hanging="540"/>
        <w:rPr>
          <w:rFonts w:hint="eastAsia" w:ascii="宋体" w:hAnsi="宋体" w:eastAsia="宋体" w:cs="宋体"/>
          <w:color w:val="auto"/>
          <w:sz w:val="24"/>
          <w:szCs w:val="24"/>
          <w:highlight w:val="none"/>
        </w:rPr>
      </w:pPr>
    </w:p>
    <w:p w14:paraId="38AE9B9D">
      <w:pPr>
        <w:pStyle w:val="9"/>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各项货物详细技术性能应另页描述。</w:t>
      </w:r>
    </w:p>
    <w:p w14:paraId="52B4A0F8">
      <w:pPr>
        <w:pStyle w:val="9"/>
        <w:spacing w:line="240" w:lineRule="atLeast"/>
        <w:ind w:left="1080" w:leftChars="257" w:hanging="540"/>
        <w:jc w:val="center"/>
        <w:rPr>
          <w:rFonts w:hint="eastAsia" w:ascii="宋体" w:hAnsi="宋体" w:eastAsia="宋体" w:cs="宋体"/>
          <w:color w:val="auto"/>
          <w:sz w:val="28"/>
          <w:szCs w:val="28"/>
          <w:highlight w:val="none"/>
        </w:rPr>
        <w:sectPr>
          <w:headerReference r:id="rId6" w:type="default"/>
          <w:footerReference r:id="rId7" w:type="default"/>
          <w:pgSz w:w="11906" w:h="16838"/>
          <w:pgMar w:top="1440" w:right="1797" w:bottom="1440" w:left="1797" w:header="851" w:footer="992" w:gutter="0"/>
          <w:pgNumType w:fmt="numberInDash"/>
          <w:cols w:space="720" w:num="1"/>
          <w:docGrid w:linePitch="312" w:charSpace="0"/>
        </w:sectPr>
      </w:pPr>
    </w:p>
    <w:p w14:paraId="3E1FDAA7">
      <w:pPr>
        <w:pStyle w:val="9"/>
        <w:spacing w:line="240" w:lineRule="atLeast"/>
        <w:jc w:val="center"/>
        <w:outlineLvl w:val="2"/>
        <w:rPr>
          <w:rFonts w:hint="eastAsia" w:ascii="宋体" w:hAnsi="宋体" w:eastAsia="宋体" w:cs="宋体"/>
          <w:b/>
          <w:bCs/>
          <w:color w:val="auto"/>
          <w:sz w:val="24"/>
          <w:szCs w:val="24"/>
          <w:highlight w:val="none"/>
        </w:rPr>
      </w:pPr>
      <w:bookmarkStart w:id="392" w:name="_Toc2069"/>
      <w:bookmarkStart w:id="393" w:name="_Toc8647"/>
      <w:bookmarkStart w:id="394" w:name="_Toc7895"/>
      <w:bookmarkStart w:id="395" w:name="_Toc21401"/>
      <w:bookmarkStart w:id="396" w:name="_Toc7750"/>
      <w:bookmarkStart w:id="397" w:name="_Toc17071"/>
      <w:r>
        <w:rPr>
          <w:rFonts w:hint="eastAsia"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技术规格偏离表</w:t>
      </w:r>
      <w:bookmarkEnd w:id="392"/>
      <w:bookmarkEnd w:id="393"/>
      <w:bookmarkEnd w:id="394"/>
      <w:bookmarkEnd w:id="395"/>
      <w:bookmarkEnd w:id="396"/>
      <w:bookmarkEnd w:id="397"/>
    </w:p>
    <w:p w14:paraId="70959E89">
      <w:pPr>
        <w:pStyle w:val="9"/>
        <w:spacing w:line="5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标段号：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7F9F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0103077C">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noWrap w:val="0"/>
            <w:vAlign w:val="center"/>
          </w:tcPr>
          <w:p w14:paraId="5FA3A491">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340" w:type="dxa"/>
            <w:noWrap w:val="0"/>
            <w:vAlign w:val="center"/>
          </w:tcPr>
          <w:p w14:paraId="200872E0">
            <w:pPr>
              <w:pStyle w:val="9"/>
              <w:spacing w:line="540" w:lineRule="exac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260" w:type="dxa"/>
            <w:noWrap w:val="0"/>
            <w:vAlign w:val="center"/>
          </w:tcPr>
          <w:p w14:paraId="48077561">
            <w:pPr>
              <w:pStyle w:val="9"/>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内容</w:t>
            </w:r>
          </w:p>
        </w:tc>
        <w:tc>
          <w:tcPr>
            <w:tcW w:w="1260" w:type="dxa"/>
            <w:noWrap w:val="0"/>
            <w:vAlign w:val="center"/>
          </w:tcPr>
          <w:p w14:paraId="524AFBEE">
            <w:pPr>
              <w:pStyle w:val="9"/>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内容</w:t>
            </w:r>
          </w:p>
        </w:tc>
        <w:tc>
          <w:tcPr>
            <w:tcW w:w="900" w:type="dxa"/>
            <w:noWrap w:val="0"/>
            <w:vAlign w:val="center"/>
          </w:tcPr>
          <w:p w14:paraId="23A4A355">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900" w:type="dxa"/>
            <w:noWrap w:val="0"/>
            <w:vAlign w:val="center"/>
          </w:tcPr>
          <w:p w14:paraId="6DB8D640">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651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938217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31525B1">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25F4A21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0DE29B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FAFC96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41F0B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88299F4">
            <w:pPr>
              <w:pStyle w:val="9"/>
              <w:spacing w:line="540" w:lineRule="exact"/>
              <w:ind w:left="1080" w:leftChars="257" w:hanging="540"/>
              <w:rPr>
                <w:rFonts w:hint="eastAsia" w:ascii="宋体" w:hAnsi="宋体" w:eastAsia="宋体" w:cs="宋体"/>
                <w:color w:val="auto"/>
                <w:sz w:val="24"/>
                <w:szCs w:val="24"/>
                <w:highlight w:val="none"/>
              </w:rPr>
            </w:pPr>
          </w:p>
        </w:tc>
      </w:tr>
      <w:tr w14:paraId="6A0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A413E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08A89B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B4746C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9FC007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B7EBB9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E212BD7">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9F7299E">
            <w:pPr>
              <w:pStyle w:val="9"/>
              <w:spacing w:line="540" w:lineRule="exact"/>
              <w:ind w:left="1080" w:leftChars="257" w:hanging="540"/>
              <w:rPr>
                <w:rFonts w:hint="eastAsia" w:ascii="宋体" w:hAnsi="宋体" w:eastAsia="宋体" w:cs="宋体"/>
                <w:color w:val="auto"/>
                <w:sz w:val="24"/>
                <w:szCs w:val="24"/>
                <w:highlight w:val="none"/>
              </w:rPr>
            </w:pPr>
          </w:p>
        </w:tc>
      </w:tr>
      <w:tr w14:paraId="6651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E185CF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EB430A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3B9BF0D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A3DFBD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E590AE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4B18CC2">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0285CC4">
            <w:pPr>
              <w:pStyle w:val="9"/>
              <w:spacing w:line="540" w:lineRule="exact"/>
              <w:ind w:left="1080" w:leftChars="257" w:hanging="540"/>
              <w:rPr>
                <w:rFonts w:hint="eastAsia" w:ascii="宋体" w:hAnsi="宋体" w:eastAsia="宋体" w:cs="宋体"/>
                <w:color w:val="auto"/>
                <w:sz w:val="24"/>
                <w:szCs w:val="24"/>
                <w:highlight w:val="none"/>
              </w:rPr>
            </w:pPr>
          </w:p>
        </w:tc>
      </w:tr>
      <w:tr w14:paraId="1F18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3440A6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F7505A6">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B823E6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4DD2A6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8A2D3B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6C6B61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085509B">
            <w:pPr>
              <w:pStyle w:val="9"/>
              <w:spacing w:line="540" w:lineRule="exact"/>
              <w:ind w:left="1080" w:leftChars="257" w:hanging="540"/>
              <w:rPr>
                <w:rFonts w:hint="eastAsia" w:ascii="宋体" w:hAnsi="宋体" w:eastAsia="宋体" w:cs="宋体"/>
                <w:color w:val="auto"/>
                <w:sz w:val="24"/>
                <w:szCs w:val="24"/>
                <w:highlight w:val="none"/>
              </w:rPr>
            </w:pPr>
          </w:p>
        </w:tc>
      </w:tr>
      <w:tr w14:paraId="64A9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197EB0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A94679E">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E2E2BC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367AAE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184770">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D4BF15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E74BD34">
            <w:pPr>
              <w:pStyle w:val="9"/>
              <w:spacing w:line="540" w:lineRule="exact"/>
              <w:ind w:left="1080" w:leftChars="257" w:hanging="540"/>
              <w:rPr>
                <w:rFonts w:hint="eastAsia" w:ascii="宋体" w:hAnsi="宋体" w:eastAsia="宋体" w:cs="宋体"/>
                <w:color w:val="auto"/>
                <w:sz w:val="24"/>
                <w:szCs w:val="24"/>
                <w:highlight w:val="none"/>
              </w:rPr>
            </w:pPr>
          </w:p>
        </w:tc>
      </w:tr>
      <w:tr w14:paraId="0C5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95C609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A6A5DE">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48A08A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4DA02ED">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DAD765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9D6B54B">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BFEF37F">
            <w:pPr>
              <w:pStyle w:val="9"/>
              <w:spacing w:line="540" w:lineRule="exact"/>
              <w:ind w:left="1080" w:leftChars="257" w:hanging="540"/>
              <w:rPr>
                <w:rFonts w:hint="eastAsia" w:ascii="宋体" w:hAnsi="宋体" w:eastAsia="宋体" w:cs="宋体"/>
                <w:color w:val="auto"/>
                <w:sz w:val="24"/>
                <w:szCs w:val="24"/>
                <w:highlight w:val="none"/>
              </w:rPr>
            </w:pPr>
          </w:p>
        </w:tc>
      </w:tr>
      <w:tr w14:paraId="0FD3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469851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8B695EB">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E79D9E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7F4A0F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ECBA2B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5BC1A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699869D">
            <w:pPr>
              <w:pStyle w:val="9"/>
              <w:spacing w:line="540" w:lineRule="exact"/>
              <w:ind w:left="1080" w:leftChars="257" w:hanging="540"/>
              <w:rPr>
                <w:rFonts w:hint="eastAsia" w:ascii="宋体" w:hAnsi="宋体" w:eastAsia="宋体" w:cs="宋体"/>
                <w:color w:val="auto"/>
                <w:sz w:val="24"/>
                <w:szCs w:val="24"/>
                <w:highlight w:val="none"/>
              </w:rPr>
            </w:pPr>
          </w:p>
        </w:tc>
      </w:tr>
      <w:tr w14:paraId="20E7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ADBA00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EAFEB0">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80A6C0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A4B24B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2A46D5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8AFBD7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AAD2CF9">
            <w:pPr>
              <w:pStyle w:val="9"/>
              <w:spacing w:line="540" w:lineRule="exact"/>
              <w:ind w:left="1080" w:leftChars="257" w:hanging="540"/>
              <w:rPr>
                <w:rFonts w:hint="eastAsia" w:ascii="宋体" w:hAnsi="宋体" w:eastAsia="宋体" w:cs="宋体"/>
                <w:color w:val="auto"/>
                <w:sz w:val="24"/>
                <w:szCs w:val="24"/>
                <w:highlight w:val="none"/>
              </w:rPr>
            </w:pPr>
          </w:p>
        </w:tc>
      </w:tr>
      <w:tr w14:paraId="5B1C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48BBA1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95809B1">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312AB7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37EBA3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13711C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D2DEAED">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0A7C2F4">
            <w:pPr>
              <w:pStyle w:val="9"/>
              <w:spacing w:line="540" w:lineRule="exact"/>
              <w:ind w:left="1080" w:leftChars="257" w:hanging="540"/>
              <w:rPr>
                <w:rFonts w:hint="eastAsia" w:ascii="宋体" w:hAnsi="宋体" w:eastAsia="宋体" w:cs="宋体"/>
                <w:color w:val="auto"/>
                <w:sz w:val="24"/>
                <w:szCs w:val="24"/>
                <w:highlight w:val="none"/>
              </w:rPr>
            </w:pPr>
          </w:p>
        </w:tc>
      </w:tr>
      <w:tr w14:paraId="4631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E2ED4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82486A9">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158950D">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82DB0E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DF47FF2">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43B203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6D46E36">
            <w:pPr>
              <w:pStyle w:val="9"/>
              <w:spacing w:line="540" w:lineRule="exact"/>
              <w:ind w:left="1080" w:leftChars="257" w:hanging="540"/>
              <w:rPr>
                <w:rFonts w:hint="eastAsia" w:ascii="宋体" w:hAnsi="宋体" w:eastAsia="宋体" w:cs="宋体"/>
                <w:color w:val="auto"/>
                <w:sz w:val="24"/>
                <w:szCs w:val="24"/>
                <w:highlight w:val="none"/>
              </w:rPr>
            </w:pPr>
          </w:p>
        </w:tc>
      </w:tr>
      <w:tr w14:paraId="1498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B42146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2AA67A">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5C3602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DD3E86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35496A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063EDE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887F6DA">
            <w:pPr>
              <w:pStyle w:val="9"/>
              <w:spacing w:line="540" w:lineRule="exact"/>
              <w:ind w:left="1080" w:leftChars="257" w:hanging="540"/>
              <w:rPr>
                <w:rFonts w:hint="eastAsia" w:ascii="宋体" w:hAnsi="宋体" w:eastAsia="宋体" w:cs="宋体"/>
                <w:color w:val="auto"/>
                <w:sz w:val="24"/>
                <w:szCs w:val="24"/>
                <w:highlight w:val="none"/>
              </w:rPr>
            </w:pPr>
          </w:p>
        </w:tc>
      </w:tr>
      <w:tr w14:paraId="13FC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53201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81ECA3">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3D236DA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17FE672">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36CC94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83372C7">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E048C72">
            <w:pPr>
              <w:pStyle w:val="9"/>
              <w:spacing w:line="540" w:lineRule="exact"/>
              <w:ind w:left="1080" w:leftChars="257" w:hanging="540"/>
              <w:rPr>
                <w:rFonts w:hint="eastAsia" w:ascii="宋体" w:hAnsi="宋体" w:eastAsia="宋体" w:cs="宋体"/>
                <w:color w:val="auto"/>
                <w:sz w:val="24"/>
                <w:szCs w:val="24"/>
                <w:highlight w:val="none"/>
              </w:rPr>
            </w:pPr>
          </w:p>
        </w:tc>
      </w:tr>
      <w:tr w14:paraId="4791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3D8912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DD82819">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035490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52F61E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45CFAA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7E44DE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861FB3C">
            <w:pPr>
              <w:pStyle w:val="9"/>
              <w:spacing w:line="540" w:lineRule="exact"/>
              <w:ind w:left="1080" w:leftChars="257" w:hanging="540"/>
              <w:rPr>
                <w:rFonts w:hint="eastAsia" w:ascii="宋体" w:hAnsi="宋体" w:eastAsia="宋体" w:cs="宋体"/>
                <w:color w:val="auto"/>
                <w:sz w:val="24"/>
                <w:szCs w:val="24"/>
                <w:highlight w:val="none"/>
              </w:rPr>
            </w:pPr>
          </w:p>
        </w:tc>
      </w:tr>
      <w:tr w14:paraId="1503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A81651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27B90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6CFD72C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8B016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D1CA04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868A10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BB7CDF4">
            <w:pPr>
              <w:pStyle w:val="9"/>
              <w:spacing w:line="540" w:lineRule="exact"/>
              <w:ind w:left="1080" w:leftChars="257" w:hanging="540"/>
              <w:rPr>
                <w:rFonts w:hint="eastAsia" w:ascii="宋体" w:hAnsi="宋体" w:eastAsia="宋体" w:cs="宋体"/>
                <w:color w:val="auto"/>
                <w:sz w:val="24"/>
                <w:szCs w:val="24"/>
                <w:highlight w:val="none"/>
              </w:rPr>
            </w:pPr>
          </w:p>
        </w:tc>
      </w:tr>
      <w:tr w14:paraId="4917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089E22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D967D84">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8C494E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CC891C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BAE207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7E6979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5ABF163">
            <w:pPr>
              <w:pStyle w:val="9"/>
              <w:spacing w:line="540" w:lineRule="exact"/>
              <w:ind w:left="1080" w:leftChars="257" w:hanging="540"/>
              <w:rPr>
                <w:rFonts w:hint="eastAsia" w:ascii="宋体" w:hAnsi="宋体" w:eastAsia="宋体" w:cs="宋体"/>
                <w:color w:val="auto"/>
                <w:sz w:val="24"/>
                <w:szCs w:val="24"/>
                <w:highlight w:val="none"/>
              </w:rPr>
            </w:pPr>
          </w:p>
        </w:tc>
      </w:tr>
      <w:tr w14:paraId="0E97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D5B93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47438E9">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26239B9">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4602D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25AB1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369C0CC">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C6C20F9">
            <w:pPr>
              <w:pStyle w:val="9"/>
              <w:spacing w:line="540" w:lineRule="exact"/>
              <w:ind w:left="1080" w:leftChars="257" w:hanging="540"/>
              <w:rPr>
                <w:rFonts w:hint="eastAsia" w:ascii="宋体" w:hAnsi="宋体" w:eastAsia="宋体" w:cs="宋体"/>
                <w:color w:val="auto"/>
                <w:sz w:val="24"/>
                <w:szCs w:val="24"/>
                <w:highlight w:val="none"/>
              </w:rPr>
            </w:pPr>
          </w:p>
        </w:tc>
      </w:tr>
      <w:tr w14:paraId="4612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254073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334C240">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48CC71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1F76C0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69F36DE">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4E543C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2A8B1BE">
            <w:pPr>
              <w:pStyle w:val="9"/>
              <w:spacing w:line="540" w:lineRule="exact"/>
              <w:ind w:left="1080" w:leftChars="257" w:hanging="540"/>
              <w:rPr>
                <w:rFonts w:hint="eastAsia" w:ascii="宋体" w:hAnsi="宋体" w:eastAsia="宋体" w:cs="宋体"/>
                <w:color w:val="auto"/>
                <w:sz w:val="24"/>
                <w:szCs w:val="24"/>
                <w:highlight w:val="none"/>
              </w:rPr>
            </w:pPr>
          </w:p>
        </w:tc>
      </w:tr>
    </w:tbl>
    <w:p w14:paraId="7FE857A0">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1F6C6D94">
      <w:pPr>
        <w:pStyle w:val="9"/>
        <w:tabs>
          <w:tab w:val="left" w:pos="5370"/>
        </w:tabs>
        <w:spacing w:line="540" w:lineRule="exact"/>
        <w:ind w:left="1080" w:leftChars="257" w:hanging="540"/>
        <w:rPr>
          <w:rFonts w:hint="eastAsia" w:ascii="宋体" w:hAnsi="宋体" w:eastAsia="宋体" w:cs="宋体"/>
          <w:color w:val="auto"/>
          <w:sz w:val="24"/>
          <w:szCs w:val="24"/>
          <w:highlight w:val="none"/>
        </w:rPr>
      </w:pPr>
    </w:p>
    <w:p w14:paraId="3042986A">
      <w:pPr>
        <w:pStyle w:val="9"/>
        <w:tabs>
          <w:tab w:val="left" w:pos="5370"/>
        </w:tabs>
        <w:spacing w:line="5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bookmarkStart w:id="398" w:name="_Toc216582818"/>
      <w:bookmarkStart w:id="399" w:name="_Toc23"/>
      <w:bookmarkStart w:id="400" w:name="_Toc1980"/>
      <w:bookmarkStart w:id="401" w:name="_Toc515647821"/>
      <w:bookmarkStart w:id="402" w:name="_Toc28374"/>
    </w:p>
    <w:p w14:paraId="78A9E1BB">
      <w:pPr>
        <w:pStyle w:val="3"/>
        <w:spacing w:before="0" w:line="240" w:lineRule="atLeast"/>
        <w:jc w:val="both"/>
        <w:outlineLvl w:val="9"/>
        <w:rPr>
          <w:rFonts w:hint="eastAsia" w:ascii="宋体" w:hAnsi="宋体" w:eastAsia="宋体" w:cs="宋体"/>
          <w:color w:val="auto"/>
          <w:sz w:val="28"/>
          <w:szCs w:val="28"/>
          <w:highlight w:val="none"/>
        </w:rPr>
      </w:pPr>
    </w:p>
    <w:p w14:paraId="272018FE">
      <w:pPr>
        <w:rPr>
          <w:rFonts w:hint="eastAsia" w:ascii="宋体" w:hAnsi="宋体" w:eastAsia="宋体" w:cs="宋体"/>
          <w:color w:val="auto"/>
          <w:sz w:val="28"/>
          <w:szCs w:val="28"/>
          <w:highlight w:val="none"/>
        </w:rPr>
      </w:pPr>
    </w:p>
    <w:p w14:paraId="779F3B10">
      <w:pPr>
        <w:pStyle w:val="18"/>
        <w:rPr>
          <w:rFonts w:hint="eastAsia" w:ascii="宋体" w:hAnsi="宋体" w:eastAsia="宋体" w:cs="宋体"/>
        </w:rPr>
      </w:pPr>
    </w:p>
    <w:p w14:paraId="52492C83">
      <w:pPr>
        <w:pStyle w:val="4"/>
        <w:spacing w:before="0" w:line="240" w:lineRule="atLeast"/>
        <w:jc w:val="center"/>
        <w:outlineLvl w:val="2"/>
        <w:rPr>
          <w:rFonts w:hint="eastAsia" w:ascii="宋体" w:hAnsi="宋体" w:eastAsia="宋体" w:cs="宋体"/>
          <w:color w:val="auto"/>
          <w:sz w:val="28"/>
          <w:szCs w:val="28"/>
          <w:highlight w:val="none"/>
        </w:rPr>
      </w:pPr>
      <w:bookmarkStart w:id="403" w:name="_Toc9176"/>
      <w:bookmarkStart w:id="404" w:name="_Toc12606"/>
      <w:bookmarkStart w:id="405" w:name="_Toc30780"/>
      <w:bookmarkStart w:id="406" w:name="_Toc5604"/>
      <w:bookmarkStart w:id="407" w:name="_Toc23691"/>
      <w:bookmarkStart w:id="408" w:name="_Toc17241"/>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 xml:space="preserve">   商务条款偏离表</w:t>
      </w:r>
      <w:bookmarkEnd w:id="398"/>
      <w:bookmarkEnd w:id="399"/>
      <w:bookmarkEnd w:id="400"/>
      <w:bookmarkEnd w:id="401"/>
      <w:bookmarkEnd w:id="402"/>
      <w:bookmarkEnd w:id="403"/>
      <w:bookmarkEnd w:id="404"/>
      <w:bookmarkEnd w:id="405"/>
      <w:bookmarkEnd w:id="406"/>
      <w:bookmarkEnd w:id="407"/>
      <w:bookmarkEnd w:id="408"/>
    </w:p>
    <w:p w14:paraId="0354D5D2">
      <w:pPr>
        <w:pStyle w:val="9"/>
        <w:spacing w:line="240" w:lineRule="atLeast"/>
        <w:rPr>
          <w:rFonts w:hint="eastAsia" w:ascii="宋体" w:hAnsi="宋体" w:eastAsia="宋体" w:cs="宋体"/>
          <w:color w:val="auto"/>
          <w:sz w:val="28"/>
          <w:szCs w:val="28"/>
          <w:highlight w:val="none"/>
        </w:rPr>
      </w:pPr>
    </w:p>
    <w:p w14:paraId="394C3F4D">
      <w:pPr>
        <w:pStyle w:val="9"/>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标段号：</w:t>
      </w:r>
    </w:p>
    <w:p w14:paraId="625F1F25">
      <w:pPr>
        <w:pStyle w:val="9"/>
        <w:spacing w:line="240" w:lineRule="atLeast"/>
        <w:ind w:left="1080" w:leftChars="257" w:hanging="540"/>
        <w:rPr>
          <w:rFonts w:hint="eastAsia" w:ascii="宋体" w:hAnsi="宋体" w:eastAsia="宋体" w:cs="宋体"/>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476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9C7A3AA">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noWrap w:val="0"/>
            <w:vAlign w:val="top"/>
          </w:tcPr>
          <w:p w14:paraId="5DE0786A">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2520" w:type="dxa"/>
            <w:noWrap w:val="0"/>
            <w:vAlign w:val="top"/>
          </w:tcPr>
          <w:p w14:paraId="06777AA7">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520" w:type="dxa"/>
            <w:noWrap w:val="0"/>
            <w:vAlign w:val="top"/>
          </w:tcPr>
          <w:p w14:paraId="1FFAF2A4">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900" w:type="dxa"/>
            <w:noWrap w:val="0"/>
            <w:vAlign w:val="top"/>
          </w:tcPr>
          <w:p w14:paraId="4B42E85E">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7F9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44F243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746B643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7871C61">
            <w:pPr>
              <w:pStyle w:val="9"/>
              <w:spacing w:line="240" w:lineRule="atLeast"/>
              <w:ind w:left="1080" w:leftChars="257" w:hanging="540"/>
              <w:jc w:val="center"/>
              <w:rPr>
                <w:rFonts w:hint="eastAsia" w:ascii="宋体" w:hAnsi="宋体" w:eastAsia="宋体" w:cs="宋体"/>
                <w:color w:val="auto"/>
                <w:sz w:val="24"/>
                <w:szCs w:val="24"/>
                <w:highlight w:val="none"/>
              </w:rPr>
            </w:pPr>
          </w:p>
        </w:tc>
        <w:tc>
          <w:tcPr>
            <w:tcW w:w="2520" w:type="dxa"/>
            <w:noWrap w:val="0"/>
            <w:vAlign w:val="top"/>
          </w:tcPr>
          <w:p w14:paraId="127ADAA3">
            <w:pPr>
              <w:pStyle w:val="9"/>
              <w:spacing w:line="240" w:lineRule="atLeast"/>
              <w:ind w:left="1080" w:leftChars="257" w:hanging="540"/>
              <w:jc w:val="center"/>
              <w:rPr>
                <w:rFonts w:hint="eastAsia" w:ascii="宋体" w:hAnsi="宋体" w:eastAsia="宋体" w:cs="宋体"/>
                <w:color w:val="auto"/>
                <w:sz w:val="24"/>
                <w:szCs w:val="24"/>
                <w:highlight w:val="none"/>
              </w:rPr>
            </w:pPr>
          </w:p>
        </w:tc>
        <w:tc>
          <w:tcPr>
            <w:tcW w:w="900" w:type="dxa"/>
            <w:noWrap w:val="0"/>
            <w:vAlign w:val="top"/>
          </w:tcPr>
          <w:p w14:paraId="37460776">
            <w:pPr>
              <w:pStyle w:val="9"/>
              <w:spacing w:line="240" w:lineRule="atLeast"/>
              <w:ind w:left="1080" w:leftChars="257" w:hanging="540"/>
              <w:rPr>
                <w:rFonts w:hint="eastAsia" w:ascii="宋体" w:hAnsi="宋体" w:eastAsia="宋体" w:cs="宋体"/>
                <w:color w:val="auto"/>
                <w:sz w:val="24"/>
                <w:szCs w:val="24"/>
                <w:highlight w:val="none"/>
              </w:rPr>
            </w:pPr>
          </w:p>
        </w:tc>
      </w:tr>
      <w:tr w14:paraId="3BA8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E9A8E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6E5F1DE">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1EA28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EFA42CF">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28360AFE">
            <w:pPr>
              <w:pStyle w:val="9"/>
              <w:spacing w:line="240" w:lineRule="atLeast"/>
              <w:ind w:left="1080" w:leftChars="257" w:hanging="540"/>
              <w:rPr>
                <w:rFonts w:hint="eastAsia" w:ascii="宋体" w:hAnsi="宋体" w:eastAsia="宋体" w:cs="宋体"/>
                <w:color w:val="auto"/>
                <w:sz w:val="24"/>
                <w:szCs w:val="24"/>
                <w:highlight w:val="none"/>
              </w:rPr>
            </w:pPr>
          </w:p>
        </w:tc>
      </w:tr>
      <w:tr w14:paraId="4DA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66ED86">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5F5D704">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C6ACA14">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EAA381">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10D54D6">
            <w:pPr>
              <w:pStyle w:val="9"/>
              <w:spacing w:line="240" w:lineRule="atLeast"/>
              <w:ind w:left="1080" w:leftChars="257" w:hanging="540"/>
              <w:rPr>
                <w:rFonts w:hint="eastAsia" w:ascii="宋体" w:hAnsi="宋体" w:eastAsia="宋体" w:cs="宋体"/>
                <w:color w:val="auto"/>
                <w:sz w:val="24"/>
                <w:szCs w:val="24"/>
                <w:highlight w:val="none"/>
              </w:rPr>
            </w:pPr>
          </w:p>
        </w:tc>
      </w:tr>
      <w:tr w14:paraId="074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4F428F">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197DFA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52199D5">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FA9E4F3">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4332306">
            <w:pPr>
              <w:pStyle w:val="9"/>
              <w:spacing w:line="240" w:lineRule="atLeast"/>
              <w:ind w:left="1080" w:leftChars="257" w:hanging="540"/>
              <w:rPr>
                <w:rFonts w:hint="eastAsia" w:ascii="宋体" w:hAnsi="宋体" w:eastAsia="宋体" w:cs="宋体"/>
                <w:color w:val="auto"/>
                <w:sz w:val="24"/>
                <w:szCs w:val="24"/>
                <w:highlight w:val="none"/>
              </w:rPr>
            </w:pPr>
          </w:p>
        </w:tc>
      </w:tr>
      <w:tr w14:paraId="4751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A25A49">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BE5112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B2A7CE2">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CC97A67">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1C10FA7">
            <w:pPr>
              <w:pStyle w:val="9"/>
              <w:spacing w:line="240" w:lineRule="atLeast"/>
              <w:ind w:left="1080" w:leftChars="257" w:hanging="540"/>
              <w:rPr>
                <w:rFonts w:hint="eastAsia" w:ascii="宋体" w:hAnsi="宋体" w:eastAsia="宋体" w:cs="宋体"/>
                <w:color w:val="auto"/>
                <w:sz w:val="24"/>
                <w:szCs w:val="24"/>
                <w:highlight w:val="none"/>
              </w:rPr>
            </w:pPr>
          </w:p>
        </w:tc>
      </w:tr>
      <w:tr w14:paraId="4B30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08B2EB">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13A8246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8010EC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6A2B7D6">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611530AF">
            <w:pPr>
              <w:pStyle w:val="9"/>
              <w:spacing w:line="240" w:lineRule="atLeast"/>
              <w:ind w:left="1080" w:leftChars="257" w:hanging="540"/>
              <w:rPr>
                <w:rFonts w:hint="eastAsia" w:ascii="宋体" w:hAnsi="宋体" w:eastAsia="宋体" w:cs="宋体"/>
                <w:color w:val="auto"/>
                <w:sz w:val="24"/>
                <w:szCs w:val="24"/>
                <w:highlight w:val="none"/>
              </w:rPr>
            </w:pPr>
          </w:p>
        </w:tc>
      </w:tr>
      <w:tr w14:paraId="0B1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DA9D8E">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59890D5">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3AC92E9">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8DD7B77">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F244528">
            <w:pPr>
              <w:pStyle w:val="9"/>
              <w:spacing w:line="240" w:lineRule="atLeast"/>
              <w:ind w:left="1080" w:leftChars="257" w:hanging="540"/>
              <w:rPr>
                <w:rFonts w:hint="eastAsia" w:ascii="宋体" w:hAnsi="宋体" w:eastAsia="宋体" w:cs="宋体"/>
                <w:color w:val="auto"/>
                <w:sz w:val="24"/>
                <w:szCs w:val="24"/>
                <w:highlight w:val="none"/>
              </w:rPr>
            </w:pPr>
          </w:p>
        </w:tc>
      </w:tr>
      <w:tr w14:paraId="521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8F12E4">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5DFBF91D">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D6EF4C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EB90228">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0A5692F">
            <w:pPr>
              <w:pStyle w:val="9"/>
              <w:spacing w:line="240" w:lineRule="atLeast"/>
              <w:ind w:left="1080" w:leftChars="257" w:hanging="540"/>
              <w:rPr>
                <w:rFonts w:hint="eastAsia" w:ascii="宋体" w:hAnsi="宋体" w:eastAsia="宋体" w:cs="宋体"/>
                <w:color w:val="auto"/>
                <w:sz w:val="24"/>
                <w:szCs w:val="24"/>
                <w:highlight w:val="none"/>
              </w:rPr>
            </w:pPr>
          </w:p>
        </w:tc>
      </w:tr>
      <w:tr w14:paraId="6F19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72DDDA0">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27974D9D">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F41AEDC">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7C79C7E">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460EB83">
            <w:pPr>
              <w:pStyle w:val="9"/>
              <w:spacing w:line="240" w:lineRule="atLeast"/>
              <w:ind w:left="1080" w:leftChars="257" w:hanging="540"/>
              <w:rPr>
                <w:rFonts w:hint="eastAsia" w:ascii="宋体" w:hAnsi="宋体" w:eastAsia="宋体" w:cs="宋体"/>
                <w:color w:val="auto"/>
                <w:sz w:val="24"/>
                <w:szCs w:val="24"/>
                <w:highlight w:val="none"/>
              </w:rPr>
            </w:pPr>
          </w:p>
        </w:tc>
      </w:tr>
      <w:tr w14:paraId="230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3BC7303">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51CD994B">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DEB568F">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F8DEEA9">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3394F56">
            <w:pPr>
              <w:pStyle w:val="9"/>
              <w:spacing w:line="240" w:lineRule="atLeast"/>
              <w:ind w:left="1080" w:leftChars="257" w:hanging="540"/>
              <w:rPr>
                <w:rFonts w:hint="eastAsia" w:ascii="宋体" w:hAnsi="宋体" w:eastAsia="宋体" w:cs="宋体"/>
                <w:color w:val="auto"/>
                <w:sz w:val="24"/>
                <w:szCs w:val="24"/>
                <w:highlight w:val="none"/>
              </w:rPr>
            </w:pPr>
          </w:p>
        </w:tc>
      </w:tr>
      <w:tr w14:paraId="334A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9A40A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39460D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542DA0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4A360E8">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7531487">
            <w:pPr>
              <w:pStyle w:val="9"/>
              <w:spacing w:line="240" w:lineRule="atLeast"/>
              <w:ind w:left="1080" w:leftChars="257" w:hanging="540"/>
              <w:rPr>
                <w:rFonts w:hint="eastAsia" w:ascii="宋体" w:hAnsi="宋体" w:eastAsia="宋体" w:cs="宋体"/>
                <w:color w:val="auto"/>
                <w:sz w:val="24"/>
                <w:szCs w:val="24"/>
                <w:highlight w:val="none"/>
              </w:rPr>
            </w:pPr>
          </w:p>
        </w:tc>
      </w:tr>
      <w:tr w14:paraId="1309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1D729A">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C7BAB7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0225F02">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E4A242C">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838198C">
            <w:pPr>
              <w:pStyle w:val="9"/>
              <w:spacing w:line="240" w:lineRule="atLeast"/>
              <w:ind w:left="1080" w:leftChars="257" w:hanging="540"/>
              <w:rPr>
                <w:rFonts w:hint="eastAsia" w:ascii="宋体" w:hAnsi="宋体" w:eastAsia="宋体" w:cs="宋体"/>
                <w:color w:val="auto"/>
                <w:sz w:val="24"/>
                <w:szCs w:val="24"/>
                <w:highlight w:val="none"/>
              </w:rPr>
            </w:pPr>
          </w:p>
        </w:tc>
      </w:tr>
      <w:tr w14:paraId="57D8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4AE730">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10728EC">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C9557E4">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63BB1C">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F9E84BC">
            <w:pPr>
              <w:pStyle w:val="9"/>
              <w:spacing w:line="240" w:lineRule="atLeast"/>
              <w:ind w:left="1080" w:leftChars="257" w:hanging="540"/>
              <w:rPr>
                <w:rFonts w:hint="eastAsia" w:ascii="宋体" w:hAnsi="宋体" w:eastAsia="宋体" w:cs="宋体"/>
                <w:color w:val="auto"/>
                <w:sz w:val="24"/>
                <w:szCs w:val="24"/>
                <w:highlight w:val="none"/>
              </w:rPr>
            </w:pPr>
          </w:p>
        </w:tc>
      </w:tr>
      <w:tr w14:paraId="1719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0B7F8">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8F6A66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FACCAEE">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39EA94DA">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9F2E778">
            <w:pPr>
              <w:pStyle w:val="9"/>
              <w:spacing w:line="240" w:lineRule="atLeast"/>
              <w:ind w:left="1080" w:leftChars="257" w:hanging="540"/>
              <w:rPr>
                <w:rFonts w:hint="eastAsia" w:ascii="宋体" w:hAnsi="宋体" w:eastAsia="宋体" w:cs="宋体"/>
                <w:color w:val="auto"/>
                <w:sz w:val="24"/>
                <w:szCs w:val="24"/>
                <w:highlight w:val="none"/>
              </w:rPr>
            </w:pPr>
          </w:p>
        </w:tc>
      </w:tr>
      <w:tr w14:paraId="6DE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A647CE">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29F375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08FC3C0">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6BAAD81">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F81C2FE">
            <w:pPr>
              <w:pStyle w:val="9"/>
              <w:spacing w:line="240" w:lineRule="atLeast"/>
              <w:ind w:left="1080" w:leftChars="257" w:hanging="540"/>
              <w:rPr>
                <w:rFonts w:hint="eastAsia" w:ascii="宋体" w:hAnsi="宋体" w:eastAsia="宋体" w:cs="宋体"/>
                <w:color w:val="auto"/>
                <w:sz w:val="24"/>
                <w:szCs w:val="24"/>
                <w:highlight w:val="none"/>
              </w:rPr>
            </w:pPr>
          </w:p>
        </w:tc>
      </w:tr>
      <w:tr w14:paraId="021A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F1DF3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E345E89">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BE155FA">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C8E0137">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F8D7AE5">
            <w:pPr>
              <w:pStyle w:val="9"/>
              <w:spacing w:line="240" w:lineRule="atLeast"/>
              <w:ind w:left="1080" w:leftChars="257" w:hanging="540"/>
              <w:rPr>
                <w:rFonts w:hint="eastAsia" w:ascii="宋体" w:hAnsi="宋体" w:eastAsia="宋体" w:cs="宋体"/>
                <w:color w:val="auto"/>
                <w:sz w:val="24"/>
                <w:szCs w:val="24"/>
                <w:highlight w:val="none"/>
              </w:rPr>
            </w:pPr>
          </w:p>
        </w:tc>
      </w:tr>
      <w:tr w14:paraId="51E5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9B738C2">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70E50BF0">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626ECE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D478510">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3F54C23">
            <w:pPr>
              <w:pStyle w:val="9"/>
              <w:spacing w:line="240" w:lineRule="atLeast"/>
              <w:ind w:left="1080" w:leftChars="257" w:hanging="540"/>
              <w:rPr>
                <w:rFonts w:hint="eastAsia" w:ascii="宋体" w:hAnsi="宋体" w:eastAsia="宋体" w:cs="宋体"/>
                <w:color w:val="auto"/>
                <w:sz w:val="24"/>
                <w:szCs w:val="24"/>
                <w:highlight w:val="none"/>
              </w:rPr>
            </w:pPr>
          </w:p>
        </w:tc>
      </w:tr>
    </w:tbl>
    <w:p w14:paraId="259F7A40">
      <w:pPr>
        <w:pStyle w:val="9"/>
        <w:spacing w:line="240" w:lineRule="atLeast"/>
        <w:ind w:left="1080" w:leftChars="257" w:hanging="540"/>
        <w:rPr>
          <w:rFonts w:hint="eastAsia" w:ascii="宋体" w:hAnsi="宋体" w:eastAsia="宋体" w:cs="宋体"/>
          <w:color w:val="auto"/>
          <w:sz w:val="24"/>
          <w:szCs w:val="24"/>
          <w:highlight w:val="none"/>
        </w:rPr>
      </w:pPr>
    </w:p>
    <w:p w14:paraId="293AEE37">
      <w:pPr>
        <w:pStyle w:val="9"/>
        <w:spacing w:line="240" w:lineRule="atLeast"/>
        <w:rPr>
          <w:rFonts w:hint="eastAsia" w:ascii="宋体" w:hAnsi="宋体" w:eastAsia="宋体" w:cs="宋体"/>
          <w:color w:val="auto"/>
          <w:sz w:val="24"/>
          <w:szCs w:val="24"/>
          <w:highlight w:val="none"/>
        </w:rPr>
      </w:pPr>
    </w:p>
    <w:p w14:paraId="797170F3">
      <w:pPr>
        <w:pStyle w:val="9"/>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E32B3B4">
      <w:pPr>
        <w:pStyle w:val="9"/>
        <w:tabs>
          <w:tab w:val="left" w:pos="5370"/>
        </w:tabs>
        <w:spacing w:line="240" w:lineRule="atLeast"/>
        <w:rPr>
          <w:rFonts w:hint="eastAsia" w:ascii="宋体" w:hAnsi="宋体" w:eastAsia="宋体" w:cs="宋体"/>
          <w:color w:val="auto"/>
          <w:sz w:val="24"/>
          <w:szCs w:val="24"/>
          <w:highlight w:val="none"/>
        </w:rPr>
      </w:pPr>
    </w:p>
    <w:p w14:paraId="71D0EC00">
      <w:pPr>
        <w:pStyle w:val="9"/>
        <w:tabs>
          <w:tab w:val="left" w:pos="5370"/>
        </w:tabs>
        <w:spacing w:line="24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p>
    <w:p w14:paraId="5E4F63F9">
      <w:pPr>
        <w:pStyle w:val="9"/>
        <w:tabs>
          <w:tab w:val="left" w:pos="5370"/>
        </w:tabs>
        <w:spacing w:line="240" w:lineRule="atLeast"/>
        <w:rPr>
          <w:rFonts w:hint="eastAsia" w:ascii="宋体" w:hAnsi="宋体" w:eastAsia="宋体" w:cs="宋体"/>
          <w:color w:val="auto"/>
          <w:sz w:val="24"/>
          <w:szCs w:val="24"/>
          <w:highlight w:val="none"/>
          <w:u w:val="single"/>
        </w:rPr>
      </w:pPr>
    </w:p>
    <w:p w14:paraId="5FAA1476">
      <w:pPr>
        <w:pStyle w:val="9"/>
        <w:tabs>
          <w:tab w:val="left" w:pos="5370"/>
        </w:tabs>
        <w:spacing w:line="240" w:lineRule="atLeast"/>
        <w:rPr>
          <w:rFonts w:hint="eastAsia" w:ascii="宋体" w:hAnsi="宋体" w:eastAsia="宋体" w:cs="宋体"/>
          <w:color w:val="auto"/>
          <w:sz w:val="24"/>
          <w:szCs w:val="24"/>
          <w:highlight w:val="none"/>
          <w:u w:val="single"/>
        </w:rPr>
      </w:pPr>
    </w:p>
    <w:p w14:paraId="540A40FF">
      <w:pPr>
        <w:spacing w:line="540" w:lineRule="exact"/>
        <w:ind w:left="1080" w:leftChars="257" w:hanging="540"/>
        <w:jc w:val="center"/>
        <w:rPr>
          <w:rFonts w:hint="eastAsia" w:ascii="宋体" w:hAnsi="宋体" w:eastAsia="宋体" w:cs="宋体"/>
          <w:color w:val="auto"/>
          <w:sz w:val="28"/>
          <w:szCs w:val="28"/>
          <w:highlight w:val="none"/>
        </w:rPr>
      </w:pPr>
      <w:bookmarkStart w:id="409" w:name="_Toc25347"/>
      <w:bookmarkStart w:id="410" w:name="_Toc10725"/>
      <w:bookmarkStart w:id="411" w:name="_Toc21312"/>
      <w:bookmarkStart w:id="412" w:name="_Toc515647823"/>
    </w:p>
    <w:p w14:paraId="33D2AFD7">
      <w:pPr>
        <w:topLinePunct/>
        <w:spacing w:line="440" w:lineRule="exact"/>
        <w:jc w:val="center"/>
        <w:rPr>
          <w:rFonts w:hint="eastAsia" w:ascii="宋体" w:hAnsi="宋体" w:eastAsia="宋体" w:cs="宋体"/>
          <w:color w:val="auto"/>
          <w:sz w:val="28"/>
          <w:szCs w:val="28"/>
          <w:highlight w:val="none"/>
        </w:rPr>
      </w:pPr>
    </w:p>
    <w:bookmarkEnd w:id="409"/>
    <w:bookmarkEnd w:id="410"/>
    <w:bookmarkEnd w:id="411"/>
    <w:bookmarkEnd w:id="412"/>
    <w:p w14:paraId="651FF26E">
      <w:pPr>
        <w:pStyle w:val="4"/>
        <w:spacing w:before="0" w:line="240" w:lineRule="atLeast"/>
        <w:jc w:val="center"/>
        <w:outlineLvl w:val="2"/>
        <w:rPr>
          <w:rFonts w:hint="eastAsia" w:ascii="宋体" w:hAnsi="宋体" w:eastAsia="宋体" w:cs="宋体"/>
          <w:color w:val="auto"/>
          <w:sz w:val="28"/>
          <w:szCs w:val="28"/>
        </w:rPr>
      </w:pPr>
      <w:bookmarkStart w:id="413" w:name="_Toc24702"/>
      <w:bookmarkStart w:id="414" w:name="_Toc28912"/>
      <w:bookmarkStart w:id="415" w:name="_Toc1465"/>
      <w:bookmarkStart w:id="416" w:name="_Toc26206"/>
      <w:bookmarkStart w:id="417" w:name="_Toc3937"/>
      <w:bookmarkStart w:id="418" w:name="_Toc20652"/>
      <w:bookmarkStart w:id="419" w:name="_Toc30097"/>
      <w:bookmarkStart w:id="420" w:name="_Toc28099"/>
      <w:bookmarkStart w:id="421" w:name="_Toc10002"/>
      <w:bookmarkStart w:id="422" w:name="_Toc515647827"/>
      <w:bookmarkStart w:id="423" w:name="_Toc30795"/>
      <w:r>
        <w:rPr>
          <w:rFonts w:hint="eastAsia" w:ascii="宋体" w:hAnsi="宋体" w:eastAsia="宋体" w:cs="宋体"/>
          <w:color w:val="auto"/>
          <w:sz w:val="28"/>
          <w:szCs w:val="28"/>
          <w:u w:val="none"/>
        </w:rPr>
        <w:t>6-1</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投标人企业（单位）类型声明函</w:t>
      </w:r>
      <w:bookmarkEnd w:id="413"/>
      <w:bookmarkEnd w:id="414"/>
      <w:bookmarkEnd w:id="415"/>
      <w:bookmarkEnd w:id="416"/>
      <w:bookmarkEnd w:id="417"/>
      <w:bookmarkEnd w:id="418"/>
      <w:bookmarkEnd w:id="419"/>
    </w:p>
    <w:p w14:paraId="44791679">
      <w:pPr>
        <w:widowControl/>
        <w:spacing w:before="100" w:beforeAutospacing="1" w:after="100" w:afterAutospacing="1" w:line="330" w:lineRule="atLeas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本企业（单位）郑重声明下列事项（按照实际情况勾选或填空）：</w:t>
      </w:r>
    </w:p>
    <w:p w14:paraId="6CDB389B">
      <w:pPr>
        <w:widowControl/>
        <w:spacing w:before="100" w:beforeAutospacing="1" w:after="100" w:afterAutospacing="1" w:line="330" w:lineRule="atLeast"/>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1、□本企业（单位）为直接投标人提供本企业（单位）制造的货物。</w:t>
      </w:r>
    </w:p>
    <w:p w14:paraId="6B24D816">
      <w:pPr>
        <w:widowControl/>
        <w:numPr>
          <w:ilvl w:val="0"/>
          <w:numId w:val="3"/>
        </w:numPr>
        <w:spacing w:before="100" w:beforeAutospacing="1" w:after="100" w:afterAutospacing="1" w:line="330" w:lineRule="atLeast"/>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根据《工业和信息化部、国家统计局、国家发展和改革委员会、财政部关于印发中小企业划型标准规定的通知》（工信部联企业[2011]300号）规定的划分标准，本企业为______（请填写：中型、小型、微型）企业。</w:t>
      </w:r>
    </w:p>
    <w:p w14:paraId="6E942DE0">
      <w:pPr>
        <w:widowControl/>
        <w:spacing w:before="100" w:beforeAutospacing="1" w:after="100" w:afterAutospacing="1" w:line="330" w:lineRule="atLeast"/>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（2）根据《关于促进残疾人就业政府采购政策的通知》（财库〔2017〕141号）。本单位</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（请填写：是、不是）残疾人福利性单位。</w:t>
      </w:r>
    </w:p>
    <w:p w14:paraId="4B09338C">
      <w:pPr>
        <w:widowControl/>
        <w:spacing w:before="100" w:beforeAutospacing="1" w:after="100" w:afterAutospacing="1" w:line="330" w:lineRule="atLeast"/>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2、□本企业（单位）为代理商，提供其他______（请填写：中型、小型、微型）企业、残疾人福利性单位制造的货物。本条所称货物不包括使用大型企业注册商标的货物。（后附制造商企业（单位）类型声明函</w:t>
      </w:r>
      <w:r>
        <w:rPr>
          <w:rFonts w:hint="eastAsia" w:ascii="宋体" w:hAnsi="宋体" w:eastAsia="宋体" w:cs="宋体"/>
          <w:color w:val="auto"/>
          <w:kern w:val="0"/>
          <w:sz w:val="28"/>
          <w:szCs w:val="28"/>
          <w:lang w:eastAsia="zh-CN"/>
        </w:rPr>
        <w:t>、制造商授权书</w:t>
      </w:r>
      <w:r>
        <w:rPr>
          <w:rFonts w:hint="eastAsia" w:ascii="宋体" w:hAnsi="宋体" w:eastAsia="宋体" w:cs="宋体"/>
          <w:color w:val="auto"/>
          <w:kern w:val="0"/>
          <w:sz w:val="28"/>
          <w:szCs w:val="28"/>
        </w:rPr>
        <w:t>）</w:t>
      </w:r>
    </w:p>
    <w:p w14:paraId="1B19360B">
      <w:pPr>
        <w:widowControl/>
        <w:spacing w:before="100" w:beforeAutospacing="1" w:after="100" w:afterAutospacing="1" w:line="330" w:lineRule="atLeast"/>
        <w:ind w:firstLine="42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3、□本企业（单位）为联合体一方，提供本企业（单位）制造的货物，由本企业（单位）承担工程、提供服务。本企业（单位）提供协议合同金额占到共同投标协议合同总金额的比例为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14:paraId="42D1D892">
      <w:pPr>
        <w:widowControl/>
        <w:spacing w:before="100" w:beforeAutospacing="1" w:after="100" w:afterAutospacing="1" w:line="330" w:lineRule="atLeas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本企业（单位）对上述声明的真实性负责。如有虚假，将依法承担相应责任。</w:t>
      </w:r>
    </w:p>
    <w:p w14:paraId="22BC9B95">
      <w:pPr>
        <w:widowControl/>
        <w:spacing w:before="100" w:beforeAutospacing="1" w:after="100" w:afterAutospacing="1" w:line="330" w:lineRule="atLeast"/>
        <w:ind w:firstLine="4760" w:firstLineChars="17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投标人名称（盖单位章）：_______</w:t>
      </w:r>
    </w:p>
    <w:p w14:paraId="04861BEB">
      <w:pPr>
        <w:ind w:firstLine="4760" w:firstLineChars="1700"/>
        <w:rPr>
          <w:rFonts w:hint="eastAsia" w:ascii="宋体" w:hAnsi="宋体" w:eastAsia="宋体" w:cs="宋体"/>
          <w:color w:val="auto"/>
          <w:sz w:val="28"/>
          <w:szCs w:val="28"/>
        </w:rPr>
      </w:pPr>
      <w:r>
        <w:rPr>
          <w:rFonts w:hint="eastAsia" w:ascii="宋体" w:hAnsi="宋体" w:eastAsia="宋体" w:cs="宋体"/>
          <w:color w:val="auto"/>
          <w:kern w:val="0"/>
          <w:sz w:val="28"/>
          <w:szCs w:val="28"/>
        </w:rPr>
        <w:t xml:space="preserve">日　期：____________    </w:t>
      </w:r>
    </w:p>
    <w:p w14:paraId="3ADEA066">
      <w:pPr>
        <w:snapToGrid w:val="0"/>
        <w:spacing w:line="360" w:lineRule="auto"/>
        <w:ind w:firstLine="560" w:firstLineChars="200"/>
        <w:textAlignment w:val="baseline"/>
        <w:rPr>
          <w:rFonts w:hint="eastAsia" w:ascii="宋体" w:hAnsi="宋体" w:eastAsia="宋体" w:cs="宋体"/>
          <w:color w:val="auto"/>
          <w:kern w:val="0"/>
          <w:sz w:val="28"/>
          <w:szCs w:val="28"/>
        </w:rPr>
      </w:pPr>
    </w:p>
    <w:p w14:paraId="671D6030">
      <w:pPr>
        <w:snapToGrid w:val="0"/>
        <w:spacing w:line="360" w:lineRule="auto"/>
        <w:ind w:firstLine="560" w:firstLineChars="200"/>
        <w:textAlignment w:val="baseline"/>
        <w:rPr>
          <w:rFonts w:hint="eastAsia" w:ascii="宋体" w:hAnsi="宋体" w:eastAsia="宋体" w:cs="宋体"/>
          <w:color w:val="auto"/>
          <w:kern w:val="0"/>
          <w:sz w:val="28"/>
          <w:szCs w:val="28"/>
        </w:rPr>
      </w:pPr>
    </w:p>
    <w:p w14:paraId="2024D904">
      <w:pPr>
        <w:snapToGrid w:val="0"/>
        <w:spacing w:line="360" w:lineRule="auto"/>
        <w:ind w:firstLine="560" w:firstLineChars="200"/>
        <w:textAlignment w:val="baseline"/>
        <w:rPr>
          <w:rFonts w:hint="eastAsia" w:ascii="宋体" w:hAnsi="宋体" w:eastAsia="宋体" w:cs="宋体"/>
          <w:color w:val="auto"/>
          <w:kern w:val="0"/>
          <w:sz w:val="28"/>
          <w:szCs w:val="28"/>
        </w:rPr>
      </w:pPr>
    </w:p>
    <w:p w14:paraId="209D55BF">
      <w:pPr>
        <w:pStyle w:val="3"/>
        <w:rPr>
          <w:rFonts w:hint="eastAsia" w:ascii="宋体" w:hAnsi="宋体" w:eastAsia="宋体" w:cs="宋体"/>
          <w:color w:val="auto"/>
          <w:kern w:val="0"/>
          <w:sz w:val="28"/>
          <w:szCs w:val="28"/>
        </w:rPr>
      </w:pPr>
    </w:p>
    <w:p w14:paraId="37EE0A05">
      <w:pPr>
        <w:rPr>
          <w:rFonts w:hint="eastAsia"/>
        </w:rPr>
      </w:pPr>
    </w:p>
    <w:p w14:paraId="065876CF">
      <w:pPr>
        <w:spacing w:line="240" w:lineRule="atLeast"/>
        <w:ind w:left="1080" w:leftChars="257" w:hanging="540"/>
        <w:jc w:val="center"/>
        <w:rPr>
          <w:rFonts w:hint="eastAsia" w:ascii="仿宋" w:hAnsi="仿宋" w:eastAsia="仿宋" w:cs="仿宋"/>
          <w:b/>
          <w:color w:val="auto"/>
          <w:kern w:val="0"/>
          <w:sz w:val="28"/>
          <w:szCs w:val="28"/>
          <w:lang w:val="en-US" w:eastAsia="zh-CN" w:bidi="ar-SA"/>
        </w:rPr>
      </w:pPr>
      <w:bookmarkStart w:id="424" w:name="_Toc10977"/>
      <w:bookmarkStart w:id="425" w:name="_Toc27274"/>
      <w:bookmarkStart w:id="426" w:name="_Toc11803"/>
      <w:bookmarkStart w:id="427" w:name="_Toc13776"/>
      <w:bookmarkStart w:id="428" w:name="_Toc515647824"/>
    </w:p>
    <w:p w14:paraId="7231948D">
      <w:pPr>
        <w:pStyle w:val="4"/>
        <w:spacing w:before="0" w:line="240" w:lineRule="atLeast"/>
        <w:jc w:val="center"/>
        <w:outlineLvl w:val="2"/>
        <w:rPr>
          <w:rFonts w:hint="eastAsia" w:ascii="宋体" w:hAnsi="宋体" w:eastAsia="宋体" w:cs="宋体"/>
          <w:b w:val="0"/>
          <w:bCs/>
          <w:color w:val="000000"/>
          <w:sz w:val="24"/>
          <w:szCs w:val="24"/>
          <w:highlight w:val="none"/>
          <w:u w:val="none"/>
        </w:rPr>
      </w:pPr>
      <w:bookmarkStart w:id="429" w:name="_Toc31679"/>
      <w:r>
        <w:rPr>
          <w:rFonts w:hint="eastAsia" w:ascii="宋体" w:hAnsi="宋体" w:eastAsia="宋体" w:cs="宋体"/>
          <w:b/>
          <w:color w:val="auto"/>
          <w:kern w:val="0"/>
          <w:sz w:val="28"/>
          <w:szCs w:val="28"/>
          <w:u w:val="none"/>
          <w:lang w:val="en-US" w:eastAsia="zh-CN" w:bidi="ar-SA"/>
        </w:rPr>
        <w:t xml:space="preserve">6-2 </w:t>
      </w:r>
      <w:bookmarkEnd w:id="424"/>
      <w:bookmarkEnd w:id="425"/>
      <w:bookmarkEnd w:id="426"/>
      <w:bookmarkEnd w:id="427"/>
      <w:bookmarkEnd w:id="428"/>
      <w:r>
        <w:rPr>
          <w:rFonts w:hint="eastAsia" w:ascii="宋体" w:hAnsi="宋体" w:eastAsia="宋体" w:cs="宋体"/>
          <w:b/>
          <w:color w:val="auto"/>
          <w:kern w:val="0"/>
          <w:sz w:val="28"/>
          <w:szCs w:val="28"/>
          <w:u w:val="none"/>
          <w:lang w:val="en-US" w:eastAsia="zh-CN" w:bidi="ar-SA"/>
        </w:rPr>
        <w:t xml:space="preserve"> </w:t>
      </w:r>
      <w:bookmarkStart w:id="430" w:name="_Toc3519"/>
      <w:r>
        <w:rPr>
          <w:rFonts w:hint="eastAsia" w:ascii="宋体" w:hAnsi="宋体" w:eastAsia="宋体" w:cs="宋体"/>
          <w:b/>
          <w:color w:val="auto"/>
          <w:kern w:val="0"/>
          <w:sz w:val="28"/>
          <w:szCs w:val="28"/>
          <w:u w:val="none"/>
          <w:lang w:val="en-US" w:eastAsia="zh-CN" w:bidi="ar-SA"/>
        </w:rPr>
        <w:t>中小企业声明函（货物）</w:t>
      </w:r>
      <w:bookmarkEnd w:id="429"/>
      <w:bookmarkEnd w:id="430"/>
    </w:p>
    <w:p w14:paraId="32660B5F">
      <w:pPr>
        <w:keepNext w:val="0"/>
        <w:keepLines w:val="0"/>
        <w:widowControl/>
        <w:suppressLineNumbers w:val="0"/>
        <w:spacing w:before="100" w:beforeAutospacing="1" w:after="100" w:afterAutospacing="1" w:line="348" w:lineRule="atLeast"/>
        <w:ind w:left="0" w:right="0"/>
        <w:jc w:val="center"/>
        <w:rPr>
          <w:rFonts w:hint="eastAsia" w:ascii="宋体" w:hAnsi="宋体" w:eastAsia="宋体" w:cs="宋体"/>
          <w:b/>
          <w:bCs/>
          <w:sz w:val="28"/>
          <w:szCs w:val="28"/>
        </w:rPr>
      </w:pPr>
    </w:p>
    <w:p w14:paraId="568284C0">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本公司（联合体）郑重声明，根据《政府采购促进中小企业发展管理办法》（财库﹝202</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eastAsia="zh-CN"/>
        </w:rPr>
        <w:t>﹞6号）的规定，本公司（联合体）参加</w:t>
      </w:r>
      <w:r>
        <w:rPr>
          <w:rFonts w:hint="eastAsia" w:ascii="宋体" w:hAnsi="宋体" w:eastAsia="宋体" w:cs="宋体"/>
          <w:kern w:val="0"/>
          <w:sz w:val="28"/>
          <w:szCs w:val="28"/>
          <w:u w:val="single"/>
          <w:lang w:val="en-US" w:eastAsia="zh-CN"/>
        </w:rPr>
        <w:t xml:space="preserve"> （单位名称） </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u w:val="single"/>
          <w:lang w:val="en-US" w:eastAsia="zh-CN"/>
        </w:rPr>
        <w:t xml:space="preserve"> （项目名称） </w:t>
      </w:r>
      <w:r>
        <w:rPr>
          <w:rFonts w:hint="eastAsia" w:ascii="宋体" w:hAnsi="宋体" w:eastAsia="宋体" w:cs="宋体"/>
          <w:kern w:val="0"/>
          <w:sz w:val="28"/>
          <w:szCs w:val="28"/>
          <w:lang w:val="en-US" w:eastAsia="zh-CN"/>
        </w:rPr>
        <w:t>采购活动，提供的货物全部由符合政策要求的中小企业制造。相关企业（含联合体中的中小企业、签订分包意向协议的中小企业）的具体情况如下：</w:t>
      </w:r>
    </w:p>
    <w:p w14:paraId="267D35E9">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u w:val="single"/>
          <w:lang w:val="en-US" w:eastAsia="zh-CN"/>
        </w:rPr>
        <w:t>（标的名称）</w:t>
      </w:r>
      <w:r>
        <w:rPr>
          <w:rFonts w:hint="eastAsia" w:ascii="宋体" w:hAnsi="宋体" w:eastAsia="宋体" w:cs="宋体"/>
          <w:kern w:val="0"/>
          <w:sz w:val="28"/>
          <w:szCs w:val="28"/>
          <w:lang w:val="en-US" w:eastAsia="zh-CN"/>
        </w:rPr>
        <w:t>，属于</w:t>
      </w:r>
      <w:r>
        <w:rPr>
          <w:rFonts w:hint="eastAsia" w:ascii="宋体" w:hAnsi="宋体" w:eastAsia="宋体" w:cs="宋体"/>
          <w:kern w:val="0"/>
          <w:sz w:val="28"/>
          <w:szCs w:val="28"/>
          <w:u w:val="single"/>
          <w:lang w:val="en-US" w:eastAsia="zh-CN"/>
        </w:rPr>
        <w:t>（采购文件中明确的所属行业）</w:t>
      </w:r>
      <w:r>
        <w:rPr>
          <w:rFonts w:hint="eastAsia" w:ascii="宋体" w:hAnsi="宋体" w:eastAsia="宋体" w:cs="宋体"/>
          <w:kern w:val="0"/>
          <w:sz w:val="28"/>
          <w:szCs w:val="28"/>
          <w:lang w:val="en-US" w:eastAsia="zh-CN"/>
        </w:rPr>
        <w:t>行业；制造商为</w:t>
      </w:r>
      <w:r>
        <w:rPr>
          <w:rFonts w:hint="eastAsia" w:ascii="宋体" w:hAnsi="宋体" w:eastAsia="宋体" w:cs="宋体"/>
          <w:kern w:val="0"/>
          <w:sz w:val="28"/>
          <w:szCs w:val="28"/>
          <w:u w:val="single"/>
          <w:lang w:val="en-US" w:eastAsia="zh-CN"/>
        </w:rPr>
        <w:t> （企业名称）</w:t>
      </w:r>
      <w:r>
        <w:rPr>
          <w:rFonts w:hint="eastAsia" w:ascii="宋体" w:hAnsi="宋体" w:eastAsia="宋体" w:cs="宋体"/>
          <w:kern w:val="0"/>
          <w:sz w:val="28"/>
          <w:szCs w:val="28"/>
          <w:lang w:val="en-US" w:eastAsia="zh-CN"/>
        </w:rPr>
        <w:t>，从业人员</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人，营业收入为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万元，资产总额为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万元，属于</w:t>
      </w:r>
      <w:r>
        <w:rPr>
          <w:rFonts w:hint="eastAsia" w:ascii="宋体" w:hAnsi="宋体" w:eastAsia="宋体" w:cs="宋体"/>
          <w:kern w:val="0"/>
          <w:sz w:val="28"/>
          <w:szCs w:val="28"/>
          <w:u w:val="single"/>
          <w:lang w:val="en-US" w:eastAsia="zh-CN"/>
        </w:rPr>
        <w:t>（中型企业、小型企业、微型企业）</w:t>
      </w:r>
      <w:r>
        <w:rPr>
          <w:rFonts w:hint="eastAsia" w:ascii="宋体" w:hAnsi="宋体" w:eastAsia="宋体" w:cs="宋体"/>
          <w:kern w:val="0"/>
          <w:sz w:val="28"/>
          <w:szCs w:val="28"/>
          <w:lang w:val="en-US" w:eastAsia="zh-CN"/>
        </w:rPr>
        <w:t>；</w:t>
      </w:r>
    </w:p>
    <w:p w14:paraId="55BCD715">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u w:val="single"/>
          <w:lang w:val="en-US" w:eastAsia="zh-CN"/>
        </w:rPr>
        <w:t>（标的名称）</w:t>
      </w:r>
      <w:r>
        <w:rPr>
          <w:rFonts w:hint="eastAsia" w:ascii="宋体" w:hAnsi="宋体" w:eastAsia="宋体" w:cs="宋体"/>
          <w:kern w:val="0"/>
          <w:sz w:val="28"/>
          <w:szCs w:val="28"/>
          <w:lang w:val="en-US" w:eastAsia="zh-CN"/>
        </w:rPr>
        <w:t>，属于</w:t>
      </w:r>
      <w:r>
        <w:rPr>
          <w:rFonts w:hint="eastAsia" w:ascii="宋体" w:hAnsi="宋体" w:eastAsia="宋体" w:cs="宋体"/>
          <w:kern w:val="0"/>
          <w:sz w:val="28"/>
          <w:szCs w:val="28"/>
          <w:u w:val="single"/>
          <w:lang w:val="en-US" w:eastAsia="zh-CN"/>
        </w:rPr>
        <w:t>（采购文件中明确的所属行业）</w:t>
      </w:r>
      <w:r>
        <w:rPr>
          <w:rFonts w:hint="eastAsia" w:ascii="宋体" w:hAnsi="宋体" w:eastAsia="宋体" w:cs="宋体"/>
          <w:kern w:val="0"/>
          <w:sz w:val="28"/>
          <w:szCs w:val="28"/>
          <w:lang w:val="en-US" w:eastAsia="zh-CN"/>
        </w:rPr>
        <w:t>行业；制造商为</w:t>
      </w:r>
      <w:r>
        <w:rPr>
          <w:rFonts w:hint="eastAsia" w:ascii="宋体" w:hAnsi="宋体" w:eastAsia="宋体" w:cs="宋体"/>
          <w:kern w:val="0"/>
          <w:sz w:val="28"/>
          <w:szCs w:val="28"/>
          <w:u w:val="single"/>
          <w:lang w:val="en-US" w:eastAsia="zh-CN"/>
        </w:rPr>
        <w:t>（企业名称）</w:t>
      </w:r>
      <w:r>
        <w:rPr>
          <w:rFonts w:hint="eastAsia" w:ascii="宋体" w:hAnsi="宋体" w:eastAsia="宋体" w:cs="宋体"/>
          <w:kern w:val="0"/>
          <w:sz w:val="28"/>
          <w:szCs w:val="28"/>
          <w:lang w:val="en-US" w:eastAsia="zh-CN"/>
        </w:rPr>
        <w:t>，从业人员</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人，营业收入为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万元，资产总额为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万元，属于</w:t>
      </w:r>
      <w:r>
        <w:rPr>
          <w:rFonts w:hint="eastAsia" w:ascii="宋体" w:hAnsi="宋体" w:eastAsia="宋体" w:cs="宋体"/>
          <w:kern w:val="0"/>
          <w:sz w:val="28"/>
          <w:szCs w:val="28"/>
          <w:u w:val="single"/>
          <w:lang w:val="en-US" w:eastAsia="zh-CN"/>
        </w:rPr>
        <w:t>（中型企业、小型企业、微型企业）</w:t>
      </w:r>
      <w:r>
        <w:rPr>
          <w:rFonts w:hint="eastAsia" w:ascii="宋体" w:hAnsi="宋体" w:eastAsia="宋体" w:cs="宋体"/>
          <w:kern w:val="0"/>
          <w:sz w:val="28"/>
          <w:szCs w:val="28"/>
          <w:lang w:val="en-US" w:eastAsia="zh-CN"/>
        </w:rPr>
        <w:t>；</w:t>
      </w:r>
    </w:p>
    <w:p w14:paraId="35B650B0">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w:t>
      </w:r>
    </w:p>
    <w:p w14:paraId="7FEDC1D2">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以上企业，不属于大企业的分支机构，不存在控股股东为大企业的情形，也不存在与大企业的负责人为同一人的情形。</w:t>
      </w:r>
    </w:p>
    <w:p w14:paraId="3380F76A">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本企业对上述声明内容的真实性负责。如有虚假，将依法承担相应责任。</w:t>
      </w:r>
    </w:p>
    <w:p w14:paraId="66B8D277">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  </w:t>
      </w:r>
    </w:p>
    <w:p w14:paraId="1F9D3EDC">
      <w:pPr>
        <w:keepNext w:val="0"/>
        <w:keepLines w:val="0"/>
        <w:widowControl/>
        <w:suppressLineNumbers w:val="0"/>
        <w:spacing w:before="100" w:beforeAutospacing="1" w:after="100" w:afterAutospacing="1" w:line="348" w:lineRule="atLeast"/>
        <w:ind w:left="0" w:right="0" w:firstLine="422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企业名称（盖章）：</w:t>
      </w:r>
    </w:p>
    <w:p w14:paraId="5B0F1C71">
      <w:pPr>
        <w:keepNext w:val="0"/>
        <w:keepLines w:val="0"/>
        <w:widowControl/>
        <w:suppressLineNumbers w:val="0"/>
        <w:spacing w:before="100" w:beforeAutospacing="1" w:after="100" w:afterAutospacing="1" w:line="348"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 </w:t>
      </w:r>
    </w:p>
    <w:p w14:paraId="44809D06">
      <w:pPr>
        <w:keepNext w:val="0"/>
        <w:keepLines w:val="0"/>
        <w:widowControl/>
        <w:suppressLineNumbers w:val="0"/>
        <w:spacing w:before="100" w:beforeAutospacing="1" w:after="100" w:afterAutospacing="1" w:line="348" w:lineRule="atLeast"/>
        <w:ind w:left="0" w:right="0" w:firstLine="4224"/>
        <w:jc w:val="left"/>
        <w:rPr>
          <w:rFonts w:hint="eastAsia" w:ascii="宋体" w:hAnsi="宋体" w:eastAsia="宋体" w:cs="宋体"/>
          <w:kern w:val="0"/>
          <w:sz w:val="24"/>
          <w:szCs w:val="24"/>
          <w:lang w:val="en-US" w:eastAsia="zh-CN"/>
        </w:rPr>
      </w:pPr>
      <w:r>
        <w:rPr>
          <w:rFonts w:hint="eastAsia" w:ascii="宋体" w:hAnsi="宋体" w:eastAsia="宋体" w:cs="宋体"/>
          <w:kern w:val="0"/>
          <w:sz w:val="28"/>
          <w:szCs w:val="28"/>
          <w:lang w:val="en-US" w:eastAsia="zh-CN"/>
        </w:rPr>
        <w:t>日 期：</w:t>
      </w:r>
    </w:p>
    <w:p w14:paraId="6CAAE1FE">
      <w:pPr>
        <w:snapToGrid w:val="0"/>
        <w:spacing w:line="360" w:lineRule="auto"/>
        <w:ind w:firstLine="567"/>
        <w:jc w:val="left"/>
        <w:textAlignment w:val="baseline"/>
        <w:outlineLvl w:val="2"/>
        <w:rPr>
          <w:rFonts w:hint="eastAsia" w:ascii="宋体" w:hAnsi="宋体" w:eastAsia="宋体" w:cs="宋体"/>
          <w:kern w:val="0"/>
          <w:sz w:val="24"/>
          <w:szCs w:val="24"/>
          <w:lang w:val="en-US" w:eastAsia="zh-CN"/>
        </w:rPr>
      </w:pPr>
      <w:bookmarkStart w:id="431" w:name="_Toc7762"/>
      <w:r>
        <w:rPr>
          <w:rFonts w:hint="eastAsia" w:ascii="宋体" w:hAnsi="宋体" w:eastAsia="宋体" w:cs="宋体"/>
          <w:kern w:val="0"/>
          <w:sz w:val="24"/>
          <w:szCs w:val="24"/>
          <w:lang w:val="en-US" w:eastAsia="zh-CN"/>
        </w:rPr>
        <w:t>注：从业人员、营业收入、资产总额填报上一年度数据，无上一年度数据的新成立企业可不填报。新成立企业应参照国务院批准的中小企业划分标准，根据企业自身情况如实判断。认为本企业属于中小企业的，可按照《办法，财库〔202</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〕6号》的规定出具《中小企业声明函》，享受相关扶持政策。</w:t>
      </w:r>
      <w:bookmarkEnd w:id="431"/>
    </w:p>
    <w:p w14:paraId="5A6A439A">
      <w:pPr>
        <w:snapToGrid w:val="0"/>
        <w:spacing w:line="360" w:lineRule="auto"/>
        <w:ind w:firstLine="567"/>
        <w:jc w:val="left"/>
        <w:textAlignment w:val="baseline"/>
        <w:outlineLvl w:val="2"/>
        <w:rPr>
          <w:rFonts w:hint="eastAsia" w:ascii="宋体" w:hAnsi="宋体" w:eastAsia="宋体" w:cs="宋体"/>
          <w:kern w:val="0"/>
          <w:sz w:val="24"/>
          <w:szCs w:val="24"/>
          <w:lang w:val="en-US" w:eastAsia="zh-CN"/>
        </w:rPr>
      </w:pPr>
    </w:p>
    <w:p w14:paraId="3F66240D">
      <w:pPr>
        <w:spacing w:line="440" w:lineRule="exact"/>
        <w:jc w:val="center"/>
        <w:outlineLvl w:val="1"/>
        <w:rPr>
          <w:rFonts w:hint="eastAsia" w:ascii="仿宋" w:hAnsi="仿宋" w:eastAsia="仿宋" w:cs="仿宋"/>
          <w:b/>
          <w:color w:val="auto"/>
          <w:sz w:val="32"/>
          <w:szCs w:val="32"/>
          <w:lang w:val="en-US"/>
        </w:rPr>
      </w:pPr>
      <w:bookmarkStart w:id="432" w:name="_Toc26885"/>
      <w:r>
        <w:rPr>
          <w:rFonts w:hint="eastAsia" w:ascii="仿宋" w:hAnsi="仿宋" w:eastAsia="仿宋" w:cs="仿宋"/>
          <w:b/>
          <w:color w:val="auto"/>
          <w:sz w:val="32"/>
          <w:szCs w:val="32"/>
          <w:lang w:val="en-US"/>
        </w:rPr>
        <w:t>中小企业划分标准</w:t>
      </w:r>
    </w:p>
    <w:p w14:paraId="70F8402F">
      <w:pPr>
        <w:spacing w:line="440" w:lineRule="exact"/>
        <w:jc w:val="center"/>
        <w:outlineLvl w:val="1"/>
        <w:rPr>
          <w:rFonts w:hint="eastAsia" w:ascii="仿宋" w:hAnsi="仿宋" w:eastAsia="仿宋" w:cs="仿宋"/>
          <w:b/>
          <w:color w:val="auto"/>
          <w:sz w:val="32"/>
          <w:szCs w:val="32"/>
          <w:lang w:val="en-US" w:eastAsia="zh-CN"/>
        </w:rPr>
      </w:pPr>
      <w:bookmarkStart w:id="433" w:name="bookmark4"/>
      <w:bookmarkStart w:id="434" w:name="bookmark5"/>
    </w:p>
    <w:p w14:paraId="58A7350D">
      <w:pPr>
        <w:spacing w:line="440" w:lineRule="exact"/>
        <w:jc w:val="left"/>
        <w:outlineLvl w:val="9"/>
        <w:rPr>
          <w:rFonts w:hint="eastAsia" w:ascii="仿宋" w:hAnsi="仿宋" w:eastAsia="仿宋" w:cs="仿宋"/>
          <w:b/>
          <w:color w:val="auto"/>
          <w:sz w:val="32"/>
          <w:szCs w:val="32"/>
        </w:rPr>
      </w:pPr>
      <w:r>
        <w:rPr>
          <w:rFonts w:hint="eastAsia" w:ascii="仿宋" w:hAnsi="仿宋" w:eastAsia="仿宋" w:cs="仿宋"/>
          <w:b/>
          <w:bCs w:val="0"/>
          <w:color w:val="auto"/>
          <w:sz w:val="24"/>
          <w:szCs w:val="24"/>
          <w:lang w:val="en-US" w:eastAsia="zh-CN"/>
        </w:rPr>
        <w:t>工业和信息化部、国家统计局、发展改革委、财政部等四部门《关于印发中小企业划型标准规定的通知》（工信部联企业〔2011〕300号）规定中小企业划型标准如表所示：</w:t>
      </w:r>
      <w:bookmarkEnd w:id="433"/>
      <w:bookmarkEnd w:id="434"/>
    </w:p>
    <w:tbl>
      <w:tblPr>
        <w:tblStyle w:val="19"/>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1"/>
        <w:gridCol w:w="1610"/>
        <w:gridCol w:w="6158"/>
      </w:tblGrid>
      <w:tr w14:paraId="54E3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45156">
            <w:pPr>
              <w:keepNext w:val="0"/>
              <w:keepLines w:val="0"/>
              <w:widowControl/>
              <w:suppressLineNumbers w:val="0"/>
              <w:jc w:val="both"/>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农、林、牧、渔业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05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营业收入20000万元以下的为中小微型企业。</w:t>
            </w:r>
          </w:p>
        </w:tc>
      </w:tr>
      <w:tr w14:paraId="5034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C371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C32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F28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500万元-20000万元</w:t>
            </w:r>
          </w:p>
        </w:tc>
      </w:tr>
      <w:tr w14:paraId="2380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00CC4">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99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1AF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50万元-500万元</w:t>
            </w:r>
          </w:p>
        </w:tc>
      </w:tr>
      <w:tr w14:paraId="4F8A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953C1">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EFE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F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50万元以下</w:t>
            </w:r>
          </w:p>
        </w:tc>
      </w:tr>
      <w:tr w14:paraId="74A4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8CC6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工业（包括采矿业，制造 业，电力、热力、燃 气及水生产和供应</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CB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40000万元以下的为中小微型企业。</w:t>
            </w:r>
          </w:p>
        </w:tc>
      </w:tr>
      <w:tr w14:paraId="3CE2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3C90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业）</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79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CB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2000万元一40000万元</w:t>
            </w:r>
          </w:p>
        </w:tc>
      </w:tr>
      <w:tr w14:paraId="5752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417E">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B28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33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300万元一2000万元</w:t>
            </w:r>
          </w:p>
        </w:tc>
      </w:tr>
      <w:tr w14:paraId="5A63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9A7F">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8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4E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300万元以下</w:t>
            </w:r>
          </w:p>
        </w:tc>
      </w:tr>
      <w:tr w14:paraId="761D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5166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A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营业收入80000万元以下或资产总额 80000万元以下的为中小微型企业。</w:t>
            </w:r>
          </w:p>
        </w:tc>
      </w:tr>
      <w:tr w14:paraId="1F08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49DA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13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02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营业收入6000万元一80000万元，且资产总额 5000万元一80000 万元</w:t>
            </w:r>
          </w:p>
        </w:tc>
      </w:tr>
      <w:tr w14:paraId="5846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3845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C5B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D85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 300万元一6000万元，且资产总额 300万一5000万元</w:t>
            </w:r>
          </w:p>
        </w:tc>
      </w:tr>
      <w:tr w14:paraId="5CC5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655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D0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EA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营业收入300万元以下或资产总额 300万元以下</w:t>
            </w:r>
          </w:p>
        </w:tc>
      </w:tr>
      <w:tr w14:paraId="49C9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07F1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A6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 40000万元以下的为中小微型企业。</w:t>
            </w:r>
          </w:p>
        </w:tc>
      </w:tr>
      <w:tr w14:paraId="0725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AF2D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1C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44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从业人员20人一200人，且营业收入 5000万元一40000万元</w:t>
            </w:r>
          </w:p>
        </w:tc>
      </w:tr>
      <w:tr w14:paraId="5139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C79F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3D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4C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从业人员5人一20人，且营业收入 1000万元一5000万元</w:t>
            </w:r>
          </w:p>
        </w:tc>
      </w:tr>
      <w:tr w14:paraId="0294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134D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3B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A7D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从业人员5人以下或营业收入 1000万元以下</w:t>
            </w:r>
          </w:p>
        </w:tc>
      </w:tr>
      <w:tr w14:paraId="669A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290E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5F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20000万元以下的为中小微型企业。</w:t>
            </w:r>
          </w:p>
        </w:tc>
      </w:tr>
      <w:tr w14:paraId="34F7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B40B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6A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0F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50人一300人，且营业收入 500万元一20000万元</w:t>
            </w:r>
          </w:p>
        </w:tc>
      </w:tr>
      <w:tr w14:paraId="6168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C406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3E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E2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从业人员10人一50人，且营业收入 100万元一500万元</w:t>
            </w:r>
          </w:p>
        </w:tc>
      </w:tr>
      <w:tr w14:paraId="3FB7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D15F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2E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FC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74C7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2F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交通运输业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34D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30000万元以下的为中小微型企业。</w:t>
            </w:r>
          </w:p>
        </w:tc>
      </w:tr>
      <w:tr w14:paraId="0DDA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45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（不含铁路运输业）</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14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11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3 000万元一30000万元</w:t>
            </w:r>
          </w:p>
        </w:tc>
      </w:tr>
      <w:tr w14:paraId="56F3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A139">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2F6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3A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200万元一3000万元</w:t>
            </w:r>
          </w:p>
        </w:tc>
      </w:tr>
      <w:tr w14:paraId="2ACD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0A2B">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D6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E2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200万元以下</w:t>
            </w:r>
          </w:p>
        </w:tc>
      </w:tr>
      <w:tr w14:paraId="4AEC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9D87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仓储业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7A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 30000万元以下的为中小微型企业。</w:t>
            </w:r>
          </w:p>
        </w:tc>
      </w:tr>
      <w:tr w14:paraId="4A58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00DA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E3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A8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从业人员100人一200人，且营业收入 1000万元一30000万元</w:t>
            </w:r>
          </w:p>
        </w:tc>
      </w:tr>
      <w:tr w14:paraId="1148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0B4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11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CA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从业人员20人一100人，且营业收入 100万元一1000万元</w:t>
            </w:r>
          </w:p>
        </w:tc>
      </w:tr>
      <w:tr w14:paraId="0F09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DE4B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ED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6E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100万元以下</w:t>
            </w:r>
          </w:p>
        </w:tc>
      </w:tr>
      <w:tr w14:paraId="07E0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3607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邮政业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C56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30000万元以下的为中小微型企业。</w:t>
            </w:r>
          </w:p>
        </w:tc>
      </w:tr>
      <w:tr w14:paraId="6708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64F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B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B5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2000万元一30000万元</w:t>
            </w:r>
          </w:p>
        </w:tc>
      </w:tr>
      <w:tr w14:paraId="5D9B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CCC5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2C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56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100万元一2000万元</w:t>
            </w:r>
          </w:p>
        </w:tc>
      </w:tr>
      <w:tr w14:paraId="6EA7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684E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59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BB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100万元以下</w:t>
            </w:r>
          </w:p>
        </w:tc>
      </w:tr>
      <w:tr w14:paraId="203C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9DFA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D5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10CD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A024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32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68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 2000万元一10000万元</w:t>
            </w:r>
          </w:p>
        </w:tc>
      </w:tr>
      <w:tr w14:paraId="2428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4DFE2">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45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4F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100万元一2000万元</w:t>
            </w:r>
          </w:p>
        </w:tc>
      </w:tr>
      <w:tr w14:paraId="7719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BD1F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29A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CF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339B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9A41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4E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12CB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C98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F06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3C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300人，且营业收入 2000万元一10000万元</w:t>
            </w:r>
          </w:p>
        </w:tc>
      </w:tr>
      <w:tr w14:paraId="536C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1DC3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4A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E1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100万元一2000万元</w:t>
            </w:r>
          </w:p>
        </w:tc>
      </w:tr>
      <w:tr w14:paraId="27BC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DF9E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FC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7FE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0F10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A01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信息传输业 （包括电信、互联网 和相关服务）</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D1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从业人员2000人以下或营业收入 100000万元以下的为中小微型企业。</w:t>
            </w:r>
          </w:p>
        </w:tc>
      </w:tr>
      <w:tr w14:paraId="02EE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15AD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10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E9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从业人员100人一2000人，且营业收入 1000万元一10000万元</w:t>
            </w:r>
          </w:p>
        </w:tc>
      </w:tr>
      <w:tr w14:paraId="7638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FD2E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90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F8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100万元一1000万元</w:t>
            </w:r>
          </w:p>
        </w:tc>
      </w:tr>
      <w:tr w14:paraId="40D5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47CD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C9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EF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3F5F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D85B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软件和信息技术服 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8FA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5963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FFF7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7E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C7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300人，且营业收入 1000万元一10000万元</w:t>
            </w:r>
          </w:p>
        </w:tc>
      </w:tr>
      <w:tr w14:paraId="56A0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7321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16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03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50万元一1000万元</w:t>
            </w:r>
          </w:p>
        </w:tc>
      </w:tr>
      <w:tr w14:paraId="1117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172F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C3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3D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50万元以下</w:t>
            </w:r>
          </w:p>
        </w:tc>
      </w:tr>
      <w:tr w14:paraId="5F57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13B5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房地产开发经营</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50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营业收入200000万元以下或资产总额 10000万元以下的为中小微型企业。</w:t>
            </w:r>
          </w:p>
        </w:tc>
      </w:tr>
      <w:tr w14:paraId="33D0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FD42C">
            <w:pPr>
              <w:jc w:val="both"/>
              <w:rPr>
                <w:rFonts w:hint="eastAsia" w:ascii="仿宋" w:hAnsi="仿宋" w:eastAsia="仿宋" w:cs="仿宋"/>
                <w:i w:val="0"/>
                <w:iCs w:val="0"/>
                <w:color w:val="000000"/>
                <w:sz w:val="20"/>
                <w:szCs w:val="20"/>
                <w:u w:val="none"/>
              </w:rPr>
            </w:pP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F9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E8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营业收入1000万元一200000万元，</w:t>
            </w:r>
          </w:p>
        </w:tc>
      </w:tr>
      <w:tr w14:paraId="4C3F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6B236">
            <w:pPr>
              <w:jc w:val="both"/>
              <w:rPr>
                <w:rFonts w:hint="eastAsia" w:ascii="仿宋" w:hAnsi="仿宋" w:eastAsia="仿宋" w:cs="仿宋"/>
                <w:i w:val="0"/>
                <w:iCs w:val="0"/>
                <w:color w:val="00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AC8EC">
            <w:pPr>
              <w:jc w:val="center"/>
              <w:rPr>
                <w:rFonts w:hint="eastAsia" w:ascii="仿宋" w:hAnsi="仿宋" w:eastAsia="仿宋" w:cs="仿宋"/>
                <w:i w:val="0"/>
                <w:iCs w:val="0"/>
                <w:color w:val="000000"/>
                <w:sz w:val="20"/>
                <w:szCs w:val="20"/>
                <w:u w:val="none"/>
              </w:rPr>
            </w:pP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40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且资产总额 5000万元一10000万元</w:t>
            </w:r>
          </w:p>
        </w:tc>
      </w:tr>
      <w:tr w14:paraId="517C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4C35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30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05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营业收入100万元一1000万元，且资产总额 2000万元一5000万元</w:t>
            </w:r>
          </w:p>
        </w:tc>
      </w:tr>
      <w:tr w14:paraId="7A7C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9AC8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94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EF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营业收入100万元以下或资产总额2000万元以下的为微型企业</w:t>
            </w:r>
          </w:p>
        </w:tc>
      </w:tr>
      <w:tr w14:paraId="1EFF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4896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E9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5000万元以下的为中小微型企业。</w:t>
            </w:r>
          </w:p>
        </w:tc>
      </w:tr>
      <w:tr w14:paraId="38A0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4D75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7D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3A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1000万元一5000万元</w:t>
            </w:r>
          </w:p>
        </w:tc>
      </w:tr>
      <w:tr w14:paraId="1B8C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EF2F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A2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744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 500万元一1000万元</w:t>
            </w:r>
          </w:p>
        </w:tc>
      </w:tr>
      <w:tr w14:paraId="4275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2BB9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0B2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48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从业人员100人以下或营业收入 500万元以下</w:t>
            </w:r>
          </w:p>
        </w:tc>
      </w:tr>
      <w:tr w14:paraId="171C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6534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租赁和商务服务业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236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从业人员300人以下或资产总额 120000万元以下的为中小微型企业。 其中，从业人员100人及以上，且资产总额 8000万元及以上的为中型企业；从业人员10人及以上，且资产总额 100万元及以上的为小型企业；从业人员人以下或资产总额 100万元以下的为微型企业。 10</w:t>
            </w:r>
          </w:p>
        </w:tc>
      </w:tr>
      <w:tr w14:paraId="6BCE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7AA3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7E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7A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从业人员100人一300人，且资产总额 8 000万元一120000万元</w:t>
            </w:r>
          </w:p>
        </w:tc>
      </w:tr>
      <w:tr w14:paraId="02BC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7004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457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0A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从业人员10人一100人，且资产总额 100万元一8000万元</w:t>
            </w:r>
          </w:p>
        </w:tc>
      </w:tr>
      <w:tr w14:paraId="1DE8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E375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AE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D4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从业人员10人以下或资产总额 100万元以下</w:t>
            </w:r>
          </w:p>
        </w:tc>
      </w:tr>
      <w:tr w14:paraId="2F76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D6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其他未列明行业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77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从业人员300人以下的为中小微型企业。</w:t>
            </w:r>
          </w:p>
        </w:tc>
      </w:tr>
      <w:tr w14:paraId="3B8A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0B4A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91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391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w:t>
            </w:r>
          </w:p>
        </w:tc>
      </w:tr>
      <w:tr w14:paraId="569F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4F9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85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36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w:t>
            </w:r>
          </w:p>
        </w:tc>
      </w:tr>
      <w:tr w14:paraId="079B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EB6A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BD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C5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w:t>
            </w:r>
          </w:p>
        </w:tc>
      </w:tr>
    </w:tbl>
    <w:p w14:paraId="20678CCF">
      <w:pPr>
        <w:snapToGrid w:val="0"/>
        <w:spacing w:line="360" w:lineRule="auto"/>
        <w:ind w:firstLine="567"/>
        <w:jc w:val="center"/>
        <w:textAlignment w:val="baseline"/>
        <w:outlineLvl w:val="2"/>
        <w:rPr>
          <w:rFonts w:hint="eastAsia" w:ascii="宋体" w:hAnsi="宋体" w:eastAsia="宋体" w:cs="宋体"/>
          <w:b/>
          <w:color w:val="auto"/>
          <w:sz w:val="28"/>
          <w:szCs w:val="28"/>
        </w:rPr>
      </w:pPr>
      <w:r>
        <w:rPr>
          <w:rFonts w:hint="eastAsia" w:ascii="宋体" w:hAnsi="宋体" w:eastAsia="宋体" w:cs="宋体"/>
          <w:b/>
          <w:bCs/>
          <w:color w:val="auto"/>
          <w:kern w:val="0"/>
          <w:sz w:val="28"/>
          <w:szCs w:val="28"/>
          <w:lang w:val="en-US" w:eastAsia="zh-CN"/>
        </w:rPr>
        <w:t xml:space="preserve">6-3  </w:t>
      </w:r>
      <w:r>
        <w:rPr>
          <w:rFonts w:hint="eastAsia" w:ascii="宋体" w:hAnsi="宋体" w:eastAsia="宋体" w:cs="宋体"/>
          <w:b/>
          <w:bCs/>
          <w:color w:val="auto"/>
          <w:kern w:val="0"/>
          <w:sz w:val="28"/>
          <w:szCs w:val="28"/>
        </w:rPr>
        <w:t>残疾人福利性单位声明函</w:t>
      </w:r>
      <w:bookmarkEnd w:id="432"/>
    </w:p>
    <w:p w14:paraId="08C15682">
      <w:pPr>
        <w:snapToGrid w:val="0"/>
        <w:spacing w:line="360" w:lineRule="auto"/>
        <w:ind w:firstLine="567"/>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642F0572">
      <w:pPr>
        <w:snapToGrid w:val="0"/>
        <w:spacing w:line="360" w:lineRule="auto"/>
        <w:ind w:left="1080" w:leftChars="257" w:hanging="540"/>
        <w:textAlignment w:val="baseline"/>
        <w:rPr>
          <w:rFonts w:hint="eastAsia" w:ascii="宋体" w:hAnsi="宋体" w:cs="宋体"/>
          <w:color w:val="auto"/>
          <w:kern w:val="0"/>
          <w:sz w:val="28"/>
          <w:szCs w:val="28"/>
        </w:rPr>
      </w:pPr>
      <w:r>
        <w:rPr>
          <w:rFonts w:hint="eastAsia" w:ascii="宋体" w:hAnsi="宋体" w:eastAsia="宋体" w:cs="宋体"/>
          <w:color w:val="auto"/>
          <w:kern w:val="0"/>
          <w:sz w:val="28"/>
          <w:szCs w:val="28"/>
        </w:rPr>
        <w:t>本单位对上述声明的真实性负责。如有虚假，将依法承担相应责任。</w:t>
      </w:r>
    </w:p>
    <w:p w14:paraId="5F03CA49">
      <w:pPr>
        <w:snapToGrid w:val="0"/>
        <w:spacing w:line="360" w:lineRule="auto"/>
        <w:textAlignment w:val="baseline"/>
        <w:rPr>
          <w:rFonts w:hint="eastAsia" w:ascii="宋体" w:hAnsi="宋体" w:cs="宋体"/>
          <w:color w:val="auto"/>
          <w:kern w:val="0"/>
          <w:sz w:val="28"/>
          <w:szCs w:val="28"/>
        </w:rPr>
      </w:pPr>
    </w:p>
    <w:p w14:paraId="02DA8436">
      <w:pPr>
        <w:snapToGrid w:val="0"/>
        <w:spacing w:line="360" w:lineRule="auto"/>
        <w:ind w:left="1080" w:leftChars="257" w:hanging="540"/>
        <w:jc w:val="center"/>
        <w:textAlignment w:val="baseline"/>
        <w:rPr>
          <w:rFonts w:hint="eastAsia" w:ascii="宋体" w:hAnsi="宋体" w:cs="宋体"/>
          <w:color w:val="auto"/>
          <w:kern w:val="0"/>
          <w:sz w:val="28"/>
          <w:szCs w:val="28"/>
        </w:rPr>
      </w:pPr>
      <w:r>
        <w:rPr>
          <w:rFonts w:hint="eastAsia" w:ascii="宋体" w:hAnsi="宋体" w:cs="宋体"/>
          <w:color w:val="auto"/>
          <w:kern w:val="0"/>
          <w:sz w:val="28"/>
          <w:szCs w:val="28"/>
        </w:rPr>
        <w:t xml:space="preserve">              残疾人福利性单位名称（公章）：______________</w:t>
      </w:r>
    </w:p>
    <w:p w14:paraId="2BB2A912">
      <w:pPr>
        <w:pStyle w:val="5"/>
        <w:spacing w:line="360" w:lineRule="auto"/>
        <w:rPr>
          <w:rFonts w:hint="eastAsia" w:hAnsi="宋体" w:cs="宋体"/>
          <w:color w:val="auto"/>
          <w:sz w:val="28"/>
          <w:szCs w:val="28"/>
        </w:rPr>
      </w:pPr>
      <w:r>
        <w:rPr>
          <w:rFonts w:hint="eastAsia" w:hAnsi="宋体" w:cs="宋体"/>
          <w:color w:val="auto"/>
          <w:sz w:val="28"/>
          <w:szCs w:val="28"/>
        </w:rPr>
        <w:t xml:space="preserve">                  日  期：_______________________________</w:t>
      </w:r>
    </w:p>
    <w:p w14:paraId="76AA991D">
      <w:pPr>
        <w:pStyle w:val="5"/>
        <w:ind w:firstLine="0"/>
        <w:rPr>
          <w:rFonts w:hint="eastAsia" w:hAnsi="宋体" w:cs="宋体"/>
          <w:color w:val="auto"/>
          <w:sz w:val="28"/>
          <w:szCs w:val="28"/>
        </w:rPr>
      </w:pPr>
    </w:p>
    <w:p w14:paraId="4DA8A11F">
      <w:pPr>
        <w:rPr>
          <w:rFonts w:hint="eastAsia" w:ascii="宋体" w:hAnsi="宋体" w:cs="宋体"/>
          <w:color w:val="auto"/>
          <w:sz w:val="28"/>
          <w:szCs w:val="28"/>
        </w:rPr>
      </w:pPr>
    </w:p>
    <w:p w14:paraId="43CA2ECA">
      <w:pPr>
        <w:spacing w:after="60" w:afterLines="25" w:line="300" w:lineRule="auto"/>
        <w:ind w:firstLine="422" w:firstLineChars="200"/>
        <w:rPr>
          <w:rFonts w:hint="eastAsia" w:ascii="宋体" w:hAnsi="宋体"/>
          <w:b/>
          <w:color w:val="auto"/>
          <w:szCs w:val="21"/>
          <w:highlight w:val="yellow"/>
        </w:rPr>
      </w:pPr>
    </w:p>
    <w:p w14:paraId="310777C5">
      <w:pPr>
        <w:spacing w:after="60" w:afterLines="25" w:line="300" w:lineRule="auto"/>
        <w:ind w:firstLine="422" w:firstLineChars="200"/>
        <w:rPr>
          <w:rFonts w:hint="eastAsia" w:ascii="宋体" w:hAnsi="宋体"/>
          <w:b/>
          <w:color w:val="auto"/>
          <w:szCs w:val="21"/>
          <w:highlight w:val="yellow"/>
        </w:rPr>
      </w:pPr>
    </w:p>
    <w:p w14:paraId="78DC9EC8">
      <w:pPr>
        <w:spacing w:after="60" w:afterLines="25" w:line="300" w:lineRule="auto"/>
        <w:ind w:firstLine="422" w:firstLineChars="200"/>
        <w:rPr>
          <w:rFonts w:ascii="宋体" w:hAnsi="宋体"/>
          <w:color w:val="auto"/>
          <w:szCs w:val="21"/>
        </w:rPr>
      </w:pPr>
      <w:r>
        <w:rPr>
          <w:rFonts w:hint="eastAsia" w:ascii="宋体" w:hAnsi="宋体"/>
          <w:b/>
          <w:color w:val="auto"/>
          <w:szCs w:val="21"/>
        </w:rPr>
        <w:t>说明：</w:t>
      </w:r>
      <w:r>
        <w:rPr>
          <w:rFonts w:hint="eastAsia" w:ascii="宋体" w:hAnsi="宋体"/>
          <w:color w:val="auto"/>
          <w:szCs w:val="21"/>
        </w:rPr>
        <w:t>根据财库〔2017〕141号文件的规定,享受政府采购支持政策的残疾人福利性单位应当同时满足以下条件：</w:t>
      </w:r>
    </w:p>
    <w:p w14:paraId="0F5921AF">
      <w:pPr>
        <w:spacing w:after="60" w:afterLines="25" w:line="300" w:lineRule="auto"/>
        <w:ind w:firstLine="420" w:firstLineChars="200"/>
        <w:rPr>
          <w:rFonts w:ascii="宋体" w:hAnsi="宋体"/>
          <w:color w:val="auto"/>
          <w:szCs w:val="21"/>
        </w:rPr>
      </w:pPr>
      <w:r>
        <w:rPr>
          <w:rFonts w:hint="eastAsia" w:ascii="宋体" w:hAnsi="宋体"/>
          <w:color w:val="auto"/>
          <w:szCs w:val="21"/>
        </w:rPr>
        <w:t>（一）</w:t>
      </w:r>
      <w:r>
        <w:rPr>
          <w:rFonts w:hint="eastAsia" w:ascii="宋体" w:hAnsi="宋体"/>
          <w:b/>
          <w:color w:val="auto"/>
          <w:szCs w:val="21"/>
        </w:rPr>
        <w:t>安置的残疾人占本单位在职职工人数的比例不低于25%（含25%），并且安置的残疾人人数不少于10人（含10人）</w:t>
      </w:r>
      <w:r>
        <w:rPr>
          <w:rFonts w:hint="eastAsia" w:ascii="宋体" w:hAnsi="宋体"/>
          <w:color w:val="auto"/>
          <w:szCs w:val="21"/>
        </w:rPr>
        <w:t>；</w:t>
      </w:r>
    </w:p>
    <w:p w14:paraId="0E06DAD7">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（二）依法与安置的每位残疾人签订了一年以上（含一年）的劳动合同或服务协议；</w:t>
      </w:r>
    </w:p>
    <w:p w14:paraId="581E23F9">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6EB1D443">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4A7F4BEC">
      <w:pPr>
        <w:pStyle w:val="3"/>
        <w:spacing w:before="0" w:line="240" w:lineRule="atLeast"/>
        <w:ind w:firstLine="420" w:firstLineChars="200"/>
        <w:jc w:val="both"/>
        <w:outlineLvl w:val="9"/>
        <w:rPr>
          <w:rFonts w:hint="eastAsia" w:ascii="宋体" w:hAnsi="宋体" w:eastAsia="宋体" w:cs="宋体"/>
          <w:color w:val="auto"/>
          <w:sz w:val="28"/>
          <w:szCs w:val="28"/>
          <w:highlight w:val="none"/>
        </w:rPr>
      </w:pPr>
      <w:bookmarkStart w:id="435" w:name="_Toc30037"/>
      <w:bookmarkStart w:id="436" w:name="_Toc483"/>
      <w:bookmarkStart w:id="437" w:name="_Toc3056"/>
      <w:bookmarkStart w:id="438" w:name="_Toc26421"/>
      <w:r>
        <w:rPr>
          <w:rFonts w:hint="eastAsia" w:ascii="宋体" w:hAnsi="宋体" w:eastAsia="宋体" w:cs="Times New Roman"/>
          <w:b w:val="0"/>
          <w:color w:val="auto"/>
          <w:kern w:val="2"/>
          <w:sz w:val="21"/>
          <w:szCs w:val="21"/>
          <w:lang w:val="en-US" w:eastAsia="zh-CN" w:bidi="ar-SA"/>
        </w:rPr>
        <w:t>（五）</w:t>
      </w:r>
      <w:r>
        <w:rPr>
          <w:rFonts w:hint="eastAsia" w:ascii="宋体" w:hAnsi="宋体" w:eastAsia="宋体" w:cs="Times New Roman"/>
          <w:b/>
          <w:color w:val="auto"/>
          <w:kern w:val="2"/>
          <w:sz w:val="21"/>
          <w:szCs w:val="21"/>
          <w:lang w:val="en-US" w:eastAsia="zh-CN" w:bidi="ar-SA"/>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35"/>
      <w:bookmarkEnd w:id="436"/>
      <w:bookmarkEnd w:id="437"/>
      <w:bookmarkEnd w:id="438"/>
    </w:p>
    <w:p w14:paraId="2797AE4C">
      <w:pPr>
        <w:rPr>
          <w:rFonts w:hint="eastAsia" w:ascii="宋体" w:hAnsi="宋体" w:eastAsia="宋体" w:cs="宋体"/>
          <w:color w:val="auto"/>
          <w:sz w:val="28"/>
          <w:szCs w:val="28"/>
          <w:highlight w:val="none"/>
        </w:rPr>
      </w:pPr>
    </w:p>
    <w:p w14:paraId="6A7301CF">
      <w:pPr>
        <w:pStyle w:val="18"/>
        <w:rPr>
          <w:rFonts w:hint="eastAsia" w:ascii="宋体" w:hAnsi="宋体" w:eastAsia="宋体" w:cs="宋体"/>
          <w:color w:val="auto"/>
          <w:sz w:val="28"/>
          <w:szCs w:val="28"/>
          <w:highlight w:val="none"/>
        </w:rPr>
      </w:pPr>
    </w:p>
    <w:p w14:paraId="637BA010">
      <w:pPr>
        <w:pStyle w:val="3"/>
        <w:spacing w:before="0" w:line="240" w:lineRule="atLeast"/>
        <w:ind w:firstLine="562" w:firstLineChars="200"/>
        <w:outlineLvl w:val="0"/>
        <w:rPr>
          <w:rFonts w:hint="eastAsia" w:ascii="宋体" w:hAnsi="宋体" w:eastAsia="宋体" w:cs="宋体"/>
          <w:color w:val="auto"/>
          <w:sz w:val="28"/>
          <w:szCs w:val="28"/>
          <w:highlight w:val="none"/>
        </w:rPr>
      </w:pPr>
      <w:bookmarkStart w:id="439" w:name="_Toc15908"/>
      <w:bookmarkStart w:id="440" w:name="_Toc25033"/>
      <w:bookmarkStart w:id="441" w:name="_Toc18885"/>
      <w:bookmarkStart w:id="442" w:name="_Toc1236"/>
      <w:bookmarkStart w:id="443" w:name="_Toc1189"/>
      <w:bookmarkStart w:id="444" w:name="_Toc1739"/>
      <w:bookmarkStart w:id="445" w:name="_Toc16410"/>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投标人关联单位的说明</w:t>
      </w:r>
      <w:bookmarkEnd w:id="420"/>
      <w:bookmarkEnd w:id="421"/>
      <w:bookmarkEnd w:id="422"/>
      <w:bookmarkEnd w:id="423"/>
      <w:bookmarkEnd w:id="439"/>
      <w:bookmarkEnd w:id="440"/>
      <w:bookmarkEnd w:id="441"/>
      <w:bookmarkEnd w:id="442"/>
      <w:bookmarkEnd w:id="443"/>
      <w:bookmarkEnd w:id="444"/>
      <w:bookmarkEnd w:id="445"/>
    </w:p>
    <w:p w14:paraId="7B6463AE">
      <w:pPr>
        <w:pStyle w:val="5"/>
        <w:jc w:val="center"/>
        <w:rPr>
          <w:rFonts w:hint="eastAsia" w:ascii="宋体" w:hAnsi="宋体" w:eastAsia="宋体" w:cs="宋体"/>
          <w:color w:val="auto"/>
          <w:sz w:val="28"/>
          <w:szCs w:val="28"/>
          <w:highlight w:val="none"/>
        </w:rPr>
      </w:pPr>
    </w:p>
    <w:p w14:paraId="254ABBF2">
      <w:pPr>
        <w:pStyle w:val="5"/>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说明：投标人应当如实披露与本单位存在下列关联关系的单位名称：</w:t>
      </w:r>
    </w:p>
    <w:p w14:paraId="0F1A36B7">
      <w:pPr>
        <w:pStyle w:val="5"/>
        <w:numPr>
          <w:ilvl w:val="0"/>
          <w:numId w:val="4"/>
        </w:numPr>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与投标人单位负责人为同一人的其他单位；</w:t>
      </w:r>
    </w:p>
    <w:p w14:paraId="1B5375C4">
      <w:pPr>
        <w:pStyle w:val="5"/>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（2）与投标人存在直接控股、管理关系的其他单位。</w:t>
      </w:r>
    </w:p>
    <w:p w14:paraId="76891032">
      <w:pPr>
        <w:pStyle w:val="5"/>
        <w:ind w:firstLine="0"/>
        <w:rPr>
          <w:rFonts w:hint="eastAsia" w:ascii="宋体" w:hAnsi="宋体" w:eastAsia="宋体" w:cs="宋体"/>
          <w:b/>
          <w:bCs/>
          <w:color w:val="auto"/>
          <w:sz w:val="28"/>
          <w:szCs w:val="28"/>
          <w:highlight w:val="none"/>
        </w:rPr>
      </w:pPr>
      <w:bookmarkStart w:id="446" w:name="_Toc7414"/>
      <w:bookmarkStart w:id="447" w:name="_Toc14039"/>
      <w:bookmarkStart w:id="448" w:name="_Toc515647828"/>
      <w:bookmarkStart w:id="449" w:name="_Toc17333"/>
    </w:p>
    <w:p w14:paraId="4D9C202E">
      <w:pPr>
        <w:rPr>
          <w:rFonts w:hint="eastAsia" w:ascii="宋体" w:hAnsi="宋体" w:eastAsia="宋体" w:cs="宋体"/>
          <w:b/>
          <w:bCs/>
          <w:color w:val="auto"/>
          <w:sz w:val="28"/>
          <w:szCs w:val="28"/>
          <w:highlight w:val="none"/>
        </w:rPr>
      </w:pPr>
    </w:p>
    <w:p w14:paraId="77AA3A52">
      <w:pPr>
        <w:pStyle w:val="5"/>
        <w:rPr>
          <w:rFonts w:hint="eastAsia" w:ascii="宋体" w:hAnsi="宋体" w:eastAsia="宋体" w:cs="宋体"/>
          <w:b/>
          <w:bCs/>
          <w:color w:val="auto"/>
          <w:sz w:val="28"/>
          <w:szCs w:val="28"/>
          <w:highlight w:val="none"/>
        </w:rPr>
      </w:pPr>
    </w:p>
    <w:p w14:paraId="4A7415FB">
      <w:pPr>
        <w:pStyle w:val="6"/>
        <w:rPr>
          <w:rFonts w:hint="eastAsia"/>
        </w:rPr>
      </w:pPr>
    </w:p>
    <w:p w14:paraId="7C98B6B3">
      <w:pPr>
        <w:rPr>
          <w:rFonts w:hint="eastAsia" w:ascii="宋体" w:hAnsi="宋体" w:eastAsia="宋体" w:cs="宋体"/>
        </w:rPr>
      </w:pPr>
    </w:p>
    <w:p w14:paraId="6AA20C32">
      <w:pPr>
        <w:pStyle w:val="5"/>
        <w:ind w:firstLine="1968" w:firstLineChars="700"/>
        <w:rPr>
          <w:rFonts w:hint="eastAsia" w:ascii="宋体" w:hAnsi="宋体" w:eastAsia="宋体" w:cs="宋体"/>
          <w:b/>
          <w:bCs/>
          <w:color w:val="auto"/>
          <w:sz w:val="28"/>
          <w:szCs w:val="28"/>
          <w:highlight w:val="none"/>
        </w:rPr>
      </w:pPr>
    </w:p>
    <w:p w14:paraId="594DA556">
      <w:pPr>
        <w:pStyle w:val="5"/>
        <w:outlineLvl w:val="0"/>
        <w:rPr>
          <w:rFonts w:hint="eastAsia" w:ascii="宋体" w:hAnsi="宋体" w:eastAsia="宋体" w:cs="宋体"/>
          <w:b/>
          <w:bCs/>
          <w:color w:val="auto"/>
          <w:sz w:val="28"/>
          <w:szCs w:val="28"/>
          <w:highlight w:val="none"/>
        </w:rPr>
      </w:pPr>
      <w:bookmarkStart w:id="450" w:name="_Toc9938"/>
      <w:bookmarkStart w:id="451" w:name="_Toc29186"/>
      <w:bookmarkStart w:id="452" w:name="_Toc12760"/>
      <w:bookmarkStart w:id="453" w:name="_Toc27730"/>
      <w:bookmarkStart w:id="454" w:name="_Toc25276"/>
      <w:bookmarkStart w:id="455" w:name="_Toc17676"/>
      <w:bookmarkStart w:id="456" w:name="_Toc10847"/>
      <w:r>
        <w:rPr>
          <w:rFonts w:hint="eastAsia"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xml:space="preserve">   </w:t>
      </w:r>
      <w:bookmarkEnd w:id="446"/>
      <w:bookmarkEnd w:id="447"/>
      <w:bookmarkEnd w:id="448"/>
      <w:bookmarkEnd w:id="449"/>
      <w:r>
        <w:rPr>
          <w:rFonts w:hint="eastAsia" w:ascii="宋体" w:hAnsi="宋体" w:eastAsia="宋体" w:cs="宋体"/>
          <w:b/>
          <w:bCs/>
          <w:color w:val="auto"/>
          <w:sz w:val="28"/>
          <w:szCs w:val="28"/>
          <w:highlight w:val="none"/>
        </w:rPr>
        <w:t>其他有利于投标人的文件或证明材料</w:t>
      </w:r>
      <w:bookmarkEnd w:id="450"/>
      <w:bookmarkEnd w:id="451"/>
      <w:bookmarkEnd w:id="452"/>
      <w:bookmarkEnd w:id="453"/>
      <w:bookmarkEnd w:id="454"/>
      <w:bookmarkEnd w:id="455"/>
      <w:bookmarkEnd w:id="456"/>
    </w:p>
    <w:p w14:paraId="13074330">
      <w:pPr>
        <w:rPr>
          <w:rFonts w:hint="eastAsia" w:ascii="宋体" w:hAnsi="宋体" w:eastAsia="宋体" w:cs="宋体"/>
          <w:color w:val="auto"/>
          <w:highlight w:val="none"/>
        </w:rPr>
      </w:pPr>
    </w:p>
    <w:p w14:paraId="544629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注：参照“第六章评分方法和标准”，提供有力于投标人的</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方案、售后服务方案</w:t>
      </w:r>
      <w:r>
        <w:rPr>
          <w:rFonts w:hint="eastAsia" w:ascii="宋体" w:hAnsi="宋体" w:eastAsia="宋体" w:cs="宋体"/>
          <w:color w:val="auto"/>
          <w:sz w:val="24"/>
          <w:szCs w:val="24"/>
          <w:highlight w:val="none"/>
          <w:lang w:eastAsia="zh-CN"/>
        </w:rPr>
        <w:t>、产品质量保证措施、出现产品质量问题退换货方案</w:t>
      </w:r>
      <w:r>
        <w:rPr>
          <w:rFonts w:hint="eastAsia" w:ascii="宋体" w:hAnsi="宋体" w:eastAsia="宋体" w:cs="宋体"/>
          <w:color w:val="auto"/>
          <w:sz w:val="24"/>
          <w:szCs w:val="24"/>
          <w:highlight w:val="none"/>
        </w:rPr>
        <w:t>等资料。</w:t>
      </w:r>
    </w:p>
    <w:p w14:paraId="4D485EFB">
      <w:pPr>
        <w:rPr>
          <w:spacing w:val="-1"/>
        </w:rPr>
      </w:pPr>
      <w:r>
        <w:rPr>
          <w:spacing w:val="-1"/>
        </w:rPr>
        <w:br w:type="page"/>
      </w:r>
    </w:p>
    <w:p w14:paraId="3DA101ED">
      <w:pPr>
        <w:pStyle w:val="2"/>
        <w:numPr>
          <w:ilvl w:val="0"/>
          <w:numId w:val="0"/>
        </w:numPr>
        <w:spacing w:before="0" w:after="0" w:line="240" w:lineRule="atLeast"/>
        <w:jc w:val="center"/>
        <w:rPr>
          <w:rFonts w:hint="eastAsia" w:ascii="仿宋_GB2312" w:eastAsia="仿宋_GB2312"/>
          <w:b/>
        </w:rPr>
      </w:pPr>
      <w:bookmarkStart w:id="457" w:name="_Toc16194"/>
      <w:bookmarkStart w:id="458" w:name="_Toc17131"/>
      <w:r>
        <w:rPr>
          <w:rFonts w:hint="eastAsia" w:ascii="仿宋_GB2312" w:eastAsia="仿宋_GB2312"/>
          <w:b/>
        </w:rPr>
        <w:t>第3章 招标公告</w:t>
      </w:r>
      <w:bookmarkEnd w:id="457"/>
      <w:bookmarkEnd w:id="458"/>
    </w:p>
    <w:p w14:paraId="07CCE2EE">
      <w:pPr>
        <w:widowControl/>
        <w:adjustRightInd w:val="0"/>
        <w:snapToGrid w:val="0"/>
        <w:spacing w:line="400" w:lineRule="exact"/>
        <w:ind w:firstLine="480" w:firstLineChars="200"/>
        <w:jc w:val="center"/>
        <w:rPr>
          <w:rFonts w:hint="eastAsia" w:ascii="宋体" w:hAnsi="宋体" w:eastAsia="宋体" w:cs="宋体"/>
          <w:sz w:val="24"/>
          <w:shd w:val="clear" w:color="auto" w:fill="FFFFFF"/>
          <w:lang w:eastAsia="zh-CN"/>
        </w:rPr>
      </w:pPr>
    </w:p>
    <w:p w14:paraId="78451E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Light" w:hAnsi="微软雅黑 Light" w:eastAsia="微软雅黑 Light" w:cs="微软雅黑 Light"/>
          <w:b/>
          <w:bCs/>
          <w:sz w:val="32"/>
          <w:szCs w:val="32"/>
        </w:rPr>
      </w:pPr>
      <w:bookmarkStart w:id="459" w:name="_Toc512937850"/>
      <w:r>
        <w:rPr>
          <w:rFonts w:hint="eastAsia" w:ascii="宋体" w:hAnsi="宋体" w:eastAsia="宋体" w:cs="宋体"/>
          <w:b/>
          <w:bCs/>
          <w:sz w:val="32"/>
          <w:szCs w:val="32"/>
          <w:lang w:eastAsia="zh-CN"/>
        </w:rPr>
        <w:t>2023年度济宁市对口支援英吉沙县林果产业特色小镇建设项目（农业一二三产融合项目）—英吉沙县智慧化农业体系建设项目（检测设备采购）二次</w:t>
      </w:r>
      <w:r>
        <w:rPr>
          <w:rFonts w:hint="eastAsia" w:ascii="宋体" w:hAnsi="宋体" w:eastAsia="宋体" w:cs="宋体"/>
          <w:b/>
          <w:bCs/>
          <w:sz w:val="32"/>
          <w:szCs w:val="32"/>
        </w:rPr>
        <w:t>公开招标公告</w:t>
      </w:r>
    </w:p>
    <w:p w14:paraId="7D8DF313">
      <w:pPr>
        <w:pStyle w:val="15"/>
        <w:keepNext w:val="0"/>
        <w:keepLines w:val="0"/>
        <w:pageBreakBefore w:val="0"/>
        <w:kinsoku/>
        <w:overflowPunct/>
        <w:topLinePunct w:val="0"/>
        <w:bidi w:val="0"/>
        <w:spacing w:line="300" w:lineRule="exact"/>
        <w:rPr>
          <w:rFonts w:ascii="微软雅黑 Light" w:hAnsi="微软雅黑 Light" w:eastAsia="微软雅黑 Light" w:cs="微软雅黑 Light"/>
          <w:sz w:val="24"/>
        </w:rPr>
      </w:pPr>
    </w:p>
    <w:p w14:paraId="07435368">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项目概况</w:t>
      </w:r>
    </w:p>
    <w:p w14:paraId="5DC9BB98">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textAlignment w:val="auto"/>
        <w:rPr>
          <w:rFonts w:hint="eastAsia"/>
          <w:sz w:val="21"/>
          <w:szCs w:val="21"/>
          <w:highlight w:val="none"/>
          <w:lang w:eastAsia="zh-CN"/>
        </w:rPr>
      </w:pPr>
      <w:r>
        <w:rPr>
          <w:rFonts w:hint="eastAsia"/>
          <w:sz w:val="21"/>
          <w:szCs w:val="21"/>
          <w:u w:val="single"/>
          <w:lang w:val="en-US" w:eastAsia="zh-CN"/>
        </w:rPr>
        <w:t>2023年度济宁市对口支援英吉沙县林果产业特色小镇建设项目（农业一二三产融合项目）—英吉沙县智慧化农业体系建设项目（检测设备采购）二次</w:t>
      </w:r>
      <w:r>
        <w:rPr>
          <w:rFonts w:hint="eastAsia"/>
          <w:sz w:val="21"/>
          <w:szCs w:val="21"/>
          <w:lang w:val="en-US" w:eastAsia="zh-CN"/>
        </w:rPr>
        <w:t>的潜在投标人应在政采云平台线上获取招标文件，</w:t>
      </w:r>
      <w:r>
        <w:rPr>
          <w:rFonts w:hint="eastAsia"/>
          <w:sz w:val="21"/>
          <w:szCs w:val="21"/>
          <w:lang w:eastAsia="zh-CN"/>
        </w:rPr>
        <w:t>并于</w:t>
      </w:r>
      <w:r>
        <w:rPr>
          <w:rFonts w:hint="eastAsia"/>
          <w:sz w:val="21"/>
          <w:szCs w:val="21"/>
          <w:u w:val="single"/>
          <w:lang w:eastAsia="zh-CN"/>
        </w:rPr>
        <w:t> 2024年09月13日12：00</w:t>
      </w:r>
      <w:r>
        <w:rPr>
          <w:rFonts w:hint="eastAsia"/>
          <w:sz w:val="21"/>
          <w:szCs w:val="21"/>
          <w:highlight w:val="none"/>
          <w:u w:val="single"/>
          <w:lang w:eastAsia="zh-CN"/>
        </w:rPr>
        <w:t> （北京时间）</w:t>
      </w:r>
      <w:r>
        <w:rPr>
          <w:rFonts w:hint="eastAsia"/>
          <w:sz w:val="21"/>
          <w:szCs w:val="21"/>
          <w:highlight w:val="none"/>
          <w:lang w:eastAsia="zh-CN"/>
        </w:rPr>
        <w:t>前提交（上传）响应文件。</w:t>
      </w:r>
    </w:p>
    <w:p w14:paraId="4314C1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1"/>
          <w:szCs w:val="21"/>
          <w:lang w:eastAsia="zh-CN"/>
        </w:rPr>
      </w:pPr>
      <w:bookmarkStart w:id="460" w:name="_Toc28359089"/>
      <w:bookmarkStart w:id="461" w:name="_Toc28359012"/>
      <w:bookmarkStart w:id="462" w:name="_Toc35393629"/>
      <w:bookmarkStart w:id="463" w:name="_Toc35393798"/>
      <w:r>
        <w:rPr>
          <w:rFonts w:hint="eastAsia"/>
          <w:sz w:val="21"/>
          <w:szCs w:val="21"/>
          <w:lang w:eastAsia="zh-CN"/>
        </w:rPr>
        <w:t>一、</w:t>
      </w:r>
      <w:r>
        <w:rPr>
          <w:rFonts w:hint="eastAsia"/>
          <w:sz w:val="21"/>
          <w:szCs w:val="21"/>
        </w:rPr>
        <w:t>项目基本情况</w:t>
      </w:r>
      <w:bookmarkEnd w:id="460"/>
      <w:bookmarkEnd w:id="461"/>
      <w:bookmarkEnd w:id="462"/>
      <w:bookmarkEnd w:id="463"/>
      <w:r>
        <w:rPr>
          <w:rFonts w:hint="eastAsia"/>
          <w:sz w:val="21"/>
          <w:szCs w:val="21"/>
          <w:lang w:eastAsia="zh-CN"/>
        </w:rPr>
        <w:t>：</w:t>
      </w:r>
    </w:p>
    <w:p w14:paraId="26F268A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rPr>
        <w:t>项目编号</w:t>
      </w:r>
      <w:r>
        <w:rPr>
          <w:rFonts w:hint="eastAsia"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eastAsia="zh-CN"/>
        </w:rPr>
        <w:t>ZTZXYJSX（GK）DL-2024-22</w:t>
      </w:r>
    </w:p>
    <w:p w14:paraId="1E1BE1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rPr>
        <w:t>项目名称：</w:t>
      </w:r>
      <w:r>
        <w:rPr>
          <w:rFonts w:hint="eastAsia" w:ascii="Times New Roman" w:hAnsi="Times New Roman" w:eastAsia="宋体" w:cs="Times New Roman"/>
          <w:sz w:val="21"/>
          <w:szCs w:val="21"/>
          <w:vertAlign w:val="baseline"/>
          <w:lang w:val="en-US" w:eastAsia="zh-CN"/>
        </w:rPr>
        <w:t>2023年度济宁市对口支援英吉沙县林果产业特色小镇建设项目（农业一二三产融合项目）—英吉沙县智慧化农业体系建设项目（检测设备采购）二次</w:t>
      </w:r>
    </w:p>
    <w:p w14:paraId="0C0279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rPr>
        <w:t>采购方式：</w:t>
      </w:r>
      <w:r>
        <w:rPr>
          <w:rFonts w:hint="eastAsia" w:ascii="Times New Roman" w:hAnsi="Times New Roman" w:eastAsia="宋体" w:cs="Times New Roman"/>
          <w:sz w:val="21"/>
          <w:szCs w:val="21"/>
          <w:vertAlign w:val="baseline"/>
          <w:lang w:val="en-US" w:eastAsia="zh-CN"/>
        </w:rPr>
        <w:t>公开招标</w:t>
      </w:r>
      <w:r>
        <w:rPr>
          <w:rFonts w:hint="eastAsia" w:ascii="Times New Roman" w:hAnsi="Times New Roman" w:eastAsia="宋体" w:cs="Times New Roman"/>
          <w:sz w:val="21"/>
          <w:szCs w:val="21"/>
          <w:vertAlign w:val="baseline"/>
        </w:rPr>
        <w:t xml:space="preserve"> </w:t>
      </w:r>
    </w:p>
    <w:p w14:paraId="3712681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rPr>
        <w:t>预算金额</w:t>
      </w:r>
      <w:r>
        <w:rPr>
          <w:rFonts w:hint="eastAsia" w:ascii="Times New Roman" w:hAnsi="Times New Roman" w:eastAsia="宋体" w:cs="Times New Roman"/>
          <w:sz w:val="21"/>
          <w:szCs w:val="21"/>
          <w:vertAlign w:val="baseline"/>
          <w:lang w:eastAsia="zh-CN"/>
        </w:rPr>
        <w:t>（</w:t>
      </w:r>
      <w:r>
        <w:rPr>
          <w:rFonts w:hint="eastAsia" w:ascii="Times New Roman" w:hAnsi="Times New Roman" w:eastAsia="宋体" w:cs="Times New Roman"/>
          <w:sz w:val="21"/>
          <w:szCs w:val="21"/>
          <w:vertAlign w:val="baseline"/>
          <w:lang w:val="en-US" w:eastAsia="zh-CN"/>
        </w:rPr>
        <w:t>元）</w:t>
      </w:r>
      <w:r>
        <w:rPr>
          <w:rFonts w:hint="eastAsia" w:ascii="Times New Roman" w:hAnsi="Times New Roman" w:eastAsia="宋体" w:cs="Times New Roman"/>
          <w:sz w:val="21"/>
          <w:szCs w:val="21"/>
          <w:vertAlign w:val="baseline"/>
        </w:rPr>
        <w:t>：</w:t>
      </w:r>
      <w:r>
        <w:rPr>
          <w:rFonts w:hint="eastAsia" w:ascii="Times New Roman" w:hAnsi="Times New Roman" w:eastAsia="宋体" w:cs="Times New Roman"/>
          <w:sz w:val="21"/>
          <w:szCs w:val="21"/>
          <w:vertAlign w:val="baseline"/>
          <w:lang w:val="en-US" w:eastAsia="zh-CN"/>
        </w:rPr>
        <w:t>5000000.00元</w:t>
      </w:r>
    </w:p>
    <w:p w14:paraId="1118A61B">
      <w:pPr>
        <w:keepNext w:val="0"/>
        <w:keepLines w:val="0"/>
        <w:pageBreakBefore w:val="0"/>
        <w:widowControl w:val="0"/>
        <w:kinsoku/>
        <w:wordWrap/>
        <w:overflowPunct/>
        <w:topLinePunct w:val="0"/>
        <w:autoSpaceDE/>
        <w:autoSpaceDN/>
        <w:bidi w:val="0"/>
        <w:adjustRightInd/>
        <w:snapToGrid/>
        <w:spacing w:line="460" w:lineRule="exact"/>
        <w:ind w:left="1680" w:hanging="1680" w:hangingChars="800"/>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最高限价（元）：5000000.00元</w:t>
      </w:r>
    </w:p>
    <w:p w14:paraId="4854454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采购需求：</w:t>
      </w:r>
    </w:p>
    <w:p w14:paraId="6840AD2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val="en-US" w:eastAsia="zh-CN"/>
        </w:rPr>
        <w:t>项目名称：2023年度济宁市对口支援英吉沙县林果产业特色小镇建设项目（农业一二三产融合项目）—英吉沙县智慧化农业体系建设项目（检测设备采购）二次</w:t>
      </w:r>
    </w:p>
    <w:p w14:paraId="22CC0C6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预算金额：5000000.00元</w:t>
      </w:r>
    </w:p>
    <w:p w14:paraId="65D1D7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rPr>
        <w:t>简要规格描述或项目基本概况介绍、用途：采购农产品检测设备及相关耗材等一批。</w:t>
      </w:r>
    </w:p>
    <w:p w14:paraId="29A2D4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highlight w:val="none"/>
          <w:vertAlign w:val="baseline"/>
        </w:rPr>
      </w:pPr>
      <w:r>
        <w:rPr>
          <w:rFonts w:hint="eastAsia"/>
          <w:sz w:val="21"/>
          <w:szCs w:val="21"/>
          <w:highlight w:val="none"/>
          <w:vertAlign w:val="baseline"/>
        </w:rPr>
        <w:t>本项目</w:t>
      </w:r>
      <w:r>
        <w:rPr>
          <w:rFonts w:hint="eastAsia"/>
          <w:sz w:val="21"/>
          <w:szCs w:val="21"/>
          <w:highlight w:val="none"/>
          <w:u w:val="single"/>
          <w:vertAlign w:val="baseline"/>
          <w:lang w:val="en-US" w:eastAsia="zh-CN"/>
        </w:rPr>
        <w:t>不</w:t>
      </w:r>
      <w:r>
        <w:rPr>
          <w:rFonts w:hint="eastAsia"/>
          <w:sz w:val="21"/>
          <w:szCs w:val="21"/>
          <w:highlight w:val="none"/>
          <w:vertAlign w:val="baseline"/>
          <w:lang w:val="en-US" w:eastAsia="zh-CN"/>
        </w:rPr>
        <w:t>接受</w:t>
      </w:r>
      <w:r>
        <w:rPr>
          <w:rFonts w:hint="eastAsia"/>
          <w:sz w:val="21"/>
          <w:szCs w:val="21"/>
          <w:highlight w:val="none"/>
          <w:vertAlign w:val="baseline"/>
        </w:rPr>
        <w:t>联合体</w:t>
      </w:r>
      <w:r>
        <w:rPr>
          <w:rFonts w:hint="eastAsia"/>
          <w:sz w:val="21"/>
          <w:szCs w:val="21"/>
          <w:highlight w:val="none"/>
          <w:vertAlign w:val="baseline"/>
          <w:lang w:val="en-US" w:eastAsia="zh-CN"/>
        </w:rPr>
        <w:t>投标</w:t>
      </w:r>
      <w:r>
        <w:rPr>
          <w:rFonts w:hint="eastAsia"/>
          <w:sz w:val="21"/>
          <w:szCs w:val="21"/>
          <w:highlight w:val="none"/>
          <w:vertAlign w:val="baseline"/>
        </w:rPr>
        <w:t>。</w:t>
      </w:r>
    </w:p>
    <w:p w14:paraId="5BB7F6A6">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zCs w:val="21"/>
        </w:rPr>
      </w:pPr>
      <w:r>
        <w:rPr>
          <w:rFonts w:hint="eastAsia"/>
          <w:sz w:val="21"/>
          <w:szCs w:val="21"/>
          <w:vertAlign w:val="baseline"/>
        </w:rPr>
        <w:t>二、申请人的资格要求：</w:t>
      </w:r>
    </w:p>
    <w:p w14:paraId="108CB02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1.满足《中华人民共和国政府采购法》第二十二条规定；</w:t>
      </w:r>
    </w:p>
    <w:p w14:paraId="5A40C4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rPr>
        <w:t>2.落实政府采购政策需满足的资格要求</w:t>
      </w:r>
      <w:r>
        <w:rPr>
          <w:rFonts w:hint="eastAsia" w:ascii="Times New Roman" w:hAnsi="Times New Roman" w:eastAsia="宋体" w:cs="Times New Roman"/>
          <w:sz w:val="21"/>
          <w:szCs w:val="21"/>
          <w:highlight w:val="none"/>
          <w:vertAlign w:val="baseline"/>
        </w:rPr>
        <w:t>：</w:t>
      </w:r>
      <w:r>
        <w:rPr>
          <w:rFonts w:hint="eastAsia" w:ascii="Times New Roman" w:hAnsi="Times New Roman" w:eastAsia="宋体" w:cs="Times New Roman"/>
          <w:color w:val="auto"/>
          <w:sz w:val="21"/>
          <w:szCs w:val="21"/>
          <w:highlight w:val="none"/>
          <w:vertAlign w:val="baseline"/>
          <w:lang w:val="en-US" w:eastAsia="zh-CN"/>
        </w:rPr>
        <w:t>无</w:t>
      </w:r>
      <w:r>
        <w:rPr>
          <w:rFonts w:hint="eastAsia" w:ascii="Times New Roman" w:hAnsi="Times New Roman" w:eastAsia="宋体" w:cs="Times New Roman"/>
          <w:color w:val="auto"/>
          <w:sz w:val="21"/>
          <w:szCs w:val="21"/>
          <w:highlight w:val="none"/>
          <w:vertAlign w:val="baseline"/>
          <w:lang w:eastAsia="zh-CN"/>
        </w:rPr>
        <w:t>。</w:t>
      </w:r>
    </w:p>
    <w:p w14:paraId="429B7B5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3.</w:t>
      </w:r>
      <w:r>
        <w:rPr>
          <w:rFonts w:hint="eastAsia" w:ascii="Times New Roman" w:hAnsi="Times New Roman" w:eastAsia="宋体" w:cs="Times New Roman"/>
          <w:sz w:val="21"/>
          <w:szCs w:val="21"/>
          <w:highlight w:val="none"/>
          <w:vertAlign w:val="baseline"/>
          <w:lang w:eastAsia="zh-CN"/>
        </w:rPr>
        <w:t>本项目的特定资格要求</w:t>
      </w:r>
      <w:r>
        <w:rPr>
          <w:rFonts w:hint="eastAsia" w:ascii="Times New Roman" w:hAnsi="Times New Roman" w:eastAsia="宋体" w:cs="Times New Roman"/>
          <w:sz w:val="21"/>
          <w:szCs w:val="21"/>
          <w:highlight w:val="none"/>
          <w:vertAlign w:val="baseline"/>
          <w:lang w:val="en-US" w:eastAsia="zh-CN"/>
        </w:rPr>
        <w:t>：</w:t>
      </w:r>
    </w:p>
    <w:p w14:paraId="6BE6677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1&gt;</w:t>
      </w:r>
      <w:r>
        <w:rPr>
          <w:rFonts w:hint="eastAsia" w:ascii="Times New Roman" w:hAnsi="Times New Roman" w:eastAsia="宋体" w:cs="Times New Roman"/>
          <w:sz w:val="21"/>
          <w:szCs w:val="21"/>
          <w:highlight w:val="none"/>
          <w:vertAlign w:val="baseline"/>
          <w:lang w:eastAsia="zh-CN"/>
        </w:rPr>
        <w:t>法人或者非法人组织的营业执照等证明文件复印件（须加盖本单位章）或自然人的身份证明复印件；</w:t>
      </w:r>
    </w:p>
    <w:p w14:paraId="6750688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rPr>
        <w:t>2&gt;</w:t>
      </w:r>
      <w:r>
        <w:rPr>
          <w:rFonts w:hint="eastAsia" w:ascii="Times New Roman" w:hAnsi="Times New Roman" w:eastAsia="宋体" w:cs="Times New Roman"/>
          <w:sz w:val="21"/>
          <w:szCs w:val="21"/>
          <w:highlight w:val="none"/>
          <w:vertAlign w:val="baseline"/>
          <w:lang w:eastAsia="zh-CN"/>
        </w:rPr>
        <w:t>法定代表人身份证明或法定代表人授权委托书，自然人响应的无需提供；</w:t>
      </w:r>
    </w:p>
    <w:p w14:paraId="48C844F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3</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2023年度的财务审计报告</w:t>
      </w:r>
      <w:r>
        <w:rPr>
          <w:rFonts w:hint="eastAsia" w:ascii="Times New Roman" w:hAnsi="Times New Roman" w:eastAsia="宋体" w:cs="Times New Roman"/>
          <w:sz w:val="21"/>
          <w:szCs w:val="21"/>
          <w:highlight w:val="none"/>
          <w:vertAlign w:val="baseline"/>
        </w:rPr>
        <w:t>（新成立未满一年的新公司提供近三个月内的银行资信证明）；</w:t>
      </w:r>
    </w:p>
    <w:p w14:paraId="6A1AA0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eastAsia" w:ascii="Times New Roman" w:hAnsi="Times New Roman" w:eastAsia="宋体" w:cs="Times New Roman"/>
          <w:sz w:val="21"/>
          <w:szCs w:val="21"/>
          <w:highlight w:val="none"/>
          <w:vertAlign w:val="baseline"/>
          <w:lang w:val="en-US" w:eastAsia="zh-CN"/>
        </w:rPr>
        <w:t>4</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提供依法缴纳近6个月内任意1个月缴纳社会保障金的证明材料（投标人单位的社保缴费凭证及个人明细表）；</w:t>
      </w:r>
    </w:p>
    <w:p w14:paraId="359EB7A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5</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提供依法缴纳近6个月内任意1个月税收证明（税务部门出具的 完税凭证或缴税证明或银行出具的“银行电子缴税付款凭证”）；注：①若为零申报企业，需提供无欠税证明或国家税务总局电子税务局“申报结果查询截图”。②“税种”非社会保险；</w:t>
      </w:r>
    </w:p>
    <w:p w14:paraId="5254B8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6</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p w14:paraId="29CCC21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eastAsia" w:ascii="Times New Roman" w:hAnsi="Times New Roman" w:eastAsia="宋体" w:cs="Times New Roman"/>
          <w:sz w:val="21"/>
          <w:szCs w:val="21"/>
          <w:highlight w:val="none"/>
          <w:vertAlign w:val="baseline"/>
          <w:lang w:val="en-US" w:eastAsia="zh-CN"/>
        </w:rPr>
        <w:t>7</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rPr>
        <w:t>供应商提供针对本次项目《反商业贿赂承诺书》；</w:t>
      </w:r>
    </w:p>
    <w:p w14:paraId="59A0B33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8</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rPr>
        <w:t>参加政府采购活动前三年内在经营活动中没有重大违法记录的书面声明</w:t>
      </w:r>
      <w:r>
        <w:rPr>
          <w:rFonts w:hint="eastAsia" w:ascii="Times New Roman" w:hAnsi="Times New Roman" w:eastAsia="宋体" w:cs="Times New Roman"/>
          <w:sz w:val="21"/>
          <w:szCs w:val="21"/>
          <w:highlight w:val="none"/>
          <w:vertAlign w:val="baseline"/>
          <w:lang w:eastAsia="zh-CN"/>
        </w:rPr>
        <w:t>；</w:t>
      </w:r>
    </w:p>
    <w:p w14:paraId="7C19BED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bookmarkStart w:id="464" w:name="_Toc27210"/>
      <w:r>
        <w:rPr>
          <w:rFonts w:hint="eastAsia" w:ascii="Times New Roman" w:hAnsi="Times New Roman" w:eastAsia="宋体" w:cs="Times New Roman"/>
          <w:sz w:val="21"/>
          <w:szCs w:val="21"/>
          <w:highlight w:val="none"/>
          <w:vertAlign w:val="baseline"/>
          <w:lang w:val="en-US" w:eastAsia="zh-CN"/>
        </w:rPr>
        <w:t>9</w:t>
      </w:r>
      <w:r>
        <w:rPr>
          <w:rFonts w:hint="default" w:ascii="Times New Roman" w:hAnsi="Times New Roman" w:eastAsia="宋体" w:cs="Times New Roman"/>
          <w:sz w:val="21"/>
          <w:szCs w:val="21"/>
          <w:highlight w:val="none"/>
          <w:vertAlign w:val="baseline"/>
        </w:rPr>
        <w:t>&gt;</w:t>
      </w:r>
      <w:bookmarkEnd w:id="464"/>
      <w:r>
        <w:rPr>
          <w:rFonts w:hint="eastAsia" w:ascii="Times New Roman" w:hAnsi="Times New Roman" w:eastAsia="宋体" w:cs="Times New Roman"/>
          <w:sz w:val="21"/>
          <w:szCs w:val="21"/>
          <w:highlight w:val="none"/>
          <w:vertAlign w:val="baseline"/>
          <w:lang w:eastAsia="zh-CN"/>
        </w:rPr>
        <w:t>提供缴纳投标保证金的有效凭证</w:t>
      </w:r>
    </w:p>
    <w:p w14:paraId="7F405B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rPr>
        <w:t>注：</w:t>
      </w:r>
      <w:r>
        <w:rPr>
          <w:rFonts w:hint="eastAsia" w:ascii="Times New Roman" w:hAnsi="Times New Roman" w:eastAsia="宋体" w:cs="Times New Roman"/>
          <w:sz w:val="21"/>
          <w:szCs w:val="21"/>
          <w:highlight w:val="none"/>
          <w:vertAlign w:val="baseline"/>
          <w:lang w:eastAsia="zh-CN"/>
        </w:rPr>
        <w:t>近六个月是指2024年2月-2024年8月 。</w:t>
      </w:r>
    </w:p>
    <w:p w14:paraId="1F286D3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sz w:val="21"/>
          <w:szCs w:val="21"/>
          <w:highlight w:val="none"/>
          <w:vertAlign w:val="baseline"/>
        </w:rPr>
      </w:pPr>
      <w:r>
        <w:rPr>
          <w:rFonts w:hint="default"/>
          <w:sz w:val="21"/>
          <w:szCs w:val="21"/>
          <w:highlight w:val="none"/>
          <w:vertAlign w:val="baseline"/>
        </w:rPr>
        <w:t>三、获取招标文件</w:t>
      </w:r>
    </w:p>
    <w:p w14:paraId="3403DE8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sz w:val="21"/>
          <w:szCs w:val="21"/>
          <w:highlight w:val="none"/>
          <w:vertAlign w:val="baseline"/>
        </w:rPr>
      </w:pPr>
      <w:r>
        <w:rPr>
          <w:rFonts w:hint="default"/>
          <w:sz w:val="21"/>
          <w:szCs w:val="21"/>
          <w:highlight w:val="none"/>
          <w:vertAlign w:val="baseline"/>
        </w:rPr>
        <w:t>    时间：</w:t>
      </w:r>
      <w:r>
        <w:rPr>
          <w:rFonts w:hint="eastAsia"/>
          <w:sz w:val="21"/>
          <w:szCs w:val="21"/>
          <w:highlight w:val="none"/>
          <w:vertAlign w:val="baseline"/>
          <w:lang w:eastAsia="zh-CN"/>
        </w:rPr>
        <w:t> </w:t>
      </w:r>
      <w:r>
        <w:rPr>
          <w:rFonts w:hint="eastAsia"/>
          <w:color w:val="FF0000"/>
          <w:sz w:val="21"/>
          <w:szCs w:val="21"/>
          <w:highlight w:val="none"/>
          <w:vertAlign w:val="baseline"/>
          <w:lang w:eastAsia="zh-CN"/>
        </w:rPr>
        <w:t>2024年0</w:t>
      </w:r>
      <w:r>
        <w:rPr>
          <w:rFonts w:hint="eastAsia"/>
          <w:color w:val="FF0000"/>
          <w:sz w:val="21"/>
          <w:szCs w:val="21"/>
          <w:highlight w:val="none"/>
          <w:vertAlign w:val="baseline"/>
          <w:lang w:val="en-US" w:eastAsia="zh-CN"/>
        </w:rPr>
        <w:t>8</w:t>
      </w:r>
      <w:r>
        <w:rPr>
          <w:rFonts w:hint="eastAsia"/>
          <w:color w:val="FF0000"/>
          <w:sz w:val="21"/>
          <w:szCs w:val="21"/>
          <w:highlight w:val="none"/>
          <w:vertAlign w:val="baseline"/>
          <w:lang w:eastAsia="zh-CN"/>
        </w:rPr>
        <w:t>月</w:t>
      </w:r>
      <w:r>
        <w:rPr>
          <w:rFonts w:hint="eastAsia"/>
          <w:color w:val="FF0000"/>
          <w:sz w:val="21"/>
          <w:szCs w:val="21"/>
          <w:highlight w:val="none"/>
          <w:vertAlign w:val="baseline"/>
          <w:lang w:val="en-US" w:eastAsia="zh-CN"/>
        </w:rPr>
        <w:t>28</w:t>
      </w:r>
      <w:r>
        <w:rPr>
          <w:rFonts w:hint="eastAsia"/>
          <w:color w:val="FF0000"/>
          <w:sz w:val="21"/>
          <w:szCs w:val="21"/>
          <w:highlight w:val="none"/>
          <w:vertAlign w:val="baseline"/>
          <w:lang w:eastAsia="zh-CN"/>
        </w:rPr>
        <w:t>日  </w:t>
      </w:r>
      <w:r>
        <w:rPr>
          <w:rFonts w:hint="default"/>
          <w:color w:val="FF0000"/>
          <w:sz w:val="21"/>
          <w:szCs w:val="21"/>
          <w:highlight w:val="none"/>
          <w:vertAlign w:val="baseline"/>
        </w:rPr>
        <w:t>至 </w:t>
      </w:r>
      <w:r>
        <w:rPr>
          <w:rFonts w:hint="eastAsia"/>
          <w:color w:val="FF0000"/>
          <w:sz w:val="21"/>
          <w:szCs w:val="21"/>
          <w:highlight w:val="none"/>
          <w:vertAlign w:val="baseline"/>
          <w:lang w:eastAsia="zh-CN"/>
        </w:rPr>
        <w:t> 2024年0</w:t>
      </w:r>
      <w:r>
        <w:rPr>
          <w:rFonts w:hint="eastAsia"/>
          <w:color w:val="FF0000"/>
          <w:sz w:val="21"/>
          <w:szCs w:val="21"/>
          <w:highlight w:val="none"/>
          <w:vertAlign w:val="baseline"/>
          <w:lang w:val="en-US" w:eastAsia="zh-CN"/>
        </w:rPr>
        <w:t>9</w:t>
      </w:r>
      <w:r>
        <w:rPr>
          <w:rFonts w:hint="eastAsia"/>
          <w:color w:val="FF0000"/>
          <w:sz w:val="21"/>
          <w:szCs w:val="21"/>
          <w:highlight w:val="none"/>
          <w:vertAlign w:val="baseline"/>
          <w:lang w:eastAsia="zh-CN"/>
        </w:rPr>
        <w:t>月</w:t>
      </w:r>
      <w:r>
        <w:rPr>
          <w:rFonts w:hint="eastAsia"/>
          <w:color w:val="FF0000"/>
          <w:sz w:val="21"/>
          <w:szCs w:val="21"/>
          <w:highlight w:val="none"/>
          <w:vertAlign w:val="baseline"/>
          <w:lang w:val="en-US" w:eastAsia="zh-CN"/>
        </w:rPr>
        <w:t>4</w:t>
      </w:r>
      <w:r>
        <w:rPr>
          <w:rFonts w:hint="eastAsia"/>
          <w:color w:val="FF0000"/>
          <w:sz w:val="21"/>
          <w:szCs w:val="21"/>
          <w:highlight w:val="none"/>
          <w:vertAlign w:val="baseline"/>
          <w:lang w:eastAsia="zh-CN"/>
        </w:rPr>
        <w:t>日</w:t>
      </w:r>
      <w:r>
        <w:rPr>
          <w:rFonts w:hint="eastAsia"/>
          <w:sz w:val="21"/>
          <w:szCs w:val="21"/>
          <w:highlight w:val="none"/>
          <w:vertAlign w:val="baseline"/>
          <w:lang w:eastAsia="zh-CN"/>
        </w:rPr>
        <w:t>  </w:t>
      </w:r>
      <w:r>
        <w:rPr>
          <w:rFonts w:hint="default"/>
          <w:sz w:val="21"/>
          <w:szCs w:val="21"/>
          <w:highlight w:val="none"/>
          <w:vertAlign w:val="baseline"/>
        </w:rPr>
        <w:t> ，每天上午 10</w:t>
      </w:r>
      <w:r>
        <w:rPr>
          <w:rFonts w:hint="eastAsia"/>
          <w:sz w:val="21"/>
          <w:szCs w:val="21"/>
          <w:highlight w:val="none"/>
          <w:vertAlign w:val="baseline"/>
          <w:lang w:eastAsia="zh-CN"/>
        </w:rPr>
        <w:t>：</w:t>
      </w:r>
      <w:r>
        <w:rPr>
          <w:rFonts w:hint="default"/>
          <w:sz w:val="21"/>
          <w:szCs w:val="21"/>
          <w:highlight w:val="none"/>
          <w:vertAlign w:val="baseline"/>
        </w:rPr>
        <w:t>00至1</w:t>
      </w:r>
      <w:r>
        <w:rPr>
          <w:rFonts w:hint="eastAsia"/>
          <w:sz w:val="21"/>
          <w:szCs w:val="21"/>
          <w:highlight w:val="none"/>
          <w:vertAlign w:val="baseline"/>
          <w:lang w:val="en-US" w:eastAsia="zh-CN"/>
        </w:rPr>
        <w:t>4</w:t>
      </w:r>
      <w:r>
        <w:rPr>
          <w:rFonts w:hint="eastAsia"/>
          <w:sz w:val="21"/>
          <w:szCs w:val="21"/>
          <w:highlight w:val="none"/>
          <w:vertAlign w:val="baseline"/>
          <w:lang w:eastAsia="zh-CN"/>
        </w:rPr>
        <w:t>：</w:t>
      </w:r>
      <w:r>
        <w:rPr>
          <w:rFonts w:hint="eastAsia"/>
          <w:sz w:val="21"/>
          <w:szCs w:val="21"/>
          <w:highlight w:val="none"/>
          <w:vertAlign w:val="baseline"/>
          <w:lang w:val="en-US" w:eastAsia="zh-CN"/>
        </w:rPr>
        <w:t>0</w:t>
      </w:r>
      <w:r>
        <w:rPr>
          <w:rFonts w:hint="default"/>
          <w:sz w:val="21"/>
          <w:szCs w:val="21"/>
          <w:highlight w:val="none"/>
          <w:vertAlign w:val="baseline"/>
        </w:rPr>
        <w:t>0 ，下午  16</w:t>
      </w:r>
      <w:r>
        <w:rPr>
          <w:rFonts w:hint="eastAsia"/>
          <w:sz w:val="21"/>
          <w:szCs w:val="21"/>
          <w:highlight w:val="none"/>
          <w:vertAlign w:val="baseline"/>
          <w:lang w:eastAsia="zh-CN"/>
        </w:rPr>
        <w:t>：</w:t>
      </w:r>
      <w:r>
        <w:rPr>
          <w:rFonts w:hint="eastAsia"/>
          <w:sz w:val="21"/>
          <w:szCs w:val="21"/>
          <w:highlight w:val="none"/>
          <w:vertAlign w:val="baseline"/>
          <w:lang w:val="en-US" w:eastAsia="zh-CN"/>
        </w:rPr>
        <w:t>0</w:t>
      </w:r>
      <w:r>
        <w:rPr>
          <w:rFonts w:hint="default"/>
          <w:sz w:val="21"/>
          <w:szCs w:val="21"/>
          <w:highlight w:val="none"/>
          <w:vertAlign w:val="baseline"/>
        </w:rPr>
        <w:t>0至</w:t>
      </w:r>
      <w:r>
        <w:rPr>
          <w:rFonts w:hint="eastAsia"/>
          <w:sz w:val="21"/>
          <w:szCs w:val="21"/>
          <w:highlight w:val="none"/>
          <w:vertAlign w:val="baseline"/>
          <w:lang w:val="en-US" w:eastAsia="zh-CN"/>
        </w:rPr>
        <w:t>20</w:t>
      </w:r>
      <w:r>
        <w:rPr>
          <w:rFonts w:hint="eastAsia"/>
          <w:sz w:val="21"/>
          <w:szCs w:val="21"/>
          <w:highlight w:val="none"/>
          <w:vertAlign w:val="baseline"/>
          <w:lang w:eastAsia="zh-CN"/>
        </w:rPr>
        <w:t>：</w:t>
      </w:r>
      <w:r>
        <w:rPr>
          <w:rFonts w:hint="eastAsia"/>
          <w:sz w:val="21"/>
          <w:szCs w:val="21"/>
          <w:highlight w:val="none"/>
          <w:vertAlign w:val="baseline"/>
          <w:lang w:val="en-US" w:eastAsia="zh-CN"/>
        </w:rPr>
        <w:t>0</w:t>
      </w:r>
      <w:r>
        <w:rPr>
          <w:rFonts w:hint="default"/>
          <w:sz w:val="21"/>
          <w:szCs w:val="21"/>
          <w:highlight w:val="none"/>
          <w:vertAlign w:val="baseline"/>
        </w:rPr>
        <w:t>0 （北京时间，法定节假日除外）</w:t>
      </w:r>
    </w:p>
    <w:p w14:paraId="7971593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xml:space="preserve">    </w:t>
      </w:r>
      <w:r>
        <w:rPr>
          <w:rFonts w:hint="eastAsia"/>
          <w:sz w:val="21"/>
          <w:szCs w:val="21"/>
          <w:highlight w:val="none"/>
          <w:vertAlign w:val="baseline"/>
          <w:lang w:val="en-US" w:eastAsia="zh-CN"/>
        </w:rPr>
        <w:t xml:space="preserve"> </w:t>
      </w:r>
      <w:r>
        <w:rPr>
          <w:rFonts w:hint="default"/>
          <w:sz w:val="21"/>
          <w:szCs w:val="21"/>
          <w:highlight w:val="none"/>
          <w:vertAlign w:val="baseline"/>
        </w:rPr>
        <w:t xml:space="preserve">地点：  政采云平台线上获取     </w:t>
      </w:r>
    </w:p>
    <w:p w14:paraId="7D42BEE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default"/>
          <w:sz w:val="21"/>
          <w:szCs w:val="21"/>
          <w:highlight w:val="none"/>
          <w:vertAlign w:val="baseline"/>
        </w:rPr>
        <w:t>方式：供应商登录政采云平台https</w:t>
      </w:r>
      <w:r>
        <w:rPr>
          <w:rFonts w:hint="eastAsia"/>
          <w:sz w:val="21"/>
          <w:szCs w:val="21"/>
          <w:highlight w:val="none"/>
          <w:vertAlign w:val="baseline"/>
          <w:lang w:eastAsia="zh-CN"/>
        </w:rPr>
        <w:t>：</w:t>
      </w:r>
      <w:r>
        <w:rPr>
          <w:rFonts w:hint="default"/>
          <w:sz w:val="21"/>
          <w:szCs w:val="21"/>
          <w:highlight w:val="none"/>
          <w:vertAlign w:val="baseline"/>
        </w:rPr>
        <w:t>//www.zcygov.cn/在线申请获取采购文件（进入“项目采购”应用，在获取采购文件菜单中选择项目，申请获取采购文件）</w:t>
      </w:r>
    </w:p>
    <w:p w14:paraId="6DC5D3E0">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eastAsia="宋体"/>
          <w:sz w:val="21"/>
          <w:szCs w:val="21"/>
          <w:highlight w:val="none"/>
          <w:vertAlign w:val="baseline"/>
          <w:lang w:eastAsia="zh-CN"/>
        </w:rPr>
      </w:pPr>
      <w:r>
        <w:rPr>
          <w:rFonts w:hint="default"/>
          <w:sz w:val="21"/>
          <w:szCs w:val="21"/>
          <w:highlight w:val="none"/>
          <w:vertAlign w:val="baseline"/>
        </w:rPr>
        <w:t>售价（元）： </w:t>
      </w:r>
      <w:r>
        <w:rPr>
          <w:rFonts w:hint="eastAsia"/>
          <w:sz w:val="21"/>
          <w:szCs w:val="21"/>
          <w:highlight w:val="none"/>
          <w:vertAlign w:val="baseline"/>
          <w:lang w:val="en-US" w:eastAsia="zh-CN"/>
        </w:rPr>
        <w:t>0</w:t>
      </w:r>
    </w:p>
    <w:p w14:paraId="585BCB6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1"/>
          <w:szCs w:val="21"/>
          <w:highlight w:val="none"/>
          <w:vertAlign w:val="baseline"/>
        </w:rPr>
      </w:pPr>
      <w:r>
        <w:rPr>
          <w:rFonts w:hint="default"/>
          <w:sz w:val="21"/>
          <w:szCs w:val="21"/>
          <w:highlight w:val="none"/>
          <w:vertAlign w:val="baseline"/>
        </w:rPr>
        <w:t>四、提交投标文件截止时间、开标时间和地点</w:t>
      </w:r>
    </w:p>
    <w:p w14:paraId="0E3063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sz w:val="21"/>
          <w:szCs w:val="21"/>
          <w:highlight w:val="none"/>
          <w:vertAlign w:val="baseline"/>
          <w:lang w:val="en-US" w:eastAsia="zh-CN"/>
        </w:rPr>
      </w:pPr>
      <w:r>
        <w:rPr>
          <w:rFonts w:hint="default"/>
          <w:sz w:val="21"/>
          <w:szCs w:val="21"/>
          <w:highlight w:val="none"/>
          <w:vertAlign w:val="baseline"/>
        </w:rPr>
        <w:t xml:space="preserve">    </w:t>
      </w:r>
      <w:r>
        <w:rPr>
          <w:rFonts w:hint="eastAsia"/>
          <w:sz w:val="21"/>
          <w:szCs w:val="21"/>
          <w:highlight w:val="none"/>
          <w:vertAlign w:val="baseline"/>
          <w:lang w:val="en-US" w:eastAsia="zh-CN"/>
        </w:rPr>
        <w:t xml:space="preserve"> 提交投标文件截止时间： 2024年09月13日12：00时（北京时间）</w:t>
      </w:r>
    </w:p>
    <w:p w14:paraId="425989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投标地点：请登录政采云投标客户端投标</w:t>
      </w:r>
    </w:p>
    <w:p w14:paraId="6F27A3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开标时间： 2024年09月13日12：00时（北京时间）</w:t>
      </w:r>
    </w:p>
    <w:p w14:paraId="009260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sz w:val="21"/>
          <w:szCs w:val="21"/>
          <w:highlight w:val="none"/>
          <w:vertAlign w:val="baseline"/>
        </w:rPr>
      </w:pPr>
      <w:r>
        <w:rPr>
          <w:rFonts w:hint="eastAsia"/>
          <w:sz w:val="21"/>
          <w:szCs w:val="21"/>
          <w:highlight w:val="none"/>
          <w:vertAlign w:val="baseline"/>
          <w:lang w:val="en-US" w:eastAsia="zh-CN"/>
        </w:rPr>
        <w:t>开标地点：投标人登录政采云平台https：//www.zcygov.cn/，进入“项目采购-开标评标-右边选择对应项目点击“进入项目”进入开标大厅。</w:t>
      </w:r>
      <w:r>
        <w:rPr>
          <w:rFonts w:hint="default"/>
          <w:sz w:val="21"/>
          <w:szCs w:val="21"/>
          <w:highlight w:val="none"/>
          <w:vertAlign w:val="baseline"/>
        </w:rPr>
        <w:t> </w:t>
      </w:r>
    </w:p>
    <w:p w14:paraId="51F7BF3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五、公告期限</w:t>
      </w:r>
    </w:p>
    <w:p w14:paraId="6B6D20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自本公告发布之日起5个工作日。</w:t>
      </w:r>
    </w:p>
    <w:p w14:paraId="7EE2D2B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六、其他补充事项</w:t>
      </w:r>
    </w:p>
    <w:p w14:paraId="6FFDBA4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2FC8F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2.本项目实行网上投标，采用电子响应文件(供应商须使用CA加密设备通过政采云电子投标客户端制作响应文件)。若供应商参与投标，自行承担投标一切费用。</w:t>
      </w:r>
    </w:p>
    <w:p w14:paraId="5172CF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43DE9AB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4.供应商将政采云电子交易客户端下载、安装完成后，可通过账号密码或CA登录客户端进行响应文件制作。在使用政采云投标客户端时，建议使用WIN7及以上操作系统。客户端请至新疆政府采购网（http</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//www.ccgp-xinjiang.gov.cn/）下载专区查看，如有问题可拨打政采云客户服务热线400-881-7190进行咨询。</w:t>
      </w:r>
    </w:p>
    <w:p w14:paraId="797EF5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5.供应商在开标时须使用制作加密电子响应文件所使用的CA锁及电脑，电脑须提前配置好浏览器（建议使用谷歌浏览器或360浏览器），以便开标时解锁。</w:t>
      </w:r>
    </w:p>
    <w:p w14:paraId="1DFB0E0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6.投标保证金缴纳及确认时间：凡拟参加本次招标项目的供应商，必须在开标前将投标保证金汇入指定账户。投标保证金汇款凭证上用途栏应注明</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招标项目名称+标项号+投标保证金。否则，届时其投标将被拒绝。</w:t>
      </w:r>
    </w:p>
    <w:p w14:paraId="1521E73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7.供应商对不见面开评标系统的技术操作咨询，可通过https</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//edu.zcygov.cn/luban/xinjiang-e-biding自助查询，也可在政采云帮助中心常见问题解答和操作流程讲解视频中自助查询，网址为：https</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6EE866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特别提示：</w:t>
      </w:r>
    </w:p>
    <w:p w14:paraId="0D0EAE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7A4319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302D3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sz w:val="21"/>
          <w:szCs w:val="21"/>
          <w:highlight w:val="none"/>
          <w:vertAlign w:val="baseline"/>
          <w:lang w:val="en-US"/>
        </w:rPr>
      </w:pPr>
      <w:r>
        <w:rPr>
          <w:rFonts w:hint="default" w:ascii="Times New Roman" w:hAnsi="Times New Roman" w:eastAsia="宋体" w:cs="Times New Roman"/>
          <w:kern w:val="2"/>
          <w:sz w:val="21"/>
          <w:szCs w:val="21"/>
          <w:highlight w:val="none"/>
          <w:vertAlign w:val="baseli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7C194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1"/>
          <w:szCs w:val="21"/>
          <w:highlight w:val="none"/>
          <w:vertAlign w:val="baseline"/>
        </w:rPr>
      </w:pPr>
      <w:r>
        <w:rPr>
          <w:rFonts w:hint="eastAsia"/>
          <w:sz w:val="21"/>
          <w:szCs w:val="21"/>
          <w:highlight w:val="none"/>
          <w:vertAlign w:val="baseline"/>
          <w:lang w:val="en-US" w:eastAsia="zh-CN"/>
        </w:rPr>
        <w:t>七</w:t>
      </w:r>
      <w:r>
        <w:rPr>
          <w:rFonts w:hint="default"/>
          <w:sz w:val="21"/>
          <w:szCs w:val="21"/>
          <w:highlight w:val="none"/>
          <w:vertAlign w:val="baseline"/>
        </w:rPr>
        <w:t>、对本次采购提出询问，请按以下方式联系　　　　　　　　　　　　</w:t>
      </w:r>
    </w:p>
    <w:p w14:paraId="6BF2791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sz w:val="21"/>
          <w:szCs w:val="21"/>
          <w:highlight w:val="none"/>
          <w:vertAlign w:val="baseline"/>
        </w:rPr>
      </w:pPr>
      <w:r>
        <w:rPr>
          <w:rFonts w:hint="default"/>
          <w:sz w:val="21"/>
          <w:szCs w:val="21"/>
          <w:highlight w:val="none"/>
          <w:vertAlign w:val="baseline"/>
        </w:rPr>
        <w:t>   1.采购人信息</w:t>
      </w:r>
    </w:p>
    <w:p w14:paraId="2854F9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名    称：</w:t>
      </w:r>
      <w:r>
        <w:rPr>
          <w:rFonts w:hint="eastAsia"/>
          <w:sz w:val="21"/>
          <w:szCs w:val="21"/>
          <w:highlight w:val="none"/>
          <w:vertAlign w:val="baseline"/>
          <w:lang w:eastAsia="zh-CN"/>
        </w:rPr>
        <w:t>英吉沙县农业农村局</w:t>
      </w:r>
      <w:r>
        <w:rPr>
          <w:rFonts w:hint="default"/>
          <w:sz w:val="21"/>
          <w:szCs w:val="21"/>
          <w:highlight w:val="none"/>
          <w:vertAlign w:val="baseline"/>
        </w:rPr>
        <w:t> 　　　　　　　　</w:t>
      </w:r>
    </w:p>
    <w:p w14:paraId="2C57F3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地    址：</w:t>
      </w:r>
      <w:r>
        <w:rPr>
          <w:rFonts w:hint="eastAsia"/>
          <w:sz w:val="21"/>
          <w:szCs w:val="21"/>
          <w:highlight w:val="none"/>
          <w:vertAlign w:val="baseline"/>
          <w:lang w:eastAsia="zh-CN"/>
        </w:rPr>
        <w:t>英吉沙县农业农村局 </w:t>
      </w:r>
      <w:r>
        <w:rPr>
          <w:rFonts w:hint="default"/>
          <w:sz w:val="21"/>
          <w:szCs w:val="21"/>
          <w:highlight w:val="none"/>
          <w:vertAlign w:val="baseline"/>
        </w:rPr>
        <w:t xml:space="preserve">       </w:t>
      </w:r>
    </w:p>
    <w:p w14:paraId="5F7A3B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项目联系人：</w:t>
      </w:r>
      <w:r>
        <w:rPr>
          <w:rFonts w:hint="eastAsia"/>
          <w:sz w:val="21"/>
          <w:szCs w:val="21"/>
          <w:highlight w:val="none"/>
          <w:vertAlign w:val="baseline"/>
          <w:lang w:val="en-US" w:eastAsia="zh-CN"/>
        </w:rPr>
        <w:t>赵建峰</w:t>
      </w:r>
      <w:r>
        <w:rPr>
          <w:rFonts w:hint="default"/>
          <w:sz w:val="21"/>
          <w:szCs w:val="21"/>
          <w:highlight w:val="none"/>
          <w:vertAlign w:val="baseline"/>
        </w:rPr>
        <w:t xml:space="preserve">      　　　　　　</w:t>
      </w:r>
    </w:p>
    <w:p w14:paraId="79C994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eastAsia" w:eastAsiaTheme="minorEastAsia"/>
          <w:sz w:val="21"/>
          <w:szCs w:val="21"/>
          <w:highlight w:val="none"/>
          <w:vertAlign w:val="baseline"/>
          <w:lang w:eastAsia="zh-CN"/>
        </w:rPr>
      </w:pPr>
      <w:r>
        <w:rPr>
          <w:rFonts w:hint="default"/>
          <w:sz w:val="21"/>
          <w:szCs w:val="21"/>
          <w:highlight w:val="none"/>
          <w:vertAlign w:val="baseline"/>
        </w:rPr>
        <w:t>　项目联系方式： </w:t>
      </w:r>
      <w:r>
        <w:rPr>
          <w:rFonts w:hint="eastAsia"/>
          <w:sz w:val="21"/>
          <w:szCs w:val="21"/>
          <w:highlight w:val="none"/>
          <w:vertAlign w:val="baseline"/>
          <w:lang w:val="en-US" w:eastAsia="zh-CN"/>
        </w:rPr>
        <w:t>15886887597</w:t>
      </w:r>
      <w:r>
        <w:rPr>
          <w:rFonts w:hint="default"/>
          <w:sz w:val="21"/>
          <w:szCs w:val="21"/>
          <w:highlight w:val="none"/>
          <w:vertAlign w:val="baseline"/>
        </w:rPr>
        <w:t>　　　　　　　　</w:t>
      </w:r>
    </w:p>
    <w:p w14:paraId="39C5EB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w:t>
      </w:r>
      <w:r>
        <w:rPr>
          <w:rFonts w:hint="eastAsia"/>
          <w:sz w:val="21"/>
          <w:szCs w:val="21"/>
          <w:highlight w:val="none"/>
          <w:vertAlign w:val="baseline"/>
          <w:lang w:val="en-US" w:eastAsia="zh-CN"/>
        </w:rPr>
        <w:t xml:space="preserve">    </w:t>
      </w:r>
      <w:r>
        <w:rPr>
          <w:rFonts w:hint="default"/>
          <w:sz w:val="21"/>
          <w:szCs w:val="21"/>
          <w:highlight w:val="none"/>
          <w:vertAlign w:val="baseline"/>
        </w:rPr>
        <w:t>2.采购代理机构信息</w:t>
      </w:r>
    </w:p>
    <w:p w14:paraId="0D91093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名    称： </w:t>
      </w:r>
      <w:r>
        <w:rPr>
          <w:rFonts w:hint="eastAsia"/>
          <w:sz w:val="21"/>
          <w:szCs w:val="21"/>
          <w:highlight w:val="none"/>
          <w:vertAlign w:val="baseline"/>
          <w:lang w:eastAsia="zh-CN"/>
        </w:rPr>
        <w:t>新疆中泰正信项目管理有限公司</w:t>
      </w:r>
      <w:r>
        <w:rPr>
          <w:rFonts w:hint="default"/>
          <w:sz w:val="21"/>
          <w:szCs w:val="21"/>
          <w:highlight w:val="none"/>
          <w:vertAlign w:val="baseline"/>
        </w:rPr>
        <w:t> 　　　　　　　　　　　</w:t>
      </w:r>
    </w:p>
    <w:p w14:paraId="0A580A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地    址： </w:t>
      </w:r>
      <w:r>
        <w:rPr>
          <w:rFonts w:hint="eastAsia"/>
          <w:sz w:val="21"/>
          <w:szCs w:val="21"/>
          <w:highlight w:val="none"/>
          <w:vertAlign w:val="baseline"/>
          <w:lang w:eastAsia="zh-CN"/>
        </w:rPr>
        <w:t>新疆喀什地区英吉沙县光明路新城商业街1号楼2-1号</w:t>
      </w:r>
      <w:r>
        <w:rPr>
          <w:rFonts w:hint="default"/>
          <w:sz w:val="21"/>
          <w:szCs w:val="21"/>
          <w:highlight w:val="none"/>
          <w:vertAlign w:val="baseline"/>
        </w:rPr>
        <w:t> 　   </w:t>
      </w:r>
    </w:p>
    <w:p w14:paraId="451E7C2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48" w:firstLineChars="404"/>
        <w:textAlignment w:val="auto"/>
        <w:rPr>
          <w:rFonts w:hint="default"/>
          <w:sz w:val="21"/>
          <w:szCs w:val="21"/>
          <w:highlight w:val="none"/>
          <w:vertAlign w:val="baseline"/>
        </w:rPr>
      </w:pPr>
      <w:r>
        <w:rPr>
          <w:rFonts w:hint="default"/>
          <w:sz w:val="21"/>
          <w:szCs w:val="21"/>
          <w:highlight w:val="none"/>
          <w:vertAlign w:val="baseline"/>
        </w:rPr>
        <w:t>项目联系人：</w:t>
      </w:r>
      <w:r>
        <w:rPr>
          <w:rFonts w:hint="eastAsia"/>
          <w:sz w:val="21"/>
          <w:szCs w:val="21"/>
          <w:highlight w:val="none"/>
          <w:vertAlign w:val="baseline"/>
          <w:lang w:eastAsia="zh-CN"/>
        </w:rPr>
        <w:t>苏贺</w:t>
      </w:r>
      <w:r>
        <w:rPr>
          <w:rFonts w:hint="default"/>
          <w:sz w:val="21"/>
          <w:szCs w:val="21"/>
          <w:highlight w:val="none"/>
          <w:vertAlign w:val="baseline"/>
        </w:rPr>
        <w:t> 　   　　　　　　</w:t>
      </w:r>
    </w:p>
    <w:p w14:paraId="5233FC2F">
      <w:pPr>
        <w:keepNext w:val="0"/>
        <w:keepLines w:val="0"/>
        <w:pageBreakBefore w:val="0"/>
        <w:widowControl w:val="0"/>
        <w:kinsoku/>
        <w:wordWrap/>
        <w:overflowPunct/>
        <w:topLinePunct w:val="0"/>
        <w:autoSpaceDE/>
        <w:autoSpaceDN/>
        <w:bidi w:val="0"/>
        <w:adjustRightInd/>
        <w:snapToGrid/>
        <w:spacing w:line="460" w:lineRule="exact"/>
        <w:ind w:left="0" w:leftChars="0" w:firstLine="848" w:firstLineChars="404"/>
        <w:textAlignment w:val="auto"/>
        <w:rPr>
          <w:rFonts w:hint="eastAsia" w:ascii="宋体" w:hAnsi="宋体" w:eastAsia="宋体" w:cs="宋体"/>
          <w:szCs w:val="21"/>
          <w:highlight w:val="none"/>
          <w:lang w:val="en-US" w:eastAsia="zh-CN"/>
        </w:rPr>
      </w:pPr>
      <w:r>
        <w:rPr>
          <w:rFonts w:hint="default"/>
          <w:sz w:val="21"/>
          <w:szCs w:val="21"/>
          <w:highlight w:val="none"/>
          <w:vertAlign w:val="baseline"/>
        </w:rPr>
        <w:t>项目联系方式： </w:t>
      </w:r>
      <w:r>
        <w:rPr>
          <w:rFonts w:hint="eastAsia"/>
          <w:sz w:val="21"/>
          <w:szCs w:val="21"/>
          <w:highlight w:val="none"/>
          <w:vertAlign w:val="baseline"/>
          <w:lang w:eastAsia="zh-CN"/>
        </w:rPr>
        <w:t>15026328789</w:t>
      </w:r>
    </w:p>
    <w:p w14:paraId="4AB7DD04">
      <w:pPr>
        <w:spacing w:line="240" w:lineRule="atLeast"/>
        <w:ind w:firstLine="482" w:firstLineChars="150"/>
        <w:jc w:val="center"/>
        <w:rPr>
          <w:rFonts w:hint="eastAsia" w:ascii="仿宋_GB2312" w:eastAsia="仿宋_GB2312"/>
          <w:b/>
          <w:kern w:val="44"/>
          <w:sz w:val="32"/>
          <w:szCs w:val="20"/>
          <w:highlight w:val="none"/>
          <w:lang w:val="en-US" w:eastAsia="zh-CN" w:bidi="ar-SA"/>
        </w:rPr>
      </w:pPr>
    </w:p>
    <w:p w14:paraId="6A9FF602">
      <w:pPr>
        <w:spacing w:line="240" w:lineRule="atLeast"/>
        <w:ind w:firstLine="482" w:firstLineChars="150"/>
        <w:jc w:val="center"/>
        <w:outlineLvl w:val="0"/>
        <w:rPr>
          <w:rFonts w:hint="eastAsia" w:ascii="仿宋_GB2312" w:eastAsia="仿宋_GB2312"/>
        </w:rPr>
      </w:pPr>
      <w:r>
        <w:rPr>
          <w:rFonts w:hint="eastAsia" w:ascii="仿宋_GB2312" w:eastAsia="仿宋_GB2312"/>
          <w:b/>
          <w:kern w:val="44"/>
          <w:sz w:val="32"/>
          <w:szCs w:val="20"/>
          <w:highlight w:val="none"/>
          <w:lang w:val="en-US" w:eastAsia="zh-CN" w:bidi="ar-SA"/>
        </w:rPr>
        <w:br w:type="page"/>
      </w:r>
      <w:bookmarkStart w:id="465" w:name="_Toc1921"/>
      <w:r>
        <w:rPr>
          <w:rFonts w:hint="eastAsia" w:ascii="宋体" w:hAnsi="宋体" w:eastAsia="宋体" w:cs="宋体"/>
          <w:b/>
          <w:kern w:val="44"/>
          <w:sz w:val="32"/>
          <w:szCs w:val="20"/>
          <w:lang w:val="en-US" w:eastAsia="zh-CN" w:bidi="ar-SA"/>
        </w:rPr>
        <w:t>第4章 投标人须知资料表</w:t>
      </w:r>
      <w:bookmarkEnd w:id="459"/>
      <w:bookmarkEnd w:id="465"/>
    </w:p>
    <w:p w14:paraId="513F0C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的具体资料，是对投标人须知的具体补充和修改，如有矛盾，应以本资料表为准。</w:t>
      </w:r>
    </w:p>
    <w:tbl>
      <w:tblPr>
        <w:tblStyle w:val="19"/>
        <w:tblW w:w="8567"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0"/>
        <w:gridCol w:w="7307"/>
      </w:tblGrid>
      <w:tr w14:paraId="3C30A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020345D2">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条款号</w:t>
            </w:r>
          </w:p>
        </w:tc>
        <w:tc>
          <w:tcPr>
            <w:tcW w:w="7307" w:type="dxa"/>
            <w:noWrap w:val="0"/>
            <w:vAlign w:val="center"/>
          </w:tcPr>
          <w:p w14:paraId="68C105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      容</w:t>
            </w:r>
          </w:p>
        </w:tc>
      </w:tr>
      <w:tr w14:paraId="7AA19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7EF399D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7307" w:type="dxa"/>
            <w:noWrap w:val="0"/>
            <w:vAlign w:val="center"/>
          </w:tcPr>
          <w:p w14:paraId="3FBC11C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 购 人：</w:t>
            </w:r>
            <w:r>
              <w:rPr>
                <w:rFonts w:hint="eastAsia" w:ascii="方正仿宋_GBK" w:hAnsi="方正仿宋_GBK" w:eastAsia="方正仿宋_GBK" w:cs="方正仿宋_GBK"/>
                <w:i w:val="0"/>
                <w:iCs w:val="0"/>
                <w:snapToGrid w:val="0"/>
                <w:color w:val="000000"/>
                <w:kern w:val="0"/>
                <w:sz w:val="24"/>
                <w:szCs w:val="24"/>
                <w:u w:val="none"/>
                <w:lang w:val="en-US" w:eastAsia="zh-CN" w:bidi="ar"/>
              </w:rPr>
              <w:t>英吉沙县农业农村局</w:t>
            </w:r>
            <w:r>
              <w:rPr>
                <w:rFonts w:hint="eastAsia" w:ascii="方正仿宋_GBK" w:hAnsi="方正仿宋_GBK" w:eastAsia="方正仿宋_GBK" w:cs="方正仿宋_GBK"/>
                <w:sz w:val="24"/>
                <w:szCs w:val="24"/>
                <w:lang w:val="en-US" w:eastAsia="zh-CN"/>
              </w:rPr>
              <w:t xml:space="preserve">　　　　　 </w:t>
            </w:r>
          </w:p>
          <w:p w14:paraId="00BA3B2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联 系 人：赵建峰</w:t>
            </w:r>
          </w:p>
          <w:p w14:paraId="64EDF16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电    话：15886887597 </w:t>
            </w:r>
          </w:p>
        </w:tc>
      </w:tr>
      <w:tr w14:paraId="5046C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0537897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7307" w:type="dxa"/>
            <w:noWrap w:val="0"/>
            <w:vAlign w:val="center"/>
          </w:tcPr>
          <w:p w14:paraId="40C3A711">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名称：新疆中泰正信项目管理有限公司</w:t>
            </w:r>
          </w:p>
          <w:p w14:paraId="70E77983">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地址：新疆喀什地区英吉沙县光明路新城商业街1号楼2-1号</w:t>
            </w:r>
          </w:p>
          <w:p w14:paraId="5F96D079">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联系人：苏贺</w:t>
            </w:r>
          </w:p>
          <w:p w14:paraId="7456B5F3">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电话：15026328789</w:t>
            </w:r>
          </w:p>
        </w:tc>
      </w:tr>
      <w:tr w14:paraId="6E3C9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1260" w:type="dxa"/>
            <w:noWrap w:val="0"/>
            <w:vAlign w:val="center"/>
          </w:tcPr>
          <w:p w14:paraId="43B5C7D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1.3.4</w:t>
            </w:r>
          </w:p>
        </w:tc>
        <w:tc>
          <w:tcPr>
            <w:tcW w:w="7307" w:type="dxa"/>
            <w:noWrap w:val="0"/>
            <w:vAlign w:val="center"/>
          </w:tcPr>
          <w:p w14:paraId="37F1D70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合格投标人资格要求：投标人必须满足《中华人民共和国政府采购法》第二十二条。</w:t>
            </w:r>
          </w:p>
          <w:p w14:paraId="63F3745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申请人的资格要求：</w:t>
            </w:r>
          </w:p>
          <w:p w14:paraId="4958C2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1&gt;法人或者非法人组织的营业执照等证明文件复印件（须加盖本单位章）或自然人的身份证明复印件；</w:t>
            </w:r>
          </w:p>
          <w:p w14:paraId="3DD63E6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2&gt;法定代表人身份证明或法定代表人授权委托书，自然人响应的无需提供；</w:t>
            </w:r>
          </w:p>
          <w:p w14:paraId="4373DC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3&gt;2023年度的财务审计报告（新成立未满一年的新公司提供近三个月内的银行资信证明）；</w:t>
            </w:r>
          </w:p>
          <w:p w14:paraId="2CD269F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4&gt;提供依法缴纳近6个月内任意1个月缴纳社会保障金的证明材料（投标人单位的社保缴费凭证及个人明细表）；</w:t>
            </w:r>
          </w:p>
          <w:p w14:paraId="3760D82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5&gt;提供依法缴纳近6个月内任意1个月税收证明（税务部门出具的 完税凭证或缴税证明或银行出具的“银行电子缴税付款凭证”）；注：①若为零申报企业，需提供无欠税证明或国家税务总局电子税务局“申报结果查询截图”。②“税种”非社会保险；</w:t>
            </w:r>
          </w:p>
          <w:p w14:paraId="7D5784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6&g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p w14:paraId="652E3D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7&gt;供应商提供针对本次项目《反商业贿赂承诺书》；</w:t>
            </w:r>
          </w:p>
          <w:p w14:paraId="1F436A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8&gt;参加政府采购活动前三年内在经营活动中没有重大违法记录的书面声明；</w:t>
            </w:r>
          </w:p>
          <w:p w14:paraId="5E116DD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9&gt;提供缴纳投标保证金的有效凭证</w:t>
            </w:r>
          </w:p>
          <w:p w14:paraId="3A8FF31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10&gt;供应商可提供有利于投标的其他资格证明材料。</w:t>
            </w:r>
          </w:p>
          <w:p w14:paraId="73CA6A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12"/>
                <w:sz w:val="24"/>
                <w:szCs w:val="24"/>
                <w:highlight w:val="none"/>
              </w:rPr>
              <w:t>注：</w:t>
            </w:r>
            <w:r>
              <w:rPr>
                <w:rFonts w:hint="eastAsia" w:ascii="方正仿宋_GBK" w:hAnsi="方正仿宋_GBK" w:eastAsia="方正仿宋_GBK" w:cs="方正仿宋_GBK"/>
                <w:spacing w:val="12"/>
                <w:sz w:val="24"/>
                <w:szCs w:val="24"/>
                <w:highlight w:val="none"/>
                <w:lang w:eastAsia="zh-CN"/>
              </w:rPr>
              <w:t>近六个月是指2024年2月-2024年8月。</w:t>
            </w:r>
          </w:p>
        </w:tc>
      </w:tr>
      <w:tr w14:paraId="57E2F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260" w:type="dxa"/>
            <w:noWrap w:val="0"/>
            <w:vAlign w:val="center"/>
          </w:tcPr>
          <w:p w14:paraId="4F82B3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1.3.5</w:t>
            </w:r>
          </w:p>
        </w:tc>
        <w:tc>
          <w:tcPr>
            <w:tcW w:w="7307" w:type="dxa"/>
            <w:noWrap w:val="0"/>
            <w:vAlign w:val="center"/>
          </w:tcPr>
          <w:p w14:paraId="10C4BDE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是否为专门面向中小企业采购：</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是、否）</w:t>
            </w:r>
          </w:p>
          <w:p w14:paraId="159838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注：</w:t>
            </w:r>
            <w:r>
              <w:rPr>
                <w:rFonts w:hint="eastAsia" w:ascii="方正仿宋_GBK" w:hAnsi="方正仿宋_GBK" w:eastAsia="方正仿宋_GBK" w:cs="方正仿宋_GBK"/>
                <w:sz w:val="24"/>
                <w:szCs w:val="24"/>
                <w:lang w:val="en-US" w:eastAsia="zh-CN"/>
              </w:rPr>
              <w:t>潜在供应商属于中小企业的，请在响应文件中提供“中小企业声明函”，如果未提供或提供虚假的“中小企业声明函”，投标企业将承担由此造成的一切不利后果。</w:t>
            </w:r>
          </w:p>
          <w:p w14:paraId="11C23F1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本项目属于工业（制造业）</w:t>
            </w:r>
            <w:r>
              <w:rPr>
                <w:rFonts w:hint="eastAsia" w:ascii="方正仿宋_GBK" w:hAnsi="方正仿宋_GBK" w:eastAsia="方正仿宋_GBK" w:cs="方正仿宋_GBK"/>
                <w:sz w:val="24"/>
                <w:szCs w:val="24"/>
                <w:lang w:eastAsia="zh-CN"/>
              </w:rPr>
              <w:t>。</w:t>
            </w:r>
          </w:p>
        </w:tc>
      </w:tr>
      <w:tr w14:paraId="6D4BA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1260" w:type="dxa"/>
            <w:noWrap w:val="0"/>
            <w:vAlign w:val="center"/>
          </w:tcPr>
          <w:p w14:paraId="72AC3EF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1.3.6</w:t>
            </w:r>
          </w:p>
        </w:tc>
        <w:tc>
          <w:tcPr>
            <w:tcW w:w="7307" w:type="dxa"/>
            <w:noWrap w:val="0"/>
            <w:vAlign w:val="center"/>
          </w:tcPr>
          <w:p w14:paraId="7BDAE35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default" w:eastAsia="方正仿宋_GBK"/>
                <w:lang w:val="en-US" w:eastAsia="zh-CN"/>
              </w:rPr>
            </w:pPr>
            <w:r>
              <w:rPr>
                <w:rFonts w:hint="eastAsia" w:ascii="方正仿宋_GBK" w:hAnsi="方正仿宋_GBK" w:eastAsia="方正仿宋_GBK" w:cs="方正仿宋_GBK"/>
                <w:b/>
                <w:bCs/>
                <w:sz w:val="24"/>
                <w:szCs w:val="24"/>
              </w:rPr>
              <w:t>是否允许采购进口产品：</w:t>
            </w:r>
            <w:r>
              <w:rPr>
                <w:rFonts w:hint="eastAsia" w:ascii="方正仿宋_GBK" w:hAnsi="方正仿宋_GBK" w:eastAsia="方正仿宋_GBK" w:cs="方正仿宋_GBK"/>
                <w:b/>
                <w:bCs/>
                <w:sz w:val="24"/>
                <w:szCs w:val="24"/>
                <w:u w:val="single"/>
                <w:lang w:val="en-US" w:eastAsia="zh-CN"/>
              </w:rPr>
              <w:t xml:space="preserve"> 否</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（是、否）</w:t>
            </w:r>
          </w:p>
        </w:tc>
      </w:tr>
      <w:tr w14:paraId="0658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260" w:type="dxa"/>
            <w:noWrap w:val="0"/>
            <w:vAlign w:val="center"/>
          </w:tcPr>
          <w:p w14:paraId="5263457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7307" w:type="dxa"/>
            <w:noWrap w:val="0"/>
            <w:vAlign w:val="center"/>
          </w:tcPr>
          <w:p w14:paraId="7F9ADAF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是否允许联合体投标：</w:t>
            </w:r>
            <w:r>
              <w:rPr>
                <w:rFonts w:hint="eastAsia" w:ascii="方正仿宋_GBK" w:hAnsi="方正仿宋_GBK" w:eastAsia="方正仿宋_GBK" w:cs="方正仿宋_GBK"/>
                <w:sz w:val="24"/>
                <w:szCs w:val="24"/>
                <w:u w:val="single"/>
              </w:rPr>
              <w:t xml:space="preserve">  否   </w:t>
            </w:r>
            <w:r>
              <w:rPr>
                <w:rFonts w:hint="eastAsia" w:ascii="方正仿宋_GBK" w:hAnsi="方正仿宋_GBK" w:eastAsia="方正仿宋_GBK" w:cs="方正仿宋_GBK"/>
                <w:sz w:val="24"/>
                <w:szCs w:val="24"/>
              </w:rPr>
              <w:t>（是、否）</w:t>
            </w:r>
          </w:p>
        </w:tc>
      </w:tr>
      <w:tr w14:paraId="18875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3" w:hRule="atLeast"/>
        </w:trPr>
        <w:tc>
          <w:tcPr>
            <w:tcW w:w="1260" w:type="dxa"/>
            <w:noWrap w:val="0"/>
            <w:vAlign w:val="center"/>
          </w:tcPr>
          <w:p w14:paraId="6AC4090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1.4.8</w:t>
            </w:r>
          </w:p>
        </w:tc>
        <w:tc>
          <w:tcPr>
            <w:tcW w:w="7307" w:type="dxa"/>
            <w:noWrap w:val="0"/>
            <w:vAlign w:val="center"/>
          </w:tcPr>
          <w:p w14:paraId="269B0C9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联合体的其他资格要求：无</w:t>
            </w:r>
          </w:p>
        </w:tc>
      </w:tr>
      <w:tr w14:paraId="0AA68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260" w:type="dxa"/>
            <w:noWrap w:val="0"/>
            <w:vAlign w:val="center"/>
          </w:tcPr>
          <w:p w14:paraId="484740E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7307" w:type="dxa"/>
            <w:noWrap w:val="0"/>
            <w:vAlign w:val="center"/>
          </w:tcPr>
          <w:p w14:paraId="39734F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项目预算金额：</w:t>
            </w:r>
            <w:r>
              <w:rPr>
                <w:rFonts w:hint="eastAsia" w:ascii="方正仿宋_GBK" w:hAnsi="方正仿宋_GBK" w:eastAsia="方正仿宋_GBK" w:cs="方正仿宋_GBK"/>
                <w:sz w:val="24"/>
                <w:szCs w:val="24"/>
                <w:lang w:val="en-US" w:eastAsia="zh-CN"/>
              </w:rPr>
              <w:t>50000</w:t>
            </w:r>
            <w:r>
              <w:rPr>
                <w:rFonts w:hint="eastAsia" w:ascii="方正仿宋_GBK" w:hAnsi="方正仿宋_GBK" w:eastAsia="方正仿宋_GBK" w:cs="方正仿宋_GBK"/>
                <w:sz w:val="24"/>
                <w:szCs w:val="24"/>
              </w:rPr>
              <w:t>00.00元</w:t>
            </w:r>
          </w:p>
          <w:p w14:paraId="38641980">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最高限价：</w:t>
            </w:r>
            <w:r>
              <w:rPr>
                <w:rFonts w:hint="eastAsia" w:ascii="方正仿宋_GBK" w:hAnsi="方正仿宋_GBK" w:eastAsia="方正仿宋_GBK" w:cs="方正仿宋_GBK"/>
                <w:sz w:val="24"/>
                <w:szCs w:val="24"/>
                <w:lang w:val="en-US" w:eastAsia="zh-CN"/>
              </w:rPr>
              <w:t>5000</w:t>
            </w:r>
            <w:r>
              <w:rPr>
                <w:rFonts w:hint="eastAsia" w:ascii="方正仿宋_GBK" w:hAnsi="方正仿宋_GBK" w:eastAsia="方正仿宋_GBK" w:cs="方正仿宋_GBK"/>
                <w:sz w:val="24"/>
                <w:szCs w:val="24"/>
              </w:rPr>
              <w:t>000.00元</w:t>
            </w:r>
          </w:p>
        </w:tc>
      </w:tr>
      <w:tr w14:paraId="50E60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3" w:hRule="atLeast"/>
        </w:trPr>
        <w:tc>
          <w:tcPr>
            <w:tcW w:w="1260" w:type="dxa"/>
            <w:noWrap w:val="0"/>
            <w:vAlign w:val="center"/>
          </w:tcPr>
          <w:p w14:paraId="5942D52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w:t>
            </w:r>
          </w:p>
        </w:tc>
        <w:tc>
          <w:tcPr>
            <w:tcW w:w="7307" w:type="dxa"/>
            <w:noWrap w:val="0"/>
            <w:vAlign w:val="center"/>
          </w:tcPr>
          <w:p w14:paraId="0FC2B5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保证金形式：☑电汇 ☑银行保函 ☑电子保函 ☑转账</w:t>
            </w:r>
          </w:p>
          <w:p w14:paraId="115E70E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投标保证金数额：50000.00元（大写：伍万元整）；</w:t>
            </w:r>
          </w:p>
          <w:p w14:paraId="7EF38A9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按照预算金额1%以内的整数计算。</w:t>
            </w:r>
          </w:p>
          <w:p w14:paraId="049005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收款单位：新疆中泰正信项目管理有限公司</w:t>
            </w:r>
          </w:p>
          <w:p w14:paraId="315789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银行账号：863010012010118468618</w:t>
            </w:r>
          </w:p>
          <w:p w14:paraId="37BA5D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开户银行：英吉沙县农村信用合作联社</w:t>
            </w:r>
          </w:p>
          <w:p w14:paraId="701076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缴费截止时间： 2024年09月13日12：00时（北京时间）</w:t>
            </w:r>
          </w:p>
          <w:p w14:paraId="3C40080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联系电话：15026328789</w:t>
            </w:r>
          </w:p>
          <w:p w14:paraId="6019CC3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汇款时注明投标保证金项目名称及项目编号（如有标段，需注明标段）。投标保证金截止时间前将投标保证金从供应商基本账户转入，将投标保证金银行汇款凭证放入投标文件中。（以投标保证金到账时间为准，供应商应充分考虑到账时间）注：1.投标截止时间，投标保证金以转账或电汇等现金形式缴纳的（从投标供应商基本账户转入），财务人员未查询到汇款记录，以无效标处理。2.退还保证金：（1）开评标结束后，根据《政府采购货物和服务招标投标管理办法》（财政部第 87 号令）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成交）通知书发出之日起 5 个工作日内退还未中标（成交）人的投标保证金，自采购合同签订之日起 5 个工作日内退还中标（成交）人的投标保证金。</w:t>
            </w:r>
          </w:p>
          <w:p w14:paraId="2B1F493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2、未按上述规定提交投标保证金的响应文件无效。</w:t>
            </w:r>
          </w:p>
          <w:p w14:paraId="5624DB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b/>
                <w:bCs/>
                <w:sz w:val="24"/>
                <w:szCs w:val="24"/>
                <w:lang w:val="en-US" w:eastAsia="zh-CN"/>
              </w:rPr>
              <w:t>无需兑换投标保证金收据，附转账凭证即可。</w:t>
            </w:r>
          </w:p>
        </w:tc>
      </w:tr>
      <w:tr w14:paraId="114B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1260" w:type="dxa"/>
            <w:noWrap w:val="0"/>
            <w:vAlign w:val="center"/>
          </w:tcPr>
          <w:p w14:paraId="091D26E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w:t>
            </w:r>
          </w:p>
        </w:tc>
        <w:tc>
          <w:tcPr>
            <w:tcW w:w="7307" w:type="dxa"/>
            <w:noWrap w:val="0"/>
            <w:vAlign w:val="center"/>
          </w:tcPr>
          <w:p w14:paraId="7ECA92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投标有效期：自投标截止之日起</w:t>
            </w:r>
            <w:r>
              <w:rPr>
                <w:rFonts w:hint="eastAsia" w:ascii="方正仿宋_GBK" w:hAnsi="方正仿宋_GBK" w:eastAsia="方正仿宋_GBK" w:cs="方正仿宋_GBK"/>
                <w:sz w:val="24"/>
                <w:szCs w:val="24"/>
                <w:lang w:val="en-US" w:eastAsia="zh-CN"/>
              </w:rPr>
              <w:t>90</w:t>
            </w:r>
            <w:r>
              <w:rPr>
                <w:rFonts w:hint="eastAsia" w:ascii="方正仿宋_GBK" w:hAnsi="方正仿宋_GBK" w:eastAsia="方正仿宋_GBK" w:cs="方正仿宋_GBK"/>
                <w:sz w:val="24"/>
                <w:szCs w:val="24"/>
              </w:rPr>
              <w:t>个日历日</w:t>
            </w:r>
          </w:p>
        </w:tc>
      </w:tr>
      <w:tr w14:paraId="6C1A0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5" w:hRule="atLeast"/>
        </w:trPr>
        <w:tc>
          <w:tcPr>
            <w:tcW w:w="1260" w:type="dxa"/>
            <w:noWrap w:val="0"/>
            <w:vAlign w:val="center"/>
          </w:tcPr>
          <w:p w14:paraId="0DBE04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14.1</w:t>
            </w:r>
          </w:p>
        </w:tc>
        <w:tc>
          <w:tcPr>
            <w:tcW w:w="7307" w:type="dxa"/>
            <w:noWrap w:val="0"/>
            <w:vAlign w:val="center"/>
          </w:tcPr>
          <w:p w14:paraId="513F54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4E6D5B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（2）本项目实行网上投标，采用电子投标文件(供应商须使用CA加密设备通过政采云电子投标客户端制作投标文件)。若供应商参与投标，自行承担投标一切费用。</w:t>
            </w:r>
          </w:p>
          <w:p w14:paraId="7679C8C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F7220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B17C29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（5）供应商在开标时须使用制作加密电子投标文件所使用的CA锁及电脑，电脑须提前配置好浏览器（建议使用谷歌浏览器），以便开标时解锁。</w:t>
            </w:r>
          </w:p>
          <w:p w14:paraId="258C69E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（6）投标保证金缴纳及确认时间：凡拟参加本次招标项目的投标人，必须在开标前将投标保证金汇入指定账户。投标保证金汇款凭证上用途栏应注明：招标项目名称。否则，届时其投标将被拒绝。</w:t>
            </w:r>
          </w:p>
          <w:p w14:paraId="6840BB3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F1337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各投标人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35CC0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各投标人在投标截止时间前将“投标文件”上传至政采云平台。投标文件包括“开标一览表及资格证明文件”与“商务及技术文件”两部分合并成一册。投标文件应按照招标文件规定的格式填写、签署和盖章，并以.jmbs格式上传至政采云开评标平台（投标文件为正本扫描件）。</w:t>
            </w:r>
          </w:p>
          <w:p w14:paraId="7E6BAC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（10）解密时长为30分钟。</w:t>
            </w:r>
          </w:p>
        </w:tc>
      </w:tr>
      <w:tr w14:paraId="57834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4" w:hRule="atLeast"/>
        </w:trPr>
        <w:tc>
          <w:tcPr>
            <w:tcW w:w="1260" w:type="dxa"/>
            <w:noWrap w:val="0"/>
            <w:vAlign w:val="center"/>
          </w:tcPr>
          <w:p w14:paraId="0F66E29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16.1</w:t>
            </w:r>
          </w:p>
        </w:tc>
        <w:tc>
          <w:tcPr>
            <w:tcW w:w="7307" w:type="dxa"/>
            <w:noWrap w:val="0"/>
            <w:vAlign w:val="center"/>
          </w:tcPr>
          <w:p w14:paraId="5669FD4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投标截止时间：</w:t>
            </w:r>
            <w:r>
              <w:rPr>
                <w:rFonts w:hint="eastAsia" w:ascii="方正仿宋_GBK" w:hAnsi="方正仿宋_GBK" w:eastAsia="方正仿宋_GBK" w:cs="方正仿宋_GBK"/>
                <w:sz w:val="24"/>
                <w:szCs w:val="24"/>
                <w:lang w:val="en-US" w:eastAsia="zh-CN"/>
              </w:rPr>
              <w:t> 2024年09月13日12：00时</w:t>
            </w:r>
            <w:r>
              <w:rPr>
                <w:rFonts w:hint="eastAsia" w:ascii="方正仿宋_GBK" w:hAnsi="方正仿宋_GBK" w:eastAsia="方正仿宋_GBK" w:cs="方正仿宋_GBK"/>
                <w:sz w:val="24"/>
                <w:szCs w:val="24"/>
                <w:lang w:eastAsia="zh-CN"/>
              </w:rPr>
              <w:t>（北京时间）</w:t>
            </w:r>
          </w:p>
          <w:p w14:paraId="710FCF7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投标文件</w:t>
            </w:r>
            <w:r>
              <w:rPr>
                <w:rFonts w:hint="eastAsia" w:ascii="方正仿宋_GBK" w:hAnsi="方正仿宋_GBK" w:eastAsia="方正仿宋_GBK" w:cs="方正仿宋_GBK"/>
                <w:sz w:val="24"/>
                <w:szCs w:val="24"/>
                <w:lang w:eastAsia="zh-CN"/>
              </w:rPr>
              <w:t>上传</w:t>
            </w:r>
            <w:r>
              <w:rPr>
                <w:rFonts w:hint="eastAsia" w:ascii="方正仿宋_GBK" w:hAnsi="方正仿宋_GBK" w:eastAsia="方正仿宋_GBK" w:cs="方正仿宋_GBK"/>
                <w:sz w:val="24"/>
                <w:szCs w:val="24"/>
              </w:rPr>
              <w:t>地点：</w:t>
            </w:r>
            <w:r>
              <w:rPr>
                <w:rFonts w:hint="eastAsia" w:ascii="方正仿宋_GBK" w:hAnsi="方正仿宋_GBK" w:eastAsia="方正仿宋_GBK" w:cs="方正仿宋_GBK"/>
                <w:sz w:val="24"/>
                <w:szCs w:val="24"/>
                <w:lang w:eastAsia="zh-CN"/>
              </w:rPr>
              <w:t>政采云平台（https：//login.zcygov.cn/）</w:t>
            </w:r>
          </w:p>
        </w:tc>
      </w:tr>
      <w:tr w14:paraId="48626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260" w:type="dxa"/>
            <w:noWrap w:val="0"/>
            <w:vAlign w:val="center"/>
          </w:tcPr>
          <w:p w14:paraId="5E0BC3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18.1</w:t>
            </w:r>
          </w:p>
        </w:tc>
        <w:tc>
          <w:tcPr>
            <w:tcW w:w="7307" w:type="dxa"/>
            <w:noWrap w:val="0"/>
            <w:vAlign w:val="center"/>
          </w:tcPr>
          <w:p w14:paraId="492E84E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开标时间：</w:t>
            </w:r>
            <w:r>
              <w:rPr>
                <w:rFonts w:hint="eastAsia" w:ascii="方正仿宋_GBK" w:hAnsi="方正仿宋_GBK" w:eastAsia="方正仿宋_GBK" w:cs="方正仿宋_GBK"/>
                <w:sz w:val="24"/>
                <w:szCs w:val="24"/>
                <w:lang w:val="en-US" w:eastAsia="zh-CN"/>
              </w:rPr>
              <w:t> 2024年09月13日12：00时</w:t>
            </w:r>
            <w:r>
              <w:rPr>
                <w:rFonts w:hint="eastAsia" w:ascii="方正仿宋_GBK" w:hAnsi="方正仿宋_GBK" w:eastAsia="方正仿宋_GBK" w:cs="方正仿宋_GBK"/>
                <w:sz w:val="24"/>
                <w:szCs w:val="24"/>
                <w:lang w:eastAsia="zh-CN"/>
              </w:rPr>
              <w:t>（北京时间）</w:t>
            </w:r>
          </w:p>
          <w:p w14:paraId="49ECB3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开标地点：</w:t>
            </w:r>
            <w:r>
              <w:rPr>
                <w:rFonts w:hint="eastAsia" w:ascii="方正仿宋_GBK" w:hAnsi="方正仿宋_GBK" w:eastAsia="方正仿宋_GBK" w:cs="方正仿宋_GBK"/>
                <w:sz w:val="24"/>
                <w:szCs w:val="24"/>
                <w:lang w:val="en-US" w:eastAsia="zh-CN"/>
              </w:rPr>
              <w:t xml:space="preserve"> 政采云平台（https：//www.zcygov.cn/）不见面开标</w:t>
            </w:r>
          </w:p>
        </w:tc>
      </w:tr>
      <w:tr w14:paraId="5D5B2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7" w:hRule="atLeast"/>
        </w:trPr>
        <w:tc>
          <w:tcPr>
            <w:tcW w:w="1260" w:type="dxa"/>
            <w:noWrap w:val="0"/>
            <w:vAlign w:val="center"/>
          </w:tcPr>
          <w:p w14:paraId="63B315F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20.5</w:t>
            </w:r>
          </w:p>
        </w:tc>
        <w:tc>
          <w:tcPr>
            <w:tcW w:w="7307" w:type="dxa"/>
            <w:noWrap w:val="0"/>
            <w:vAlign w:val="center"/>
          </w:tcPr>
          <w:p w14:paraId="535E631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eastAsia" w:eastAsia="方正仿宋_GBK"/>
                <w:lang w:val="en-US" w:eastAsia="zh-CN"/>
              </w:rPr>
            </w:pPr>
            <w:r>
              <w:rPr>
                <w:rFonts w:hint="eastAsia" w:ascii="方正仿宋_GBK" w:hAnsi="方正仿宋_GBK" w:eastAsia="方正仿宋_GBK" w:cs="方正仿宋_GBK"/>
                <w:b/>
                <w:bCs/>
                <w:color w:val="auto"/>
                <w:sz w:val="24"/>
                <w:szCs w:val="24"/>
                <w:lang w:val="en-US" w:eastAsia="zh-CN"/>
              </w:rPr>
              <w:t>核心产品：</w:t>
            </w:r>
            <w:r>
              <w:rPr>
                <w:rFonts w:hint="eastAsia" w:ascii="方正仿宋_GBK" w:hAnsi="方正仿宋_GBK" w:eastAsia="方正仿宋_GBK" w:cs="方正仿宋_GBK"/>
                <w:b/>
                <w:bCs/>
                <w:color w:val="auto"/>
                <w:sz w:val="24"/>
                <w:szCs w:val="24"/>
              </w:rPr>
              <w:t>超高效液相色谱-三重四极杆质谱联用仪</w:t>
            </w:r>
          </w:p>
        </w:tc>
      </w:tr>
      <w:tr w14:paraId="146C3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1260" w:type="dxa"/>
            <w:noWrap w:val="0"/>
            <w:vAlign w:val="center"/>
          </w:tcPr>
          <w:p w14:paraId="23448B0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23.2</w:t>
            </w:r>
          </w:p>
        </w:tc>
        <w:tc>
          <w:tcPr>
            <w:tcW w:w="7307" w:type="dxa"/>
            <w:noWrap w:val="0"/>
            <w:vAlign w:val="center"/>
          </w:tcPr>
          <w:p w14:paraId="1DEFECC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评标方法：适用中华人民共和国财政部令第87号--政府采购货物和服务招标投标管理办法第五十五条综合评分法</w:t>
            </w:r>
            <w:r>
              <w:rPr>
                <w:rFonts w:hint="eastAsia" w:ascii="方正仿宋_GBK" w:hAnsi="方正仿宋_GBK" w:eastAsia="方正仿宋_GBK" w:cs="方正仿宋_GBK"/>
                <w:sz w:val="24"/>
                <w:szCs w:val="24"/>
                <w:lang w:eastAsia="zh-CN"/>
              </w:rPr>
              <w:t>：根据投标文件满足招标文件全部实质性要求，且按照评审因素的量化指标评审得分最高的原则确定中标候选人。</w:t>
            </w:r>
          </w:p>
        </w:tc>
      </w:tr>
      <w:tr w14:paraId="0AA79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0" w:type="dxa"/>
            <w:noWrap w:val="0"/>
            <w:vAlign w:val="center"/>
          </w:tcPr>
          <w:p w14:paraId="69D0F3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7307" w:type="dxa"/>
            <w:noWrap w:val="0"/>
            <w:vAlign w:val="center"/>
          </w:tcPr>
          <w:p w14:paraId="4EF8432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推荐中标候选</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的数量：三名　</w:t>
            </w:r>
          </w:p>
        </w:tc>
      </w:tr>
      <w:tr w14:paraId="67E0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0" w:type="dxa"/>
            <w:noWrap w:val="0"/>
            <w:vAlign w:val="center"/>
          </w:tcPr>
          <w:p w14:paraId="6125934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27.1</w:t>
            </w:r>
          </w:p>
        </w:tc>
        <w:tc>
          <w:tcPr>
            <w:tcW w:w="7307" w:type="dxa"/>
            <w:noWrap w:val="0"/>
            <w:vAlign w:val="center"/>
          </w:tcPr>
          <w:p w14:paraId="4D1C92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招标人是否委托评标委员会直接确定中标人：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（是、否）</w:t>
            </w:r>
          </w:p>
        </w:tc>
      </w:tr>
      <w:tr w14:paraId="40484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trPr>
        <w:tc>
          <w:tcPr>
            <w:tcW w:w="1260" w:type="dxa"/>
            <w:noWrap w:val="0"/>
            <w:vAlign w:val="center"/>
          </w:tcPr>
          <w:p w14:paraId="3A01F80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31.1</w:t>
            </w:r>
          </w:p>
        </w:tc>
        <w:tc>
          <w:tcPr>
            <w:tcW w:w="7307" w:type="dxa"/>
            <w:noWrap w:val="0"/>
            <w:vAlign w:val="center"/>
          </w:tcPr>
          <w:p w14:paraId="4FB9050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履约保证金金额：</w:t>
            </w:r>
            <w:r>
              <w:rPr>
                <w:rFonts w:hint="eastAsia" w:ascii="方正仿宋_GBK" w:hAnsi="方正仿宋_GBK" w:eastAsia="方正仿宋_GBK" w:cs="方正仿宋_GBK"/>
                <w:sz w:val="24"/>
                <w:szCs w:val="24"/>
                <w:lang w:val="en-US" w:eastAsia="zh-CN"/>
              </w:rPr>
              <w:t>合同金额的10%（具体以合同签订为准，不得超过合同金额的10%）</w:t>
            </w:r>
          </w:p>
          <w:p w14:paraId="3F5AA45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履约保证金形式：</w:t>
            </w:r>
            <w:r>
              <w:rPr>
                <w:rFonts w:hint="eastAsia" w:ascii="方正仿宋_GBK" w:hAnsi="方正仿宋_GBK" w:eastAsia="方正仿宋_GBK" w:cs="方正仿宋_GBK"/>
                <w:sz w:val="24"/>
                <w:szCs w:val="24"/>
                <w:lang w:val="en-US" w:eastAsia="zh-CN"/>
              </w:rPr>
              <w:t>对公</w:t>
            </w:r>
            <w:r>
              <w:rPr>
                <w:rFonts w:hint="eastAsia" w:ascii="方正仿宋_GBK" w:hAnsi="方正仿宋_GBK" w:eastAsia="方正仿宋_GBK" w:cs="方正仿宋_GBK"/>
                <w:sz w:val="24"/>
                <w:szCs w:val="24"/>
                <w:lang w:eastAsia="zh-CN"/>
              </w:rPr>
              <w:t>转账、电汇</w:t>
            </w:r>
            <w:r>
              <w:rPr>
                <w:rFonts w:hint="eastAsia" w:ascii="方正仿宋_GBK" w:hAnsi="方正仿宋_GBK" w:eastAsia="方正仿宋_GBK" w:cs="方正仿宋_GBK"/>
                <w:sz w:val="24"/>
                <w:szCs w:val="24"/>
                <w:lang w:val="en-US" w:eastAsia="zh-CN"/>
              </w:rPr>
              <w:t>(具体以签订合同为准）</w:t>
            </w:r>
          </w:p>
          <w:p w14:paraId="7EAAC05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提交履约保证金的时间：签订合同</w:t>
            </w:r>
            <w:r>
              <w:rPr>
                <w:rFonts w:hint="eastAsia" w:ascii="方正仿宋_GBK" w:hAnsi="方正仿宋_GBK" w:eastAsia="方正仿宋_GBK" w:cs="方正仿宋_GBK"/>
                <w:sz w:val="24"/>
                <w:szCs w:val="24"/>
                <w:lang w:val="en-US" w:eastAsia="zh-CN"/>
              </w:rPr>
              <w:t>后3个工作</w:t>
            </w:r>
            <w:r>
              <w:rPr>
                <w:rFonts w:hint="eastAsia" w:ascii="方正仿宋_GBK" w:hAnsi="方正仿宋_GBK" w:eastAsia="方正仿宋_GBK" w:cs="方正仿宋_GBK"/>
                <w:sz w:val="24"/>
                <w:szCs w:val="24"/>
              </w:rPr>
              <w:t>日内</w:t>
            </w:r>
          </w:p>
          <w:p w14:paraId="2ABE56E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注：双方可以通过协商另行约定其他退还时间和方式及用途。</w:t>
            </w:r>
          </w:p>
        </w:tc>
      </w:tr>
      <w:tr w14:paraId="1A805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99" w:hRule="atLeast"/>
        </w:trPr>
        <w:tc>
          <w:tcPr>
            <w:tcW w:w="1260" w:type="dxa"/>
            <w:noWrap w:val="0"/>
            <w:vAlign w:val="center"/>
          </w:tcPr>
          <w:p w14:paraId="5A5499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32</w:t>
            </w:r>
          </w:p>
        </w:tc>
        <w:tc>
          <w:tcPr>
            <w:tcW w:w="7307" w:type="dxa"/>
            <w:noWrap w:val="0"/>
            <w:vAlign w:val="center"/>
          </w:tcPr>
          <w:p w14:paraId="3143B5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代理服务费：按发改价格〔2015〕299号文要求，参考2002【1980】号文计取招标代理费；由成交供应商向代理机构支付。 </w:t>
            </w:r>
          </w:p>
          <w:p w14:paraId="3F95901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支付形式：对公转账</w:t>
            </w:r>
          </w:p>
          <w:p w14:paraId="0B2E57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支付时间：领取中标（</w:t>
            </w:r>
            <w:r>
              <w:rPr>
                <w:rFonts w:hint="eastAsia" w:ascii="方正仿宋_GBK" w:hAnsi="方正仿宋_GBK" w:eastAsia="方正仿宋_GBK" w:cs="方正仿宋_GBK"/>
                <w:sz w:val="24"/>
                <w:szCs w:val="24"/>
                <w:lang w:val="en-US"/>
              </w:rPr>
              <w:t>成交</w:t>
            </w:r>
            <w:r>
              <w:rPr>
                <w:rFonts w:hint="eastAsia" w:ascii="方正仿宋_GBK" w:hAnsi="方正仿宋_GBK" w:eastAsia="方正仿宋_GBK" w:cs="方正仿宋_GBK"/>
                <w:sz w:val="24"/>
                <w:szCs w:val="24"/>
              </w:rPr>
              <w:t>）通知书时由中标（</w:t>
            </w:r>
            <w:r>
              <w:rPr>
                <w:rFonts w:hint="eastAsia" w:ascii="方正仿宋_GBK" w:hAnsi="方正仿宋_GBK" w:eastAsia="方正仿宋_GBK" w:cs="方正仿宋_GBK"/>
                <w:sz w:val="24"/>
                <w:szCs w:val="24"/>
                <w:lang w:val="en-US"/>
              </w:rPr>
              <w:t>成交</w:t>
            </w:r>
            <w:r>
              <w:rPr>
                <w:rFonts w:hint="eastAsia" w:ascii="方正仿宋_GBK" w:hAnsi="方正仿宋_GBK" w:eastAsia="方正仿宋_GBK" w:cs="方正仿宋_GBK"/>
                <w:sz w:val="24"/>
                <w:szCs w:val="24"/>
              </w:rPr>
              <w:t>）方支付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一次性支付。</w:t>
            </w:r>
          </w:p>
        </w:tc>
      </w:tr>
      <w:tr w14:paraId="5A1D1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36CD53D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33.1</w:t>
            </w:r>
          </w:p>
        </w:tc>
        <w:tc>
          <w:tcPr>
            <w:tcW w:w="7307" w:type="dxa"/>
            <w:noWrap w:val="0"/>
            <w:vAlign w:val="center"/>
          </w:tcPr>
          <w:p w14:paraId="05FD00F3">
            <w:pPr>
              <w:spacing w:line="240" w:lineRule="auto"/>
              <w:rPr>
                <w:rFonts w:hint="eastAsia" w:ascii="方正仿宋_GBK" w:hAnsi="方正仿宋_GBK" w:eastAsia="方正仿宋_GBK" w:cs="方正仿宋_GBK"/>
                <w:b/>
                <w:bCs/>
                <w:i/>
                <w:color w:val="auto"/>
                <w:sz w:val="24"/>
                <w:szCs w:val="24"/>
              </w:rPr>
            </w:pPr>
            <w:r>
              <w:rPr>
                <w:rFonts w:hint="eastAsia" w:ascii="方正仿宋_GBK" w:hAnsi="方正仿宋_GBK" w:eastAsia="方正仿宋_GBK" w:cs="方正仿宋_GBK"/>
                <w:b/>
                <w:bCs/>
                <w:color w:val="auto"/>
                <w:sz w:val="24"/>
                <w:szCs w:val="24"/>
              </w:rPr>
              <w:t>本项目是否属于信用担保试点范围：</w:t>
            </w:r>
            <w:r>
              <w:rPr>
                <w:rFonts w:hint="eastAsia" w:ascii="方正仿宋_GBK" w:hAnsi="方正仿宋_GBK" w:eastAsia="方正仿宋_GBK" w:cs="方正仿宋_GBK"/>
                <w:b/>
                <w:bCs/>
                <w:color w:val="auto"/>
                <w:sz w:val="24"/>
                <w:szCs w:val="24"/>
                <w:u w:val="single"/>
              </w:rPr>
              <w:t xml:space="preserve"> </w:t>
            </w:r>
            <w:r>
              <w:rPr>
                <w:rFonts w:hint="eastAsia" w:ascii="方正仿宋_GBK" w:hAnsi="方正仿宋_GBK" w:eastAsia="方正仿宋_GBK" w:cs="方正仿宋_GBK"/>
                <w:b/>
                <w:bCs/>
                <w:color w:val="auto"/>
                <w:sz w:val="24"/>
                <w:szCs w:val="24"/>
                <w:u w:val="single"/>
                <w:lang w:val="en-US" w:eastAsia="zh-CN"/>
              </w:rPr>
              <w:t>是</w:t>
            </w:r>
            <w:r>
              <w:rPr>
                <w:rFonts w:hint="eastAsia" w:ascii="方正仿宋_GBK" w:hAnsi="方正仿宋_GBK" w:eastAsia="方正仿宋_GBK" w:cs="方正仿宋_GBK"/>
                <w:b/>
                <w:bCs/>
                <w:color w:val="auto"/>
                <w:sz w:val="24"/>
                <w:szCs w:val="24"/>
                <w:u w:val="single"/>
              </w:rPr>
              <w:t xml:space="preserve"> </w:t>
            </w:r>
            <w:r>
              <w:rPr>
                <w:rFonts w:hint="eastAsia" w:ascii="方正仿宋_GBK" w:hAnsi="方正仿宋_GBK" w:eastAsia="方正仿宋_GBK" w:cs="方正仿宋_GBK"/>
                <w:b/>
                <w:bCs/>
                <w:color w:val="auto"/>
                <w:sz w:val="24"/>
                <w:szCs w:val="24"/>
              </w:rPr>
              <w:t xml:space="preserve"> </w:t>
            </w:r>
            <w:r>
              <w:rPr>
                <w:rFonts w:hint="eastAsia" w:ascii="方正仿宋_GBK" w:hAnsi="方正仿宋_GBK" w:eastAsia="方正仿宋_GBK" w:cs="方正仿宋_GBK"/>
                <w:b/>
                <w:bCs/>
                <w:i/>
                <w:color w:val="auto"/>
                <w:sz w:val="24"/>
                <w:szCs w:val="24"/>
              </w:rPr>
              <w:t>（是、否）</w:t>
            </w:r>
          </w:p>
          <w:p w14:paraId="62FE4A74">
            <w:pPr>
              <w:pStyle w:val="25"/>
              <w:spacing w:before="179" w:line="360" w:lineRule="auto"/>
              <w:ind w:left="28" w:right="16" w:hanging="7"/>
              <w:rPr>
                <w:rFonts w:hint="eastAsia" w:ascii="方正仿宋_GBK" w:hAnsi="方正仿宋_GBK" w:eastAsia="方正仿宋_GBK" w:cs="方正仿宋_GBK"/>
                <w:spacing w:val="2"/>
                <w:sz w:val="24"/>
                <w:szCs w:val="24"/>
                <w:lang w:val="en-US" w:eastAsia="zh-CN"/>
              </w:rPr>
            </w:pPr>
            <w:r>
              <w:rPr>
                <w:rFonts w:hint="eastAsia" w:ascii="方正仿宋_GBK" w:hAnsi="方正仿宋_GBK" w:eastAsia="方正仿宋_GBK" w:cs="方正仿宋_GBK"/>
                <w:spacing w:val="2"/>
                <w:sz w:val="24"/>
                <w:szCs w:val="24"/>
                <w:lang w:val="en-US" w:eastAsia="zh-CN"/>
              </w:rPr>
              <w:t>根据《政府采购活动中进一步推动开展信用担保工作的通知》相关文件要求，本项目允许供应商以专业担保机构出具的保函形式提交政府采购投标（响应）保证金，鼓励使用电子保函。</w:t>
            </w:r>
          </w:p>
          <w:p w14:paraId="55C343C6">
            <w:pPr>
              <w:pStyle w:val="2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英吉沙县天宇融资担保有限责任公司</w:t>
            </w:r>
          </w:p>
          <w:p w14:paraId="6ED0D338">
            <w:pPr>
              <w:pStyle w:val="2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方正仿宋_GBK" w:hAnsi="方正仿宋_GBK" w:eastAsia="方正仿宋_GBK" w:cs="方正仿宋_GBK"/>
                <w:spacing w:val="2"/>
                <w:sz w:val="24"/>
                <w:szCs w:val="24"/>
                <w:lang w:val="en-US" w:eastAsia="zh-CN"/>
              </w:rPr>
            </w:pPr>
            <w:r>
              <w:rPr>
                <w:rFonts w:hint="eastAsia" w:ascii="方正仿宋_GBK" w:hAnsi="方正仿宋_GBK" w:eastAsia="方正仿宋_GBK" w:cs="方正仿宋_GBK"/>
                <w:spacing w:val="2"/>
                <w:sz w:val="24"/>
                <w:szCs w:val="24"/>
                <w:lang w:val="en-US" w:eastAsia="zh-CN"/>
              </w:rPr>
              <w:t>联系人：谭经理           联系电话：18299011986</w:t>
            </w:r>
          </w:p>
          <w:p w14:paraId="5644D6A7">
            <w:pPr>
              <w:pStyle w:val="2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default" w:ascii="方正仿宋_GBK" w:hAnsi="方正仿宋_GBK" w:eastAsia="方正仿宋_GBK" w:cs="方正仿宋_GBK"/>
                <w:spacing w:val="2"/>
                <w:sz w:val="24"/>
                <w:szCs w:val="24"/>
                <w:highlight w:val="none"/>
                <w:lang w:val="en-US" w:eastAsia="zh-CN"/>
              </w:rPr>
            </w:pPr>
            <w:r>
              <w:rPr>
                <w:rFonts w:hint="eastAsia" w:ascii="方正仿宋_GBK" w:hAnsi="方正仿宋_GBK" w:eastAsia="方正仿宋_GBK" w:cs="方正仿宋_GBK"/>
                <w:spacing w:val="2"/>
                <w:sz w:val="24"/>
                <w:szCs w:val="24"/>
                <w:lang w:val="en-US" w:eastAsia="zh-CN"/>
              </w:rPr>
              <w:t>办理地点</w:t>
            </w:r>
            <w:r>
              <w:rPr>
                <w:rFonts w:hint="eastAsia" w:ascii="方正仿宋_GBK" w:hAnsi="方正仿宋_GBK" w:eastAsia="方正仿宋_GBK" w:cs="方正仿宋_GBK"/>
                <w:spacing w:val="2"/>
                <w:sz w:val="24"/>
                <w:szCs w:val="24"/>
              </w:rPr>
              <w:t>：</w:t>
            </w:r>
            <w:r>
              <w:rPr>
                <w:rFonts w:hint="eastAsia" w:ascii="方正仿宋_GBK" w:hAnsi="方正仿宋_GBK" w:eastAsia="方正仿宋_GBK" w:cs="方正仿宋_GBK"/>
                <w:spacing w:val="2"/>
                <w:sz w:val="24"/>
                <w:szCs w:val="24"/>
                <w:lang w:val="en-US" w:eastAsia="zh-CN"/>
              </w:rPr>
              <w:t>英吉沙县财政局二楼</w:t>
            </w:r>
          </w:p>
          <w:p w14:paraId="0D7FE2B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2"/>
                <w:sz w:val="24"/>
                <w:szCs w:val="24"/>
                <w:highlight w:val="none"/>
                <w:lang w:eastAsia="zh-CN"/>
              </w:rPr>
              <w:t>（</w:t>
            </w:r>
            <w:r>
              <w:rPr>
                <w:rFonts w:hint="eastAsia" w:ascii="方正仿宋_GBK" w:hAnsi="方正仿宋_GBK" w:eastAsia="方正仿宋_GBK" w:cs="方正仿宋_GBK"/>
                <w:b/>
                <w:bCs/>
                <w:spacing w:val="2"/>
                <w:sz w:val="24"/>
                <w:szCs w:val="24"/>
                <w:highlight w:val="none"/>
                <w:lang w:val="en-US" w:eastAsia="zh-CN"/>
              </w:rPr>
              <w:t>以上担保机构只是给各投标单位多一项选择，最终选择哪个合法的担保机构，不影响正常项目投标</w:t>
            </w:r>
            <w:r>
              <w:rPr>
                <w:rFonts w:hint="eastAsia" w:ascii="方正仿宋_GBK" w:hAnsi="方正仿宋_GBK" w:eastAsia="方正仿宋_GBK" w:cs="方正仿宋_GBK"/>
                <w:b/>
                <w:bCs/>
                <w:spacing w:val="2"/>
                <w:sz w:val="24"/>
                <w:szCs w:val="24"/>
                <w:highlight w:val="none"/>
                <w:lang w:eastAsia="zh-CN"/>
              </w:rPr>
              <w:t>）</w:t>
            </w:r>
          </w:p>
        </w:tc>
      </w:tr>
      <w:tr w14:paraId="35575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3" w:hRule="atLeast"/>
        </w:trPr>
        <w:tc>
          <w:tcPr>
            <w:tcW w:w="1260" w:type="dxa"/>
            <w:noWrap w:val="0"/>
            <w:vAlign w:val="center"/>
          </w:tcPr>
          <w:p w14:paraId="52FF91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36.3</w:t>
            </w:r>
          </w:p>
        </w:tc>
        <w:tc>
          <w:tcPr>
            <w:tcW w:w="7307" w:type="dxa"/>
            <w:noWrap w:val="0"/>
            <w:vAlign w:val="center"/>
          </w:tcPr>
          <w:p w14:paraId="392DA48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接收部门：招标项目部  </w:t>
            </w:r>
          </w:p>
          <w:p w14:paraId="48D32CE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联系电话：</w:t>
            </w:r>
            <w:r>
              <w:rPr>
                <w:rFonts w:hint="eastAsia" w:ascii="方正仿宋_GBK" w:hAnsi="方正仿宋_GBK" w:eastAsia="方正仿宋_GBK" w:cs="方正仿宋_GBK"/>
                <w:sz w:val="24"/>
                <w:szCs w:val="24"/>
                <w:lang w:val="en-US" w:eastAsia="zh-CN"/>
              </w:rPr>
              <w:t>15026328789</w:t>
            </w:r>
          </w:p>
          <w:p w14:paraId="3412DE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通讯地址：新疆喀什地区英吉沙县光明路新城商业街1号楼2-1号</w:t>
            </w:r>
          </w:p>
        </w:tc>
      </w:tr>
    </w:tbl>
    <w:p w14:paraId="268F0AC5">
      <w:pPr>
        <w:pStyle w:val="5"/>
        <w:ind w:firstLine="0"/>
        <w:rPr>
          <w:rFonts w:hint="eastAsia" w:ascii="宋体" w:hAnsi="宋体" w:eastAsia="宋体" w:cs="宋体"/>
          <w:color w:val="auto"/>
          <w:sz w:val="24"/>
          <w:szCs w:val="24"/>
          <w:highlight w:val="none"/>
        </w:rPr>
      </w:pPr>
      <w:bookmarkStart w:id="466" w:name="bookmark40"/>
      <w:bookmarkEnd w:id="466"/>
      <w:r>
        <w:rPr>
          <w:rFonts w:hint="eastAsia" w:ascii="宋体" w:hAnsi="宋体" w:eastAsia="宋体" w:cs="宋体"/>
          <w:color w:val="auto"/>
          <w:sz w:val="24"/>
          <w:szCs w:val="24"/>
          <w:highlight w:val="none"/>
        </w:rPr>
        <w:t>本表是本招标项目的具体资料，是对投标人须知的具体补充和修改，如有矛盾</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应以本资料表为准。</w:t>
      </w:r>
    </w:p>
    <w:p w14:paraId="17E17BFB">
      <w:pPr>
        <w:spacing w:line="240" w:lineRule="atLeast"/>
        <w:ind w:firstLine="360" w:firstLineChars="150"/>
        <w:rPr>
          <w:rFonts w:hint="eastAsia" w:ascii="宋体" w:hAnsi="宋体" w:cs="宋体"/>
          <w:sz w:val="24"/>
        </w:rPr>
        <w:sectPr>
          <w:headerReference r:id="rId8" w:type="default"/>
          <w:footerReference r:id="rId10" w:type="default"/>
          <w:headerReference r:id="rId9" w:type="even"/>
          <w:footerReference r:id="rId11" w:type="even"/>
          <w:pgSz w:w="11906" w:h="16838"/>
          <w:pgMar w:top="1440" w:right="1797" w:bottom="1440" w:left="1797" w:header="851" w:footer="992" w:gutter="0"/>
          <w:pgNumType w:fmt="numberInDash"/>
          <w:cols w:space="720" w:num="1"/>
          <w:docGrid w:linePitch="312" w:charSpace="0"/>
        </w:sectPr>
      </w:pPr>
      <w:r>
        <w:rPr>
          <w:rFonts w:hint="eastAsia" w:ascii="宋体" w:hAnsi="宋体" w:eastAsia="宋体" w:cs="宋体"/>
          <w:b w:val="0"/>
          <w:snapToGrid w:val="0"/>
          <w:color w:val="auto"/>
          <w:kern w:val="0"/>
          <w:sz w:val="24"/>
          <w:szCs w:val="24"/>
          <w:highlight w:val="none"/>
          <w:u w:val="none"/>
          <w:lang w:val="en-US" w:eastAsia="en-US" w:bidi="ar-SA"/>
        </w:rPr>
        <w:t>注：表格中“☑”项为被选中项。</w:t>
      </w:r>
    </w:p>
    <w:p w14:paraId="289656DB">
      <w:pPr>
        <w:pStyle w:val="2"/>
        <w:numPr>
          <w:ilvl w:val="0"/>
          <w:numId w:val="5"/>
        </w:numPr>
        <w:spacing w:before="0" w:after="0" w:line="240" w:lineRule="atLeast"/>
        <w:ind w:left="1844" w:leftChars="0"/>
        <w:jc w:val="both"/>
        <w:rPr>
          <w:rFonts w:hint="eastAsia" w:ascii="宋体" w:hAnsi="宋体" w:eastAsia="宋体" w:cs="宋体"/>
          <w:b/>
        </w:rPr>
      </w:pPr>
      <w:bookmarkStart w:id="467" w:name="_Toc9032"/>
      <w:bookmarkStart w:id="468" w:name="_Toc219175638"/>
      <w:bookmarkStart w:id="469" w:name="_Toc216582825"/>
      <w:bookmarkStart w:id="470" w:name="_Toc515647831"/>
      <w:bookmarkStart w:id="471" w:name="_Toc4671"/>
      <w:bookmarkStart w:id="472" w:name="_Toc9887"/>
      <w:bookmarkStart w:id="473" w:name="_Toc218935354"/>
      <w:bookmarkStart w:id="474" w:name="_Toc507399906"/>
      <w:r>
        <w:rPr>
          <w:rFonts w:hint="eastAsia" w:ascii="宋体" w:hAnsi="宋体" w:eastAsia="宋体" w:cs="宋体"/>
          <w:b/>
        </w:rPr>
        <w:t>货物需求一览表及技术规格</w:t>
      </w:r>
      <w:bookmarkEnd w:id="467"/>
      <w:bookmarkEnd w:id="468"/>
      <w:bookmarkEnd w:id="469"/>
      <w:bookmarkEnd w:id="470"/>
      <w:bookmarkEnd w:id="471"/>
      <w:bookmarkEnd w:id="472"/>
      <w:bookmarkEnd w:id="473"/>
      <w:bookmarkEnd w:id="474"/>
    </w:p>
    <w:p w14:paraId="66C15F52">
      <w:pPr>
        <w:pStyle w:val="2"/>
        <w:numPr>
          <w:ilvl w:val="0"/>
          <w:numId w:val="0"/>
        </w:numPr>
        <w:spacing w:before="0" w:after="0" w:line="240" w:lineRule="auto"/>
        <w:jc w:val="center"/>
        <w:rPr>
          <w:rFonts w:hint="eastAsia" w:ascii="宋体" w:hAnsi="宋体" w:eastAsia="宋体" w:cs="宋体"/>
        </w:rPr>
      </w:pPr>
      <w:r>
        <w:rPr>
          <w:rFonts w:hint="eastAsia"/>
          <w:b w:val="0"/>
          <w:bCs/>
          <w:sz w:val="24"/>
          <w:szCs w:val="32"/>
          <w:lang w:eastAsia="zh-CN"/>
        </w:rPr>
        <w:t>2023年度济宁市对口支援英吉沙县林果产业特色小镇建设项目（农业一二三产融合项目）—英吉沙县智慧化农业体系建设项目（检测设备采购）二次</w:t>
      </w:r>
      <w:r>
        <w:rPr>
          <w:rFonts w:hint="eastAsia"/>
          <w:b w:val="0"/>
          <w:bCs/>
          <w:sz w:val="24"/>
          <w:szCs w:val="32"/>
          <w:lang w:val="en-US" w:eastAsia="zh-CN"/>
        </w:rPr>
        <w:t>需求表</w:t>
      </w:r>
    </w:p>
    <w:tbl>
      <w:tblPr>
        <w:tblStyle w:val="20"/>
        <w:tblpPr w:leftFromText="180" w:rightFromText="180" w:vertAnchor="page" w:horzAnchor="page" w:tblpX="1885" w:tblpY="2727"/>
        <w:tblOverlap w:val="never"/>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945"/>
        <w:gridCol w:w="909"/>
        <w:gridCol w:w="6072"/>
      </w:tblGrid>
      <w:tr w14:paraId="4EAF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vAlign w:val="center"/>
          </w:tcPr>
          <w:p w14:paraId="54D1AFE4">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553" w:type="pct"/>
            <w:vAlign w:val="center"/>
          </w:tcPr>
          <w:p w14:paraId="1A74ECE1">
            <w:pPr>
              <w:jc w:val="center"/>
              <w:rPr>
                <w:b/>
                <w:bCs/>
                <w:sz w:val="24"/>
                <w:szCs w:val="24"/>
                <w:vertAlign w:val="baseline"/>
              </w:rPr>
            </w:pPr>
            <w:r>
              <w:rPr>
                <w:rFonts w:hint="eastAsia"/>
                <w:b/>
                <w:bCs/>
                <w:sz w:val="24"/>
                <w:szCs w:val="24"/>
                <w:vertAlign w:val="baseline"/>
              </w:rPr>
              <w:t>设备名称</w:t>
            </w:r>
          </w:p>
        </w:tc>
        <w:tc>
          <w:tcPr>
            <w:tcW w:w="532" w:type="pct"/>
            <w:vAlign w:val="center"/>
          </w:tcPr>
          <w:p w14:paraId="07620439">
            <w:pPr>
              <w:jc w:val="center"/>
              <w:rPr>
                <w:b/>
                <w:bCs/>
                <w:sz w:val="24"/>
                <w:szCs w:val="24"/>
                <w:vertAlign w:val="baseline"/>
              </w:rPr>
            </w:pPr>
            <w:r>
              <w:rPr>
                <w:rFonts w:hint="eastAsia"/>
                <w:b/>
                <w:bCs/>
                <w:sz w:val="24"/>
                <w:szCs w:val="24"/>
              </w:rPr>
              <w:t>数量</w:t>
            </w:r>
          </w:p>
        </w:tc>
        <w:tc>
          <w:tcPr>
            <w:tcW w:w="3554" w:type="pct"/>
            <w:vAlign w:val="center"/>
          </w:tcPr>
          <w:p w14:paraId="13A225E1">
            <w:pPr>
              <w:jc w:val="center"/>
              <w:rPr>
                <w:b/>
                <w:bCs/>
                <w:sz w:val="24"/>
                <w:szCs w:val="24"/>
                <w:vertAlign w:val="baseline"/>
              </w:rPr>
            </w:pPr>
            <w:r>
              <w:rPr>
                <w:rFonts w:hint="eastAsia"/>
                <w:b/>
                <w:bCs/>
                <w:sz w:val="24"/>
                <w:szCs w:val="24"/>
                <w:vertAlign w:val="baseline"/>
              </w:rPr>
              <w:t>参数及配置</w:t>
            </w:r>
          </w:p>
        </w:tc>
      </w:tr>
      <w:tr w14:paraId="19E4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4" w:hRule="atLeast"/>
        </w:trPr>
        <w:tc>
          <w:tcPr>
            <w:tcW w:w="360" w:type="pct"/>
          </w:tcPr>
          <w:p w14:paraId="70AB16F2">
            <w:pPr>
              <w:numPr>
                <w:ilvl w:val="0"/>
                <w:numId w:val="0"/>
              </w:numPr>
              <w:ind w:leftChars="0"/>
              <w:jc w:val="left"/>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w:t>
            </w:r>
          </w:p>
        </w:tc>
        <w:tc>
          <w:tcPr>
            <w:tcW w:w="553" w:type="pct"/>
          </w:tcPr>
          <w:p w14:paraId="4F3CBC43">
            <w:pPr>
              <w:numPr>
                <w:ilvl w:val="0"/>
                <w:numId w:val="0"/>
              </w:numPr>
              <w:ind w:leftChars="0"/>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★三重四极杆气相色谱质谱联用仪</w:t>
            </w:r>
          </w:p>
        </w:tc>
        <w:tc>
          <w:tcPr>
            <w:tcW w:w="532" w:type="pct"/>
          </w:tcPr>
          <w:p w14:paraId="13170803">
            <w:pPr>
              <w:numPr>
                <w:ilvl w:val="0"/>
                <w:numId w:val="0"/>
              </w:numPr>
              <w:ind w:leftChars="0"/>
              <w:jc w:val="left"/>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w:t>
            </w:r>
          </w:p>
        </w:tc>
        <w:tc>
          <w:tcPr>
            <w:tcW w:w="3554" w:type="pct"/>
          </w:tcPr>
          <w:p w14:paraId="03C4A6F0">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bCs/>
                <w:color w:val="auto"/>
                <w:sz w:val="18"/>
                <w:szCs w:val="18"/>
                <w:highlight w:val="none"/>
                <w:lang w:eastAsia="zh-CN"/>
              </w:rPr>
            </w:pPr>
            <w:r>
              <w:rPr>
                <w:rFonts w:hint="eastAsia" w:ascii="方正仿宋_GB2312" w:hAnsi="方正仿宋_GB2312" w:eastAsia="方正仿宋_GB2312" w:cs="方正仿宋_GB2312"/>
                <w:b/>
                <w:bCs/>
                <w:color w:val="auto"/>
                <w:sz w:val="18"/>
                <w:szCs w:val="18"/>
                <w:highlight w:val="none"/>
              </w:rPr>
              <w:t xml:space="preserve">1. </w:t>
            </w:r>
            <w:r>
              <w:rPr>
                <w:rFonts w:hint="eastAsia" w:ascii="方正仿宋_GB2312" w:hAnsi="方正仿宋_GB2312" w:eastAsia="方正仿宋_GB2312" w:cs="方正仿宋_GB2312"/>
                <w:b/>
                <w:bCs/>
                <w:color w:val="auto"/>
                <w:sz w:val="18"/>
                <w:szCs w:val="18"/>
                <w:highlight w:val="none"/>
                <w:lang w:eastAsia="zh-CN"/>
              </w:rPr>
              <w:t>三重四级杆气质质联用仪</w:t>
            </w:r>
          </w:p>
          <w:p w14:paraId="025D09A3">
            <w:pPr>
              <w:keepNext w:val="0"/>
              <w:keepLines w:val="0"/>
              <w:pageBreakBefore w:val="0"/>
              <w:kinsoku/>
              <w:wordWrap/>
              <w:overflowPunct/>
              <w:topLinePunct w:val="0"/>
              <w:autoSpaceDE/>
              <w:autoSpaceDN/>
              <w:bidi w:val="0"/>
              <w:snapToGrid w:val="0"/>
              <w:spacing w:line="240" w:lineRule="exac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val="0"/>
                <w:bCs w:val="0"/>
                <w:color w:val="auto"/>
                <w:sz w:val="18"/>
                <w:szCs w:val="18"/>
                <w:highlight w:val="none"/>
              </w:rPr>
              <w:t>技术参数</w:t>
            </w:r>
            <w:r>
              <w:rPr>
                <w:rFonts w:hint="eastAsia" w:ascii="方正仿宋_GB2312" w:hAnsi="方正仿宋_GB2312" w:eastAsia="方正仿宋_GB2312" w:cs="方正仿宋_GB2312"/>
                <w:b/>
                <w:bCs/>
                <w:color w:val="auto"/>
                <w:sz w:val="18"/>
                <w:szCs w:val="18"/>
                <w:highlight w:val="none"/>
              </w:rPr>
              <w:t>：</w:t>
            </w:r>
          </w:p>
          <w:p w14:paraId="7580392B">
            <w:pPr>
              <w:keepNext w:val="0"/>
              <w:keepLines w:val="0"/>
              <w:pageBreakBefore w:val="0"/>
              <w:kinsoku/>
              <w:wordWrap/>
              <w:overflowPunct/>
              <w:topLinePunct w:val="0"/>
              <w:autoSpaceDE/>
              <w:autoSpaceDN/>
              <w:bidi w:val="0"/>
              <w:snapToGrid w:val="0"/>
              <w:spacing w:line="240" w:lineRule="exact"/>
              <w:jc w:val="lef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bCs/>
                <w:color w:val="auto"/>
                <w:sz w:val="18"/>
                <w:szCs w:val="18"/>
                <w:highlight w:val="none"/>
              </w:rPr>
              <w:t>一.工作条件</w:t>
            </w:r>
          </w:p>
          <w:p w14:paraId="1557CFDF">
            <w:pPr>
              <w:keepNext w:val="0"/>
              <w:keepLines w:val="0"/>
              <w:pageBreakBefore w:val="0"/>
              <w:kinsoku/>
              <w:wordWrap/>
              <w:overflowPunct/>
              <w:topLinePunct w:val="0"/>
              <w:autoSpaceDE/>
              <w:autoSpaceDN/>
              <w:bidi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1．电源：220V，50Hz</w:t>
            </w:r>
          </w:p>
          <w:p w14:paraId="30C47707">
            <w:pPr>
              <w:keepNext w:val="0"/>
              <w:keepLines w:val="0"/>
              <w:pageBreakBefore w:val="0"/>
              <w:kinsoku/>
              <w:wordWrap/>
              <w:overflowPunct/>
              <w:topLinePunct w:val="0"/>
              <w:autoSpaceDE/>
              <w:autoSpaceDN/>
              <w:bidi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2．温度：操作环境15˚C-35˚C</w:t>
            </w:r>
          </w:p>
          <w:p w14:paraId="63F29F98">
            <w:pPr>
              <w:keepNext w:val="0"/>
              <w:keepLines w:val="0"/>
              <w:pageBreakBefore w:val="0"/>
              <w:kinsoku/>
              <w:wordWrap/>
              <w:overflowPunct/>
              <w:topLinePunct w:val="0"/>
              <w:autoSpaceDE/>
              <w:autoSpaceDN/>
              <w:bidi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3．湿度：操作状态25-50%，非操作状态10-90%</w:t>
            </w:r>
          </w:p>
          <w:p w14:paraId="3D88F5C6">
            <w:pPr>
              <w:keepNext w:val="0"/>
              <w:keepLines w:val="0"/>
              <w:pageBreakBefore w:val="0"/>
              <w:kinsoku/>
              <w:wordWrap/>
              <w:overflowPunct/>
              <w:topLinePunct w:val="0"/>
              <w:autoSpaceDE/>
              <w:autoSpaceDN/>
              <w:bidi w:val="0"/>
              <w:snapToGrid w:val="0"/>
              <w:spacing w:line="240" w:lineRule="exact"/>
              <w:jc w:val="lef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bCs/>
                <w:color w:val="auto"/>
                <w:sz w:val="18"/>
                <w:szCs w:val="18"/>
                <w:highlight w:val="none"/>
              </w:rPr>
              <w:t>二. 气相色谱</w:t>
            </w:r>
          </w:p>
          <w:p w14:paraId="3BF8F0E9">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bCs/>
                <w:color w:val="auto"/>
                <w:sz w:val="18"/>
                <w:szCs w:val="18"/>
                <w:highlight w:val="none"/>
              </w:rPr>
              <w:t>1 主机性能</w:t>
            </w:r>
          </w:p>
          <w:p w14:paraId="1BCD8A0F">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*1.1 电子流量控制（EPC）：所有流量、压力均可以电子控制，以提高重现性。</w:t>
            </w:r>
          </w:p>
          <w:p w14:paraId="62F96EFC">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1.2 压力调节：0.001psi</w:t>
            </w:r>
          </w:p>
          <w:p w14:paraId="4D9C2229">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*1.3 保留时间重现性：&lt;0.0008min，峰面积的重现性：&lt;0.5%RSD</w:t>
            </w:r>
          </w:p>
          <w:p w14:paraId="6E664482">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 可同时固定安装四个检测器，可随应用选择不同检测器使用，无需用户更改硬件配置和调试，保证数据的可靠性和稳定性。</w:t>
            </w:r>
          </w:p>
          <w:p w14:paraId="2A7C8F5C">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1.5 主机带电容式触摸屏，可实时控制仪器，进行方法设置，同时显示色谱系统和质谱系统的数据信息</w:t>
            </w:r>
          </w:p>
          <w:p w14:paraId="2BA0A425">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*1.5.1触摸屏可实现：系统配置及流路连接状态、仪器实时状态界面、实时查看色谱图采集状态，保存仪器方法等</w:t>
            </w:r>
          </w:p>
          <w:p w14:paraId="16EDF75C">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*1.5.2触摸屏具有引导式界面，帮助使用人员排除故障，更换部件，方便使用。</w:t>
            </w:r>
          </w:p>
          <w:p w14:paraId="6D24DBA4">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*1.6 具备局域网控制功能，实现移动智能化（例如手机，平板电脑，笔记本电脑等）对设备进行远程控制、操作、及数据处理，真正实现远程监控。</w:t>
            </w:r>
          </w:p>
          <w:p w14:paraId="2B2C1ED2">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*1.7 仪器可利用电子流量控制实现自动检漏，无需人工，具有早期预防性维护提示功能。</w:t>
            </w:r>
          </w:p>
          <w:p w14:paraId="499F2D48">
            <w:pPr>
              <w:keepNext w:val="0"/>
              <w:keepLines w:val="0"/>
              <w:pageBreakBefore w:val="0"/>
              <w:kinsoku/>
              <w:wordWrap/>
              <w:overflowPunct/>
              <w:topLinePunct w:val="0"/>
              <w:autoSpaceDE/>
              <w:autoSpaceDN/>
              <w:bidi w:val="0"/>
              <w:spacing w:line="240" w:lineRule="exact"/>
              <w:ind w:left="562" w:hanging="361" w:hangingChars="200"/>
              <w:jc w:val="lef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bCs/>
                <w:color w:val="auto"/>
                <w:sz w:val="18"/>
                <w:szCs w:val="18"/>
                <w:highlight w:val="none"/>
              </w:rPr>
              <w:t>2.柱温箱</w:t>
            </w:r>
          </w:p>
          <w:p w14:paraId="1474AB23">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2.1操作温度：室温以上4˚C至430˚C</w:t>
            </w:r>
          </w:p>
          <w:p w14:paraId="038F2075">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2.2温度设定：1˚C，程序升温间隔0.1˚C</w:t>
            </w:r>
          </w:p>
          <w:p w14:paraId="61CDAB2C">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2.3升温速度：不小于100˚C/min</w:t>
            </w:r>
          </w:p>
          <w:p w14:paraId="1226D4B9">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2.4程序升温：不小于18阶,19个温度平台</w:t>
            </w:r>
          </w:p>
          <w:p w14:paraId="7D73408F">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2.5稳定性：&lt;0.01˚C</w:t>
            </w:r>
          </w:p>
          <w:p w14:paraId="25BEB14E">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2.6温度准确度：±1%</w:t>
            </w:r>
          </w:p>
          <w:p w14:paraId="5AF8994B">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2.7炉箱冷却速度：450˚C到50˚C，3.5min</w:t>
            </w:r>
          </w:p>
          <w:p w14:paraId="092F7AFA">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2.8最大运行时间：999.99分钟</w:t>
            </w:r>
          </w:p>
          <w:p w14:paraId="5A485770">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bCs/>
                <w:color w:val="auto"/>
                <w:sz w:val="18"/>
                <w:szCs w:val="18"/>
                <w:highlight w:val="none"/>
              </w:rPr>
              <w:t>3.毛细柱分流/不分流进样口（具有电子压力控制功能）</w:t>
            </w:r>
          </w:p>
          <w:p w14:paraId="1C3A1DB5">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3.1最高使用温度：400˚C</w:t>
            </w:r>
          </w:p>
          <w:p w14:paraId="5109745E">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3.2电子参数设定压力，流速和分流比,分流比可达12000：1</w:t>
            </w:r>
          </w:p>
          <w:p w14:paraId="073C28EC">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3.3最大载气流量：1000ml/min</w:t>
            </w:r>
          </w:p>
          <w:p w14:paraId="7A9F1917">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3.4流量范围：0-200mL/分钟N</w:t>
            </w:r>
            <w:r>
              <w:rPr>
                <w:rFonts w:hint="eastAsia" w:ascii="方正仿宋_GB2312" w:hAnsi="方正仿宋_GB2312" w:eastAsia="方正仿宋_GB2312" w:cs="方正仿宋_GB2312"/>
                <w:color w:val="auto"/>
                <w:sz w:val="18"/>
                <w:szCs w:val="18"/>
                <w:highlight w:val="none"/>
                <w:vertAlign w:val="subscript"/>
              </w:rPr>
              <w:t>2</w:t>
            </w:r>
            <w:r>
              <w:rPr>
                <w:rFonts w:hint="eastAsia" w:ascii="方正仿宋_GB2312" w:hAnsi="方正仿宋_GB2312" w:eastAsia="方正仿宋_GB2312" w:cs="方正仿宋_GB2312"/>
                <w:color w:val="auto"/>
                <w:sz w:val="18"/>
                <w:szCs w:val="18"/>
                <w:highlight w:val="none"/>
              </w:rPr>
              <w:t>,0-1250mL/minH</w:t>
            </w:r>
            <w:r>
              <w:rPr>
                <w:rFonts w:hint="eastAsia" w:ascii="方正仿宋_GB2312" w:hAnsi="方正仿宋_GB2312" w:eastAsia="方正仿宋_GB2312" w:cs="方正仿宋_GB2312"/>
                <w:color w:val="auto"/>
                <w:sz w:val="18"/>
                <w:szCs w:val="18"/>
                <w:highlight w:val="none"/>
                <w:vertAlign w:val="subscript"/>
              </w:rPr>
              <w:t>2</w:t>
            </w:r>
            <w:r>
              <w:rPr>
                <w:rFonts w:hint="eastAsia" w:ascii="方正仿宋_GB2312" w:hAnsi="方正仿宋_GB2312" w:eastAsia="方正仿宋_GB2312" w:cs="方正仿宋_GB2312"/>
                <w:color w:val="auto"/>
                <w:sz w:val="18"/>
                <w:szCs w:val="18"/>
                <w:highlight w:val="none"/>
              </w:rPr>
              <w:t>orHe</w:t>
            </w:r>
          </w:p>
          <w:p w14:paraId="05E2B56B">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*3.5快速维护进样口设计，无需拆卸进样口，无需工具，即可更换进样口衬管及色谱柱，（请提供设计证明以及相应的样机更换流程照片予以证明）</w:t>
            </w:r>
          </w:p>
          <w:p w14:paraId="7E605F3A">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bCs/>
                <w:color w:val="auto"/>
                <w:sz w:val="18"/>
                <w:szCs w:val="18"/>
                <w:highlight w:val="none"/>
              </w:rPr>
              <w:t>4.自动进样器</w:t>
            </w:r>
          </w:p>
          <w:p w14:paraId="13E2C85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*4.1 自动进样器：样品容量≥162位</w:t>
            </w:r>
          </w:p>
          <w:p w14:paraId="4C5BF0B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4.2  进样量范围：0.1-50ul</w:t>
            </w:r>
          </w:p>
          <w:p w14:paraId="3E74EED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4.3  进样量线性：≥99%</w:t>
            </w:r>
          </w:p>
          <w:p w14:paraId="42226C5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*4.4 自动进样针可以自行调节进样深度</w:t>
            </w:r>
          </w:p>
          <w:p w14:paraId="5BAC22F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4.5  可实行快速进样，进样速度0.1 sec</w:t>
            </w:r>
          </w:p>
          <w:p w14:paraId="017EA180">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*4.6 重叠进样，节省时间，提高效率</w:t>
            </w:r>
          </w:p>
          <w:p w14:paraId="53947F78">
            <w:pPr>
              <w:pStyle w:val="30"/>
              <w:keepNext w:val="0"/>
              <w:keepLines w:val="0"/>
              <w:pageBreakBefore w:val="0"/>
              <w:kinsoku/>
              <w:wordWrap/>
              <w:overflowPunct/>
              <w:topLinePunct w:val="0"/>
              <w:autoSpaceDE/>
              <w:autoSpaceDN/>
              <w:bidi w:val="0"/>
              <w:spacing w:after="0" w:line="240" w:lineRule="exact"/>
              <w:ind w:left="0" w:leftChars="0" w:firstLine="0" w:firstLineChars="0"/>
              <w:textAlignment w:val="auto"/>
              <w:rPr>
                <w:rFonts w:hint="eastAsia" w:ascii="方正仿宋_GB2312" w:hAnsi="方正仿宋_GB2312" w:eastAsia="方正仿宋_GB2312" w:cs="方正仿宋_GB2312"/>
                <w:b/>
                <w:bCs/>
                <w:color w:val="auto"/>
                <w:kern w:val="2"/>
                <w:sz w:val="18"/>
                <w:szCs w:val="18"/>
                <w:highlight w:val="none"/>
              </w:rPr>
            </w:pPr>
            <w:r>
              <w:rPr>
                <w:rFonts w:hint="eastAsia" w:ascii="方正仿宋_GB2312" w:hAnsi="方正仿宋_GB2312" w:eastAsia="方正仿宋_GB2312" w:cs="方正仿宋_GB2312"/>
                <w:b/>
                <w:bCs/>
                <w:color w:val="auto"/>
                <w:kern w:val="2"/>
                <w:sz w:val="18"/>
                <w:szCs w:val="18"/>
                <w:highlight w:val="none"/>
              </w:rPr>
              <w:t>三、 质谱基本性能</w:t>
            </w:r>
          </w:p>
          <w:p w14:paraId="671DF616">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 质量数范围: 10-1000m/z</w:t>
            </w:r>
          </w:p>
          <w:p w14:paraId="0374E14B">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2灵敏度：</w:t>
            </w:r>
          </w:p>
          <w:p w14:paraId="03017169">
            <w:pPr>
              <w:keepNext w:val="0"/>
              <w:keepLines w:val="0"/>
              <w:pageBreakBefore w:val="0"/>
              <w:tabs>
                <w:tab w:val="left" w:pos="851"/>
              </w:tabs>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*2.1 EI MRM模式：100fg 八氟奈,信/噪比≥15000:1(272—222 )(测试的柱子规格为30mx0.25mmx0.25um）</w:t>
            </w:r>
          </w:p>
          <w:p w14:paraId="341BDDD2">
            <w:pPr>
              <w:keepNext w:val="0"/>
              <w:keepLines w:val="0"/>
              <w:pageBreakBefore w:val="0"/>
              <w:tabs>
                <w:tab w:val="left" w:pos="851"/>
              </w:tabs>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*2.2 EI MRM模式：10fg 八氟奈, 信/噪比≥1450:1(272—222 )(测试的柱子规格为30mx0.25mmx0.25um，)</w:t>
            </w:r>
          </w:p>
          <w:p w14:paraId="1683B01C">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*3仪器检测限指标 (为仪器安装指标)：(测试的柱子规格为30mx0.25mmx0.25um)仪器检测限指标(EI MRM IDL)：小于4.0fg  八氟奈 (OFN),10fg OFN进样8次 （需要提供安装验收报告作为证明文件）</w:t>
            </w:r>
          </w:p>
          <w:p w14:paraId="7054EBB2">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4 分辨率： 0.4-4amu 可调</w:t>
            </w:r>
          </w:p>
          <w:p w14:paraId="4B2245BD">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5 扫描速度：≥19000 Da/秒</w:t>
            </w:r>
          </w:p>
          <w:p w14:paraId="15A6DD63">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*6 MRM扫描速率：780个MRM/秒（请提供官网可查证明材料）</w:t>
            </w:r>
          </w:p>
          <w:p w14:paraId="3C2C98A3">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7  最小SRM扫描时间：0.5ms</w:t>
            </w:r>
          </w:p>
          <w:p w14:paraId="6B290A02">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8  质量轴稳定性：+/- 0.1amu 48 hours.</w:t>
            </w:r>
          </w:p>
          <w:p w14:paraId="7DFED20C">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9 离子源</w:t>
            </w:r>
          </w:p>
          <w:p w14:paraId="6B378A3B">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9.1 EI源和CI源</w:t>
            </w:r>
          </w:p>
          <w:p w14:paraId="5DB2CFE2">
            <w:pPr>
              <w:pStyle w:val="30"/>
              <w:keepNext w:val="0"/>
              <w:keepLines w:val="0"/>
              <w:pageBreakBefore w:val="0"/>
              <w:kinsoku/>
              <w:wordWrap/>
              <w:overflowPunct/>
              <w:topLinePunct w:val="0"/>
              <w:autoSpaceDE/>
              <w:autoSpaceDN/>
              <w:bidi w:val="0"/>
              <w:spacing w:after="0" w:line="240" w:lineRule="exact"/>
              <w:ind w:left="840" w:hanging="540" w:hangingChars="300"/>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*9.2 离子源电子能量：最大能量≥2</w:t>
            </w:r>
            <w:r>
              <w:rPr>
                <w:rFonts w:hint="eastAsia" w:ascii="方正仿宋_GB2312" w:hAnsi="方正仿宋_GB2312" w:eastAsia="方正仿宋_GB2312" w:cs="方正仿宋_GB2312"/>
                <w:color w:val="auto"/>
                <w:kern w:val="2"/>
                <w:sz w:val="18"/>
                <w:szCs w:val="18"/>
                <w:highlight w:val="none"/>
                <w:lang w:val="en-US" w:eastAsia="zh-CN"/>
              </w:rPr>
              <w:t>0</w:t>
            </w:r>
            <w:r>
              <w:rPr>
                <w:rFonts w:hint="eastAsia" w:ascii="方正仿宋_GB2312" w:hAnsi="方正仿宋_GB2312" w:eastAsia="方正仿宋_GB2312" w:cs="方正仿宋_GB2312"/>
                <w:color w:val="auto"/>
                <w:kern w:val="2"/>
                <w:sz w:val="18"/>
                <w:szCs w:val="18"/>
                <w:highlight w:val="none"/>
              </w:rPr>
              <w:t>0eV（提供官网可查证明材料）</w:t>
            </w:r>
          </w:p>
          <w:p w14:paraId="404D13E3">
            <w:pPr>
              <w:pStyle w:val="30"/>
              <w:keepNext w:val="0"/>
              <w:keepLines w:val="0"/>
              <w:pageBreakBefore w:val="0"/>
              <w:kinsoku/>
              <w:wordWrap/>
              <w:overflowPunct/>
              <w:topLinePunct w:val="0"/>
              <w:autoSpaceDE/>
              <w:autoSpaceDN/>
              <w:bidi w:val="0"/>
              <w:spacing w:after="0" w:line="240" w:lineRule="exact"/>
              <w:ind w:left="0" w:leftChars="0" w:firstLine="0" w:firstLineChars="0"/>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*9.3 离子源温度：独立加热，最大温度≥345℃（需提供官网可查证明材料）</w:t>
            </w:r>
          </w:p>
          <w:p w14:paraId="5B5B38C8">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9.4  接口传输线温度：可控温，最高达350℃</w:t>
            </w:r>
          </w:p>
          <w:p w14:paraId="47EFFBDF">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*9.5 无损双灯丝设计，且具有灯丝透镜，保护灯丝，提高灯丝寿命，灯丝电流：0-260uA</w:t>
            </w:r>
          </w:p>
          <w:p w14:paraId="6DB2F6C5">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9.6  独特的一体化的带拉伸极的离子源设计,惰性化材质，保证质谱的灵敏度.</w:t>
            </w:r>
          </w:p>
          <w:p w14:paraId="56DBE686">
            <w:pPr>
              <w:pStyle w:val="30"/>
              <w:keepNext w:val="0"/>
              <w:keepLines w:val="0"/>
              <w:pageBreakBefore w:val="0"/>
              <w:kinsoku/>
              <w:wordWrap/>
              <w:overflowPunct/>
              <w:topLinePunct w:val="0"/>
              <w:autoSpaceDE/>
              <w:autoSpaceDN/>
              <w:bidi w:val="0"/>
              <w:spacing w:after="0" w:line="240" w:lineRule="exact"/>
              <w:ind w:left="0" w:leftChars="0" w:firstLine="0" w:firstLineChars="0"/>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10质量分析器</w:t>
            </w:r>
          </w:p>
          <w:p w14:paraId="2B9921F8">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*10.1质量分析器：石英镀金共轭双曲面四极杆</w:t>
            </w:r>
            <w:r>
              <w:rPr>
                <w:rFonts w:hint="eastAsia" w:ascii="方正仿宋_GB2312" w:hAnsi="方正仿宋_GB2312" w:eastAsia="方正仿宋_GB2312" w:cs="方正仿宋_GB2312"/>
                <w:color w:val="auto"/>
                <w:sz w:val="18"/>
                <w:szCs w:val="18"/>
                <w:highlight w:val="none"/>
                <w:lang w:eastAsia="zh-CN"/>
              </w:rPr>
              <w:t>或高精度全金属钼四极杆，终身免维护，</w:t>
            </w:r>
            <w:r>
              <w:rPr>
                <w:rFonts w:hint="eastAsia" w:ascii="方正仿宋_GB2312" w:hAnsi="方正仿宋_GB2312" w:eastAsia="方正仿宋_GB2312" w:cs="方正仿宋_GB2312"/>
                <w:color w:val="auto"/>
                <w:sz w:val="18"/>
                <w:szCs w:val="18"/>
                <w:highlight w:val="none"/>
              </w:rPr>
              <w:t>如不能满足则需提供备用四极杆一套（提供官网可查证明材料）</w:t>
            </w:r>
          </w:p>
          <w:p w14:paraId="445102DE">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10.2 采用线性加速高压碰撞，氦气淬灭消除中性噪音的碰撞池装置设计，消除“记忆效应”和“交叉污染”</w:t>
            </w:r>
          </w:p>
          <w:p w14:paraId="0DBDF9FE">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10.3 碰撞能量：0-60eV</w:t>
            </w:r>
          </w:p>
          <w:p w14:paraId="2A373D93">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10.4 CI气和CID碰撞气流量均为电子流量控制器控制</w:t>
            </w:r>
          </w:p>
          <w:p w14:paraId="2F52C137">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11扫描功能</w:t>
            </w:r>
          </w:p>
          <w:p w14:paraId="2916B889">
            <w:pPr>
              <w:keepNext w:val="0"/>
              <w:keepLines w:val="0"/>
              <w:pageBreakBefore w:val="0"/>
              <w:tabs>
                <w:tab w:val="left" w:pos="851"/>
              </w:tabs>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提供全扫描(Full Scan)、子离子扫描( Product Ion Scan)、母离子扫描(Precursor Ion Scan)、中性丢失扫描(Neutral Loss Scan)、选择离子扫描模式(SIM)、选择反应扫描模式(SRM)、多反应扫描模式（MRM）等多种模式。质谱工作站同时具有分段扫描功能和dMRM功能，可实现dMRM、SCAN及tMRM、SCAN同时扫描，提供官方资料证明。</w:t>
            </w:r>
          </w:p>
          <w:p w14:paraId="4DA6D068">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12 检测系统</w:t>
            </w:r>
          </w:p>
          <w:p w14:paraId="3160853F">
            <w:pPr>
              <w:pStyle w:val="30"/>
              <w:keepNext w:val="0"/>
              <w:keepLines w:val="0"/>
              <w:pageBreakBefore w:val="0"/>
              <w:kinsoku/>
              <w:wordWrap/>
              <w:overflowPunct/>
              <w:topLinePunct w:val="0"/>
              <w:autoSpaceDE/>
              <w:autoSpaceDN/>
              <w:bidi w:val="0"/>
              <w:spacing w:after="0" w:line="240" w:lineRule="exact"/>
              <w:ind w:left="560" w:hanging="360" w:hangingChars="200"/>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*12.1检测器：</w:t>
            </w:r>
            <w:r>
              <w:rPr>
                <w:rFonts w:hint="eastAsia" w:ascii="方正仿宋_GB2312" w:hAnsi="方正仿宋_GB2312" w:eastAsia="方正仿宋_GB2312" w:cs="方正仿宋_GB2312"/>
                <w:color w:val="auto"/>
                <w:kern w:val="2"/>
                <w:sz w:val="18"/>
                <w:szCs w:val="18"/>
                <w:highlight w:val="none"/>
                <w:lang w:eastAsia="zh-CN"/>
              </w:rPr>
              <w:t>电子</w:t>
            </w:r>
            <w:r>
              <w:rPr>
                <w:rFonts w:hint="eastAsia" w:ascii="方正仿宋_GB2312" w:hAnsi="方正仿宋_GB2312" w:eastAsia="方正仿宋_GB2312" w:cs="方正仿宋_GB2312"/>
                <w:color w:val="auto"/>
                <w:kern w:val="2"/>
                <w:sz w:val="18"/>
                <w:szCs w:val="18"/>
                <w:highlight w:val="none"/>
              </w:rPr>
              <w:t>倍增检测器,长寿命检测器，最大限度地降低中性粒子的干扰（提供官网可查证明材料）</w:t>
            </w:r>
          </w:p>
          <w:p w14:paraId="6318EF11">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13 真空系统</w:t>
            </w:r>
          </w:p>
          <w:p w14:paraId="7FFEFB47">
            <w:pPr>
              <w:spacing w:line="240" w:lineRule="atLeast"/>
              <w:rPr>
                <w:rFonts w:hint="eastAsia" w:ascii="方正仿宋_GB2312" w:hAnsi="方正仿宋_GB2312" w:eastAsia="方正仿宋_GB2312" w:cs="方正仿宋_GB2312"/>
                <w:color w:val="auto"/>
                <w:kern w:val="2"/>
                <w:sz w:val="18"/>
                <w:szCs w:val="18"/>
                <w:highlight w:val="none"/>
                <w:lang w:eastAsia="zh-CN"/>
              </w:rPr>
            </w:pPr>
            <w:r>
              <w:rPr>
                <w:rFonts w:hint="eastAsia" w:ascii="方正仿宋_GB2312" w:hAnsi="方正仿宋_GB2312" w:eastAsia="方正仿宋_GB2312" w:cs="方正仿宋_GB2312"/>
                <w:color w:val="auto"/>
                <w:kern w:val="2"/>
                <w:sz w:val="18"/>
                <w:szCs w:val="18"/>
                <w:highlight w:val="none"/>
              </w:rPr>
              <w:t>*13.1  真空系统：分子涡轮泵高真空系统, 源区和分析区形成差分抽气系统,分子涡轮泵</w:t>
            </w:r>
            <w:r>
              <w:rPr>
                <w:rFonts w:hint="eastAsia" w:ascii="方正仿宋_GB2312" w:hAnsi="方正仿宋_GB2312" w:eastAsia="方正仿宋_GB2312" w:cs="方正仿宋_GB2312"/>
                <w:color w:val="auto"/>
                <w:kern w:val="2"/>
                <w:sz w:val="18"/>
                <w:szCs w:val="18"/>
                <w:highlight w:val="none"/>
                <w:lang w:eastAsia="zh-CN"/>
              </w:rPr>
              <w:t>应</w:t>
            </w:r>
            <w:r>
              <w:rPr>
                <w:rFonts w:hint="eastAsia" w:ascii="方正仿宋_GB2312" w:hAnsi="方正仿宋_GB2312" w:eastAsia="方正仿宋_GB2312" w:cs="方正仿宋_GB2312"/>
                <w:color w:val="auto"/>
                <w:kern w:val="2"/>
                <w:sz w:val="18"/>
                <w:szCs w:val="18"/>
                <w:highlight w:val="none"/>
              </w:rPr>
              <w:t>方便维护</w:t>
            </w:r>
            <w:r>
              <w:rPr>
                <w:rFonts w:hint="eastAsia" w:ascii="方正仿宋_GB2312" w:hAnsi="方正仿宋_GB2312" w:eastAsia="方正仿宋_GB2312" w:cs="方正仿宋_GB2312"/>
                <w:color w:val="auto"/>
                <w:kern w:val="2"/>
                <w:sz w:val="18"/>
                <w:szCs w:val="18"/>
                <w:highlight w:val="none"/>
                <w:lang w:eastAsia="zh-CN"/>
              </w:rPr>
              <w:t>（须提供分子涡轮泵抽力的证明图片）.</w:t>
            </w:r>
          </w:p>
          <w:p w14:paraId="307318F0">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13.2   具有自动检漏功能,如果出现泄漏会自动报警和预处理。</w:t>
            </w:r>
          </w:p>
          <w:p w14:paraId="7CFB6FDA">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14工作站系统</w:t>
            </w:r>
          </w:p>
          <w:p w14:paraId="0832B134">
            <w:pPr>
              <w:pStyle w:val="30"/>
              <w:keepNext w:val="0"/>
              <w:keepLines w:val="0"/>
              <w:pageBreakBefore w:val="0"/>
              <w:kinsoku/>
              <w:wordWrap/>
              <w:overflowPunct/>
              <w:topLinePunct w:val="0"/>
              <w:autoSpaceDE/>
              <w:autoSpaceDN/>
              <w:bidi w:val="0"/>
              <w:spacing w:after="0" w:line="240" w:lineRule="exact"/>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14.1  气相色谱, 质谱, 质谱工作站之间的数据传输全部由内置的网卡实现</w:t>
            </w:r>
          </w:p>
          <w:p w14:paraId="5BF2678E">
            <w:pPr>
              <w:pStyle w:val="30"/>
              <w:keepNext w:val="0"/>
              <w:keepLines w:val="0"/>
              <w:pageBreakBefore w:val="0"/>
              <w:kinsoku/>
              <w:wordWrap/>
              <w:overflowPunct/>
              <w:topLinePunct w:val="0"/>
              <w:autoSpaceDE/>
              <w:autoSpaceDN/>
              <w:bidi w:val="0"/>
              <w:spacing w:after="0" w:line="240" w:lineRule="exact"/>
              <w:ind w:left="560" w:hanging="360" w:hangingChars="200"/>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*14.2 软件：气质串接软件应该同时包含中文和英文两种软件，用户可根据自己需要安装不同语言版本的软件（需要提供中文工作站的仪器控制界面、方法编辑界面及定量界面截面图作为证明文件）</w:t>
            </w:r>
          </w:p>
          <w:p w14:paraId="1A983238">
            <w:pPr>
              <w:pStyle w:val="30"/>
              <w:keepNext w:val="0"/>
              <w:keepLines w:val="0"/>
              <w:pageBreakBefore w:val="0"/>
              <w:kinsoku/>
              <w:wordWrap/>
              <w:overflowPunct/>
              <w:topLinePunct w:val="0"/>
              <w:autoSpaceDE/>
              <w:autoSpaceDN/>
              <w:bidi w:val="0"/>
              <w:spacing w:after="0" w:line="240" w:lineRule="exact"/>
              <w:ind w:left="560" w:hanging="360" w:hangingChars="200"/>
              <w:textAlignment w:val="auto"/>
              <w:rPr>
                <w:rFonts w:hint="eastAsia" w:ascii="方正仿宋_GB2312" w:hAnsi="方正仿宋_GB2312" w:eastAsia="方正仿宋_GB2312" w:cs="方正仿宋_GB2312"/>
                <w:color w:val="auto"/>
                <w:kern w:val="2"/>
                <w:sz w:val="18"/>
                <w:szCs w:val="18"/>
                <w:highlight w:val="none"/>
              </w:rPr>
            </w:pPr>
            <w:r>
              <w:rPr>
                <w:rFonts w:hint="eastAsia" w:ascii="方正仿宋_GB2312" w:hAnsi="方正仿宋_GB2312" w:eastAsia="方正仿宋_GB2312" w:cs="方正仿宋_GB2312"/>
                <w:color w:val="auto"/>
                <w:kern w:val="2"/>
                <w:sz w:val="18"/>
                <w:szCs w:val="18"/>
                <w:highlight w:val="none"/>
              </w:rPr>
              <w:t>14.3 可手动/自动调谐, 批量化数据采集, 数据检索, 分析结果报告,具备批处理解卷积和谱库检索的定性功能。</w:t>
            </w:r>
          </w:p>
          <w:p w14:paraId="533E879F">
            <w:pPr>
              <w:pStyle w:val="30"/>
              <w:keepNext w:val="0"/>
              <w:keepLines w:val="0"/>
              <w:pageBreakBefore w:val="0"/>
              <w:kinsoku/>
              <w:wordWrap/>
              <w:overflowPunct/>
              <w:topLinePunct w:val="0"/>
              <w:autoSpaceDE/>
              <w:autoSpaceDN/>
              <w:bidi w:val="0"/>
              <w:spacing w:after="0" w:line="240" w:lineRule="exact"/>
              <w:ind w:left="560" w:hanging="360" w:hangingChars="200"/>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kern w:val="2"/>
                <w:sz w:val="18"/>
                <w:szCs w:val="18"/>
                <w:highlight w:val="none"/>
              </w:rPr>
              <w:t>14.4  数据分析软件应包括常规数据和符合EPA要求的专用环境数据处理等多</w:t>
            </w:r>
            <w:r>
              <w:rPr>
                <w:rFonts w:hint="eastAsia" w:ascii="方正仿宋_GB2312" w:hAnsi="方正仿宋_GB2312" w:eastAsia="方正仿宋_GB2312" w:cs="方正仿宋_GB2312"/>
                <w:color w:val="auto"/>
                <w:sz w:val="18"/>
                <w:szCs w:val="18"/>
                <w:highlight w:val="none"/>
              </w:rPr>
              <w:t>种分析模式。两种模式通过软件配置互相转换,均能独立工作</w:t>
            </w:r>
          </w:p>
          <w:p w14:paraId="123A0320">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14.5扫描模式：全扫描（SCAN）、选择离子扫描（SIM）、多反应监测（MRM）、动态多反应监测（dMRM）、母离子扫描、子离子扫描、中性丢失扫描。</w:t>
            </w:r>
          </w:p>
          <w:p w14:paraId="2D5864FA">
            <w:pPr>
              <w:keepNext w:val="0"/>
              <w:keepLines w:val="0"/>
              <w:pageBreakBefore w:val="0"/>
              <w:kinsoku/>
              <w:wordWrap/>
              <w:overflowPunct/>
              <w:topLinePunct w:val="0"/>
              <w:autoSpaceDE/>
              <w:autoSpaceDN/>
              <w:bidi w:val="0"/>
              <w:spacing w:line="240" w:lineRule="exact"/>
              <w:ind w:left="1120" w:hanging="720" w:hangingChars="4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*14.6串联质谱可直接导入并执行单杆气质方法，无需转换</w:t>
            </w:r>
          </w:p>
          <w:p w14:paraId="57CBB7F0">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14.7  操作环境：Windows 10或更高</w:t>
            </w:r>
          </w:p>
          <w:p w14:paraId="21BA902F">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14.8  谱库: NIST20谱库和化学结构式库</w:t>
            </w:r>
          </w:p>
          <w:p w14:paraId="2EA408D7">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*14.9  MRM数据库：超过1100种农药和环境污染物的MRM数据库(具有保留时间锁定功能),每个化合物包含不少</w:t>
            </w:r>
            <w:r>
              <w:rPr>
                <w:rFonts w:hint="eastAsia" w:ascii="方正仿宋_GB2312" w:hAnsi="方正仿宋_GB2312" w:eastAsia="方正仿宋_GB2312" w:cs="方正仿宋_GB2312"/>
                <w:color w:val="auto"/>
                <w:sz w:val="18"/>
                <w:szCs w:val="18"/>
                <w:highlight w:val="none"/>
                <w:lang w:eastAsia="zh-CN"/>
              </w:rPr>
              <w:t>于</w:t>
            </w:r>
            <w:r>
              <w:rPr>
                <w:rFonts w:hint="eastAsia" w:ascii="方正仿宋_GB2312" w:hAnsi="方正仿宋_GB2312" w:eastAsia="方正仿宋_GB2312" w:cs="方正仿宋_GB2312"/>
                <w:color w:val="auto"/>
                <w:sz w:val="18"/>
                <w:szCs w:val="18"/>
                <w:highlight w:val="none"/>
                <w:lang w:val="en-US" w:eastAsia="zh-CN"/>
              </w:rPr>
              <w:t>4</w:t>
            </w:r>
            <w:r>
              <w:rPr>
                <w:rFonts w:hint="eastAsia" w:ascii="方正仿宋_GB2312" w:hAnsi="方正仿宋_GB2312" w:eastAsia="方正仿宋_GB2312" w:cs="方正仿宋_GB2312"/>
                <w:color w:val="auto"/>
                <w:sz w:val="18"/>
                <w:szCs w:val="18"/>
                <w:highlight w:val="none"/>
              </w:rPr>
              <w:t>个MRM离子对数据，并提供数据库化合物列表和离子对证明文件，同时需要提供该MRM数据库的中文和英文应用文章作为证明文件。</w:t>
            </w:r>
          </w:p>
          <w:p w14:paraId="778F0E22">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eastAsia="zh-CN"/>
              </w:rPr>
            </w:pPr>
            <w:r>
              <w:rPr>
                <w:rFonts w:hint="eastAsia" w:ascii="方正仿宋_GB2312" w:hAnsi="方正仿宋_GB2312" w:eastAsia="方正仿宋_GB2312" w:cs="方正仿宋_GB2312"/>
                <w:color w:val="auto"/>
                <w:sz w:val="18"/>
                <w:szCs w:val="18"/>
                <w:highlight w:val="none"/>
              </w:rPr>
              <w:t>*14.10 一针进样可以用二级扫描同时检测1000种以上化合物，投标时提供一针二级扫描进样同时检测1000种以上化合物的应用文献。</w:t>
            </w:r>
            <w:r>
              <w:rPr>
                <w:rFonts w:hint="eastAsia" w:ascii="方正仿宋_GB2312" w:hAnsi="方正仿宋_GB2312" w:eastAsia="方正仿宋_GB2312" w:cs="方正仿宋_GB2312"/>
                <w:color w:val="auto"/>
                <w:sz w:val="18"/>
                <w:szCs w:val="18"/>
                <w:highlight w:val="none"/>
                <w:lang w:eastAsia="zh-CN"/>
              </w:rPr>
              <w:t>（此段建议全部删除）</w:t>
            </w:r>
          </w:p>
          <w:p w14:paraId="17A88EA2">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*14.11质谱数据处理软件可依据保留时间锁定谱库当中标准保留时间和质谱信息对样品当中可能存在的目标化合物进行自动搜寻, 并显示搜寻结果.搜寻结果应显示每个化合物的实测保留时间与谱库当中其标准保留时间的偏差, 定量及确认离子之间的标准丰度比与实测丰度比等以供使用者准确定性。</w:t>
            </w:r>
          </w:p>
          <w:p w14:paraId="333E05D2">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14.1</w:t>
            </w:r>
            <w:r>
              <w:rPr>
                <w:rFonts w:hint="eastAsia" w:ascii="方正仿宋_GB2312" w:hAnsi="方正仿宋_GB2312" w:eastAsia="方正仿宋_GB2312" w:cs="方正仿宋_GB2312"/>
                <w:color w:val="auto"/>
                <w:sz w:val="18"/>
                <w:szCs w:val="18"/>
                <w:highlight w:val="none"/>
                <w:lang w:val="en-US" w:eastAsia="zh-CN"/>
              </w:rPr>
              <w:t>2</w:t>
            </w:r>
            <w:r>
              <w:rPr>
                <w:rFonts w:hint="eastAsia" w:ascii="方正仿宋_GB2312" w:hAnsi="方正仿宋_GB2312" w:eastAsia="方正仿宋_GB2312" w:cs="方正仿宋_GB2312"/>
                <w:color w:val="auto"/>
                <w:sz w:val="18"/>
                <w:szCs w:val="18"/>
                <w:highlight w:val="none"/>
              </w:rPr>
              <w:t xml:space="preserve">  i</w:t>
            </w:r>
            <w:r>
              <w:rPr>
                <w:rFonts w:hint="eastAsia" w:ascii="方正仿宋_GB2312" w:hAnsi="方正仿宋_GB2312" w:eastAsia="方正仿宋_GB2312" w:cs="方正仿宋_GB2312"/>
                <w:color w:val="auto"/>
                <w:sz w:val="18"/>
                <w:szCs w:val="18"/>
                <w:highlight w:val="none"/>
                <w:lang w:val="en-US" w:eastAsia="zh-CN"/>
              </w:rPr>
              <w:t>7</w:t>
            </w:r>
            <w:r>
              <w:rPr>
                <w:rFonts w:hint="eastAsia" w:ascii="方正仿宋_GB2312" w:hAnsi="方正仿宋_GB2312" w:eastAsia="方正仿宋_GB2312" w:cs="方正仿宋_GB2312"/>
                <w:color w:val="auto"/>
                <w:sz w:val="18"/>
                <w:szCs w:val="18"/>
                <w:highlight w:val="none"/>
              </w:rPr>
              <w:t>/</w:t>
            </w:r>
            <w:r>
              <w:rPr>
                <w:rFonts w:hint="eastAsia" w:ascii="方正仿宋_GB2312" w:hAnsi="方正仿宋_GB2312" w:eastAsia="方正仿宋_GB2312" w:cs="方正仿宋_GB2312"/>
                <w:color w:val="auto"/>
                <w:sz w:val="18"/>
                <w:szCs w:val="18"/>
                <w:highlight w:val="none"/>
                <w:lang w:val="en-US" w:eastAsia="zh-CN"/>
              </w:rPr>
              <w:t>32</w:t>
            </w:r>
            <w:r>
              <w:rPr>
                <w:rFonts w:hint="eastAsia" w:ascii="方正仿宋_GB2312" w:hAnsi="方正仿宋_GB2312" w:eastAsia="方正仿宋_GB2312" w:cs="方正仿宋_GB2312"/>
                <w:color w:val="auto"/>
                <w:sz w:val="18"/>
                <w:szCs w:val="18"/>
                <w:highlight w:val="none"/>
              </w:rPr>
              <w:t>G内存或以上/</w:t>
            </w:r>
            <w:r>
              <w:rPr>
                <w:rFonts w:hint="eastAsia" w:ascii="方正仿宋_GB2312" w:hAnsi="方正仿宋_GB2312" w:eastAsia="方正仿宋_GB2312" w:cs="方正仿宋_GB2312"/>
                <w:color w:val="auto"/>
                <w:sz w:val="18"/>
                <w:szCs w:val="18"/>
                <w:highlight w:val="none"/>
                <w:lang w:val="en-US" w:eastAsia="zh-CN"/>
              </w:rPr>
              <w:t xml:space="preserve">4T </w:t>
            </w:r>
            <w:r>
              <w:rPr>
                <w:rFonts w:hint="eastAsia" w:ascii="方正仿宋_GB2312" w:hAnsi="方正仿宋_GB2312" w:eastAsia="方正仿宋_GB2312" w:cs="方正仿宋_GB2312"/>
                <w:color w:val="auto"/>
                <w:sz w:val="18"/>
                <w:szCs w:val="18"/>
                <w:highlight w:val="none"/>
              </w:rPr>
              <w:t>硬盘或以上/</w:t>
            </w:r>
            <w:r>
              <w:rPr>
                <w:rFonts w:hint="eastAsia" w:ascii="方正仿宋_GB2312" w:hAnsi="方正仿宋_GB2312" w:eastAsia="方正仿宋_GB2312" w:cs="方正仿宋_GB2312"/>
                <w:color w:val="auto"/>
                <w:sz w:val="18"/>
                <w:szCs w:val="18"/>
                <w:highlight w:val="none"/>
                <w:lang w:val="en-US" w:eastAsia="zh-CN"/>
              </w:rPr>
              <w:t>27</w:t>
            </w:r>
            <w:r>
              <w:rPr>
                <w:rFonts w:hint="eastAsia" w:ascii="方正仿宋_GB2312" w:hAnsi="方正仿宋_GB2312" w:eastAsia="方正仿宋_GB2312" w:cs="方正仿宋_GB2312"/>
                <w:color w:val="auto"/>
                <w:sz w:val="18"/>
                <w:szCs w:val="18"/>
                <w:highlight w:val="none"/>
              </w:rPr>
              <w:t>”LCD /激光打印机</w:t>
            </w:r>
          </w:p>
          <w:p w14:paraId="111076DA">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 氢气发生器</w:t>
            </w:r>
          </w:p>
          <w:p w14:paraId="491BFB48">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15.1氢气流速范围：0-400ml/min,氢气纯度&gt;99.99999%</w:t>
            </w:r>
          </w:p>
          <w:p w14:paraId="71AF3C17">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15.2输出压力：0-116psi压力可调，便于仪器距离的控制。</w:t>
            </w:r>
          </w:p>
          <w:p w14:paraId="25CC1825">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15.3采用质子交换膜、纯水电解技术，进水要求电阻率&gt;1MΩ，纯水进入电解池之前，先经过去离子柱处理，确保水的纯度，延长电解池使用寿命，产生的氢气经过干燥后可以直接用于分析；</w:t>
            </w:r>
          </w:p>
          <w:p w14:paraId="7A89A6D4">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15.4配有CPU微处理液晶触控制器，通过液晶触控屏可连续显示设备的工作参数和运行状况，便于参数设定等；具有软件支持，免费升级，也可以连接网络实现远程监控；在线显示纯化装置的使用寿命倒计时；</w:t>
            </w:r>
          </w:p>
          <w:p w14:paraId="47542571">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15.5符合所有的国际安全标准，配备各种报警功能，包括过压报警、低水位报警、断电保护等、漏气自动停机等；设备上有双重设备报警装置，显示仪器的工作状态；</w:t>
            </w:r>
          </w:p>
          <w:p w14:paraId="0F93446B">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15.6具有免维护式电解池；</w:t>
            </w:r>
          </w:p>
          <w:p w14:paraId="67DAA00C">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15.7具有储水装置，双泵设计，可自动加水而无需停机，并自动监测水位，，全天24小时不间断供气</w:t>
            </w:r>
          </w:p>
          <w:p w14:paraId="5E08BC70">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15.8主机配有不锈钢材质干燥器，便于维护，避免产生氢气的二次污染，噪声等级：&lt;50dB</w:t>
            </w:r>
          </w:p>
          <w:p w14:paraId="578482D1">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16高纯氮空一体机发生器</w:t>
            </w:r>
          </w:p>
          <w:p w14:paraId="1E65590F">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16.1适用于：GC / GC-MS 等分析仪器及其它设备 可连接多台气相色谱仪</w:t>
            </w:r>
          </w:p>
          <w:p w14:paraId="08552DD9">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 xml:space="preserve">16.2空气流速范围0- 3000ml/min </w:t>
            </w:r>
          </w:p>
          <w:p w14:paraId="4BE7B4CB">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 xml:space="preserve">16.3氮气流速范围0- 2000ml/min 氮气纯度 ≥99.9999% </w:t>
            </w:r>
          </w:p>
          <w:p w14:paraId="07F23D77">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O₂含量≤0.1×10-6（V/V）</w:t>
            </w:r>
          </w:p>
          <w:p w14:paraId="12CC8FE2">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H₂O含量≤0.1×10-6（V/V）</w:t>
            </w:r>
          </w:p>
          <w:p w14:paraId="438614E7">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CO₂含量≤0.1×10-6（V/V）</w:t>
            </w:r>
          </w:p>
          <w:p w14:paraId="45D32032">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CO 含量≤0.05×10-6（V/V）</w:t>
            </w:r>
          </w:p>
          <w:p w14:paraId="5DFAAE4B">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CH₄含量≤0.05×10-6（V/V）</w:t>
            </w:r>
          </w:p>
          <w:p w14:paraId="36167E70">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16.4出口压力：氮气 0-7bar 空气 0-8bar ，可以满足现今市面上常用气相用检测器对高纯氮气的要求；</w:t>
            </w:r>
          </w:p>
          <w:p w14:paraId="7B5EB977">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16.5分离技术：采用先进的PSA高效碳分子筛（CMS）过滤技术，纯物理分离技术，免除化学方式腐蚀仪器的隐患，所产生氮气纯度高，在工作中碳分子筛可进行自我净化，确保无杂质残留，氮气纯度稳定。</w:t>
            </w:r>
          </w:p>
          <w:p w14:paraId="6D84524C">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16.6核心部件碳分子筛（CMS)使用寿命不低于40000小时(正常使用不低于15年)无需更换，生产厂家必须提供证明文件</w:t>
            </w:r>
          </w:p>
          <w:p w14:paraId="4753F11B">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16.7空 压 机：内置，无需外配单独的空压机，节省宝贵的实验室空间；</w:t>
            </w:r>
          </w:p>
          <w:p w14:paraId="5030F81B">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16.8内置高温催化反应装置，有效去除烃类物质，烃类化合物总残留量〈0.01ppm；</w:t>
            </w:r>
          </w:p>
          <w:p w14:paraId="5DDBF34F">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b w:val="0"/>
                <w:bCs w:val="0"/>
                <w:color w:val="auto"/>
                <w:kern w:val="2"/>
                <w:sz w:val="18"/>
                <w:szCs w:val="18"/>
                <w:highlight w:val="none"/>
                <w:lang w:val="en-US" w:eastAsia="zh-CN" w:bidi="ar-SA"/>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16.9仪器配置快速供气系统，开机后可快速供气；</w:t>
            </w:r>
          </w:p>
          <w:p w14:paraId="040B1ACC">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b w:val="0"/>
                <w:bCs w:val="0"/>
                <w:color w:val="auto"/>
                <w:kern w:val="2"/>
                <w:sz w:val="18"/>
                <w:szCs w:val="18"/>
                <w:highlight w:val="none"/>
                <w:lang w:val="en-US" w:eastAsia="zh-CN" w:bidi="ar-SA"/>
              </w:rPr>
              <w:t>16.10具有经济运行模式，氮气发生器内置氮气缓冲罐，当无高纯氮气和空气需求时，整机处于待机状态。</w:t>
            </w:r>
          </w:p>
          <w:p w14:paraId="706F834A">
            <w:pPr>
              <w:pStyle w:val="31"/>
              <w:keepNext w:val="0"/>
              <w:keepLines w:val="0"/>
              <w:pageBreakBefore w:val="0"/>
              <w:kinsoku/>
              <w:wordWrap/>
              <w:overflowPunct/>
              <w:topLinePunct w:val="0"/>
              <w:autoSpaceDE/>
              <w:autoSpaceDN/>
              <w:bidi w:val="0"/>
              <w:spacing w:line="240" w:lineRule="exact"/>
              <w:ind w:left="0"/>
              <w:jc w:val="left"/>
              <w:textAlignment w:val="auto"/>
              <w:rPr>
                <w:rFonts w:hint="eastAsia" w:ascii="方正仿宋_GB2312" w:hAnsi="方正仿宋_GB2312" w:eastAsia="方正仿宋_GB2312" w:cs="方正仿宋_GB2312"/>
                <w:b/>
                <w:bCs/>
                <w:color w:val="auto"/>
                <w:sz w:val="18"/>
                <w:szCs w:val="18"/>
                <w:highlight w:val="none"/>
                <w:lang w:val="de-DE"/>
              </w:rPr>
            </w:pPr>
            <w:r>
              <w:rPr>
                <w:rFonts w:hint="eastAsia" w:ascii="方正仿宋_GB2312" w:hAnsi="方正仿宋_GB2312" w:eastAsia="方正仿宋_GB2312" w:cs="方正仿宋_GB2312"/>
                <w:b/>
                <w:bCs/>
                <w:color w:val="auto"/>
                <w:sz w:val="18"/>
                <w:szCs w:val="18"/>
                <w:highlight w:val="none"/>
                <w:lang w:val="de-DE"/>
              </w:rPr>
              <w:t>四、</w:t>
            </w:r>
            <w:r>
              <w:rPr>
                <w:rFonts w:hint="eastAsia" w:ascii="方正仿宋_GB2312" w:hAnsi="方正仿宋_GB2312" w:eastAsia="方正仿宋_GB2312" w:cs="方正仿宋_GB2312"/>
                <w:b/>
                <w:bCs/>
                <w:color w:val="auto"/>
                <w:sz w:val="18"/>
                <w:szCs w:val="18"/>
                <w:highlight w:val="none"/>
              </w:rPr>
              <w:t>售后服务</w:t>
            </w:r>
          </w:p>
          <w:p w14:paraId="41CB20EB">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*1厂家售后服务通过ISO质量体系认证，需提供证书</w:t>
            </w:r>
          </w:p>
          <w:p w14:paraId="3D3500BF">
            <w:pPr>
              <w:keepNext w:val="0"/>
              <w:keepLines w:val="0"/>
              <w:pageBreakBefore w:val="0"/>
              <w:kinsoku/>
              <w:wordWrap/>
              <w:overflowPunct/>
              <w:topLinePunct w:val="0"/>
              <w:autoSpaceDE/>
              <w:autoSpaceDN/>
              <w:bidi w:val="0"/>
              <w:spacing w:line="240" w:lineRule="exact"/>
              <w:ind w:left="280" w:hanging="180" w:hangingChars="1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 供应商提供仪器的现场安装调试并达到投标书指标要求的技术性能，并同时在现场对用户进行操作培训。如果现场安装测试指标未通过，用户有权要求退货并要求赔偿损失。</w:t>
            </w:r>
          </w:p>
          <w:p w14:paraId="26D2A973">
            <w:pPr>
              <w:keepNext w:val="0"/>
              <w:keepLines w:val="0"/>
              <w:pageBreakBefore w:val="0"/>
              <w:kinsoku/>
              <w:wordWrap/>
              <w:overflowPunct/>
              <w:topLinePunct w:val="0"/>
              <w:autoSpaceDE/>
              <w:autoSpaceDN/>
              <w:bidi w:val="0"/>
              <w:spacing w:line="240" w:lineRule="exact"/>
              <w:ind w:left="280" w:hanging="180" w:hangingChars="1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3仪器在调试通过后提供保修服务，在保修期内，所有服务及配件全部免费。供应商能更及时地为用户提供备品备件。</w:t>
            </w:r>
          </w:p>
          <w:p w14:paraId="58275152">
            <w:pPr>
              <w:keepNext w:val="0"/>
              <w:keepLines w:val="0"/>
              <w:pageBreakBefore w:val="0"/>
              <w:kinsoku/>
              <w:wordWrap/>
              <w:overflowPunct/>
              <w:topLinePunct w:val="0"/>
              <w:autoSpaceDE/>
              <w:autoSpaceDN/>
              <w:bidi w:val="0"/>
              <w:spacing w:line="240" w:lineRule="exact"/>
              <w:ind w:left="280" w:hanging="180" w:hangingChars="1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*4供应商必须设有分析仪器教育培训中心和应用实验室，为用户提供仪器的基本原理、操作、日常维护及基础分析仪器理论课程，并为用户提供上机培训。</w:t>
            </w:r>
          </w:p>
          <w:p w14:paraId="64CB7C00">
            <w:pPr>
              <w:keepNext w:val="0"/>
              <w:keepLines w:val="0"/>
              <w:pageBreakBefore w:val="0"/>
              <w:kinsoku/>
              <w:wordWrap/>
              <w:overflowPunct/>
              <w:topLinePunct w:val="0"/>
              <w:autoSpaceDE/>
              <w:autoSpaceDN/>
              <w:bidi w:val="0"/>
              <w:spacing w:line="240" w:lineRule="exact"/>
              <w:ind w:left="280" w:hanging="180" w:hangingChars="1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5厂商应设有专业的维修站，具备非常完善的售后服务体系，在西南具备培训中心和厂家应用实验室,有专职的维修工程师及应用工程师有效保证售后维修的及时、快捷，并负责提供技术支持，保证仪器的正常操作，并协助用户进行方法开发。</w:t>
            </w:r>
          </w:p>
          <w:p w14:paraId="79246DDC">
            <w:pPr>
              <w:keepNext w:val="0"/>
              <w:keepLines w:val="0"/>
              <w:pageBreakBefore w:val="0"/>
              <w:kinsoku/>
              <w:wordWrap/>
              <w:overflowPunct/>
              <w:topLinePunct w:val="0"/>
              <w:autoSpaceDE/>
              <w:autoSpaceDN/>
              <w:bidi w:val="0"/>
              <w:spacing w:line="240" w:lineRule="exact"/>
              <w:ind w:left="280" w:hanging="180" w:hangingChars="1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6仪器质保期</w:t>
            </w:r>
            <w:r>
              <w:rPr>
                <w:rFonts w:hint="eastAsia" w:ascii="方正仿宋_GB2312" w:hAnsi="方正仿宋_GB2312" w:eastAsia="方正仿宋_GB2312" w:cs="方正仿宋_GB2312"/>
                <w:color w:val="auto"/>
                <w:sz w:val="18"/>
                <w:szCs w:val="18"/>
                <w:highlight w:val="none"/>
                <w:lang w:val="en-US" w:eastAsia="zh-CN"/>
              </w:rPr>
              <w:t>3</w:t>
            </w:r>
            <w:r>
              <w:rPr>
                <w:rFonts w:hint="eastAsia" w:ascii="方正仿宋_GB2312" w:hAnsi="方正仿宋_GB2312" w:eastAsia="方正仿宋_GB2312" w:cs="方正仿宋_GB2312"/>
                <w:color w:val="auto"/>
                <w:sz w:val="18"/>
                <w:szCs w:val="18"/>
                <w:highlight w:val="none"/>
              </w:rPr>
              <w:t>年。</w:t>
            </w:r>
          </w:p>
          <w:p w14:paraId="50560D4B">
            <w:pPr>
              <w:keepNext w:val="0"/>
              <w:keepLines w:val="0"/>
              <w:pageBreakBefore w:val="0"/>
              <w:kinsoku/>
              <w:wordWrap/>
              <w:overflowPunct/>
              <w:topLinePunct w:val="0"/>
              <w:autoSpaceDE/>
              <w:autoSpaceDN/>
              <w:bidi w:val="0"/>
              <w:spacing w:line="240" w:lineRule="exact"/>
              <w:ind w:left="562" w:hanging="361" w:hangingChars="200"/>
              <w:jc w:val="left"/>
              <w:textAlignment w:val="auto"/>
              <w:rPr>
                <w:rFonts w:hint="eastAsia" w:ascii="方正仿宋_GB2312" w:hAnsi="方正仿宋_GB2312" w:eastAsia="方正仿宋_GB2312" w:cs="方正仿宋_GB2312"/>
                <w:b/>
                <w:bCs/>
                <w:color w:val="auto"/>
                <w:sz w:val="18"/>
                <w:szCs w:val="18"/>
                <w:highlight w:val="none"/>
              </w:rPr>
            </w:pPr>
            <w:r>
              <w:rPr>
                <w:rFonts w:hint="eastAsia" w:ascii="方正仿宋_GB2312" w:hAnsi="方正仿宋_GB2312" w:eastAsia="方正仿宋_GB2312" w:cs="方正仿宋_GB2312"/>
                <w:b/>
                <w:bCs/>
                <w:color w:val="auto"/>
                <w:sz w:val="18"/>
                <w:szCs w:val="18"/>
                <w:highlight w:val="none"/>
              </w:rPr>
              <w:t>五、仪器配置</w:t>
            </w:r>
          </w:p>
          <w:p w14:paraId="7B8594DC">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气相色谱主机</w:t>
            </w:r>
          </w:p>
          <w:p w14:paraId="1FCBAFE9">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液体自动进样器≥162位</w:t>
            </w:r>
          </w:p>
          <w:p w14:paraId="1E8958CA">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全电子气路控制的分流/无分流毛细柱进样口及附件</w:t>
            </w:r>
          </w:p>
          <w:p w14:paraId="74333E66">
            <w:pPr>
              <w:keepNext w:val="0"/>
              <w:keepLines w:val="0"/>
              <w:pageBreakBefore w:val="0"/>
              <w:kinsoku/>
              <w:wordWrap/>
              <w:overflowPunct/>
              <w:topLinePunct w:val="0"/>
              <w:autoSpaceDE/>
              <w:autoSpaceDN/>
              <w:bidi w:val="0"/>
              <w:spacing w:line="240" w:lineRule="exact"/>
              <w:ind w:left="560" w:hanging="360" w:hangingChars="200"/>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三重四级杆质谱仪(包括 MS/MS 主机、机械泵、EI和CI离子源、智清洁、</w:t>
            </w:r>
            <w:r>
              <w:rPr>
                <w:rFonts w:hint="eastAsia" w:ascii="方正仿宋_GB2312" w:hAnsi="方正仿宋_GB2312" w:eastAsia="方正仿宋_GB2312" w:cs="方正仿宋_GB2312"/>
                <w:color w:val="auto"/>
                <w:sz w:val="18"/>
                <w:szCs w:val="18"/>
                <w:highlight w:val="none"/>
                <w:lang w:val="en-US" w:eastAsia="zh-CN"/>
              </w:rPr>
              <w:t>工作站</w:t>
            </w:r>
            <w:r>
              <w:rPr>
                <w:rFonts w:hint="eastAsia" w:ascii="方正仿宋_GB2312" w:hAnsi="方正仿宋_GB2312" w:eastAsia="方正仿宋_GB2312" w:cs="方正仿宋_GB2312"/>
                <w:color w:val="auto"/>
                <w:sz w:val="18"/>
                <w:szCs w:val="18"/>
                <w:highlight w:val="none"/>
              </w:rPr>
              <w:t>软件、CPU、显示器、安装与现场培训、1 年的软件支持和用户培训课程。）</w:t>
            </w:r>
          </w:p>
          <w:p w14:paraId="6D3D4CD6">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5</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原装质谱工作站</w:t>
            </w:r>
          </w:p>
          <w:p w14:paraId="72DDDA6D">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6</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NIST 20标准谱库</w:t>
            </w:r>
            <w:r>
              <w:rPr>
                <w:rFonts w:hint="eastAsia" w:ascii="方正仿宋_GB2312" w:hAnsi="方正仿宋_GB2312" w:eastAsia="方正仿宋_GB2312" w:cs="方正仿宋_GB2312"/>
                <w:color w:val="auto"/>
                <w:sz w:val="18"/>
                <w:szCs w:val="18"/>
                <w:highlight w:val="none"/>
                <w:lang w:eastAsia="zh-CN"/>
              </w:rPr>
              <w:t>、</w:t>
            </w:r>
            <w:r>
              <w:rPr>
                <w:rFonts w:hint="eastAsia" w:ascii="方正仿宋_GB2312" w:hAnsi="方正仿宋_GB2312" w:eastAsia="方正仿宋_GB2312" w:cs="方正仿宋_GB2312"/>
                <w:color w:val="auto"/>
                <w:sz w:val="18"/>
                <w:szCs w:val="18"/>
                <w:highlight w:val="none"/>
                <w:lang w:val="en-US" w:eastAsia="zh-CN"/>
              </w:rPr>
              <w:t>国标2763智能判读软件、最新GB 23200.113方法包</w:t>
            </w:r>
          </w:p>
          <w:p w14:paraId="37B93F07">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7</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离子源灯丝</w:t>
            </w:r>
            <w:r>
              <w:rPr>
                <w:rFonts w:hint="eastAsia" w:ascii="方正仿宋_GB2312" w:hAnsi="方正仿宋_GB2312" w:eastAsia="方正仿宋_GB2312" w:cs="方正仿宋_GB2312"/>
                <w:color w:val="auto"/>
                <w:sz w:val="18"/>
                <w:szCs w:val="18"/>
                <w:highlight w:val="none"/>
                <w:lang w:val="en-US" w:eastAsia="zh-CN"/>
              </w:rPr>
              <w:t>4个</w:t>
            </w:r>
          </w:p>
          <w:p w14:paraId="2150391F">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8</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样品瓶（带盖、垫，透明和棕色瓶各</w:t>
            </w:r>
            <w:r>
              <w:rPr>
                <w:rFonts w:hint="eastAsia" w:ascii="方正仿宋_GB2312" w:hAnsi="方正仿宋_GB2312" w:eastAsia="方正仿宋_GB2312" w:cs="方正仿宋_GB2312"/>
                <w:color w:val="auto"/>
                <w:sz w:val="18"/>
                <w:szCs w:val="18"/>
                <w:highlight w:val="none"/>
                <w:lang w:val="en-US" w:eastAsia="zh-CN"/>
              </w:rPr>
              <w:t>3</w:t>
            </w:r>
            <w:r>
              <w:rPr>
                <w:rFonts w:hint="eastAsia" w:ascii="方正仿宋_GB2312" w:hAnsi="方正仿宋_GB2312" w:eastAsia="方正仿宋_GB2312" w:cs="方正仿宋_GB2312"/>
                <w:color w:val="auto"/>
                <w:sz w:val="18"/>
                <w:szCs w:val="18"/>
                <w:highlight w:val="none"/>
              </w:rPr>
              <w:t>00个）</w:t>
            </w:r>
          </w:p>
          <w:p w14:paraId="71D5BF63">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9</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HP-</w:t>
            </w:r>
            <w:r>
              <w:rPr>
                <w:rFonts w:hint="eastAsia" w:ascii="方正仿宋_GB2312" w:hAnsi="方正仿宋_GB2312" w:eastAsia="方正仿宋_GB2312" w:cs="方正仿宋_GB2312"/>
                <w:color w:val="auto"/>
                <w:sz w:val="18"/>
                <w:szCs w:val="18"/>
                <w:highlight w:val="none"/>
                <w:lang w:val="en-US" w:eastAsia="zh-CN"/>
              </w:rPr>
              <w:t>88 100</w:t>
            </w:r>
            <w:r>
              <w:rPr>
                <w:rFonts w:hint="eastAsia" w:ascii="方正仿宋_GB2312" w:hAnsi="方正仿宋_GB2312" w:eastAsia="方正仿宋_GB2312" w:cs="方正仿宋_GB2312"/>
                <w:color w:val="auto"/>
                <w:sz w:val="18"/>
                <w:szCs w:val="18"/>
                <w:highlight w:val="none"/>
              </w:rPr>
              <w:t>m</w:t>
            </w:r>
            <w:r>
              <w:rPr>
                <w:rFonts w:hint="eastAsia" w:ascii="方正仿宋_GB2312" w:hAnsi="方正仿宋_GB2312" w:eastAsia="方正仿宋_GB2312" w:cs="方正仿宋_GB2312"/>
                <w:color w:val="auto"/>
                <w:sz w:val="18"/>
                <w:szCs w:val="18"/>
                <w:highlight w:val="none"/>
                <w:lang w:eastAsia="zh-CN"/>
              </w:rPr>
              <w:t>，</w:t>
            </w:r>
            <w:r>
              <w:rPr>
                <w:rFonts w:hint="eastAsia" w:ascii="方正仿宋_GB2312" w:hAnsi="方正仿宋_GB2312" w:eastAsia="方正仿宋_GB2312" w:cs="方正仿宋_GB2312"/>
                <w:color w:val="auto"/>
                <w:sz w:val="18"/>
                <w:szCs w:val="18"/>
                <w:highlight w:val="none"/>
                <w:lang w:val="en-US" w:eastAsia="zh-CN"/>
              </w:rPr>
              <w:t>0.2μm，7英寸柱子6根，HP-5ms UI柱子6根</w:t>
            </w:r>
          </w:p>
          <w:p w14:paraId="158E9795">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10</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lang w:val="en-US" w:eastAsia="zh-CN"/>
              </w:rPr>
              <w:t>实操培训课程2个名额</w:t>
            </w:r>
          </w:p>
          <w:p w14:paraId="3655D305">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11</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进样口隔垫，50个/包</w:t>
            </w:r>
            <w:r>
              <w:rPr>
                <w:rFonts w:hint="eastAsia" w:ascii="方正仿宋_GB2312" w:hAnsi="方正仿宋_GB2312" w:eastAsia="方正仿宋_GB2312" w:cs="方正仿宋_GB2312"/>
                <w:color w:val="auto"/>
                <w:sz w:val="18"/>
                <w:szCs w:val="18"/>
                <w:highlight w:val="none"/>
                <w:lang w:eastAsia="zh-CN"/>
              </w:rPr>
              <w:t>，</w:t>
            </w:r>
            <w:r>
              <w:rPr>
                <w:rFonts w:hint="eastAsia" w:ascii="方正仿宋_GB2312" w:hAnsi="方正仿宋_GB2312" w:eastAsia="方正仿宋_GB2312" w:cs="方正仿宋_GB2312"/>
                <w:color w:val="auto"/>
                <w:sz w:val="18"/>
                <w:szCs w:val="18"/>
                <w:highlight w:val="none"/>
                <w:lang w:val="en-US" w:eastAsia="zh-CN"/>
              </w:rPr>
              <w:t>10包</w:t>
            </w:r>
          </w:p>
          <w:p w14:paraId="523C6AB4">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12</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0.25mm色谱柱石墨密封垫圈，10个/包</w:t>
            </w:r>
            <w:r>
              <w:rPr>
                <w:rFonts w:hint="eastAsia" w:ascii="方正仿宋_GB2312" w:hAnsi="方正仿宋_GB2312" w:eastAsia="方正仿宋_GB2312" w:cs="方正仿宋_GB2312"/>
                <w:color w:val="auto"/>
                <w:sz w:val="18"/>
                <w:szCs w:val="18"/>
                <w:highlight w:val="none"/>
                <w:lang w:eastAsia="zh-CN"/>
              </w:rPr>
              <w:t>，</w:t>
            </w:r>
            <w:r>
              <w:rPr>
                <w:rFonts w:hint="eastAsia" w:ascii="方正仿宋_GB2312" w:hAnsi="方正仿宋_GB2312" w:eastAsia="方正仿宋_GB2312" w:cs="方正仿宋_GB2312"/>
                <w:color w:val="auto"/>
                <w:sz w:val="18"/>
                <w:szCs w:val="18"/>
                <w:highlight w:val="none"/>
                <w:lang w:val="en-US" w:eastAsia="zh-CN"/>
              </w:rPr>
              <w:t>10包</w:t>
            </w:r>
          </w:p>
          <w:p w14:paraId="32E9A58C">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13</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超高惰性不分流衬管，</w:t>
            </w:r>
            <w:r>
              <w:rPr>
                <w:rFonts w:hint="eastAsia" w:ascii="方正仿宋_GB2312" w:hAnsi="方正仿宋_GB2312" w:eastAsia="方正仿宋_GB2312" w:cs="方正仿宋_GB2312"/>
                <w:color w:val="auto"/>
                <w:sz w:val="18"/>
                <w:szCs w:val="18"/>
                <w:highlight w:val="none"/>
                <w:lang w:val="en-US" w:eastAsia="zh-CN"/>
              </w:rPr>
              <w:t>2</w:t>
            </w:r>
            <w:r>
              <w:rPr>
                <w:rFonts w:hint="eastAsia" w:ascii="方正仿宋_GB2312" w:hAnsi="方正仿宋_GB2312" w:eastAsia="方正仿宋_GB2312" w:cs="方正仿宋_GB2312"/>
                <w:color w:val="auto"/>
                <w:sz w:val="18"/>
                <w:szCs w:val="18"/>
                <w:highlight w:val="none"/>
              </w:rPr>
              <w:t>5个/</w:t>
            </w:r>
            <w:r>
              <w:rPr>
                <w:rFonts w:hint="eastAsia" w:ascii="方正仿宋_GB2312" w:hAnsi="方正仿宋_GB2312" w:eastAsia="方正仿宋_GB2312" w:cs="方正仿宋_GB2312"/>
                <w:color w:val="auto"/>
                <w:sz w:val="18"/>
                <w:szCs w:val="18"/>
                <w:highlight w:val="none"/>
                <w:lang w:val="en-US" w:eastAsia="zh-CN"/>
              </w:rPr>
              <w:t>盒，4盒</w:t>
            </w:r>
          </w:p>
          <w:p w14:paraId="56F4C677">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14</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lang w:val="en-US" w:eastAsia="zh-CN"/>
              </w:rPr>
              <w:t>带指示条水、氧捕集阱5个</w:t>
            </w:r>
          </w:p>
          <w:p w14:paraId="525290DE">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15</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10ul进样针</w:t>
            </w:r>
            <w:r>
              <w:rPr>
                <w:rFonts w:hint="eastAsia" w:ascii="方正仿宋_GB2312" w:hAnsi="方正仿宋_GB2312" w:eastAsia="方正仿宋_GB2312" w:cs="方正仿宋_GB2312"/>
                <w:color w:val="auto"/>
                <w:sz w:val="18"/>
                <w:szCs w:val="18"/>
                <w:highlight w:val="none"/>
                <w:lang w:val="en-US" w:eastAsia="zh-CN"/>
              </w:rPr>
              <w:t>5盒</w:t>
            </w:r>
          </w:p>
          <w:p w14:paraId="0ACD5FA2">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16</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真空泵油，45 Gold，1L</w:t>
            </w:r>
            <w:r>
              <w:rPr>
                <w:rFonts w:hint="eastAsia" w:ascii="方正仿宋_GB2312" w:hAnsi="方正仿宋_GB2312" w:eastAsia="方正仿宋_GB2312" w:cs="方正仿宋_GB2312"/>
                <w:color w:val="auto"/>
                <w:sz w:val="18"/>
                <w:szCs w:val="18"/>
                <w:highlight w:val="none"/>
                <w:lang w:val="en-US" w:eastAsia="zh-CN"/>
              </w:rPr>
              <w:t>×5</w:t>
            </w:r>
          </w:p>
          <w:p w14:paraId="1F56C847">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17</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厂家原装计算机</w:t>
            </w:r>
            <w:r>
              <w:rPr>
                <w:rFonts w:hint="eastAsia" w:ascii="方正仿宋_GB2312" w:hAnsi="方正仿宋_GB2312" w:eastAsia="方正仿宋_GB2312" w:cs="方正仿宋_GB2312"/>
                <w:color w:val="auto"/>
                <w:sz w:val="18"/>
                <w:szCs w:val="18"/>
                <w:highlight w:val="none"/>
                <w:lang w:val="en-US" w:eastAsia="zh-CN"/>
              </w:rPr>
              <w:t>i7，32G以上，27寸2台。</w:t>
            </w:r>
          </w:p>
          <w:p w14:paraId="60027E70">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rPr>
              <w:t>18</w:t>
            </w:r>
            <w:r>
              <w:rPr>
                <w:rFonts w:hint="eastAsia" w:ascii="方正仿宋_GB2312" w:hAnsi="方正仿宋_GB2312" w:eastAsia="方正仿宋_GB2312" w:cs="方正仿宋_GB2312"/>
                <w:color w:val="auto"/>
                <w:sz w:val="18"/>
                <w:szCs w:val="18"/>
                <w:highlight w:val="none"/>
              </w:rPr>
              <w:tab/>
            </w:r>
            <w:r>
              <w:rPr>
                <w:rFonts w:hint="eastAsia" w:ascii="方正仿宋_GB2312" w:hAnsi="方正仿宋_GB2312" w:eastAsia="方正仿宋_GB2312" w:cs="方正仿宋_GB2312"/>
                <w:color w:val="auto"/>
                <w:sz w:val="18"/>
                <w:szCs w:val="18"/>
                <w:highlight w:val="none"/>
              </w:rPr>
              <w:t>配套高纯氦气及</w:t>
            </w:r>
            <w:r>
              <w:rPr>
                <w:rFonts w:hint="eastAsia" w:ascii="方正仿宋_GB2312" w:hAnsi="方正仿宋_GB2312" w:eastAsia="方正仿宋_GB2312" w:cs="方正仿宋_GB2312"/>
                <w:color w:val="auto"/>
                <w:sz w:val="18"/>
                <w:szCs w:val="18"/>
                <w:highlight w:val="none"/>
                <w:lang w:val="en-US" w:eastAsia="zh-CN"/>
              </w:rPr>
              <w:t>全铜减压阀一套，氦气3瓶</w:t>
            </w:r>
          </w:p>
          <w:p w14:paraId="5A1B76B6">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19</w:t>
            </w:r>
            <w:r>
              <w:rPr>
                <w:rFonts w:hint="eastAsia" w:ascii="方正仿宋_GB2312" w:hAnsi="方正仿宋_GB2312" w:eastAsia="方正仿宋_GB2312" w:cs="方正仿宋_GB2312"/>
                <w:color w:val="auto"/>
                <w:sz w:val="18"/>
                <w:szCs w:val="18"/>
                <w:highlight w:val="none"/>
                <w:lang w:val="en-US" w:eastAsia="zh-CN"/>
              </w:rPr>
              <w:tab/>
            </w:r>
            <w:r>
              <w:rPr>
                <w:rFonts w:hint="eastAsia" w:ascii="方正仿宋_GB2312" w:hAnsi="方正仿宋_GB2312" w:eastAsia="方正仿宋_GB2312" w:cs="方正仿宋_GB2312"/>
                <w:color w:val="auto"/>
                <w:sz w:val="18"/>
                <w:szCs w:val="18"/>
                <w:highlight w:val="none"/>
                <w:lang w:val="en-US" w:eastAsia="zh-CN"/>
              </w:rPr>
              <w:t>配品牌激光高速双面打印机、 墨盒20个</w:t>
            </w:r>
            <w:r>
              <w:rPr>
                <w:rFonts w:hint="eastAsia" w:ascii="方正仿宋_GB2312" w:hAnsi="方正仿宋_GB2312" w:eastAsia="方正仿宋_GB2312" w:cs="方正仿宋_GB2312"/>
                <w:color w:val="auto"/>
                <w:sz w:val="18"/>
                <w:szCs w:val="18"/>
                <w:highlight w:val="none"/>
                <w:lang w:val="en-US" w:eastAsia="zh-CN"/>
              </w:rPr>
              <w:tab/>
            </w:r>
          </w:p>
          <w:p w14:paraId="5BBA9391">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20   ups电源 10kvA，4小时</w:t>
            </w:r>
          </w:p>
          <w:p w14:paraId="5711A344">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vertAlign w:val="baseline"/>
                <w:lang w:val="en-US" w:eastAsia="zh-CN"/>
              </w:rPr>
            </w:pPr>
            <w:r>
              <w:rPr>
                <w:rFonts w:hint="eastAsia" w:ascii="方正仿宋_GB2312" w:hAnsi="方正仿宋_GB2312" w:eastAsia="方正仿宋_GB2312" w:cs="方正仿宋_GB2312"/>
                <w:color w:val="auto"/>
                <w:sz w:val="18"/>
                <w:szCs w:val="18"/>
                <w:highlight w:val="none"/>
                <w:lang w:val="en-US" w:eastAsia="zh-CN"/>
              </w:rPr>
              <w:t>21  高纯氢气发生器纯度≥99.999%（满足2台气相的流量）</w:t>
            </w:r>
          </w:p>
          <w:p w14:paraId="2006FF62">
            <w:pPr>
              <w:jc w:val="left"/>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 xml:space="preserve">22  </w:t>
            </w:r>
            <w:r>
              <w:rPr>
                <w:rFonts w:hint="eastAsia" w:ascii="方正仿宋_GB2312" w:hAnsi="方正仿宋_GB2312" w:eastAsia="方正仿宋_GB2312" w:cs="方正仿宋_GB2312"/>
                <w:color w:val="auto"/>
                <w:sz w:val="18"/>
                <w:szCs w:val="18"/>
                <w:highlight w:val="none"/>
                <w:lang w:val="en-US" w:eastAsia="zh-CN"/>
              </w:rPr>
              <w:t>零级空气空气发生器≥99.999%（满足2台气相的流量）</w:t>
            </w:r>
          </w:p>
          <w:p w14:paraId="19774F5B">
            <w:pPr>
              <w:keepNext w:val="0"/>
              <w:keepLines w:val="0"/>
              <w:pageBreakBefore w:val="0"/>
              <w:kinsoku/>
              <w:wordWrap/>
              <w:overflowPunct/>
              <w:topLinePunct w:val="0"/>
              <w:autoSpaceDE/>
              <w:autoSpaceDN/>
              <w:bidi w:val="0"/>
              <w:spacing w:line="240" w:lineRule="exact"/>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 xml:space="preserve">23  </w:t>
            </w:r>
            <w:r>
              <w:rPr>
                <w:rFonts w:hint="eastAsia" w:ascii="方正仿宋_GB2312" w:hAnsi="方正仿宋_GB2312" w:eastAsia="方正仿宋_GB2312" w:cs="方正仿宋_GB2312"/>
                <w:color w:val="auto"/>
                <w:sz w:val="18"/>
                <w:szCs w:val="18"/>
                <w:highlight w:val="none"/>
                <w:lang w:val="en-US" w:eastAsia="zh-CN"/>
              </w:rPr>
              <w:t>厂家提供3次的免费到内地相关等培训中心名额3-4名，包食宿和往返交通费。</w:t>
            </w:r>
          </w:p>
          <w:p w14:paraId="5AD8F90D">
            <w:pPr>
              <w:keepNext w:val="0"/>
              <w:keepLines w:val="0"/>
              <w:pageBreakBefore w:val="0"/>
              <w:kinsoku/>
              <w:wordWrap/>
              <w:overflowPunct/>
              <w:topLinePunct w:val="0"/>
              <w:autoSpaceDE/>
              <w:autoSpaceDN/>
              <w:bidi w:val="0"/>
              <w:spacing w:line="240" w:lineRule="exact"/>
              <w:textAlignment w:val="auto"/>
              <w:rPr>
                <w:rFonts w:hint="eastAsia" w:ascii="方正仿宋_GB2312" w:hAnsi="方正仿宋_GB2312" w:eastAsia="方正仿宋_GB2312" w:cs="方正仿宋_GB2312"/>
                <w:sz w:val="16"/>
                <w:szCs w:val="16"/>
                <w:highlight w:val="none"/>
                <w:vertAlign w:val="baseline"/>
              </w:rPr>
            </w:pPr>
            <w:r>
              <w:rPr>
                <w:rFonts w:hint="eastAsia" w:ascii="方正仿宋_GB2312" w:hAnsi="方正仿宋_GB2312" w:eastAsia="方正仿宋_GB2312" w:cs="方正仿宋_GB2312"/>
                <w:b/>
                <w:bCs/>
                <w:color w:val="auto"/>
                <w:sz w:val="18"/>
                <w:szCs w:val="18"/>
                <w:highlight w:val="none"/>
              </w:rPr>
              <w:t>六.交货时间：</w:t>
            </w:r>
            <w:r>
              <w:rPr>
                <w:rFonts w:hint="eastAsia" w:ascii="方正仿宋_GB2312" w:hAnsi="方正仿宋_GB2312" w:eastAsia="方正仿宋_GB2312" w:cs="方正仿宋_GB2312"/>
                <w:color w:val="auto"/>
                <w:sz w:val="18"/>
                <w:szCs w:val="18"/>
                <w:highlight w:val="none"/>
              </w:rPr>
              <w:t>合同生效后</w:t>
            </w:r>
            <w:r>
              <w:rPr>
                <w:rFonts w:hint="eastAsia" w:ascii="方正仿宋_GB2312" w:hAnsi="方正仿宋_GB2312" w:eastAsia="方正仿宋_GB2312" w:cs="方正仿宋_GB2312"/>
                <w:color w:val="auto"/>
                <w:sz w:val="18"/>
                <w:szCs w:val="18"/>
                <w:highlight w:val="none"/>
                <w:lang w:val="en-US" w:eastAsia="zh-CN"/>
              </w:rPr>
              <w:t>2</w:t>
            </w:r>
            <w:r>
              <w:rPr>
                <w:rFonts w:hint="eastAsia" w:ascii="方正仿宋_GB2312" w:hAnsi="方正仿宋_GB2312" w:eastAsia="方正仿宋_GB2312" w:cs="方正仿宋_GB2312"/>
                <w:color w:val="auto"/>
                <w:sz w:val="18"/>
                <w:szCs w:val="18"/>
                <w:highlight w:val="none"/>
              </w:rPr>
              <w:t>个月内</w:t>
            </w:r>
          </w:p>
        </w:tc>
      </w:tr>
      <w:tr w14:paraId="2DF6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pct"/>
            <w:noWrap w:val="0"/>
            <w:vAlign w:val="top"/>
          </w:tcPr>
          <w:p w14:paraId="7568CEE3">
            <w:pPr>
              <w:jc w:val="left"/>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2</w:t>
            </w:r>
          </w:p>
        </w:tc>
        <w:tc>
          <w:tcPr>
            <w:tcW w:w="553" w:type="pct"/>
            <w:noWrap w:val="0"/>
            <w:vAlign w:val="top"/>
          </w:tcPr>
          <w:p w14:paraId="0259A15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★超高效液相色谱-三重四极杆质谱联用仪</w:t>
            </w:r>
          </w:p>
        </w:tc>
        <w:tc>
          <w:tcPr>
            <w:tcW w:w="532" w:type="pct"/>
            <w:noWrap w:val="0"/>
            <w:vAlign w:val="top"/>
          </w:tcPr>
          <w:p w14:paraId="1C5E68A6">
            <w:pPr>
              <w:jc w:val="left"/>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1</w:t>
            </w:r>
          </w:p>
        </w:tc>
        <w:tc>
          <w:tcPr>
            <w:tcW w:w="3554" w:type="pct"/>
            <w:noWrap w:val="0"/>
            <w:vAlign w:val="top"/>
          </w:tcPr>
          <w:p w14:paraId="10F14E5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1：液相色谱串联三重四极杆质谱仪</w:t>
            </w:r>
          </w:p>
          <w:p w14:paraId="1BFA44AF">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1.工作条件</w:t>
            </w:r>
          </w:p>
          <w:p w14:paraId="0955A510">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1.1电源：220V，50Hz</w:t>
            </w:r>
          </w:p>
          <w:p w14:paraId="61E0F60F">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1.2操作环境15˚C-28˚C</w:t>
            </w:r>
          </w:p>
          <w:p w14:paraId="733263F3">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1.3湿度：20-80%</w:t>
            </w:r>
          </w:p>
          <w:p w14:paraId="0759032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2.技术参数</w:t>
            </w:r>
          </w:p>
          <w:p w14:paraId="3260223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2.1基本要求：★</w:t>
            </w:r>
          </w:p>
          <w:p w14:paraId="7A4D4B7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 LC-MS/MS系统组成：超高效液相色谱、三重四极杆质谱检测器等主要组成部分，要求由同一厂家生产，且厂家有多年三重四极杆液质产品生产经验，以保证整套设备的兼容性与成熟性。</w:t>
            </w:r>
          </w:p>
          <w:p w14:paraId="65555230">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★2.1.2离子源：配备独立的具备喷射流离子聚焦技术的电喷雾源（ESI），为不牺牲电离效率不配置复合离子源。</w:t>
            </w:r>
          </w:p>
          <w:p w14:paraId="30CFAB3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2.1.3可自动进行MS和MS/MS切换。</w:t>
            </w:r>
          </w:p>
          <w:p w14:paraId="31EF324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★2.1.4质量范围：最小质量范围≤5amu；最大质量范围≥2,000amu须提供厂家官方原版指标及应用证明文件，并加盖仪器制造商公章。</w:t>
            </w:r>
          </w:p>
          <w:p w14:paraId="09EFBC5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2.1.5分辨率：≥2.5M</w:t>
            </w:r>
          </w:p>
          <w:p w14:paraId="0BD565FD">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2.1.6质量数稳定性:≤0.1Da/24Hr</w:t>
            </w:r>
          </w:p>
          <w:p w14:paraId="6A246A47">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★2.1.7灵敏度:1pg利血平柱上进样，原始数据或无平滑数据，ESI，正离子，信噪比≥850,000:1（m/z609-195）；重现性RSD&lt;5%(n≧6)(须提供权威第三方机构仪器检测证书灵敏度证明文件)</w:t>
            </w:r>
          </w:p>
          <w:p w14:paraId="362BA357">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★2.1.8极性切换：单次进样中涵盖所有正负离子化合物测试,正负极性切换时间≤25ms。须提供厂家官方原版指标及应用证明文件，并加盖仪器制造商公章</w:t>
            </w:r>
          </w:p>
          <w:p w14:paraId="7E38889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2.1.9 MS到MS/MS切换时间：＜5ms</w:t>
            </w:r>
          </w:p>
          <w:p w14:paraId="4CBC988C">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2.1.10 MRM最短驻留时间:1ms</w:t>
            </w:r>
          </w:p>
          <w:p w14:paraId="6460B594">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2.1.11 MRM通道间交叉污染小于0.01%</w:t>
            </w:r>
          </w:p>
          <w:p w14:paraId="0CC82CA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2.1.12 一次MRM离子采集对数&gt;14500</w:t>
            </w:r>
          </w:p>
          <w:p w14:paraId="3EE60F72">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2.1.13 线性范围：4x106</w:t>
            </w:r>
          </w:p>
          <w:p w14:paraId="0B3EDAA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2.1.14 定量功能</w:t>
            </w:r>
          </w:p>
          <w:p w14:paraId="7C8D0844">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2.1.14.1双重扫描MRM模式：一针进样同时得到MRM和Full Scan数据，用于评估检测过程中的样品背景基质情况，避免假阴性的产生。须提供一针进样同时得到多种化合物的特征MRM和Full Scan（50-550Da）数据证明文件。</w:t>
            </w:r>
          </w:p>
          <w:p w14:paraId="1ED48560">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2.1.14.2切换时间＜5ms</w:t>
            </w:r>
          </w:p>
          <w:p w14:paraId="77D5F65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2.1.15子离子确定功能:一针进样同时得到MRM和子离子全扫描数据，用于评估检测过程中的样品基质干扰情况，自动同标准品二级全扫描谱图实现比对、确证，在定量分析的同时实现定性功能，避免复杂痕量样品假阳性的产生。须提供应用证明文件</w:t>
            </w:r>
          </w:p>
          <w:p w14:paraId="69A206D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2.1.16待机和维护过程时，不消耗氮气，作为验收指标之一。</w:t>
            </w:r>
          </w:p>
          <w:p w14:paraId="7DFA1D5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2.1.16.1待机过程不消耗氮气。</w:t>
            </w:r>
          </w:p>
          <w:p w14:paraId="61A52E73">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2.1.16.2离子源日常维护(清洗离子导入接口)无需卸真空，减少宕机时间。2.2离子源及真空系统</w:t>
            </w:r>
          </w:p>
          <w:p w14:paraId="208A1A9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★2.2.1离子源结构：提供结构图证明，并加盖仪器制造商公章。</w:t>
            </w:r>
          </w:p>
          <w:p w14:paraId="1E8C1C12">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★2.2.2离子源具有控温区域，脱溶剂气温度可达640℃及以上，须提供控温区域温度设置截图证明文件，加盖仪器制造商公章，并作为验收指标。</w:t>
            </w:r>
          </w:p>
          <w:p w14:paraId="0AA18673">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2.2.3电喷雾源/大气压化学源正负离子四通道切换时间&lt;25ms须提供厂家应用证明文件，并加盖生产厂家公章</w:t>
            </w:r>
          </w:p>
          <w:p w14:paraId="3613926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2.2.4离子源扩展性：满足不同样品基质中各种化合物的分析需求，可扩展离子源种类≥2。</w:t>
            </w:r>
          </w:p>
          <w:p w14:paraId="76FA5BA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2.2.5离子传输单元：可独立加热控温</w:t>
            </w:r>
          </w:p>
          <w:p w14:paraId="0543C44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2.2.6真空系统:</w:t>
            </w:r>
          </w:p>
          <w:p w14:paraId="348143E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2.2.6.1真空系统构成：一个机械泵加一个涡轮分子泵</w:t>
            </w:r>
          </w:p>
          <w:p w14:paraId="5ECE2352">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2.2.6.2抽真空时间：≦5小时</w:t>
            </w:r>
          </w:p>
          <w:p w14:paraId="606591A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2.2.6.3真空度：10-5mbar</w:t>
            </w:r>
          </w:p>
          <w:p w14:paraId="6C6FC68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2.2.6.4质谱真空保护</w:t>
            </w:r>
          </w:p>
          <w:p w14:paraId="352D703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2.2.6.4.1离子源和质谱间有隔断阀</w:t>
            </w:r>
          </w:p>
          <w:p w14:paraId="67BA740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2.2.6.4.2具停电故障自动保护</w:t>
            </w:r>
          </w:p>
          <w:p w14:paraId="1D415147">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2.3碰撞池：</w:t>
            </w:r>
          </w:p>
          <w:p w14:paraId="57AF1EB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2.3.1碰撞方式：气体碰撞</w:t>
            </w:r>
          </w:p>
          <w:p w14:paraId="130327D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2.3.2加速方式：直流电压加速</w:t>
            </w:r>
          </w:p>
          <w:p w14:paraId="08BD8157">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★2.3.3结构设计：片状透镜组、90度或180度弯曲结构。提供结构图证明文件，并加盖仪器制造商公章</w:t>
            </w:r>
          </w:p>
          <w:p w14:paraId="1934B473">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2.4质量分析器:</w:t>
            </w:r>
          </w:p>
          <w:p w14:paraId="52E6A6C2">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2.4.1由一级、二级四极杆和碰撞池组成的三重四极杆质量分析器</w:t>
            </w:r>
          </w:p>
          <w:p w14:paraId="0748C6EC">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2.4.2带有前后预四极杆</w:t>
            </w:r>
          </w:p>
          <w:p w14:paraId="3C7AF0B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2.5检测器</w:t>
            </w:r>
          </w:p>
          <w:p w14:paraId="628C497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2.5.1采用光电倍增器或电子倍增器。若为电子倍增器，由于其一般只有2-3年使用寿命，需共配置2套电子倍增器，以满足5年的使用寿命。须提供检测器结构示意图证明检测器的类型，加盖仪器制造商公章。</w:t>
            </w:r>
          </w:p>
          <w:p w14:paraId="41F49E4D">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2.5.2检测器质保期最少为10年，须提供制造厂商针对检测器的售后服务承诺书，加盖仪器制造商公章。</w:t>
            </w:r>
          </w:p>
          <w:p w14:paraId="53B778D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2.6氮气发生器</w:t>
            </w:r>
          </w:p>
          <w:p w14:paraId="0A36631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2.6.1氮气：35L/min@6.9bar/1.13CFM@100psi2.6.2最小/最大工作温度：5ºC-35ºC/41ºF-95ºF</w:t>
            </w:r>
          </w:p>
          <w:p w14:paraId="5D23562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2.6.3最大相对湿度：80%非冷凝</w:t>
            </w:r>
          </w:p>
          <w:p w14:paraId="067C01B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2.6.4颗粒：&lt;0.01µm49</w:t>
            </w:r>
          </w:p>
          <w:p w14:paraId="3860B56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2.7软件：用于控制液质联用系统，包括色谱检测器的软件和相应接口，LC-MS/MS的仪器调节、数据采集、数据处理、分析和报告。</w:t>
            </w:r>
          </w:p>
          <w:p w14:paraId="25412692">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2.7.1仪器参数的检测及校正功能：系统参数的检测及其预警；自动调谐参数（质谱分辨率、质谱校准、离子源优化）；自动生成SIR/MRM方法等</w:t>
            </w:r>
          </w:p>
          <w:p w14:paraId="7723361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2.7.2目标化合物分析软件</w:t>
            </w:r>
          </w:p>
          <w:p w14:paraId="256412C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2.7.3符合法规的定量软件，实现自动MRM离子丰度比确认</w:t>
            </w:r>
          </w:p>
          <w:p w14:paraId="5D15999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2.7.4方法数据库：提供1500种以上食品安全残留检测等方法，并具有自建立数据库功能和谱库快速检索功能。</w:t>
            </w:r>
          </w:p>
          <w:p w14:paraId="331A794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2.7.5硬件要求：i7以上处理器，16G内存，1T以上硬盘，21寸液晶显示屏，DVD-RW，激光快速打印机。2.8超高效液相技术指标：</w:t>
            </w:r>
          </w:p>
          <w:p w14:paraId="003E5E17">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2.8.1色谱泵</w:t>
            </w:r>
          </w:p>
          <w:p w14:paraId="1AFD10BD">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2.8.1.1高压泵结构：双压力传感器，数控直线驱动色谱单泵。双压力传感器能够准确的监控泵系统的压力，并对泵做出相应调整，保证流量精度的重复性和稳定性。（需在投标文件中提供泵结构示意图予以证明并加盖仪器制造商公章，并标明双压力传感器示意图位置和真实位置）</w:t>
            </w:r>
          </w:p>
          <w:p w14:paraId="42EE8EC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2.8.1.2泵输出压力：≥20000psi</w:t>
            </w:r>
          </w:p>
          <w:p w14:paraId="28709DE0">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2.8.1.3泵驱动马达：≥2</w:t>
            </w:r>
          </w:p>
          <w:p w14:paraId="6F9486C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2.8.1.4柱塞杆与马达联接方式：刚性直连</w:t>
            </w:r>
          </w:p>
          <w:p w14:paraId="14C2F44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2.8.1.5压力传感器数量：≥2</w:t>
            </w:r>
          </w:p>
          <w:p w14:paraId="1CC862B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2.8.1.6溶剂通道：最多可升级至9路</w:t>
            </w:r>
          </w:p>
          <w:p w14:paraId="21B6B1E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2.8.1.7真空脱气:五通道在线真空脱气机</w:t>
            </w:r>
          </w:p>
          <w:p w14:paraId="0C85430D">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2.8.1.8柱塞清洗：自动，可编程</w:t>
            </w:r>
          </w:p>
          <w:p w14:paraId="00BFF92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2.8.1.9流量：最小流量范围≥0.0100，最大流量范围≤2.000mL/min，以0.001mL/min为增量</w:t>
            </w:r>
          </w:p>
          <w:p w14:paraId="21344BE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2.8.1.11最大操作压力：14,800psi</w:t>
            </w:r>
          </w:p>
          <w:p w14:paraId="210E6C1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2.8.1.12流量精度：+/-0.02minSD，（全流速范围内），不随反压变化2.8.1.13流速准确度：±1.0%</w:t>
            </w:r>
          </w:p>
          <w:p w14:paraId="68FA4F4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2.8.1.14溶剂混合梯度模式：线性、步进、凹线、凸线四种类型</w:t>
            </w:r>
          </w:p>
          <w:p w14:paraId="2D03C78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2.8.1.15梯度准确度：±0.5%，不随反压变化</w:t>
            </w:r>
          </w:p>
          <w:p w14:paraId="332E1900">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2.8.1.16梯度精度：±0.15%RSD，不随反压变化50</w:t>
            </w:r>
          </w:p>
          <w:p w14:paraId="1FD56FA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2.8.2自动进样器系统</w:t>
            </w:r>
          </w:p>
          <w:p w14:paraId="3B2C93E7">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2.8.2.1密封在线针进样</w:t>
            </w:r>
          </w:p>
          <w:p w14:paraId="6DFBC314">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2.8.2.2进样器工作方式:针动</w:t>
            </w:r>
          </w:p>
          <w:p w14:paraId="1AC2BB5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2.8.2.3进样模式：非定量环，任意体积直接注射进样</w:t>
            </w:r>
          </w:p>
          <w:p w14:paraId="36358D8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2.8.2.4样品盘：≥90位</w:t>
            </w:r>
          </w:p>
          <w:p w14:paraId="29E542E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2.8.2.5进样精度：&lt;0.3%RSD</w:t>
            </w:r>
          </w:p>
          <w:p w14:paraId="450FF34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2.8.2.6样品交叉污染度：&lt;0.001%</w:t>
            </w:r>
          </w:p>
          <w:p w14:paraId="754EC14D">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2.8.2.7进样体积：0.1-50μL，以0.1μL为增量</w:t>
            </w:r>
          </w:p>
          <w:p w14:paraId="6D4820C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2.8.2.8进样线性度：&gt;0.999</w:t>
            </w:r>
          </w:p>
          <w:p w14:paraId="6DF00B2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2.8.2.9自动进样循环时间：&lt;30秒</w:t>
            </w:r>
          </w:p>
          <w:p w14:paraId="48C1AFE3">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2.8.2.10温度范围：4℃-40℃，增量：0.1℃</w:t>
            </w:r>
          </w:p>
          <w:p w14:paraId="4E6A2BB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2.8.3柱温箱及色谱柱</w:t>
            </w:r>
          </w:p>
          <w:p w14:paraId="7C8A934C">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2.8.3.1温度范围：室温以上5℃-90℃，增量：0.1℃</w:t>
            </w:r>
          </w:p>
          <w:p w14:paraId="10E9058D">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2.8.3.2加热方式:低体积柱加热器</w:t>
            </w:r>
          </w:p>
          <w:p w14:paraId="473D20D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2.8.3.3预热方式：主动式溶剂预热器</w:t>
            </w:r>
          </w:p>
          <w:p w14:paraId="0608D2C4">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2.8.3.4色谱柱颗粒度：≤1.7μm</w:t>
            </w:r>
          </w:p>
          <w:p w14:paraId="0205CD8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2.8.3.5扩展性：色谱柱与柱温箱上带有使用信息记录装置</w:t>
            </w:r>
          </w:p>
          <w:p w14:paraId="4845AEE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2.9配置：</w:t>
            </w:r>
          </w:p>
          <w:p w14:paraId="7C7A342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2.9.1三重四极杆质谱主机配置</w:t>
            </w:r>
          </w:p>
          <w:p w14:paraId="1CEC24EC">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2.9.1.1机械泵   泵油3壶</w:t>
            </w:r>
          </w:p>
          <w:p w14:paraId="74260013">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2.9.1.2三重四极杆质量分析器</w:t>
            </w:r>
          </w:p>
          <w:p w14:paraId="1E69B16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2.9.1.3真空系统</w:t>
            </w:r>
          </w:p>
          <w:p w14:paraId="4E917DE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2.9.1.4碰撞室</w:t>
            </w:r>
          </w:p>
          <w:p w14:paraId="6C145C2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2.9.1.5光电倍增检测器或电子倍增检测器</w:t>
            </w:r>
          </w:p>
          <w:p w14:paraId="2582A00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2.9.1.6氮气发生器</w:t>
            </w:r>
          </w:p>
          <w:p w14:paraId="1036D0D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2.9.1.7不间断电源UPS，10KVA，电源可支持整套仪器正常工作2小时以上1台</w:t>
            </w:r>
          </w:p>
          <w:p w14:paraId="560534C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bookmarkStart w:id="755" w:name="_GoBack"/>
            <w:bookmarkEnd w:id="755"/>
            <w:r>
              <w:rPr>
                <w:rFonts w:hint="eastAsia" w:ascii="方正仿宋_GB2312" w:hAnsi="方正仿宋_GB2312" w:eastAsia="方正仿宋_GB2312" w:cs="方正仿宋_GB2312"/>
                <w:sz w:val="18"/>
                <w:szCs w:val="18"/>
                <w:highlight w:val="none"/>
                <w:lang w:val="en-US" w:eastAsia="zh-CN"/>
              </w:rPr>
              <w:t>2.9.2超高效液相主机配置</w:t>
            </w:r>
          </w:p>
          <w:p w14:paraId="72750F4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2.9.2.1超高效液相色谱高压泵</w:t>
            </w:r>
          </w:p>
          <w:p w14:paraId="0373798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2.9.2.2在线脱气机</w:t>
            </w:r>
          </w:p>
          <w:p w14:paraId="738A5A2D">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2.9.2.3自动样品进样器</w:t>
            </w:r>
          </w:p>
          <w:p w14:paraId="070D45A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2.9.2.4柱温箱</w:t>
            </w:r>
          </w:p>
          <w:p w14:paraId="238A602C">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2.9.2.5色谱柱2根（2.9.2.6 二元超高压液相色谱、进口氮气发生器、在线过滤器5包，针座3套</w:t>
            </w:r>
          </w:p>
          <w:p w14:paraId="2AD8D221">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定量环   小于25微升1套、混匀池小于100微升1个</w:t>
            </w:r>
          </w:p>
          <w:p w14:paraId="0D98D3A7">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外接进样针   3只</w:t>
            </w:r>
          </w:p>
          <w:p w14:paraId="569D2F9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废液桶5L以上  3个</w:t>
            </w:r>
          </w:p>
          <w:p w14:paraId="06B10C5A">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1ml棕色进样品   10盒带盖</w:t>
            </w:r>
          </w:p>
          <w:p w14:paraId="2A2C5785">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进样瓶架子    10个</w:t>
            </w:r>
          </w:p>
          <w:p w14:paraId="27FD73A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高纯氩气   3瓶</w:t>
            </w:r>
          </w:p>
          <w:p w14:paraId="41A20784">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color w:val="auto"/>
                <w:sz w:val="18"/>
                <w:szCs w:val="18"/>
                <w:highlight w:val="none"/>
                <w:lang w:val="en-US" w:eastAsia="zh-CN"/>
              </w:rPr>
            </w:pPr>
            <w:r>
              <w:rPr>
                <w:rFonts w:hint="eastAsia" w:ascii="方正仿宋_GB2312" w:hAnsi="方正仿宋_GB2312" w:eastAsia="方正仿宋_GB2312" w:cs="方正仿宋_GB2312"/>
                <w:color w:val="auto"/>
                <w:sz w:val="18"/>
                <w:szCs w:val="18"/>
                <w:highlight w:val="none"/>
                <w:lang w:val="en-US" w:eastAsia="zh-CN"/>
              </w:rPr>
              <w:t>厂家提供3次的免费到内地相关等培训中心名额3-4名，包食宿和往返交通费。</w:t>
            </w:r>
          </w:p>
          <w:p w14:paraId="0CF0DCE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2.9.2.7 空调3P一台</w:t>
            </w:r>
          </w:p>
          <w:p w14:paraId="0EEEF1A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2.9.3软件：</w:t>
            </w:r>
          </w:p>
          <w:p w14:paraId="213E2650">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2.9.3.1系统控制软件</w:t>
            </w:r>
          </w:p>
          <w:p w14:paraId="12BEC4C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2.9.3.2目标化合物分析软件</w:t>
            </w:r>
          </w:p>
          <w:p w14:paraId="35F75E9B">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2.9.3.3定量分析软件：可进行自动MRM离子丰度比确认</w:t>
            </w:r>
          </w:p>
          <w:p w14:paraId="7E7A21DC">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2.9.3.检测器检测器4方法数据库</w:t>
            </w:r>
          </w:p>
          <w:p w14:paraId="2E176972">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技术资料仪器操作手册；</w:t>
            </w:r>
          </w:p>
          <w:p w14:paraId="5048A88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维护手册等资料</w:t>
            </w:r>
          </w:p>
          <w:p w14:paraId="2F96DC9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仪器操作手册（中、英文） ；维护手册(中、英文)等资料</w:t>
            </w:r>
          </w:p>
          <w:p w14:paraId="2C187B68">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4.售后服务</w:t>
            </w:r>
          </w:p>
          <w:p w14:paraId="3930C864">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正规注册的办事处、维修站。在新疆境内有多名经验丰富的维修工程师和专业技术应用工程师。保修期后，保证长期供应零备件和正常的售后服务. 在疆内的技术服务中心（包括维修中心）或消耗品代理商应当提供所有的服务,包括备用零配件及消耗品，安装验收期间，免费对用户进行仪器的基本操作和日常维护的现场培训，内容包括仪器原理，使用方法和维护方法等。</w:t>
            </w:r>
          </w:p>
          <w:p w14:paraId="36E3B5D4">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4.1 质保期：验收合格后，质量保证期3年。</w:t>
            </w:r>
          </w:p>
          <w:p w14:paraId="456C2736">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4.2 故障服务：仪器设备出现故障时，供货方得到通知2 日内派维修人员到达用户现场维修。</w:t>
            </w:r>
          </w:p>
          <w:p w14:paraId="4C68D08E">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4.3技术资料：免费提供该设备全套技术资料。</w:t>
            </w:r>
          </w:p>
          <w:p w14:paraId="0DBEE9BF">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4.4 验收：仪器设备到达最终用户后，由用户提供验收条件，供应商应即时派维修人员前往验收。</w:t>
            </w:r>
          </w:p>
          <w:p w14:paraId="36373759">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方正仿宋_GB2312" w:hAnsi="方正仿宋_GB2312" w:eastAsia="方正仿宋_GB2312" w:cs="方正仿宋_GB2312"/>
                <w:sz w:val="18"/>
                <w:szCs w:val="18"/>
                <w:highlight w:val="none"/>
                <w:lang w:val="en-US" w:eastAsia="zh-CN"/>
              </w:rPr>
            </w:pPr>
            <w:r>
              <w:rPr>
                <w:rFonts w:hint="eastAsia" w:ascii="方正仿宋_GB2312" w:hAnsi="方正仿宋_GB2312" w:eastAsia="方正仿宋_GB2312" w:cs="方正仿宋_GB2312"/>
                <w:sz w:val="18"/>
                <w:szCs w:val="18"/>
                <w:highlight w:val="none"/>
                <w:lang w:val="en-US" w:eastAsia="zh-CN"/>
              </w:rPr>
              <w:t>安装地点：用户指定</w:t>
            </w:r>
          </w:p>
        </w:tc>
      </w:tr>
      <w:tr w14:paraId="0924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176C4AE7">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3</w:t>
            </w:r>
          </w:p>
        </w:tc>
        <w:tc>
          <w:tcPr>
            <w:tcW w:w="553" w:type="pct"/>
            <w:noWrap w:val="0"/>
            <w:vAlign w:val="center"/>
          </w:tcPr>
          <w:p w14:paraId="4356067D">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rPr>
              <w:t>平行蒸发</w:t>
            </w:r>
            <w:r>
              <w:rPr>
                <w:rFonts w:hint="eastAsia" w:ascii="方正仿宋_GB2312" w:hAnsi="方正仿宋_GB2312" w:eastAsia="方正仿宋_GB2312" w:cs="方正仿宋_GB2312"/>
                <w:color w:val="auto"/>
                <w:sz w:val="18"/>
                <w:szCs w:val="18"/>
                <w:highlight w:val="none"/>
                <w:vertAlign w:val="baseline"/>
                <w:lang w:val="en-US" w:eastAsia="zh-CN"/>
              </w:rPr>
              <w:t>仪</w:t>
            </w:r>
          </w:p>
        </w:tc>
        <w:tc>
          <w:tcPr>
            <w:tcW w:w="532" w:type="pct"/>
            <w:noWrap w:val="0"/>
            <w:vAlign w:val="center"/>
          </w:tcPr>
          <w:p w14:paraId="606AD203">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w:t>
            </w:r>
          </w:p>
        </w:tc>
        <w:tc>
          <w:tcPr>
            <w:tcW w:w="3554" w:type="pct"/>
            <w:noWrap w:val="0"/>
            <w:vAlign w:val="top"/>
          </w:tcPr>
          <w:p w14:paraId="68D25211">
            <w:pPr>
              <w:jc w:val="left"/>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工作环境</w:t>
            </w:r>
          </w:p>
          <w:p w14:paraId="6D5B4776">
            <w:pPr>
              <w:jc w:val="left"/>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电    源：AC 220V±10%/ 50 Hz</w:t>
            </w:r>
          </w:p>
          <w:p w14:paraId="7BDDDAF8">
            <w:pPr>
              <w:pStyle w:val="23"/>
              <w:keepNext w:val="0"/>
              <w:keepLines w:val="0"/>
              <w:pageBreakBefore w:val="0"/>
              <w:widowControl w:val="0"/>
              <w:numPr>
                <w:ilvl w:val="1"/>
                <w:numId w:val="6"/>
              </w:numPr>
              <w:kinsoku/>
              <w:wordWrap/>
              <w:overflowPunct/>
              <w:topLinePunct w:val="0"/>
              <w:autoSpaceDE/>
              <w:autoSpaceDN/>
              <w:bidi w:val="0"/>
              <w:snapToGrid/>
              <w:spacing w:line="240" w:lineRule="exact"/>
              <w:ind w:firstLine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环境温度：10 ~ 35℃</w:t>
            </w:r>
          </w:p>
          <w:p w14:paraId="1DE43011">
            <w:pPr>
              <w:pStyle w:val="23"/>
              <w:keepNext w:val="0"/>
              <w:keepLines w:val="0"/>
              <w:pageBreakBefore w:val="0"/>
              <w:widowControl w:val="0"/>
              <w:numPr>
                <w:ilvl w:val="1"/>
                <w:numId w:val="6"/>
              </w:numPr>
              <w:kinsoku/>
              <w:wordWrap/>
              <w:overflowPunct/>
              <w:topLinePunct w:val="0"/>
              <w:autoSpaceDE/>
              <w:autoSpaceDN/>
              <w:bidi w:val="0"/>
              <w:snapToGrid/>
              <w:spacing w:line="240" w:lineRule="exact"/>
              <w:ind w:firstLine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工作湿度：20 ~ 80%</w:t>
            </w:r>
          </w:p>
          <w:p w14:paraId="100E4075">
            <w:pPr>
              <w:pStyle w:val="23"/>
              <w:keepNext w:val="0"/>
              <w:keepLines w:val="0"/>
              <w:pageBreakBefore w:val="0"/>
              <w:widowControl w:val="0"/>
              <w:numPr>
                <w:ilvl w:val="0"/>
                <w:numId w:val="0"/>
              </w:numPr>
              <w:kinsoku/>
              <w:wordWrap/>
              <w:overflowPunct/>
              <w:topLinePunct w:val="0"/>
              <w:autoSpaceDE/>
              <w:autoSpaceDN/>
              <w:bidi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2.</w:t>
            </w:r>
            <w:r>
              <w:rPr>
                <w:rFonts w:hint="eastAsia" w:ascii="方正仿宋_GB2312" w:hAnsi="方正仿宋_GB2312" w:eastAsia="方正仿宋_GB2312" w:cs="方正仿宋_GB2312"/>
                <w:b w:val="0"/>
                <w:bCs/>
                <w:color w:val="auto"/>
                <w:sz w:val="18"/>
                <w:szCs w:val="18"/>
              </w:rPr>
              <w:t>应用范围</w:t>
            </w:r>
          </w:p>
          <w:p w14:paraId="70988648">
            <w:pPr>
              <w:pStyle w:val="23"/>
              <w:keepNext w:val="0"/>
              <w:keepLines w:val="0"/>
              <w:pageBreakBefore w:val="0"/>
              <w:widowControl w:val="0"/>
              <w:numPr>
                <w:ilvl w:val="0"/>
                <w:numId w:val="0"/>
              </w:numPr>
              <w:kinsoku/>
              <w:wordWrap/>
              <w:overflowPunct/>
              <w:topLinePunct w:val="0"/>
              <w:autoSpaceDE/>
              <w:autoSpaceDN/>
              <w:bidi w:val="0"/>
              <w:snapToGrid/>
              <w:spacing w:line="240" w:lineRule="exact"/>
              <w:ind w:leftChars="0"/>
              <w:jc w:val="left"/>
              <w:textAlignment w:val="auto"/>
              <w:rPr>
                <w:rFonts w:hint="eastAsia" w:ascii="方正仿宋_GB2312" w:hAnsi="方正仿宋_GB2312" w:eastAsia="方正仿宋_GB2312" w:cs="方正仿宋_GB2312"/>
                <w:b w:val="0"/>
                <w:bCs/>
                <w:kern w:val="2"/>
                <w:sz w:val="18"/>
                <w:szCs w:val="18"/>
                <w:vertAlign w:val="baseline"/>
                <w:lang w:val="en-US" w:eastAsia="zh-CN" w:bidi="ar-SA"/>
              </w:rPr>
            </w:pPr>
            <w:r>
              <w:rPr>
                <w:rFonts w:hint="eastAsia" w:ascii="方正仿宋_GB2312" w:hAnsi="方正仿宋_GB2312" w:eastAsia="方正仿宋_GB2312" w:cs="方正仿宋_GB2312"/>
                <w:b w:val="0"/>
                <w:bCs/>
                <w:kern w:val="2"/>
                <w:sz w:val="18"/>
                <w:szCs w:val="18"/>
                <w:vertAlign w:val="baseline"/>
                <w:lang w:val="en-US" w:eastAsia="zh-CN" w:bidi="ar-SA"/>
              </w:rPr>
              <w:t>※用途：在减压条件下对批量样品进行浓缩，实现多样品快速浓缩。可以同各种样品前处理设备如固相萃取装置、全自动索式提取仪、快速溶剂萃取仪等联用。</w:t>
            </w:r>
          </w:p>
          <w:p w14:paraId="69467AF3">
            <w:pPr>
              <w:pStyle w:val="23"/>
              <w:keepNext w:val="0"/>
              <w:keepLines w:val="0"/>
              <w:pageBreakBefore w:val="0"/>
              <w:widowControl w:val="0"/>
              <w:numPr>
                <w:ilvl w:val="0"/>
                <w:numId w:val="0"/>
              </w:numPr>
              <w:kinsoku/>
              <w:wordWrap/>
              <w:overflowPunct/>
              <w:topLinePunct w:val="0"/>
              <w:autoSpaceDE/>
              <w:autoSpaceDN/>
              <w:bidi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w:t>
            </w:r>
            <w:r>
              <w:rPr>
                <w:rFonts w:hint="eastAsia" w:ascii="方正仿宋_GB2312" w:hAnsi="方正仿宋_GB2312" w:eastAsia="方正仿宋_GB2312" w:cs="方正仿宋_GB2312"/>
                <w:b w:val="0"/>
                <w:bCs/>
                <w:color w:val="auto"/>
                <w:sz w:val="18"/>
                <w:szCs w:val="18"/>
              </w:rPr>
              <w:t>技术规格</w:t>
            </w:r>
          </w:p>
          <w:p w14:paraId="308D5CA7">
            <w:pPr>
              <w:pStyle w:val="23"/>
              <w:keepNext w:val="0"/>
              <w:keepLines w:val="0"/>
              <w:pageBreakBefore w:val="0"/>
              <w:widowControl w:val="0"/>
              <w:numPr>
                <w:ilvl w:val="0"/>
                <w:numId w:val="7"/>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00C7BEAC">
            <w:pPr>
              <w:pStyle w:val="23"/>
              <w:keepNext w:val="0"/>
              <w:keepLines w:val="0"/>
              <w:pageBreakBefore w:val="0"/>
              <w:widowControl w:val="0"/>
              <w:numPr>
                <w:ilvl w:val="0"/>
                <w:numId w:val="7"/>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73E8A13E">
            <w:pPr>
              <w:pStyle w:val="23"/>
              <w:keepNext w:val="0"/>
              <w:keepLines w:val="0"/>
              <w:pageBreakBefore w:val="0"/>
              <w:widowControl w:val="0"/>
              <w:numPr>
                <w:ilvl w:val="0"/>
                <w:numId w:val="7"/>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3293CAD">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 xml:space="preserve">3.1 </w:t>
            </w:r>
            <w:r>
              <w:rPr>
                <w:rFonts w:hint="eastAsia" w:ascii="方正仿宋_GB2312" w:hAnsi="方正仿宋_GB2312" w:eastAsia="方正仿宋_GB2312" w:cs="方正仿宋_GB2312"/>
                <w:b w:val="0"/>
                <w:bCs/>
                <w:color w:val="auto"/>
                <w:sz w:val="18"/>
                <w:szCs w:val="18"/>
              </w:rPr>
              <w:t xml:space="preserve">平行蒸发过程：在抽真空（*由真空控制系统控制）/加热/旋涡振荡三种方式同时作用下，自动将批量样品蒸发至1mL、0.5mL或浓缩至干,蒸发完成后蒸发过程自动停止。无需外接气源。 </w:t>
            </w:r>
          </w:p>
          <w:p w14:paraId="42C843F7">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 xml:space="preserve">3.2. </w:t>
            </w:r>
            <w:r>
              <w:rPr>
                <w:rFonts w:hint="eastAsia" w:ascii="方正仿宋_GB2312" w:hAnsi="方正仿宋_GB2312" w:eastAsia="方正仿宋_GB2312" w:cs="方正仿宋_GB2312"/>
                <w:b w:val="0"/>
                <w:bCs/>
                <w:color w:val="auto"/>
                <w:sz w:val="18"/>
                <w:szCs w:val="18"/>
              </w:rPr>
              <w:t>主机蒸发单元模块</w:t>
            </w:r>
          </w:p>
          <w:p w14:paraId="1C03B489">
            <w:pPr>
              <w:pStyle w:val="23"/>
              <w:keepNext w:val="0"/>
              <w:keepLines w:val="0"/>
              <w:pageBreakBefore w:val="0"/>
              <w:widowControl w:val="0"/>
              <w:numPr>
                <w:ilvl w:val="0"/>
                <w:numId w:val="8"/>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D6E8A83">
            <w:pPr>
              <w:pStyle w:val="23"/>
              <w:keepNext w:val="0"/>
              <w:keepLines w:val="0"/>
              <w:pageBreakBefore w:val="0"/>
              <w:widowControl w:val="0"/>
              <w:numPr>
                <w:ilvl w:val="0"/>
                <w:numId w:val="8"/>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58EAF66">
            <w:pPr>
              <w:pStyle w:val="23"/>
              <w:keepNext w:val="0"/>
              <w:keepLines w:val="0"/>
              <w:pageBreakBefore w:val="0"/>
              <w:widowControl w:val="0"/>
              <w:numPr>
                <w:ilvl w:val="0"/>
                <w:numId w:val="8"/>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B4D488B">
            <w:pPr>
              <w:pStyle w:val="23"/>
              <w:keepNext w:val="0"/>
              <w:keepLines w:val="0"/>
              <w:pageBreakBefore w:val="0"/>
              <w:widowControl w:val="0"/>
              <w:numPr>
                <w:ilvl w:val="1"/>
                <w:numId w:val="8"/>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9C46219">
            <w:pPr>
              <w:pStyle w:val="23"/>
              <w:keepNext w:val="0"/>
              <w:keepLines w:val="0"/>
              <w:pageBreakBefore w:val="0"/>
              <w:widowControl w:val="0"/>
              <w:numPr>
                <w:ilvl w:val="1"/>
                <w:numId w:val="8"/>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524B4244">
            <w:pPr>
              <w:keepNext w:val="0"/>
              <w:keepLines w:val="0"/>
              <w:pageBreakBefore w:val="0"/>
              <w:widowControl w:val="0"/>
              <w:numPr>
                <w:ilvl w:val="2"/>
                <w:numId w:val="8"/>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蒸发单元</w:t>
            </w:r>
            <w:r>
              <w:rPr>
                <w:rFonts w:hint="eastAsia" w:ascii="方正仿宋_GB2312" w:hAnsi="方正仿宋_GB2312" w:eastAsia="方正仿宋_GB2312" w:cs="方正仿宋_GB2312"/>
                <w:b w:val="0"/>
                <w:bCs/>
                <w:color w:val="auto"/>
                <w:sz w:val="18"/>
                <w:szCs w:val="18"/>
                <w:lang w:eastAsia="zh-CN"/>
              </w:rPr>
              <w:t>：</w:t>
            </w:r>
            <w:r>
              <w:rPr>
                <w:rFonts w:hint="eastAsia" w:ascii="方正仿宋_GB2312" w:hAnsi="方正仿宋_GB2312" w:eastAsia="方正仿宋_GB2312" w:cs="方正仿宋_GB2312"/>
                <w:b w:val="0"/>
                <w:bCs/>
                <w:color w:val="auto"/>
                <w:sz w:val="18"/>
                <w:szCs w:val="18"/>
              </w:rPr>
              <w:t xml:space="preserve"> 42 ；</w:t>
            </w:r>
          </w:p>
          <w:p w14:paraId="543F7F87">
            <w:pPr>
              <w:keepNext w:val="0"/>
              <w:keepLines w:val="0"/>
              <w:pageBreakBefore w:val="0"/>
              <w:widowControl w:val="0"/>
              <w:numPr>
                <w:ilvl w:val="2"/>
                <w:numId w:val="8"/>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最大样品蒸发量</w:t>
            </w:r>
            <w:r>
              <w:rPr>
                <w:rFonts w:hint="eastAsia" w:ascii="方正仿宋_GB2312" w:hAnsi="方正仿宋_GB2312" w:eastAsia="方正仿宋_GB2312" w:cs="方正仿宋_GB2312"/>
                <w:b w:val="0"/>
                <w:bCs/>
                <w:color w:val="auto"/>
                <w:sz w:val="18"/>
                <w:szCs w:val="18"/>
                <w:lang w:eastAsia="zh-CN"/>
              </w:rPr>
              <w:t>：</w:t>
            </w:r>
            <w:r>
              <w:rPr>
                <w:rFonts w:hint="eastAsia" w:ascii="方正仿宋_GB2312" w:hAnsi="方正仿宋_GB2312" w:eastAsia="方正仿宋_GB2312" w:cs="方正仿宋_GB2312"/>
                <w:b w:val="0"/>
                <w:bCs/>
                <w:color w:val="auto"/>
                <w:sz w:val="18"/>
                <w:szCs w:val="18"/>
              </w:rPr>
              <w:t xml:space="preserve"> 80mL（42位）；</w:t>
            </w:r>
          </w:p>
          <w:p w14:paraId="45C7F954">
            <w:pPr>
              <w:keepNext w:val="0"/>
              <w:keepLines w:val="0"/>
              <w:pageBreakBefore w:val="0"/>
              <w:widowControl w:val="0"/>
              <w:numPr>
                <w:ilvl w:val="2"/>
                <w:numId w:val="8"/>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(选配)定量尾管：浓缩管底端有特制的尾管，尾管上标刻1、0.5mL定量刻度，可在管内直接定容；可根据实验需求定制适应不同类型试管。</w:t>
            </w:r>
          </w:p>
          <w:p w14:paraId="1B4457DE">
            <w:pPr>
              <w:keepNext w:val="0"/>
              <w:keepLines w:val="0"/>
              <w:pageBreakBefore w:val="0"/>
              <w:widowControl w:val="0"/>
              <w:numPr>
                <w:ilvl w:val="2"/>
                <w:numId w:val="8"/>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每个样品都通过独立的真空接口和上盖连接，上盖采用全透明设计且含PTFE涂层，可以随时观察蒸发情况。上盖可加热，最高可加热到70℃以防止蒸汽冷凝；</w:t>
            </w:r>
          </w:p>
          <w:p w14:paraId="4BC612BE">
            <w:pPr>
              <w:pStyle w:val="23"/>
              <w:keepNext w:val="0"/>
              <w:keepLines w:val="0"/>
              <w:pageBreakBefore w:val="0"/>
              <w:widowControl w:val="0"/>
              <w:numPr>
                <w:ilvl w:val="2"/>
                <w:numId w:val="8"/>
              </w:numPr>
              <w:kinsoku/>
              <w:wordWrap/>
              <w:overflowPunct/>
              <w:topLinePunct w:val="0"/>
              <w:autoSpaceDE/>
              <w:autoSpaceDN/>
              <w:bidi w:val="0"/>
              <w:snapToGrid/>
              <w:spacing w:line="240" w:lineRule="exact"/>
              <w:ind w:firstLineChars="0"/>
              <w:jc w:val="left"/>
              <w:textAlignment w:val="auto"/>
              <w:rPr>
                <w:rFonts w:hint="eastAsia" w:ascii="方正仿宋_GB2312" w:hAnsi="方正仿宋_GB2312" w:eastAsia="方正仿宋_GB2312" w:cs="方正仿宋_GB2312"/>
                <w:b w:val="0"/>
                <w:bCs/>
                <w:color w:val="auto"/>
                <w:kern w:val="0"/>
                <w:sz w:val="18"/>
                <w:szCs w:val="18"/>
              </w:rPr>
            </w:pPr>
            <w:r>
              <w:rPr>
                <w:rFonts w:hint="eastAsia" w:ascii="方正仿宋_GB2312" w:hAnsi="方正仿宋_GB2312" w:eastAsia="方正仿宋_GB2312" w:cs="方正仿宋_GB2312"/>
                <w:b w:val="0"/>
                <w:bCs/>
                <w:color w:val="auto"/>
                <w:kern w:val="0"/>
                <w:sz w:val="18"/>
                <w:szCs w:val="18"/>
              </w:rPr>
              <w:t>※浓缩腔体为全透明，腔体无遮挡物，可随时观察样品运行的浓缩状态。</w:t>
            </w:r>
          </w:p>
          <w:p w14:paraId="490626E1">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3.3.</w:t>
            </w:r>
            <w:r>
              <w:rPr>
                <w:rFonts w:hint="eastAsia" w:ascii="方正仿宋_GB2312" w:hAnsi="方正仿宋_GB2312" w:eastAsia="方正仿宋_GB2312" w:cs="方正仿宋_GB2312"/>
                <w:b w:val="0"/>
                <w:bCs/>
                <w:color w:val="auto"/>
                <w:sz w:val="18"/>
                <w:szCs w:val="18"/>
              </w:rPr>
              <w:t>主机加热单元</w:t>
            </w:r>
          </w:p>
          <w:p w14:paraId="28FC66F1">
            <w:pPr>
              <w:pStyle w:val="23"/>
              <w:keepNext w:val="0"/>
              <w:keepLines w:val="0"/>
              <w:pageBreakBefore w:val="0"/>
              <w:widowControl w:val="0"/>
              <w:numPr>
                <w:ilvl w:val="0"/>
                <w:numId w:val="9"/>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10BB111A">
            <w:pPr>
              <w:pStyle w:val="23"/>
              <w:keepNext w:val="0"/>
              <w:keepLines w:val="0"/>
              <w:pageBreakBefore w:val="0"/>
              <w:widowControl w:val="0"/>
              <w:numPr>
                <w:ilvl w:val="0"/>
                <w:numId w:val="9"/>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324213FF">
            <w:pPr>
              <w:pStyle w:val="23"/>
              <w:keepNext w:val="0"/>
              <w:keepLines w:val="0"/>
              <w:pageBreakBefore w:val="0"/>
              <w:widowControl w:val="0"/>
              <w:numPr>
                <w:ilvl w:val="0"/>
                <w:numId w:val="9"/>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D5D8B19">
            <w:pPr>
              <w:pStyle w:val="23"/>
              <w:keepNext w:val="0"/>
              <w:keepLines w:val="0"/>
              <w:pageBreakBefore w:val="0"/>
              <w:widowControl w:val="0"/>
              <w:numPr>
                <w:ilvl w:val="1"/>
                <w:numId w:val="9"/>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E31D5D7">
            <w:pPr>
              <w:pStyle w:val="23"/>
              <w:keepNext w:val="0"/>
              <w:keepLines w:val="0"/>
              <w:pageBreakBefore w:val="0"/>
              <w:widowControl w:val="0"/>
              <w:numPr>
                <w:ilvl w:val="1"/>
                <w:numId w:val="9"/>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4A8E7C5">
            <w:pPr>
              <w:pStyle w:val="23"/>
              <w:keepNext w:val="0"/>
              <w:keepLines w:val="0"/>
              <w:pageBreakBefore w:val="0"/>
              <w:widowControl w:val="0"/>
              <w:numPr>
                <w:ilvl w:val="1"/>
                <w:numId w:val="9"/>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06A6D65">
            <w:pPr>
              <w:keepNext w:val="0"/>
              <w:keepLines w:val="0"/>
              <w:pageBreakBefore w:val="0"/>
              <w:widowControl w:val="0"/>
              <w:numPr>
                <w:ilvl w:val="2"/>
                <w:numId w:val="9"/>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加热单元</w:t>
            </w:r>
            <w:r>
              <w:rPr>
                <w:rFonts w:hint="eastAsia" w:ascii="方正仿宋_GB2312" w:hAnsi="方正仿宋_GB2312" w:eastAsia="方正仿宋_GB2312" w:cs="方正仿宋_GB2312"/>
                <w:b w:val="0"/>
                <w:bCs/>
                <w:color w:val="auto"/>
                <w:sz w:val="18"/>
                <w:szCs w:val="18"/>
                <w:lang w:eastAsia="zh-CN"/>
              </w:rPr>
              <w:t>：</w:t>
            </w:r>
            <w:r>
              <w:rPr>
                <w:rFonts w:hint="eastAsia" w:ascii="方正仿宋_GB2312" w:hAnsi="方正仿宋_GB2312" w:eastAsia="方正仿宋_GB2312" w:cs="方正仿宋_GB2312"/>
                <w:b w:val="0"/>
                <w:bCs/>
                <w:color w:val="auto"/>
                <w:sz w:val="18"/>
                <w:szCs w:val="18"/>
              </w:rPr>
              <w:t xml:space="preserve"> 整体单元水浴加热，保证腔体温度均一。</w:t>
            </w:r>
          </w:p>
          <w:p w14:paraId="6138911C">
            <w:pPr>
              <w:keepNext w:val="0"/>
              <w:keepLines w:val="0"/>
              <w:pageBreakBefore w:val="0"/>
              <w:widowControl w:val="0"/>
              <w:numPr>
                <w:ilvl w:val="2"/>
                <w:numId w:val="9"/>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加热方式</w:t>
            </w:r>
            <w:r>
              <w:rPr>
                <w:rFonts w:hint="eastAsia" w:ascii="方正仿宋_GB2312" w:hAnsi="方正仿宋_GB2312" w:eastAsia="方正仿宋_GB2312" w:cs="方正仿宋_GB2312"/>
                <w:b w:val="0"/>
                <w:bCs/>
                <w:color w:val="auto"/>
                <w:sz w:val="18"/>
                <w:szCs w:val="18"/>
                <w:lang w:eastAsia="zh-CN"/>
              </w:rPr>
              <w:t>：</w:t>
            </w:r>
            <w:r>
              <w:rPr>
                <w:rFonts w:hint="eastAsia" w:ascii="方正仿宋_GB2312" w:hAnsi="方正仿宋_GB2312" w:eastAsia="方正仿宋_GB2312" w:cs="方正仿宋_GB2312"/>
                <w:b w:val="0"/>
                <w:bCs/>
                <w:color w:val="auto"/>
                <w:sz w:val="18"/>
                <w:szCs w:val="18"/>
              </w:rPr>
              <w:t xml:space="preserve"> PTC/水浴加热，最高加热温度</w:t>
            </w:r>
            <w:r>
              <w:rPr>
                <w:rFonts w:hint="eastAsia" w:ascii="方正仿宋_GB2312" w:hAnsi="方正仿宋_GB2312" w:eastAsia="方正仿宋_GB2312" w:cs="方正仿宋_GB2312"/>
                <w:b w:val="0"/>
                <w:bCs/>
                <w:color w:val="auto"/>
                <w:sz w:val="18"/>
                <w:szCs w:val="18"/>
                <w:lang w:eastAsia="zh-CN"/>
              </w:rPr>
              <w:t>：</w:t>
            </w:r>
            <w:r>
              <w:rPr>
                <w:rFonts w:hint="eastAsia" w:ascii="方正仿宋_GB2312" w:hAnsi="方正仿宋_GB2312" w:eastAsia="方正仿宋_GB2312" w:cs="方正仿宋_GB2312"/>
                <w:b w:val="0"/>
                <w:bCs/>
                <w:color w:val="auto"/>
                <w:sz w:val="18"/>
                <w:szCs w:val="18"/>
              </w:rPr>
              <w:t>100℃</w:t>
            </w:r>
          </w:p>
          <w:p w14:paraId="6B1D2CFF">
            <w:pPr>
              <w:keepNext w:val="0"/>
              <w:keepLines w:val="0"/>
              <w:pageBreakBefore w:val="0"/>
              <w:widowControl w:val="0"/>
              <w:numPr>
                <w:ilvl w:val="2"/>
                <w:numId w:val="9"/>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升温平衡时间：＜30min；</w:t>
            </w:r>
          </w:p>
          <w:p w14:paraId="528B981F">
            <w:pPr>
              <w:keepNext w:val="0"/>
              <w:keepLines w:val="0"/>
              <w:pageBreakBefore w:val="0"/>
              <w:widowControl w:val="0"/>
              <w:numPr>
                <w:ilvl w:val="2"/>
                <w:numId w:val="9"/>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kern w:val="0"/>
                <w:sz w:val="18"/>
                <w:szCs w:val="18"/>
              </w:rPr>
              <w:t>※</w:t>
            </w:r>
            <w:r>
              <w:rPr>
                <w:rFonts w:hint="eastAsia" w:ascii="方正仿宋_GB2312" w:hAnsi="方正仿宋_GB2312" w:eastAsia="方正仿宋_GB2312" w:cs="方正仿宋_GB2312"/>
                <w:b w:val="0"/>
                <w:bCs/>
                <w:color w:val="auto"/>
                <w:sz w:val="18"/>
                <w:szCs w:val="18"/>
              </w:rPr>
              <w:t>给排水功能：程序控制，一键排水，且有自动补水功能；</w:t>
            </w:r>
          </w:p>
          <w:p w14:paraId="7D10C81C">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3.4.</w:t>
            </w:r>
            <w:r>
              <w:rPr>
                <w:rFonts w:hint="eastAsia" w:ascii="方正仿宋_GB2312" w:hAnsi="方正仿宋_GB2312" w:eastAsia="方正仿宋_GB2312" w:cs="方正仿宋_GB2312"/>
                <w:b w:val="0"/>
                <w:bCs/>
                <w:color w:val="auto"/>
                <w:sz w:val="18"/>
                <w:szCs w:val="18"/>
              </w:rPr>
              <w:t>振荡单元</w:t>
            </w:r>
          </w:p>
          <w:p w14:paraId="45B0D8F8">
            <w:pPr>
              <w:pStyle w:val="23"/>
              <w:keepNext w:val="0"/>
              <w:keepLines w:val="0"/>
              <w:pageBreakBefore w:val="0"/>
              <w:widowControl w:val="0"/>
              <w:numPr>
                <w:ilvl w:val="0"/>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17CC69E0">
            <w:pPr>
              <w:pStyle w:val="23"/>
              <w:keepNext w:val="0"/>
              <w:keepLines w:val="0"/>
              <w:pageBreakBefore w:val="0"/>
              <w:widowControl w:val="0"/>
              <w:numPr>
                <w:ilvl w:val="0"/>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C2C6982">
            <w:pPr>
              <w:pStyle w:val="23"/>
              <w:keepNext w:val="0"/>
              <w:keepLines w:val="0"/>
              <w:pageBreakBefore w:val="0"/>
              <w:widowControl w:val="0"/>
              <w:numPr>
                <w:ilvl w:val="0"/>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1AF2B67">
            <w:pPr>
              <w:pStyle w:val="23"/>
              <w:keepNext w:val="0"/>
              <w:keepLines w:val="0"/>
              <w:pageBreakBefore w:val="0"/>
              <w:widowControl w:val="0"/>
              <w:numPr>
                <w:ilvl w:val="1"/>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73C2822">
            <w:pPr>
              <w:pStyle w:val="23"/>
              <w:keepNext w:val="0"/>
              <w:keepLines w:val="0"/>
              <w:pageBreakBefore w:val="0"/>
              <w:widowControl w:val="0"/>
              <w:numPr>
                <w:ilvl w:val="1"/>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105A64BE">
            <w:pPr>
              <w:pStyle w:val="23"/>
              <w:keepNext w:val="0"/>
              <w:keepLines w:val="0"/>
              <w:pageBreakBefore w:val="0"/>
              <w:widowControl w:val="0"/>
              <w:numPr>
                <w:ilvl w:val="1"/>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75E3D054">
            <w:pPr>
              <w:pStyle w:val="23"/>
              <w:keepNext w:val="0"/>
              <w:keepLines w:val="0"/>
              <w:pageBreakBefore w:val="0"/>
              <w:widowControl w:val="0"/>
              <w:numPr>
                <w:ilvl w:val="1"/>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B5A21E1">
            <w:pPr>
              <w:keepNext w:val="0"/>
              <w:keepLines w:val="0"/>
              <w:pageBreakBefore w:val="0"/>
              <w:widowControl w:val="0"/>
              <w:numPr>
                <w:ilvl w:val="2"/>
                <w:numId w:val="10"/>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kern w:val="0"/>
                <w:sz w:val="18"/>
                <w:szCs w:val="18"/>
              </w:rPr>
              <w:t>※</w:t>
            </w:r>
            <w:r>
              <w:rPr>
                <w:rFonts w:hint="eastAsia" w:ascii="方正仿宋_GB2312" w:hAnsi="方正仿宋_GB2312" w:eastAsia="方正仿宋_GB2312" w:cs="方正仿宋_GB2312"/>
                <w:b w:val="0"/>
                <w:bCs/>
                <w:color w:val="auto"/>
                <w:sz w:val="18"/>
                <w:szCs w:val="18"/>
              </w:rPr>
              <w:t>振荡单元在工作中可带动加热单元和蒸发单元实现高速且稳定的水平圆周振荡：转速可达0 ~ 500rpm；高速的振荡可有效的防止样品蒸发过程中样品的爆沸。</w:t>
            </w:r>
          </w:p>
          <w:p w14:paraId="32A4C8B1">
            <w:pPr>
              <w:keepNext w:val="0"/>
              <w:keepLines w:val="0"/>
              <w:pageBreakBefore w:val="0"/>
              <w:widowControl w:val="0"/>
              <w:numPr>
                <w:ilvl w:val="2"/>
                <w:numId w:val="10"/>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kern w:val="0"/>
                <w:sz w:val="18"/>
                <w:szCs w:val="18"/>
              </w:rPr>
              <w:t>※</w:t>
            </w:r>
            <w:r>
              <w:rPr>
                <w:rFonts w:hint="eastAsia" w:ascii="方正仿宋_GB2312" w:hAnsi="方正仿宋_GB2312" w:eastAsia="方正仿宋_GB2312" w:cs="方正仿宋_GB2312"/>
                <w:b w:val="0"/>
                <w:bCs/>
                <w:color w:val="auto"/>
                <w:sz w:val="18"/>
                <w:szCs w:val="18"/>
              </w:rPr>
              <w:t>振荡转速可用触屏程序控制和机械旋钮调节两种模式，且有一键停止功能。独特的机械旋钮调节模式更加直接，和操作方便。方便用户在样品实际浓缩过程中，实现调节转速、停机加样等操作</w:t>
            </w:r>
          </w:p>
          <w:p w14:paraId="2C38CD48">
            <w:pPr>
              <w:keepNext w:val="0"/>
              <w:keepLines w:val="0"/>
              <w:pageBreakBefore w:val="0"/>
              <w:widowControl w:val="0"/>
              <w:numPr>
                <w:ilvl w:val="2"/>
                <w:numId w:val="10"/>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离心率：5 mm；</w:t>
            </w:r>
          </w:p>
          <w:p w14:paraId="0294A434">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3.5.</w:t>
            </w:r>
            <w:r>
              <w:rPr>
                <w:rFonts w:hint="eastAsia" w:ascii="方正仿宋_GB2312" w:hAnsi="方正仿宋_GB2312" w:eastAsia="方正仿宋_GB2312" w:cs="方正仿宋_GB2312"/>
                <w:b w:val="0"/>
                <w:bCs/>
                <w:color w:val="auto"/>
                <w:sz w:val="18"/>
                <w:szCs w:val="18"/>
              </w:rPr>
              <w:t>定容模式：</w:t>
            </w:r>
          </w:p>
          <w:p w14:paraId="0225E60D">
            <w:pPr>
              <w:pStyle w:val="23"/>
              <w:keepNext w:val="0"/>
              <w:keepLines w:val="0"/>
              <w:pageBreakBefore w:val="0"/>
              <w:widowControl w:val="0"/>
              <w:numPr>
                <w:ilvl w:val="1"/>
                <w:numId w:val="10"/>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B35B107">
            <w:pPr>
              <w:keepNext w:val="0"/>
              <w:keepLines w:val="0"/>
              <w:pageBreakBefore w:val="0"/>
              <w:widowControl w:val="0"/>
              <w:numPr>
                <w:ilvl w:val="2"/>
                <w:numId w:val="10"/>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kern w:val="0"/>
                <w:sz w:val="18"/>
                <w:szCs w:val="18"/>
              </w:rPr>
              <w:t>※</w:t>
            </w:r>
            <w:r>
              <w:rPr>
                <w:rFonts w:hint="eastAsia" w:ascii="方正仿宋_GB2312" w:hAnsi="方正仿宋_GB2312" w:eastAsia="方正仿宋_GB2312" w:cs="方正仿宋_GB2312"/>
                <w:b w:val="0"/>
                <w:bCs/>
                <w:color w:val="auto"/>
                <w:sz w:val="18"/>
                <w:szCs w:val="18"/>
              </w:rPr>
              <w:t>数显定时，光纤传感器定量、尾管保护定容多种模式可选</w:t>
            </w:r>
          </w:p>
          <w:p w14:paraId="6BC7EB96">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3.6.</w:t>
            </w:r>
            <w:r>
              <w:rPr>
                <w:rFonts w:hint="eastAsia" w:ascii="方正仿宋_GB2312" w:hAnsi="方正仿宋_GB2312" w:eastAsia="方正仿宋_GB2312" w:cs="方正仿宋_GB2312"/>
                <w:b w:val="0"/>
                <w:bCs/>
                <w:color w:val="auto"/>
                <w:sz w:val="18"/>
                <w:szCs w:val="18"/>
              </w:rPr>
              <w:t>控制模式</w:t>
            </w:r>
          </w:p>
          <w:p w14:paraId="180E6F73">
            <w:pPr>
              <w:pStyle w:val="23"/>
              <w:keepNext w:val="0"/>
              <w:keepLines w:val="0"/>
              <w:pageBreakBefore w:val="0"/>
              <w:widowControl w:val="0"/>
              <w:numPr>
                <w:ilvl w:val="0"/>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FD07207">
            <w:pPr>
              <w:pStyle w:val="23"/>
              <w:keepNext w:val="0"/>
              <w:keepLines w:val="0"/>
              <w:pageBreakBefore w:val="0"/>
              <w:widowControl w:val="0"/>
              <w:numPr>
                <w:ilvl w:val="0"/>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1592613F">
            <w:pPr>
              <w:pStyle w:val="23"/>
              <w:keepNext w:val="0"/>
              <w:keepLines w:val="0"/>
              <w:pageBreakBefore w:val="0"/>
              <w:widowControl w:val="0"/>
              <w:numPr>
                <w:ilvl w:val="0"/>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3039EA36">
            <w:pPr>
              <w:pStyle w:val="23"/>
              <w:keepNext w:val="0"/>
              <w:keepLines w:val="0"/>
              <w:pageBreakBefore w:val="0"/>
              <w:widowControl w:val="0"/>
              <w:numPr>
                <w:ilvl w:val="1"/>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0D7779B3">
            <w:pPr>
              <w:pStyle w:val="23"/>
              <w:keepNext w:val="0"/>
              <w:keepLines w:val="0"/>
              <w:pageBreakBefore w:val="0"/>
              <w:widowControl w:val="0"/>
              <w:numPr>
                <w:ilvl w:val="1"/>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EBDBB78">
            <w:pPr>
              <w:pStyle w:val="23"/>
              <w:keepNext w:val="0"/>
              <w:keepLines w:val="0"/>
              <w:pageBreakBefore w:val="0"/>
              <w:widowControl w:val="0"/>
              <w:numPr>
                <w:ilvl w:val="1"/>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34F9E3E2">
            <w:pPr>
              <w:pStyle w:val="23"/>
              <w:keepNext w:val="0"/>
              <w:keepLines w:val="0"/>
              <w:pageBreakBefore w:val="0"/>
              <w:widowControl w:val="0"/>
              <w:numPr>
                <w:ilvl w:val="1"/>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3E9AB682">
            <w:pPr>
              <w:pStyle w:val="23"/>
              <w:keepNext w:val="0"/>
              <w:keepLines w:val="0"/>
              <w:pageBreakBefore w:val="0"/>
              <w:widowControl w:val="0"/>
              <w:numPr>
                <w:ilvl w:val="1"/>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CAD1047">
            <w:pPr>
              <w:pStyle w:val="23"/>
              <w:keepNext w:val="0"/>
              <w:keepLines w:val="0"/>
              <w:pageBreakBefore w:val="0"/>
              <w:widowControl w:val="0"/>
              <w:numPr>
                <w:ilvl w:val="1"/>
                <w:numId w:val="11"/>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72B46E03">
            <w:pPr>
              <w:keepNext w:val="0"/>
              <w:keepLines w:val="0"/>
              <w:pageBreakBefore w:val="0"/>
              <w:widowControl w:val="0"/>
              <w:numPr>
                <w:ilvl w:val="2"/>
                <w:numId w:val="11"/>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kern w:val="0"/>
                <w:sz w:val="18"/>
                <w:szCs w:val="18"/>
              </w:rPr>
              <w:t>※</w:t>
            </w:r>
            <w:r>
              <w:rPr>
                <w:rFonts w:hint="eastAsia" w:ascii="方正仿宋_GB2312" w:hAnsi="方正仿宋_GB2312" w:eastAsia="方正仿宋_GB2312" w:cs="方正仿宋_GB2312"/>
                <w:b w:val="0"/>
                <w:bCs/>
                <w:color w:val="auto"/>
                <w:sz w:val="18"/>
                <w:szCs w:val="18"/>
              </w:rPr>
              <w:t>操作：机械旋钮、程序双模式控制</w:t>
            </w:r>
          </w:p>
          <w:p w14:paraId="3B188370">
            <w:pPr>
              <w:keepNext w:val="0"/>
              <w:keepLines w:val="0"/>
              <w:pageBreakBefore w:val="0"/>
              <w:widowControl w:val="0"/>
              <w:numPr>
                <w:ilvl w:val="2"/>
                <w:numId w:val="11"/>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压力控制：液晶触摸屏控制，可进行压力梯度控制并储存方法，梯度降压，分5段梯度控制，时间范围0~255分钟。</w:t>
            </w:r>
          </w:p>
          <w:p w14:paraId="350FC804">
            <w:pPr>
              <w:keepNext w:val="0"/>
              <w:keepLines w:val="0"/>
              <w:pageBreakBefore w:val="0"/>
              <w:widowControl w:val="0"/>
              <w:numPr>
                <w:ilvl w:val="2"/>
                <w:numId w:val="11"/>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加热控制：液晶触摸屏控制，可进行5段梯度升温。时间范围0~999分钟</w:t>
            </w:r>
          </w:p>
          <w:p w14:paraId="57C597E3">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3.7.</w:t>
            </w:r>
            <w:r>
              <w:rPr>
                <w:rFonts w:hint="eastAsia" w:ascii="方正仿宋_GB2312" w:hAnsi="方正仿宋_GB2312" w:eastAsia="方正仿宋_GB2312" w:cs="方正仿宋_GB2312"/>
                <w:b w:val="0"/>
                <w:bCs/>
                <w:color w:val="auto"/>
                <w:sz w:val="18"/>
                <w:szCs w:val="18"/>
              </w:rPr>
              <w:t>真空控制系统性能参数</w:t>
            </w:r>
          </w:p>
          <w:p w14:paraId="0E8CA400">
            <w:pPr>
              <w:pStyle w:val="23"/>
              <w:keepNext w:val="0"/>
              <w:keepLines w:val="0"/>
              <w:pageBreakBefore w:val="0"/>
              <w:widowControl w:val="0"/>
              <w:numPr>
                <w:ilvl w:val="0"/>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03A0F2B7">
            <w:pPr>
              <w:pStyle w:val="23"/>
              <w:keepNext w:val="0"/>
              <w:keepLines w:val="0"/>
              <w:pageBreakBefore w:val="0"/>
              <w:widowControl w:val="0"/>
              <w:numPr>
                <w:ilvl w:val="0"/>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1C7DE04">
            <w:pPr>
              <w:pStyle w:val="23"/>
              <w:keepNext w:val="0"/>
              <w:keepLines w:val="0"/>
              <w:pageBreakBefore w:val="0"/>
              <w:widowControl w:val="0"/>
              <w:numPr>
                <w:ilvl w:val="0"/>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AAEDE3F">
            <w:pPr>
              <w:pStyle w:val="23"/>
              <w:keepNext w:val="0"/>
              <w:keepLines w:val="0"/>
              <w:pageBreakBefore w:val="0"/>
              <w:widowControl w:val="0"/>
              <w:numPr>
                <w:ilvl w:val="1"/>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6BFD78C">
            <w:pPr>
              <w:pStyle w:val="23"/>
              <w:keepNext w:val="0"/>
              <w:keepLines w:val="0"/>
              <w:pageBreakBefore w:val="0"/>
              <w:widowControl w:val="0"/>
              <w:numPr>
                <w:ilvl w:val="1"/>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AEC2FF7">
            <w:pPr>
              <w:pStyle w:val="23"/>
              <w:keepNext w:val="0"/>
              <w:keepLines w:val="0"/>
              <w:pageBreakBefore w:val="0"/>
              <w:widowControl w:val="0"/>
              <w:numPr>
                <w:ilvl w:val="1"/>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FC29AEB">
            <w:pPr>
              <w:pStyle w:val="23"/>
              <w:keepNext w:val="0"/>
              <w:keepLines w:val="0"/>
              <w:pageBreakBefore w:val="0"/>
              <w:widowControl w:val="0"/>
              <w:numPr>
                <w:ilvl w:val="1"/>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2BD35633">
            <w:pPr>
              <w:pStyle w:val="23"/>
              <w:keepNext w:val="0"/>
              <w:keepLines w:val="0"/>
              <w:pageBreakBefore w:val="0"/>
              <w:widowControl w:val="0"/>
              <w:numPr>
                <w:ilvl w:val="1"/>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0A566D7E">
            <w:pPr>
              <w:pStyle w:val="23"/>
              <w:keepNext w:val="0"/>
              <w:keepLines w:val="0"/>
              <w:pageBreakBefore w:val="0"/>
              <w:widowControl w:val="0"/>
              <w:numPr>
                <w:ilvl w:val="1"/>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5F7B8D5E">
            <w:pPr>
              <w:pStyle w:val="23"/>
              <w:keepNext w:val="0"/>
              <w:keepLines w:val="0"/>
              <w:pageBreakBefore w:val="0"/>
              <w:widowControl w:val="0"/>
              <w:numPr>
                <w:ilvl w:val="1"/>
                <w:numId w:val="12"/>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5F05C5E8">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电压：230VAC±10%；50/60Hz；</w:t>
            </w:r>
          </w:p>
          <w:p w14:paraId="221903BC">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精度：真空度控制精度：1~10mbar，真空度设置精度1mbar；</w:t>
            </w:r>
          </w:p>
          <w:p w14:paraId="57C0C4F1">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抽气速度：1.2~1.8 m³/h；</w:t>
            </w:r>
          </w:p>
          <w:p w14:paraId="6F519E3F">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最低真空度：5 mbar；</w:t>
            </w:r>
          </w:p>
          <w:p w14:paraId="42C11062">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级数（泵头数）：2个；</w:t>
            </w:r>
          </w:p>
          <w:p w14:paraId="0FE6836E">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kern w:val="0"/>
                <w:sz w:val="18"/>
                <w:szCs w:val="18"/>
              </w:rPr>
              <w:t>※主机蒸发单元与真空控制单元分体设计，保护主机</w:t>
            </w:r>
          </w:p>
          <w:p w14:paraId="63D84766">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真空泵膜片为聚四氟乙烯隔膜，气路接触材料均为PEEK，PTFE，PP，玻璃，有良好的耐腐蚀性。</w:t>
            </w:r>
          </w:p>
          <w:p w14:paraId="5A87F2FA">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可自行设置真空梯度曲线，防止爆沸，最多可存储30种真空度梯度设置。</w:t>
            </w:r>
          </w:p>
          <w:p w14:paraId="56052943">
            <w:pPr>
              <w:keepNext w:val="0"/>
              <w:keepLines w:val="0"/>
              <w:pageBreakBefore w:val="0"/>
              <w:widowControl w:val="0"/>
              <w:numPr>
                <w:ilvl w:val="2"/>
                <w:numId w:val="12"/>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屏幕角度可调，60-120°，符合人体工程学。</w:t>
            </w:r>
          </w:p>
          <w:p w14:paraId="249276FC">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3.8.</w:t>
            </w:r>
            <w:r>
              <w:rPr>
                <w:rFonts w:hint="eastAsia" w:ascii="方正仿宋_GB2312" w:hAnsi="方正仿宋_GB2312" w:eastAsia="方正仿宋_GB2312" w:cs="方正仿宋_GB2312"/>
                <w:b w:val="0"/>
                <w:bCs/>
                <w:color w:val="auto"/>
                <w:sz w:val="18"/>
                <w:szCs w:val="18"/>
              </w:rPr>
              <w:t>溶媒控制单元（冷凝器和真空控制系统）</w:t>
            </w:r>
          </w:p>
          <w:p w14:paraId="22C0CFDB">
            <w:pPr>
              <w:pStyle w:val="23"/>
              <w:keepNext w:val="0"/>
              <w:keepLines w:val="0"/>
              <w:pageBreakBefore w:val="0"/>
              <w:widowControl w:val="0"/>
              <w:numPr>
                <w:ilvl w:val="0"/>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791D672B">
            <w:pPr>
              <w:pStyle w:val="23"/>
              <w:keepNext w:val="0"/>
              <w:keepLines w:val="0"/>
              <w:pageBreakBefore w:val="0"/>
              <w:widowControl w:val="0"/>
              <w:numPr>
                <w:ilvl w:val="0"/>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030FD392">
            <w:pPr>
              <w:pStyle w:val="23"/>
              <w:keepNext w:val="0"/>
              <w:keepLines w:val="0"/>
              <w:pageBreakBefore w:val="0"/>
              <w:widowControl w:val="0"/>
              <w:numPr>
                <w:ilvl w:val="0"/>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5865913">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5F092FD0">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25E3096">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7AFC3B7B">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5F27FA6">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0246A5FB">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4B8EB0EC">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0A750FD7">
            <w:pPr>
              <w:pStyle w:val="23"/>
              <w:keepNext w:val="0"/>
              <w:keepLines w:val="0"/>
              <w:pageBreakBefore w:val="0"/>
              <w:widowControl w:val="0"/>
              <w:numPr>
                <w:ilvl w:val="1"/>
                <w:numId w:val="13"/>
              </w:numPr>
              <w:tabs>
                <w:tab w:val="left" w:pos="709"/>
              </w:tabs>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b w:val="0"/>
                <w:bCs/>
                <w:vanish/>
                <w:color w:val="auto"/>
                <w:sz w:val="18"/>
                <w:szCs w:val="18"/>
              </w:rPr>
            </w:pPr>
          </w:p>
          <w:p w14:paraId="635841D7">
            <w:pPr>
              <w:keepNext w:val="0"/>
              <w:keepLines w:val="0"/>
              <w:pageBreakBefore w:val="0"/>
              <w:widowControl w:val="0"/>
              <w:numPr>
                <w:ilvl w:val="2"/>
                <w:numId w:val="13"/>
              </w:numPr>
              <w:tabs>
                <w:tab w:val="left" w:pos="709"/>
              </w:tabs>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溶媒冷却方式：真空控制系统，蛇型冷凝器，回收瓶，冷却水循环机；</w:t>
            </w:r>
          </w:p>
          <w:p w14:paraId="5E819A5D">
            <w:pPr>
              <w:keepNext w:val="0"/>
              <w:keepLines w:val="0"/>
              <w:pageBreakBefore w:val="0"/>
              <w:widowControl w:val="0"/>
              <w:numPr>
                <w:ilvl w:val="2"/>
                <w:numId w:val="13"/>
              </w:numPr>
              <w:tabs>
                <w:tab w:val="left" w:pos="709"/>
              </w:tabs>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溶剂回收率：达90%~95%以上；安全环保。</w:t>
            </w:r>
          </w:p>
          <w:p w14:paraId="16E12B26">
            <w:pPr>
              <w:keepNext w:val="0"/>
              <w:keepLines w:val="0"/>
              <w:pageBreakBefore w:val="0"/>
              <w:widowControl w:val="0"/>
              <w:numPr>
                <w:ilvl w:val="2"/>
                <w:numId w:val="13"/>
              </w:numPr>
              <w:tabs>
                <w:tab w:val="left" w:pos="709"/>
              </w:tabs>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rPr>
              <w:t>可选配废液回收系统，当一次性废液量大于2L时，可选配液位警报的回收装置，一次可满足5-10L回收需求，并可以不间断更换收集瓶，不影响实验运行。</w:t>
            </w:r>
          </w:p>
          <w:p w14:paraId="50F227EB">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left"/>
              <w:textAlignment w:val="auto"/>
              <w:rPr>
                <w:rFonts w:hint="eastAsia" w:ascii="方正仿宋_GB2312" w:hAnsi="方正仿宋_GB2312" w:eastAsia="方正仿宋_GB2312" w:cs="方正仿宋_GB2312"/>
                <w:b w:val="0"/>
                <w:bCs/>
                <w:color w:val="auto"/>
                <w:sz w:val="18"/>
                <w:szCs w:val="18"/>
              </w:rPr>
            </w:pPr>
            <w:r>
              <w:rPr>
                <w:rFonts w:hint="eastAsia" w:ascii="方正仿宋_GB2312" w:hAnsi="方正仿宋_GB2312" w:eastAsia="方正仿宋_GB2312" w:cs="方正仿宋_GB2312"/>
                <w:b w:val="0"/>
                <w:bCs/>
                <w:color w:val="auto"/>
                <w:sz w:val="18"/>
                <w:szCs w:val="18"/>
                <w:lang w:val="en-US" w:eastAsia="zh-CN"/>
              </w:rPr>
              <w:t>3.9.</w:t>
            </w:r>
            <w:r>
              <w:rPr>
                <w:rFonts w:hint="eastAsia" w:ascii="方正仿宋_GB2312" w:hAnsi="方正仿宋_GB2312" w:eastAsia="方正仿宋_GB2312" w:cs="方正仿宋_GB2312"/>
                <w:b w:val="0"/>
                <w:bCs/>
                <w:color w:val="auto"/>
                <w:sz w:val="18"/>
                <w:szCs w:val="18"/>
              </w:rPr>
              <w:t>冷却水循环机系统性能参数</w:t>
            </w:r>
          </w:p>
          <w:p w14:paraId="794160C8">
            <w:pPr>
              <w:pStyle w:val="23"/>
              <w:keepNext w:val="0"/>
              <w:keepLines w:val="0"/>
              <w:pageBreakBefore w:val="0"/>
              <w:widowControl w:val="0"/>
              <w:numPr>
                <w:ilvl w:val="0"/>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786266F8">
            <w:pPr>
              <w:pStyle w:val="23"/>
              <w:keepNext w:val="0"/>
              <w:keepLines w:val="0"/>
              <w:pageBreakBefore w:val="0"/>
              <w:widowControl w:val="0"/>
              <w:numPr>
                <w:ilvl w:val="0"/>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09AC22BA">
            <w:pPr>
              <w:pStyle w:val="23"/>
              <w:keepNext w:val="0"/>
              <w:keepLines w:val="0"/>
              <w:pageBreakBefore w:val="0"/>
              <w:widowControl w:val="0"/>
              <w:numPr>
                <w:ilvl w:val="0"/>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7D1718B3">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33CF5F93">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70B3F92B">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61E3823E">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399D2E75">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18D811B7">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752E8798">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268CEA20">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47E0DA6D">
            <w:pPr>
              <w:pStyle w:val="23"/>
              <w:keepNext w:val="0"/>
              <w:keepLines w:val="0"/>
              <w:pageBreakBefore w:val="0"/>
              <w:widowControl w:val="0"/>
              <w:numPr>
                <w:ilvl w:val="1"/>
                <w:numId w:val="14"/>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620F656C">
            <w:pPr>
              <w:keepNext w:val="0"/>
              <w:keepLines w:val="0"/>
              <w:pageBreakBefore w:val="0"/>
              <w:widowControl w:val="0"/>
              <w:numPr>
                <w:ilvl w:val="2"/>
                <w:numId w:val="14"/>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电压：230VAC±10%；50/60Hz；</w:t>
            </w:r>
          </w:p>
          <w:p w14:paraId="28D1D667">
            <w:pPr>
              <w:keepNext w:val="0"/>
              <w:keepLines w:val="0"/>
              <w:pageBreakBefore w:val="0"/>
              <w:widowControl w:val="0"/>
              <w:numPr>
                <w:ilvl w:val="2"/>
                <w:numId w:val="14"/>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显示：数显，精度0.1℃；显示设定温度和实际温度；</w:t>
            </w:r>
          </w:p>
          <w:p w14:paraId="3C3848F1">
            <w:pPr>
              <w:keepNext w:val="0"/>
              <w:keepLines w:val="0"/>
              <w:pageBreakBefore w:val="0"/>
              <w:widowControl w:val="0"/>
              <w:numPr>
                <w:ilvl w:val="2"/>
                <w:numId w:val="14"/>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温度范围：-15℃-室温；</w:t>
            </w:r>
          </w:p>
          <w:p w14:paraId="4A612CB6">
            <w:pPr>
              <w:keepNext w:val="0"/>
              <w:keepLines w:val="0"/>
              <w:pageBreakBefore w:val="0"/>
              <w:widowControl w:val="0"/>
              <w:numPr>
                <w:ilvl w:val="2"/>
                <w:numId w:val="14"/>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冷却剂：水/乙二醇；</w:t>
            </w:r>
          </w:p>
          <w:p w14:paraId="0E289BB1">
            <w:pPr>
              <w:keepNext w:val="0"/>
              <w:keepLines w:val="0"/>
              <w:pageBreakBefore w:val="0"/>
              <w:widowControl w:val="0"/>
              <w:numPr>
                <w:ilvl w:val="2"/>
                <w:numId w:val="14"/>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泵压：0.6bar；</w:t>
            </w:r>
          </w:p>
          <w:p w14:paraId="09177F6D">
            <w:pPr>
              <w:keepNext w:val="0"/>
              <w:keepLines w:val="0"/>
              <w:pageBreakBefore w:val="0"/>
              <w:widowControl w:val="0"/>
              <w:numPr>
                <w:ilvl w:val="2"/>
                <w:numId w:val="14"/>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流速：2.5L/min；</w:t>
            </w:r>
          </w:p>
          <w:p w14:paraId="5E551E64">
            <w:pPr>
              <w:pStyle w:val="23"/>
              <w:keepNext w:val="0"/>
              <w:keepLines w:val="0"/>
              <w:pageBreakBefore w:val="0"/>
              <w:widowControl w:val="0"/>
              <w:numPr>
                <w:ilvl w:val="0"/>
                <w:numId w:val="0"/>
              </w:numPr>
              <w:kinsoku/>
              <w:wordWrap/>
              <w:overflowPunct/>
              <w:topLinePunct w:val="0"/>
              <w:autoSpaceDE/>
              <w:autoSpaceDN/>
              <w:bidi w:val="0"/>
              <w:snapToGrid/>
              <w:spacing w:line="240" w:lineRule="exact"/>
              <w:ind w:leftChars="0"/>
              <w:jc w:val="left"/>
              <w:textAlignment w:val="auto"/>
              <w:rPr>
                <w:rFonts w:hint="eastAsia" w:ascii="方正仿宋_GB2312" w:hAnsi="方正仿宋_GB2312" w:eastAsia="方正仿宋_GB2312" w:cs="方正仿宋_GB2312"/>
                <w:b/>
                <w:bCs/>
                <w:color w:val="auto"/>
                <w:sz w:val="18"/>
                <w:szCs w:val="18"/>
              </w:rPr>
            </w:pPr>
            <w:r>
              <w:rPr>
                <w:rFonts w:hint="eastAsia" w:ascii="方正仿宋_GB2312" w:hAnsi="方正仿宋_GB2312" w:eastAsia="方正仿宋_GB2312" w:cs="方正仿宋_GB2312"/>
                <w:b/>
                <w:bCs/>
                <w:color w:val="auto"/>
                <w:sz w:val="18"/>
                <w:szCs w:val="18"/>
                <w:lang w:val="en-US" w:eastAsia="zh-CN"/>
              </w:rPr>
              <w:t>4.</w:t>
            </w:r>
            <w:r>
              <w:rPr>
                <w:rFonts w:hint="eastAsia" w:ascii="方正仿宋_GB2312" w:hAnsi="方正仿宋_GB2312" w:eastAsia="方正仿宋_GB2312" w:cs="方正仿宋_GB2312"/>
                <w:b/>
                <w:bCs/>
                <w:color w:val="auto"/>
                <w:sz w:val="18"/>
                <w:szCs w:val="18"/>
              </w:rPr>
              <w:t>仪器配置</w:t>
            </w:r>
          </w:p>
          <w:p w14:paraId="3D8B5CCB">
            <w:pPr>
              <w:pStyle w:val="23"/>
              <w:keepNext w:val="0"/>
              <w:keepLines w:val="0"/>
              <w:pageBreakBefore w:val="0"/>
              <w:widowControl w:val="0"/>
              <w:numPr>
                <w:ilvl w:val="0"/>
                <w:numId w:val="15"/>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7C5A885B">
            <w:pPr>
              <w:pStyle w:val="23"/>
              <w:keepNext w:val="0"/>
              <w:keepLines w:val="0"/>
              <w:pageBreakBefore w:val="0"/>
              <w:widowControl w:val="0"/>
              <w:numPr>
                <w:ilvl w:val="0"/>
                <w:numId w:val="15"/>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5AE5D664">
            <w:pPr>
              <w:pStyle w:val="23"/>
              <w:keepNext w:val="0"/>
              <w:keepLines w:val="0"/>
              <w:pageBreakBefore w:val="0"/>
              <w:widowControl w:val="0"/>
              <w:numPr>
                <w:ilvl w:val="0"/>
                <w:numId w:val="15"/>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35967851">
            <w:pPr>
              <w:pStyle w:val="23"/>
              <w:keepNext w:val="0"/>
              <w:keepLines w:val="0"/>
              <w:pageBreakBefore w:val="0"/>
              <w:widowControl w:val="0"/>
              <w:numPr>
                <w:ilvl w:val="0"/>
                <w:numId w:val="15"/>
              </w:numPr>
              <w:kinsoku/>
              <w:wordWrap/>
              <w:overflowPunct/>
              <w:topLinePunct w:val="0"/>
              <w:autoSpaceDE/>
              <w:autoSpaceDN/>
              <w:bidi w:val="0"/>
              <w:adjustRightInd w:val="0"/>
              <w:snapToGrid/>
              <w:spacing w:line="240" w:lineRule="exact"/>
              <w:ind w:firstLineChars="0"/>
              <w:jc w:val="left"/>
              <w:textAlignment w:val="auto"/>
              <w:rPr>
                <w:rFonts w:hint="eastAsia" w:ascii="方正仿宋_GB2312" w:hAnsi="方正仿宋_GB2312" w:eastAsia="方正仿宋_GB2312" w:cs="方正仿宋_GB2312"/>
                <w:vanish/>
                <w:color w:val="auto"/>
                <w:sz w:val="18"/>
                <w:szCs w:val="18"/>
              </w:rPr>
            </w:pPr>
          </w:p>
          <w:p w14:paraId="4AE5456C">
            <w:pPr>
              <w:keepNext w:val="0"/>
              <w:keepLines w:val="0"/>
              <w:pageBreakBefore w:val="0"/>
              <w:widowControl w:val="0"/>
              <w:numPr>
                <w:ilvl w:val="1"/>
                <w:numId w:val="15"/>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主机（含加热、定时、温度程序控制和震荡速度控制功能，数显温度、时间和转速）1台；</w:t>
            </w:r>
          </w:p>
          <w:p w14:paraId="31CC89CC">
            <w:pPr>
              <w:keepNext w:val="0"/>
              <w:keepLines w:val="0"/>
              <w:pageBreakBefore w:val="0"/>
              <w:widowControl w:val="0"/>
              <w:numPr>
                <w:ilvl w:val="1"/>
                <w:numId w:val="15"/>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加热真空盖      1个；</w:t>
            </w:r>
          </w:p>
          <w:p w14:paraId="77F301EF">
            <w:pPr>
              <w:keepNext w:val="0"/>
              <w:keepLines w:val="0"/>
              <w:pageBreakBefore w:val="0"/>
              <w:widowControl w:val="0"/>
              <w:numPr>
                <w:ilvl w:val="1"/>
                <w:numId w:val="15"/>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试管架1个，样品管1套；</w:t>
            </w:r>
          </w:p>
          <w:p w14:paraId="11A688F9">
            <w:pPr>
              <w:keepNext w:val="0"/>
              <w:keepLines w:val="0"/>
              <w:pageBreakBefore w:val="0"/>
              <w:widowControl w:val="0"/>
              <w:numPr>
                <w:ilvl w:val="1"/>
                <w:numId w:val="15"/>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S型冷凝器和溶剂接收瓶    1套；</w:t>
            </w:r>
          </w:p>
          <w:p w14:paraId="0AE7307B">
            <w:pPr>
              <w:keepNext w:val="0"/>
              <w:keepLines w:val="0"/>
              <w:pageBreakBefore w:val="0"/>
              <w:widowControl w:val="0"/>
              <w:numPr>
                <w:ilvl w:val="1"/>
                <w:numId w:val="15"/>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真空控制系统    1台；</w:t>
            </w:r>
          </w:p>
          <w:p w14:paraId="1FA937D7">
            <w:pPr>
              <w:keepNext w:val="0"/>
              <w:keepLines w:val="0"/>
              <w:pageBreakBefore w:val="0"/>
              <w:widowControl w:val="0"/>
              <w:numPr>
                <w:ilvl w:val="1"/>
                <w:numId w:val="15"/>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冷却循环水      1台；</w:t>
            </w:r>
          </w:p>
          <w:p w14:paraId="68F0DED3">
            <w:pPr>
              <w:keepNext w:val="0"/>
              <w:keepLines w:val="0"/>
              <w:pageBreakBefore w:val="0"/>
              <w:widowControl w:val="0"/>
              <w:numPr>
                <w:ilvl w:val="1"/>
                <w:numId w:val="15"/>
              </w:numPr>
              <w:kinsoku/>
              <w:wordWrap/>
              <w:overflowPunct/>
              <w:topLinePunct w:val="0"/>
              <w:autoSpaceDE/>
              <w:autoSpaceDN/>
              <w:bidi w:val="0"/>
              <w:adjustRightInd w:val="0"/>
              <w:snapToGrid/>
              <w:spacing w:line="240" w:lineRule="exact"/>
              <w:jc w:val="left"/>
              <w:textAlignment w:val="auto"/>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color w:val="auto"/>
                <w:sz w:val="18"/>
                <w:szCs w:val="18"/>
              </w:rPr>
              <w:t>可重复利用冷却液    8L</w:t>
            </w:r>
          </w:p>
        </w:tc>
      </w:tr>
      <w:tr w14:paraId="7F5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76101C68">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4</w:t>
            </w:r>
          </w:p>
        </w:tc>
        <w:tc>
          <w:tcPr>
            <w:tcW w:w="553" w:type="pct"/>
            <w:noWrap w:val="0"/>
            <w:vAlign w:val="center"/>
          </w:tcPr>
          <w:p w14:paraId="74B79E0F">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高速冷冻离心机</w:t>
            </w:r>
          </w:p>
        </w:tc>
        <w:tc>
          <w:tcPr>
            <w:tcW w:w="532" w:type="pct"/>
            <w:noWrap w:val="0"/>
            <w:vAlign w:val="center"/>
          </w:tcPr>
          <w:p w14:paraId="78E1191A">
            <w:pPr>
              <w:jc w:val="center"/>
              <w:rPr>
                <w:rFonts w:hint="eastAsia" w:ascii="方正仿宋_GB2312" w:hAnsi="方正仿宋_GB2312" w:eastAsia="方正仿宋_GB2312" w:cs="方正仿宋_GB2312"/>
                <w:color w:val="auto"/>
                <w:sz w:val="18"/>
                <w:szCs w:val="18"/>
                <w:vertAlign w:val="baseline"/>
                <w:lang w:val="en-US" w:eastAsia="zh-CN"/>
              </w:rPr>
            </w:pPr>
            <w:r>
              <w:rPr>
                <w:rFonts w:hint="eastAsia" w:ascii="方正仿宋_GB2312" w:hAnsi="方正仿宋_GB2312" w:eastAsia="方正仿宋_GB2312" w:cs="方正仿宋_GB2312"/>
                <w:color w:val="auto"/>
                <w:sz w:val="18"/>
                <w:szCs w:val="18"/>
                <w:vertAlign w:val="baseline"/>
                <w:lang w:val="en-US" w:eastAsia="zh-CN"/>
              </w:rPr>
              <w:t>2</w:t>
            </w:r>
          </w:p>
        </w:tc>
        <w:tc>
          <w:tcPr>
            <w:tcW w:w="3554" w:type="pct"/>
            <w:noWrap w:val="0"/>
            <w:vAlign w:val="top"/>
          </w:tcPr>
          <w:p w14:paraId="59E78A7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仪器特点：</w:t>
            </w:r>
          </w:p>
          <w:p w14:paraId="75A51C0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1.</w:t>
            </w:r>
            <w:r>
              <w:rPr>
                <w:rFonts w:hint="eastAsia" w:ascii="方正仿宋_GB2312" w:hAnsi="方正仿宋_GB2312" w:eastAsia="方正仿宋_GB2312" w:cs="方正仿宋_GB2312"/>
                <w:sz w:val="18"/>
                <w:szCs w:val="18"/>
                <w:vertAlign w:val="baseline"/>
              </w:rPr>
              <w:t>高清LCD液晶显示，精准显示运行数据。</w:t>
            </w:r>
          </w:p>
          <w:p w14:paraId="024411F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2.</w:t>
            </w:r>
            <w:r>
              <w:rPr>
                <w:rFonts w:hint="eastAsia" w:ascii="方正仿宋_GB2312" w:hAnsi="方正仿宋_GB2312" w:eastAsia="方正仿宋_GB2312" w:cs="方正仿宋_GB2312"/>
                <w:sz w:val="18"/>
                <w:szCs w:val="18"/>
                <w:vertAlign w:val="baseline"/>
              </w:rPr>
              <w:t>此机为高速冷冻离心机，配多种角转子可同时兼容0.5ml-50ml不同容量离心管，一机多用。</w:t>
            </w:r>
          </w:p>
          <w:p w14:paraId="3CB84E9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3.</w:t>
            </w:r>
            <w:r>
              <w:rPr>
                <w:rFonts w:hint="eastAsia" w:ascii="方正仿宋_GB2312" w:hAnsi="方正仿宋_GB2312" w:eastAsia="方正仿宋_GB2312" w:cs="方正仿宋_GB2312"/>
                <w:sz w:val="18"/>
                <w:szCs w:val="18"/>
                <w:vertAlign w:val="baseline"/>
              </w:rPr>
              <w:t>电机采用直接驱动，免维护、更换,运行平稳，振动小，噪音低。</w:t>
            </w:r>
          </w:p>
          <w:p w14:paraId="11FE200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4.</w:t>
            </w:r>
            <w:r>
              <w:rPr>
                <w:rFonts w:hint="eastAsia" w:ascii="方正仿宋_GB2312" w:hAnsi="方正仿宋_GB2312" w:eastAsia="方正仿宋_GB2312" w:cs="方正仿宋_GB2312"/>
                <w:sz w:val="18"/>
                <w:szCs w:val="18"/>
                <w:vertAlign w:val="baseline"/>
              </w:rPr>
              <w:t>采用先进的压缩机自动启停系统和ECO节能系统精准控温，节能环保机器使用寿命更长久。</w:t>
            </w:r>
          </w:p>
          <w:p w14:paraId="2D41FD8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5.</w:t>
            </w:r>
            <w:r>
              <w:rPr>
                <w:rFonts w:hint="eastAsia" w:ascii="方正仿宋_GB2312" w:hAnsi="方正仿宋_GB2312" w:eastAsia="方正仿宋_GB2312" w:cs="方正仿宋_GB2312"/>
                <w:sz w:val="18"/>
                <w:szCs w:val="18"/>
                <w:vertAlign w:val="baseline"/>
              </w:rPr>
              <w:t>采用进口无氟压缩机组，双循环制冷，冷热交换能力强，无环境污染，控温精准。</w:t>
            </w:r>
          </w:p>
          <w:p w14:paraId="7A7BF55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6</w:t>
            </w:r>
            <w:r>
              <w:rPr>
                <w:rFonts w:hint="eastAsia" w:ascii="方正仿宋_GB2312" w:hAnsi="方正仿宋_GB2312" w:eastAsia="方正仿宋_GB2312" w:cs="方正仿宋_GB2312"/>
                <w:sz w:val="18"/>
                <w:szCs w:val="18"/>
                <w:vertAlign w:val="baseline"/>
              </w:rPr>
              <w:t>采用微机处理器精确控制转速、温度、时间，智能显示，可存取40组程序，13档升降速率选用，有效防止样品减速中紧急停车造成的二次重悬。</w:t>
            </w:r>
          </w:p>
          <w:p w14:paraId="52412D7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7.</w:t>
            </w:r>
            <w:r>
              <w:rPr>
                <w:rFonts w:hint="eastAsia" w:ascii="方正仿宋_GB2312" w:hAnsi="方正仿宋_GB2312" w:eastAsia="方正仿宋_GB2312" w:cs="方正仿宋_GB2312"/>
                <w:sz w:val="18"/>
                <w:szCs w:val="18"/>
                <w:vertAlign w:val="baseline"/>
              </w:rPr>
              <w:t>安全装置及故障自检功能</w:t>
            </w:r>
            <w:r>
              <w:rPr>
                <w:rFonts w:hint="eastAsia" w:ascii="方正仿宋_GB2312" w:hAnsi="方正仿宋_GB2312" w:eastAsia="方正仿宋_GB2312" w:cs="方正仿宋_GB2312"/>
                <w:sz w:val="18"/>
                <w:szCs w:val="18"/>
                <w:vertAlign w:val="baseline"/>
                <w:lang w:eastAsia="zh-CN"/>
              </w:rPr>
              <w:t>：</w:t>
            </w:r>
            <w:r>
              <w:rPr>
                <w:rFonts w:hint="eastAsia" w:ascii="方正仿宋_GB2312" w:hAnsi="方正仿宋_GB2312" w:eastAsia="方正仿宋_GB2312" w:cs="方正仿宋_GB2312"/>
                <w:sz w:val="18"/>
                <w:szCs w:val="18"/>
                <w:vertAlign w:val="baseline"/>
              </w:rPr>
              <w:t>防爆自动安全门锁，不平衡、超速、超温自动保护。</w:t>
            </w:r>
          </w:p>
          <w:p w14:paraId="60ECE31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8.</w:t>
            </w:r>
            <w:r>
              <w:rPr>
                <w:rFonts w:hint="eastAsia" w:ascii="方正仿宋_GB2312" w:hAnsi="方正仿宋_GB2312" w:eastAsia="方正仿宋_GB2312" w:cs="方正仿宋_GB2312"/>
                <w:sz w:val="18"/>
                <w:szCs w:val="18"/>
                <w:vertAlign w:val="baseline"/>
              </w:rPr>
              <w:t>机身采用优质钢材结构，防爆保护内套，不锈钢离心腔，三层防护，安全可靠。</w:t>
            </w:r>
          </w:p>
          <w:p w14:paraId="1461EA6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9.</w:t>
            </w:r>
            <w:r>
              <w:rPr>
                <w:rFonts w:hint="eastAsia" w:ascii="方正仿宋_GB2312" w:hAnsi="方正仿宋_GB2312" w:eastAsia="方正仿宋_GB2312" w:cs="方正仿宋_GB2312"/>
                <w:sz w:val="18"/>
                <w:szCs w:val="18"/>
                <w:vertAlign w:val="baseline"/>
              </w:rPr>
              <w:t>特殊减震系统，高效过滤不平衡产生的震动，离心效果达到最佳。</w:t>
            </w:r>
          </w:p>
          <w:p w14:paraId="177C667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10.</w:t>
            </w:r>
            <w:r>
              <w:rPr>
                <w:rFonts w:hint="eastAsia" w:ascii="方正仿宋_GB2312" w:hAnsi="方正仿宋_GB2312" w:eastAsia="方正仿宋_GB2312" w:cs="方正仿宋_GB2312"/>
                <w:sz w:val="18"/>
                <w:szCs w:val="18"/>
                <w:vertAlign w:val="baseline"/>
              </w:rPr>
              <w:t>可选配转子全自动识别系统，自动识别转子容量，最高运行转速，确保离心安全。</w:t>
            </w:r>
          </w:p>
          <w:p w14:paraId="48F579F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11.</w:t>
            </w:r>
            <w:r>
              <w:rPr>
                <w:rFonts w:hint="eastAsia" w:ascii="方正仿宋_GB2312" w:hAnsi="方正仿宋_GB2312" w:eastAsia="方正仿宋_GB2312" w:cs="方正仿宋_GB2312"/>
                <w:sz w:val="18"/>
                <w:szCs w:val="18"/>
                <w:vertAlign w:val="baseline"/>
              </w:rPr>
              <w:t>技术参数：最高转速：16500rpm；支持电源：AC 220±22V 50Hz 10A；最大离心力：18757×g；总功率：800W；最大容量：6×50ml；整机噪声：≤ 65dB（A）；定时范围：1min～99min59s</w:t>
            </w:r>
          </w:p>
          <w:p w14:paraId="38AAAA3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12.</w:t>
            </w:r>
            <w:r>
              <w:rPr>
                <w:rFonts w:hint="eastAsia" w:ascii="方正仿宋_GB2312" w:hAnsi="方正仿宋_GB2312" w:eastAsia="方正仿宋_GB2312" w:cs="方正仿宋_GB2312"/>
                <w:sz w:val="18"/>
                <w:szCs w:val="18"/>
                <w:vertAlign w:val="baseline"/>
              </w:rPr>
              <w:t>离心腔直径：Φ280mm；转速精度：±10r/min；外形尺寸：480×560×360(mm)；温度设置范围：-20℃～40℃；温度精度：±1℃；配角转子：12×1.5/2.0ml，最高转速：16500rpm，最大离心力(×g)：18360×g；6×50ml圆底，最高转速：11000rpm，最大离心力(×g)：12840×g</w:t>
            </w:r>
          </w:p>
          <w:p w14:paraId="5969E972">
            <w:pPr>
              <w:jc w:val="left"/>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13.配6×50mL角转子，6×100mL角转子，15mL适配器，</w:t>
            </w:r>
          </w:p>
          <w:p w14:paraId="5D7F59EA">
            <w:pPr>
              <w:jc w:val="left"/>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14.配水平转子（包括50mL适配器、15mL适配器）。</w:t>
            </w:r>
          </w:p>
        </w:tc>
      </w:tr>
      <w:tr w14:paraId="71BC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66D2D8C2">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5</w:t>
            </w:r>
          </w:p>
        </w:tc>
        <w:tc>
          <w:tcPr>
            <w:tcW w:w="553" w:type="pct"/>
            <w:noWrap w:val="0"/>
            <w:vAlign w:val="center"/>
          </w:tcPr>
          <w:p w14:paraId="596930B3">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color w:val="auto"/>
                <w:sz w:val="18"/>
                <w:szCs w:val="18"/>
                <w:highlight w:val="none"/>
                <w:vertAlign w:val="baseline"/>
              </w:rPr>
              <w:t>全自动氮吹仪</w:t>
            </w:r>
          </w:p>
        </w:tc>
        <w:tc>
          <w:tcPr>
            <w:tcW w:w="532" w:type="pct"/>
            <w:noWrap w:val="0"/>
            <w:vAlign w:val="center"/>
          </w:tcPr>
          <w:p w14:paraId="1690B00C">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w:t>
            </w:r>
          </w:p>
        </w:tc>
        <w:tc>
          <w:tcPr>
            <w:tcW w:w="3554" w:type="pct"/>
            <w:noWrap w:val="0"/>
            <w:vAlign w:val="top"/>
          </w:tcPr>
          <w:p w14:paraId="3AD2AA9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1.工作环境</w:t>
            </w:r>
          </w:p>
          <w:p w14:paraId="675B41C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1.1.电    源：AC 220V±10%/ 50 Hz</w:t>
            </w:r>
          </w:p>
          <w:p w14:paraId="31C7E52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1.2.环境温度：10 ~ 35℃</w:t>
            </w:r>
          </w:p>
          <w:p w14:paraId="60DA67E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1.3.工作湿度：20 ~ 80%</w:t>
            </w:r>
          </w:p>
          <w:p w14:paraId="01F045D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2.应用范围</w:t>
            </w:r>
          </w:p>
          <w:p w14:paraId="5A746BE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用途：广泛用于食品安全、药物分析等领域，对样品进行浓缩，提高被测物浓度。</w:t>
            </w:r>
          </w:p>
          <w:p w14:paraId="781F807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3.技术规格</w:t>
            </w:r>
          </w:p>
          <w:p w14:paraId="356C8C1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3.1</w:t>
            </w:r>
            <w:r>
              <w:rPr>
                <w:rFonts w:hint="eastAsia" w:ascii="方正仿宋_GB2312" w:hAnsi="方正仿宋_GB2312" w:eastAsia="方正仿宋_GB2312" w:cs="方正仿宋_GB2312"/>
                <w:sz w:val="18"/>
                <w:szCs w:val="18"/>
                <w:vertAlign w:val="baseline"/>
              </w:rPr>
              <w:t>显示方式：7寸彩色电容显示屏</w:t>
            </w:r>
          </w:p>
          <w:p w14:paraId="30E0861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3.2.控制方式：触屏控制</w:t>
            </w:r>
          </w:p>
          <w:p w14:paraId="768F302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3.3.温控精度：±0.5 ℃</w:t>
            </w:r>
          </w:p>
          <w:p w14:paraId="34DAECA8">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3.4.温控范围：室温~90 ℃</w:t>
            </w:r>
          </w:p>
          <w:p w14:paraId="5C14502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3.5.处理样品数目：最大可同时处理24个样品；</w:t>
            </w:r>
          </w:p>
          <w:p w14:paraId="5354116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3.6.定时方式：数字定时，报警提醒；</w:t>
            </w:r>
          </w:p>
          <w:p w14:paraId="5118A93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3.7.氮气控制方式：各路均可以电磁阀控制开通路数，阀堵控制开通孔位数，便捷智能；打开仪器盖后，仪器自动关闭氮吹节省气源；</w:t>
            </w:r>
          </w:p>
          <w:p w14:paraId="3E998B50">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3.8.氮气调节：氮气流量、压力可调并实时显示；</w:t>
            </w:r>
          </w:p>
          <w:p w14:paraId="52D02B3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3.9.※进气方式：双侧进气，各气孔流量一致性更高</w:t>
            </w:r>
          </w:p>
          <w:p w14:paraId="3FBA363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3.10.※浓缩过程监控：密闭条件下浓缩，机器前端装有LED灯，并且上端与前端透明窗可视样品的浓缩过程；</w:t>
            </w:r>
          </w:p>
          <w:p w14:paraId="14C89C3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3.11.加热方式：使用PTC加热元件，水浴均匀且运行可靠；</w:t>
            </w:r>
          </w:p>
          <w:p w14:paraId="1948767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3.12.试管规格：40mL；</w:t>
            </w:r>
          </w:p>
          <w:p w14:paraId="6B2031C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3.13.废气处理方式：带有气体排除设计，通过软管道排除水蒸气及被蒸发的液体；</w:t>
            </w:r>
          </w:p>
          <w:p w14:paraId="35CB976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3.14.※定量浓缩：可实现1mL、0.5mL定量；</w:t>
            </w:r>
          </w:p>
          <w:p w14:paraId="1FF0B03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3.15.※吹扫方式：涡旋旋转吹扫技术，增加吹扫面积；</w:t>
            </w:r>
          </w:p>
          <w:p w14:paraId="0A07DF3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3.16.上、下水装置：防干烧断电；快插排水装置，方便更换水槽中的水；</w:t>
            </w:r>
          </w:p>
          <w:p w14:paraId="68A913A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3.17.※延时吹扫功能：到达浓缩刻度后可延时吹扫，适用于将样品浓缩至近干的实验</w:t>
            </w:r>
          </w:p>
          <w:p w14:paraId="7007E360">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3.18.定时范围：0~999min</w:t>
            </w:r>
          </w:p>
          <w:p w14:paraId="1329F47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3.19.运行功率：800W</w:t>
            </w:r>
          </w:p>
          <w:p w14:paraId="1CA5687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3.20.外形尺寸：580mm×365mm×320mm</w:t>
            </w:r>
          </w:p>
          <w:p w14:paraId="372D673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4.基本配置</w:t>
            </w:r>
          </w:p>
          <w:p w14:paraId="3824424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 xml:space="preserve">01 自动氮吹浓缩仪 </w:t>
            </w:r>
          </w:p>
          <w:p w14:paraId="524E66F8">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02 试管架 1套</w:t>
            </w:r>
          </w:p>
          <w:p w14:paraId="648703F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03 试管支架 1套</w:t>
            </w:r>
          </w:p>
          <w:p w14:paraId="5374700A">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04 40ml试管(1mL定量)标准管 1个</w:t>
            </w:r>
          </w:p>
          <w:p w14:paraId="3029E657">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05 40ml试管(0.5mL定量)标准管(选配) 1个</w:t>
            </w:r>
          </w:p>
          <w:p w14:paraId="7FA5F000">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06 40ml试管(1mL定量) 23个</w:t>
            </w:r>
          </w:p>
          <w:p w14:paraId="1C89B73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07 废气排气管（3m） 1件</w:t>
            </w:r>
          </w:p>
          <w:p w14:paraId="5325264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08 快插排水配件 1件</w:t>
            </w:r>
          </w:p>
          <w:p w14:paraId="5D3481E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09 气体入口连接硅胶管 1根</w:t>
            </w:r>
          </w:p>
          <w:p w14:paraId="6374CDA8">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10 氮气接入口宝塔头 1件</w:t>
            </w:r>
          </w:p>
          <w:p w14:paraId="017074B0">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11 氮气接入口快接头 1件</w:t>
            </w:r>
          </w:p>
        </w:tc>
      </w:tr>
      <w:tr w14:paraId="76DE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439C9069">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6</w:t>
            </w:r>
          </w:p>
        </w:tc>
        <w:tc>
          <w:tcPr>
            <w:tcW w:w="553" w:type="pct"/>
            <w:noWrap w:val="0"/>
            <w:vAlign w:val="center"/>
          </w:tcPr>
          <w:p w14:paraId="1E19D124">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多管涡旋混合仪</w:t>
            </w:r>
          </w:p>
        </w:tc>
        <w:tc>
          <w:tcPr>
            <w:tcW w:w="532" w:type="pct"/>
            <w:noWrap w:val="0"/>
            <w:vAlign w:val="center"/>
          </w:tcPr>
          <w:p w14:paraId="5D0601DD">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w:t>
            </w:r>
          </w:p>
        </w:tc>
        <w:tc>
          <w:tcPr>
            <w:tcW w:w="3554" w:type="pct"/>
            <w:noWrap w:val="0"/>
            <w:vAlign w:val="top"/>
          </w:tcPr>
          <w:p w14:paraId="2F700A5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产品特点：</w:t>
            </w:r>
          </w:p>
          <w:p w14:paraId="0F29D3D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LCD 显示</w:t>
            </w:r>
            <w:r>
              <w:rPr>
                <w:rFonts w:hint="eastAsia" w:ascii="方正仿宋_GB2312" w:hAnsi="方正仿宋_GB2312" w:eastAsia="方正仿宋_GB2312" w:cs="方正仿宋_GB2312"/>
                <w:sz w:val="18"/>
                <w:szCs w:val="18"/>
                <w:vertAlign w:val="baseline"/>
                <w:lang w:val="en-US" w:eastAsia="zh-CN"/>
              </w:rPr>
              <w:t>速度</w:t>
            </w:r>
            <w:r>
              <w:rPr>
                <w:rFonts w:hint="eastAsia" w:ascii="方正仿宋_GB2312" w:hAnsi="方正仿宋_GB2312" w:eastAsia="方正仿宋_GB2312" w:cs="方正仿宋_GB2312"/>
                <w:sz w:val="18"/>
                <w:szCs w:val="18"/>
                <w:vertAlign w:val="baseline"/>
              </w:rPr>
              <w:t>、时间、微处理器控制</w:t>
            </w:r>
            <w:r>
              <w:rPr>
                <w:rFonts w:hint="eastAsia" w:ascii="方正仿宋_GB2312" w:hAnsi="方正仿宋_GB2312" w:eastAsia="方正仿宋_GB2312" w:cs="方正仿宋_GB2312"/>
                <w:sz w:val="18"/>
                <w:szCs w:val="18"/>
                <w:vertAlign w:val="baseline"/>
                <w:lang w:val="en-US" w:eastAsia="zh-CN"/>
              </w:rPr>
              <w:t>速度</w:t>
            </w:r>
            <w:r>
              <w:rPr>
                <w:rFonts w:hint="eastAsia" w:ascii="方正仿宋_GB2312" w:hAnsi="方正仿宋_GB2312" w:eastAsia="方正仿宋_GB2312" w:cs="方正仿宋_GB2312"/>
                <w:sz w:val="18"/>
                <w:szCs w:val="18"/>
                <w:vertAlign w:val="baseline"/>
              </w:rPr>
              <w:t>和时间；</w:t>
            </w:r>
          </w:p>
          <w:p w14:paraId="6699254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最高转速可达 2500rpm，混匀效果非常好；</w:t>
            </w:r>
          </w:p>
          <w:p w14:paraId="5C3A1E1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直流无刷电机，长寿命，免保养；</w:t>
            </w:r>
          </w:p>
          <w:p w14:paraId="07CF91D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仪器配置：</w:t>
            </w:r>
          </w:p>
          <w:p w14:paraId="76823B80">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主机 1台，试管架任选 1个，托盘垫 1对。</w:t>
            </w:r>
          </w:p>
          <w:p w14:paraId="1B9730D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产品技术参数：</w:t>
            </w:r>
          </w:p>
          <w:p w14:paraId="5D2F40C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转速范围：500~2500rpm</w:t>
            </w:r>
          </w:p>
          <w:p w14:paraId="135BF52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调速精度：±1rpm</w:t>
            </w:r>
          </w:p>
          <w:p w14:paraId="073980C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振幅：3.6mm</w:t>
            </w:r>
          </w:p>
          <w:p w14:paraId="3F4815AF">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定时范围：1m-g9h59min/0 为无限长</w:t>
            </w:r>
          </w:p>
          <w:p w14:paraId="36AC367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间歌间隔定时范围：1~ 995</w:t>
            </w:r>
          </w:p>
          <w:p w14:paraId="00527E7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间歇运行定时范围：1~ 9995</w:t>
            </w:r>
          </w:p>
          <w:p w14:paraId="09E2F6B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最大载重：4.5kg</w:t>
            </w:r>
          </w:p>
          <w:p w14:paraId="53420568">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顶部盖板尺寸 (WX D)：310x205mm</w:t>
            </w:r>
          </w:p>
          <w:p w14:paraId="535190C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输入电源：AC 100- 230V 50/60H2</w:t>
            </w:r>
          </w:p>
          <w:p w14:paraId="6D2B553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功率：75W</w:t>
            </w:r>
          </w:p>
          <w:p w14:paraId="2464556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外形尺寸(WXDXH) 426x246x474 (mm)</w:t>
            </w:r>
          </w:p>
          <w:p w14:paraId="57432BB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净重：17kg</w:t>
            </w:r>
          </w:p>
        </w:tc>
      </w:tr>
      <w:tr w14:paraId="453E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288B10DB">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7</w:t>
            </w:r>
          </w:p>
        </w:tc>
        <w:tc>
          <w:tcPr>
            <w:tcW w:w="553" w:type="pct"/>
            <w:noWrap w:val="0"/>
            <w:vAlign w:val="center"/>
          </w:tcPr>
          <w:p w14:paraId="6C7420AF">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恒温水浴振荡器</w:t>
            </w:r>
          </w:p>
        </w:tc>
        <w:tc>
          <w:tcPr>
            <w:tcW w:w="532" w:type="pct"/>
            <w:noWrap w:val="0"/>
            <w:vAlign w:val="center"/>
          </w:tcPr>
          <w:p w14:paraId="617C188C">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w:t>
            </w:r>
          </w:p>
        </w:tc>
        <w:tc>
          <w:tcPr>
            <w:tcW w:w="3554" w:type="pct"/>
            <w:noWrap w:val="0"/>
            <w:vAlign w:val="top"/>
          </w:tcPr>
          <w:p w14:paraId="736AC6B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一、概述</w:t>
            </w:r>
          </w:p>
          <w:p w14:paraId="4269FAF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水浴恒温振荡器（恒温振荡摇床）是采用进口不锈钢板及先进工艺生产制造，各项性能指标均符合国家标准要求，具有控温精度高、振荡平稳、质量可靠、使用寿命长等优点，夹具采用先进的不锈钢弹簧万用夹具，使用方便。</w:t>
            </w:r>
          </w:p>
          <w:p w14:paraId="0440FA9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二、适用范围</w:t>
            </w:r>
          </w:p>
          <w:p w14:paraId="68CF244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该产品广泛应用于食品</w:t>
            </w:r>
            <w:r>
              <w:rPr>
                <w:rFonts w:hint="eastAsia" w:ascii="方正仿宋_GB2312" w:hAnsi="方正仿宋_GB2312" w:eastAsia="方正仿宋_GB2312" w:cs="方正仿宋_GB2312"/>
                <w:sz w:val="18"/>
                <w:szCs w:val="18"/>
                <w:vertAlign w:val="baseline"/>
                <w:lang w:eastAsia="zh-CN"/>
              </w:rPr>
              <w:t>、</w:t>
            </w:r>
            <w:r>
              <w:rPr>
                <w:rFonts w:hint="eastAsia" w:ascii="方正仿宋_GB2312" w:hAnsi="方正仿宋_GB2312" w:eastAsia="方正仿宋_GB2312" w:cs="方正仿宋_GB2312"/>
                <w:sz w:val="18"/>
                <w:szCs w:val="18"/>
                <w:vertAlign w:val="baseline"/>
              </w:rPr>
              <w:t>农业等领域的科研和实验。</w:t>
            </w:r>
          </w:p>
          <w:p w14:paraId="4939EDF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三、技术参数</w:t>
            </w:r>
          </w:p>
          <w:p w14:paraId="5893C87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1、电源：220V     50HZ</w:t>
            </w:r>
          </w:p>
          <w:p w14:paraId="36F43C1A">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sz w:val="18"/>
                <w:szCs w:val="18"/>
                <w:vertAlign w:val="baseline"/>
              </w:rPr>
              <w:t xml:space="preserve">2、控温范围：室温--100℃   </w:t>
            </w:r>
            <w:r>
              <w:rPr>
                <w:rFonts w:hint="eastAsia" w:ascii="方正仿宋_GB2312" w:hAnsi="方正仿宋_GB2312" w:eastAsia="方正仿宋_GB2312" w:cs="方正仿宋_GB2312"/>
                <w:color w:val="auto"/>
                <w:sz w:val="18"/>
                <w:szCs w:val="18"/>
                <w:highlight w:val="none"/>
                <w:vertAlign w:val="baseline"/>
              </w:rPr>
              <w:t>（精度≤±0.5℃ LED数显）</w:t>
            </w:r>
          </w:p>
          <w:p w14:paraId="320EAA1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3、转速：启动--300rpm</w:t>
            </w:r>
          </w:p>
          <w:p w14:paraId="7F4C38F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4、定时：0--120分钟</w:t>
            </w:r>
          </w:p>
          <w:p w14:paraId="1F4B5CC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5、振荡幅度：20mm</w:t>
            </w:r>
          </w:p>
          <w:p w14:paraId="1DB06EE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6、工作室净容积：≥490X390X170mm</w:t>
            </w:r>
          </w:p>
          <w:p w14:paraId="3657551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外 形 尺 寸：720X480X520mm</w:t>
            </w:r>
          </w:p>
          <w:p w14:paraId="66A2374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7、加热功率：2000W</w:t>
            </w:r>
          </w:p>
          <w:p w14:paraId="5C74EAE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8、振荡方式：往复</w:t>
            </w:r>
          </w:p>
        </w:tc>
      </w:tr>
      <w:tr w14:paraId="272B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noWrap w:val="0"/>
            <w:vAlign w:val="center"/>
          </w:tcPr>
          <w:p w14:paraId="7CA550D7">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8</w:t>
            </w:r>
          </w:p>
        </w:tc>
        <w:tc>
          <w:tcPr>
            <w:tcW w:w="553" w:type="pct"/>
            <w:noWrap w:val="0"/>
            <w:vAlign w:val="center"/>
          </w:tcPr>
          <w:p w14:paraId="0BAE22C3">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全自动固相萃取仪</w:t>
            </w:r>
          </w:p>
        </w:tc>
        <w:tc>
          <w:tcPr>
            <w:tcW w:w="532" w:type="pct"/>
            <w:noWrap w:val="0"/>
            <w:vAlign w:val="center"/>
          </w:tcPr>
          <w:p w14:paraId="77083541">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w:t>
            </w:r>
          </w:p>
        </w:tc>
        <w:tc>
          <w:tcPr>
            <w:tcW w:w="3554" w:type="pct"/>
            <w:noWrap w:val="0"/>
            <w:vAlign w:val="top"/>
          </w:tcPr>
          <w:p w14:paraId="792E95F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1.工作条件</w:t>
            </w:r>
          </w:p>
          <w:p w14:paraId="37F088A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1.1 工作温度</w:t>
            </w:r>
            <w:r>
              <w:rPr>
                <w:rFonts w:hint="eastAsia" w:ascii="方正仿宋_GB2312" w:hAnsi="方正仿宋_GB2312" w:eastAsia="方正仿宋_GB2312" w:cs="方正仿宋_GB2312"/>
                <w:sz w:val="18"/>
                <w:szCs w:val="18"/>
                <w:vertAlign w:val="baseline"/>
                <w:lang w:eastAsia="zh-CN"/>
              </w:rPr>
              <w:t>：</w:t>
            </w:r>
            <w:r>
              <w:rPr>
                <w:rFonts w:hint="eastAsia" w:ascii="方正仿宋_GB2312" w:hAnsi="方正仿宋_GB2312" w:eastAsia="方正仿宋_GB2312" w:cs="方正仿宋_GB2312"/>
                <w:sz w:val="18"/>
                <w:szCs w:val="18"/>
                <w:vertAlign w:val="baseline"/>
              </w:rPr>
              <w:t xml:space="preserve"> 10 - 40 C</w:t>
            </w:r>
          </w:p>
          <w:p w14:paraId="2DE4449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1.2 湿度</w:t>
            </w:r>
            <w:r>
              <w:rPr>
                <w:rFonts w:hint="eastAsia" w:ascii="方正仿宋_GB2312" w:hAnsi="方正仿宋_GB2312" w:eastAsia="方正仿宋_GB2312" w:cs="方正仿宋_GB2312"/>
                <w:sz w:val="18"/>
                <w:szCs w:val="18"/>
                <w:vertAlign w:val="baseline"/>
                <w:lang w:eastAsia="zh-CN"/>
              </w:rPr>
              <w:t>：</w:t>
            </w:r>
            <w:r>
              <w:rPr>
                <w:rFonts w:hint="eastAsia" w:ascii="方正仿宋_GB2312" w:hAnsi="方正仿宋_GB2312" w:eastAsia="方正仿宋_GB2312" w:cs="方正仿宋_GB2312"/>
                <w:sz w:val="18"/>
                <w:szCs w:val="18"/>
                <w:vertAlign w:val="baseline"/>
              </w:rPr>
              <w:t xml:space="preserve"> 20 - 80 %</w:t>
            </w:r>
          </w:p>
          <w:p w14:paraId="19ED3CC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1.3 电源</w:t>
            </w:r>
            <w:r>
              <w:rPr>
                <w:rFonts w:hint="eastAsia" w:ascii="方正仿宋_GB2312" w:hAnsi="方正仿宋_GB2312" w:eastAsia="方正仿宋_GB2312" w:cs="方正仿宋_GB2312"/>
                <w:sz w:val="18"/>
                <w:szCs w:val="18"/>
                <w:vertAlign w:val="baseline"/>
                <w:lang w:eastAsia="zh-CN"/>
              </w:rPr>
              <w:t>：</w:t>
            </w:r>
            <w:r>
              <w:rPr>
                <w:rFonts w:hint="eastAsia" w:ascii="方正仿宋_GB2312" w:hAnsi="方正仿宋_GB2312" w:eastAsia="方正仿宋_GB2312" w:cs="方正仿宋_GB2312"/>
                <w:sz w:val="18"/>
                <w:szCs w:val="18"/>
                <w:vertAlign w:val="baseline"/>
              </w:rPr>
              <w:t xml:space="preserve"> 单相200-240 V, 50/60 Hz</w:t>
            </w:r>
          </w:p>
          <w:p w14:paraId="258616E8">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2.技术规格及要求</w:t>
            </w:r>
          </w:p>
          <w:p w14:paraId="24A41A2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 功能要求：用于食品、土壤等样品提取液中痕量有机物的萃取和净化，尤其适合于小体积液体样品中痕量有机物的分析，是气相、液相色谱或质谱仪器的样品前处理制备系统，能够很好的嵌入整个前处理流程，提高前处理的效率。</w:t>
            </w:r>
          </w:p>
          <w:p w14:paraId="72DCD5C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 可自动完成固相萃取的全过程（柱活化、上样、淋洗、吹干、洗脱）。</w:t>
            </w:r>
          </w:p>
          <w:p w14:paraId="1DC2AEC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2.3 萃取通道：不少于6通道，可同时自动处理不少于6个样品，实现不少于6通道的同时活化、同时上样、同时洗脱，最大限度的提高工作效率。</w:t>
            </w:r>
          </w:p>
          <w:p w14:paraId="033A6B2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2.4 连续处理样品能力：可连续自动化处理不少于58个样品。整个处理过程不需要任何人工介入（包括更换样品及SPE柱），完全达到全自动化要求。</w:t>
            </w:r>
          </w:p>
          <w:p w14:paraId="674D743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2.5 适用1 mL、3 mL、6 mL、12mL等多种规格标准固相萃取小柱。</w:t>
            </w:r>
          </w:p>
          <w:p w14:paraId="7084C0C0">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2.6 自动脱帽功能：仪器可自动除去免疫亲和柱盖帽，配有免疫亲和柱盖帽收集器，提供仪器标配盖帽收集器实物图片</w:t>
            </w:r>
          </w:p>
          <w:p w14:paraId="75EB313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2.7 操作软件中有免疫亲和柱选项，软件方法支持处理免疫亲和柱。提供软件截图</w:t>
            </w:r>
          </w:p>
          <w:p w14:paraId="5BE7D88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2.8 采用6个高精度注射泵，每个通道一个注射泵，每个通道都可独立完成程序方法。</w:t>
            </w:r>
          </w:p>
          <w:p w14:paraId="5BD9361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2.9 排废泵：配备主动排废泵，防止单纯重力排废可能的排废不畅现象。</w:t>
            </w:r>
          </w:p>
          <w:p w14:paraId="7283FD7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2.10 8种有机溶剂可供活化、淋洗时选择，并且具有自动清洗管道功能。</w:t>
            </w:r>
          </w:p>
          <w:p w14:paraId="158D993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2.11 溶剂加载方式：标配6个电磁阀自动切换（提供主机上电磁阀实物图片）。</w:t>
            </w:r>
          </w:p>
          <w:p w14:paraId="2C1A1B0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2.12 样品过柱：采用白色特氟龙材质柱插杆过柱（提供主机上柱插杆实物图片）。</w:t>
            </w:r>
          </w:p>
          <w:p w14:paraId="4923F8F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2.13 柱架自动进出：柱架由电机驱动，自动直线步进，非移液针移动。装载小柱时柱架自动弹出，不需要人员手工搬出、搬进柱架。</w:t>
            </w:r>
          </w:p>
          <w:p w14:paraId="0FAE3908">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2.14 样品架规格：</w:t>
            </w:r>
          </w:p>
          <w:p w14:paraId="3B0D257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支持20ml、80ml的上样架。样品架可与同品牌浓缩仪使用同规格样品管，方便样品转移。</w:t>
            </w:r>
          </w:p>
          <w:p w14:paraId="3D35AFA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2.15 样品专用过滤器，实现上样前样品的过滤，防止样品对SPE柱的堵塞。提供实物图片</w:t>
            </w:r>
          </w:p>
          <w:p w14:paraId="2A698AC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2.16 样品架自动进出：样品架由电机驱动，自动直线步进，非移液针移动。放置样品时样品架自动弹出，不需要人员手工搬出、搬进样品架。</w:t>
            </w:r>
          </w:p>
          <w:p w14:paraId="2C2E62B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2.17 收集架规格：配置20ml、80ml的收集架</w:t>
            </w:r>
          </w:p>
          <w:p w14:paraId="35C0AB9A">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2.</w:t>
            </w:r>
            <w:r>
              <w:rPr>
                <w:rFonts w:hint="eastAsia" w:ascii="方正仿宋_GB2312" w:hAnsi="方正仿宋_GB2312" w:eastAsia="方正仿宋_GB2312" w:cs="方正仿宋_GB2312"/>
                <w:color w:val="auto"/>
                <w:sz w:val="18"/>
                <w:szCs w:val="18"/>
                <w:highlight w:val="none"/>
                <w:vertAlign w:val="baseline"/>
                <w:lang w:val="en-US" w:eastAsia="zh-CN"/>
              </w:rPr>
              <w:t xml:space="preserve">18 </w:t>
            </w:r>
            <w:r>
              <w:rPr>
                <w:rFonts w:hint="eastAsia" w:ascii="方正仿宋_GB2312" w:hAnsi="方正仿宋_GB2312" w:eastAsia="方正仿宋_GB2312" w:cs="方正仿宋_GB2312"/>
                <w:color w:val="auto"/>
                <w:sz w:val="18"/>
                <w:szCs w:val="18"/>
                <w:highlight w:val="none"/>
                <w:vertAlign w:val="baseline"/>
              </w:rPr>
              <w:t>具有氮气自动吹扫，在线干燥SPE柱功能。且采用单独外接氮气+三通阀切换，保证恒定流速和连续性，吹干效果好。</w:t>
            </w:r>
          </w:p>
          <w:p w14:paraId="734CB5B5">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2.</w:t>
            </w:r>
            <w:r>
              <w:rPr>
                <w:rFonts w:hint="eastAsia" w:ascii="方正仿宋_GB2312" w:hAnsi="方正仿宋_GB2312" w:eastAsia="方正仿宋_GB2312" w:cs="方正仿宋_GB2312"/>
                <w:color w:val="auto"/>
                <w:sz w:val="18"/>
                <w:szCs w:val="18"/>
                <w:highlight w:val="none"/>
                <w:vertAlign w:val="baseline"/>
                <w:lang w:val="en-US" w:eastAsia="zh-CN"/>
              </w:rPr>
              <w:t xml:space="preserve">19 </w:t>
            </w:r>
            <w:r>
              <w:rPr>
                <w:rFonts w:hint="eastAsia" w:ascii="方正仿宋_GB2312" w:hAnsi="方正仿宋_GB2312" w:eastAsia="方正仿宋_GB2312" w:cs="方正仿宋_GB2312"/>
                <w:color w:val="auto"/>
                <w:sz w:val="18"/>
                <w:szCs w:val="18"/>
                <w:highlight w:val="none"/>
                <w:vertAlign w:val="baseline"/>
              </w:rPr>
              <w:t xml:space="preserve"> 具有串柱功能。</w:t>
            </w:r>
          </w:p>
          <w:p w14:paraId="0CD66C1B">
            <w:pPr>
              <w:jc w:val="left"/>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2.2</w:t>
            </w:r>
            <w:r>
              <w:rPr>
                <w:rFonts w:hint="eastAsia" w:ascii="方正仿宋_GB2312" w:hAnsi="方正仿宋_GB2312" w:eastAsia="方正仿宋_GB2312" w:cs="方正仿宋_GB2312"/>
                <w:color w:val="auto"/>
                <w:sz w:val="18"/>
                <w:szCs w:val="18"/>
                <w:highlight w:val="none"/>
                <w:vertAlign w:val="baseline"/>
                <w:lang w:val="en-US" w:eastAsia="zh-CN"/>
              </w:rPr>
              <w:t>0</w:t>
            </w:r>
            <w:r>
              <w:rPr>
                <w:rFonts w:hint="eastAsia" w:ascii="方正仿宋_GB2312" w:hAnsi="方正仿宋_GB2312" w:eastAsia="方正仿宋_GB2312" w:cs="方正仿宋_GB2312"/>
                <w:color w:val="auto"/>
                <w:sz w:val="18"/>
                <w:szCs w:val="18"/>
                <w:highlight w:val="none"/>
                <w:vertAlign w:val="baseline"/>
              </w:rPr>
              <w:t xml:space="preserve"> 排废槽自动移动：排废槽由电机驱动，自动直线步进，自动区分收集不同废液。</w:t>
            </w:r>
          </w:p>
          <w:p w14:paraId="31B98A3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color w:val="auto"/>
                <w:sz w:val="18"/>
                <w:szCs w:val="18"/>
                <w:highlight w:val="none"/>
                <w:vertAlign w:val="baseline"/>
              </w:rPr>
              <w:t>2.2</w:t>
            </w:r>
            <w:r>
              <w:rPr>
                <w:rFonts w:hint="eastAsia" w:ascii="方正仿宋_GB2312" w:hAnsi="方正仿宋_GB2312" w:eastAsia="方正仿宋_GB2312" w:cs="方正仿宋_GB2312"/>
                <w:color w:val="auto"/>
                <w:sz w:val="18"/>
                <w:szCs w:val="18"/>
                <w:highlight w:val="none"/>
                <w:vertAlign w:val="baseline"/>
                <w:lang w:val="en-US" w:eastAsia="zh-CN"/>
              </w:rPr>
              <w:t>1</w:t>
            </w:r>
            <w:r>
              <w:rPr>
                <w:rFonts w:hint="eastAsia" w:ascii="方正仿宋_GB2312" w:hAnsi="方正仿宋_GB2312" w:eastAsia="方正仿宋_GB2312" w:cs="方正仿宋_GB2312"/>
                <w:color w:val="auto"/>
                <w:sz w:val="18"/>
                <w:szCs w:val="18"/>
                <w:highlight w:val="none"/>
                <w:vertAlign w:val="baseline"/>
              </w:rPr>
              <w:t xml:space="preserve"> 创新性的旋转清</w:t>
            </w:r>
            <w:r>
              <w:rPr>
                <w:rFonts w:hint="eastAsia" w:ascii="方正仿宋_GB2312" w:hAnsi="方正仿宋_GB2312" w:eastAsia="方正仿宋_GB2312" w:cs="方正仿宋_GB2312"/>
                <w:sz w:val="18"/>
                <w:szCs w:val="18"/>
                <w:vertAlign w:val="baseline"/>
              </w:rPr>
              <w:t>洗技术，可对进样针的外壁和内壁进行彻底的清洗，避免交叉污染。</w:t>
            </w:r>
          </w:p>
          <w:p w14:paraId="712ED5D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w:t>
            </w:r>
            <w:r>
              <w:rPr>
                <w:rFonts w:hint="eastAsia" w:ascii="方正仿宋_GB2312" w:hAnsi="方正仿宋_GB2312" w:eastAsia="方正仿宋_GB2312" w:cs="方正仿宋_GB2312"/>
                <w:sz w:val="18"/>
                <w:szCs w:val="18"/>
                <w:vertAlign w:val="baseline"/>
                <w:lang w:val="en-US" w:eastAsia="zh-CN"/>
              </w:rPr>
              <w:t>2</w:t>
            </w:r>
            <w:r>
              <w:rPr>
                <w:rFonts w:hint="eastAsia" w:ascii="方正仿宋_GB2312" w:hAnsi="方正仿宋_GB2312" w:eastAsia="方正仿宋_GB2312" w:cs="方正仿宋_GB2312"/>
                <w:sz w:val="18"/>
                <w:szCs w:val="18"/>
                <w:vertAlign w:val="baseline"/>
              </w:rPr>
              <w:t xml:space="preserve"> 紧凑化设计：整机可放入通风橱。</w:t>
            </w:r>
          </w:p>
          <w:p w14:paraId="01FA735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w:t>
            </w:r>
            <w:r>
              <w:rPr>
                <w:rFonts w:hint="eastAsia" w:ascii="方正仿宋_GB2312" w:hAnsi="方正仿宋_GB2312" w:eastAsia="方正仿宋_GB2312" w:cs="方正仿宋_GB2312"/>
                <w:sz w:val="18"/>
                <w:szCs w:val="18"/>
                <w:vertAlign w:val="baseline"/>
                <w:lang w:val="en-US" w:eastAsia="zh-CN"/>
              </w:rPr>
              <w:t>3</w:t>
            </w:r>
            <w:r>
              <w:rPr>
                <w:rFonts w:hint="eastAsia" w:ascii="方正仿宋_GB2312" w:hAnsi="方正仿宋_GB2312" w:eastAsia="方正仿宋_GB2312" w:cs="方正仿宋_GB2312"/>
                <w:sz w:val="18"/>
                <w:szCs w:val="18"/>
                <w:vertAlign w:val="baseline"/>
              </w:rPr>
              <w:t xml:space="preserve"> 软件</w:t>
            </w:r>
          </w:p>
          <w:p w14:paraId="72B652B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w:t>
            </w:r>
            <w:r>
              <w:rPr>
                <w:rFonts w:hint="eastAsia" w:ascii="方正仿宋_GB2312" w:hAnsi="方正仿宋_GB2312" w:eastAsia="方正仿宋_GB2312" w:cs="方正仿宋_GB2312"/>
                <w:sz w:val="18"/>
                <w:szCs w:val="18"/>
                <w:vertAlign w:val="baseline"/>
                <w:lang w:val="en-US" w:eastAsia="zh-CN"/>
              </w:rPr>
              <w:t>4</w:t>
            </w:r>
            <w:r>
              <w:rPr>
                <w:rFonts w:hint="eastAsia" w:ascii="方正仿宋_GB2312" w:hAnsi="方正仿宋_GB2312" w:eastAsia="方正仿宋_GB2312" w:cs="方正仿宋_GB2312"/>
                <w:sz w:val="18"/>
                <w:szCs w:val="18"/>
                <w:vertAlign w:val="baseline"/>
              </w:rPr>
              <w:t>.1 基于Windows操作系统的控制软件，操作简单易懂，可实时显示工作状态，让操作者一目了然。</w:t>
            </w:r>
          </w:p>
          <w:p w14:paraId="4E1099D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w:t>
            </w:r>
            <w:r>
              <w:rPr>
                <w:rFonts w:hint="eastAsia" w:ascii="方正仿宋_GB2312" w:hAnsi="方正仿宋_GB2312" w:eastAsia="方正仿宋_GB2312" w:cs="方正仿宋_GB2312"/>
                <w:sz w:val="18"/>
                <w:szCs w:val="18"/>
                <w:vertAlign w:val="baseline"/>
                <w:lang w:val="en-US" w:eastAsia="zh-CN"/>
              </w:rPr>
              <w:t>4</w:t>
            </w:r>
            <w:r>
              <w:rPr>
                <w:rFonts w:hint="eastAsia" w:ascii="方正仿宋_GB2312" w:hAnsi="方正仿宋_GB2312" w:eastAsia="方正仿宋_GB2312" w:cs="方正仿宋_GB2312"/>
                <w:sz w:val="18"/>
                <w:szCs w:val="18"/>
                <w:vertAlign w:val="baseline"/>
              </w:rPr>
              <w:t>.2 控制软件与SPE主机通过无线wifi连接，可将其放在远离实验台位置或办公区域，不占用实验室空间，也可防止有机溶剂对其腐蚀或损坏。</w:t>
            </w:r>
          </w:p>
          <w:p w14:paraId="058B4AE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w:t>
            </w:r>
            <w:r>
              <w:rPr>
                <w:rFonts w:hint="eastAsia" w:ascii="方正仿宋_GB2312" w:hAnsi="方正仿宋_GB2312" w:eastAsia="方正仿宋_GB2312" w:cs="方正仿宋_GB2312"/>
                <w:sz w:val="18"/>
                <w:szCs w:val="18"/>
                <w:vertAlign w:val="baseline"/>
                <w:lang w:val="en-US" w:eastAsia="zh-CN"/>
              </w:rPr>
              <w:t>4</w:t>
            </w:r>
            <w:r>
              <w:rPr>
                <w:rFonts w:hint="eastAsia" w:ascii="方正仿宋_GB2312" w:hAnsi="方正仿宋_GB2312" w:eastAsia="方正仿宋_GB2312" w:cs="方正仿宋_GB2312"/>
                <w:sz w:val="18"/>
                <w:szCs w:val="18"/>
                <w:vertAlign w:val="baseline"/>
              </w:rPr>
              <w:t>.3 图形化界面。专利的方法演示软件可以预先查看方法设置和仪器的运行状况。</w:t>
            </w:r>
          </w:p>
          <w:p w14:paraId="5315F11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w:t>
            </w:r>
            <w:r>
              <w:rPr>
                <w:rFonts w:hint="eastAsia" w:ascii="方正仿宋_GB2312" w:hAnsi="方正仿宋_GB2312" w:eastAsia="方正仿宋_GB2312" w:cs="方正仿宋_GB2312"/>
                <w:sz w:val="18"/>
                <w:szCs w:val="18"/>
                <w:vertAlign w:val="baseline"/>
                <w:lang w:val="en-US" w:eastAsia="zh-CN"/>
              </w:rPr>
              <w:t>4</w:t>
            </w:r>
            <w:r>
              <w:rPr>
                <w:rFonts w:hint="eastAsia" w:ascii="方正仿宋_GB2312" w:hAnsi="方正仿宋_GB2312" w:eastAsia="方正仿宋_GB2312" w:cs="方正仿宋_GB2312"/>
                <w:sz w:val="18"/>
                <w:szCs w:val="18"/>
                <w:vertAlign w:val="baseline"/>
              </w:rPr>
              <w:t>.4 软件具有方法编辑错误智能提醒功能，方便用户操作使用。</w:t>
            </w:r>
          </w:p>
          <w:p w14:paraId="56C9E70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w:t>
            </w:r>
            <w:r>
              <w:rPr>
                <w:rFonts w:hint="eastAsia" w:ascii="方正仿宋_GB2312" w:hAnsi="方正仿宋_GB2312" w:eastAsia="方正仿宋_GB2312" w:cs="方正仿宋_GB2312"/>
                <w:sz w:val="18"/>
                <w:szCs w:val="18"/>
                <w:vertAlign w:val="baseline"/>
                <w:lang w:val="en-US" w:eastAsia="zh-CN"/>
              </w:rPr>
              <w:t>5</w:t>
            </w:r>
            <w:r>
              <w:rPr>
                <w:rFonts w:hint="eastAsia" w:ascii="方正仿宋_GB2312" w:hAnsi="方正仿宋_GB2312" w:eastAsia="方正仿宋_GB2312" w:cs="方正仿宋_GB2312"/>
                <w:sz w:val="18"/>
                <w:szCs w:val="18"/>
                <w:vertAlign w:val="baseline"/>
              </w:rPr>
              <w:t xml:space="preserve"> </w:t>
            </w:r>
            <w:r>
              <w:rPr>
                <w:rFonts w:hint="eastAsia" w:ascii="方正仿宋_GB2312" w:hAnsi="方正仿宋_GB2312" w:eastAsia="方正仿宋_GB2312" w:cs="方正仿宋_GB2312"/>
                <w:color w:val="auto"/>
                <w:sz w:val="18"/>
                <w:szCs w:val="18"/>
                <w:vertAlign w:val="baseline"/>
              </w:rPr>
              <w:t>产品须为成熟产品，</w:t>
            </w:r>
            <w:r>
              <w:rPr>
                <w:rFonts w:hint="eastAsia" w:ascii="方正仿宋_GB2312" w:hAnsi="方正仿宋_GB2312" w:eastAsia="方正仿宋_GB2312" w:cs="方正仿宋_GB2312"/>
                <w:color w:val="auto"/>
                <w:sz w:val="18"/>
                <w:szCs w:val="18"/>
                <w:highlight w:val="none"/>
                <w:vertAlign w:val="baseline"/>
                <w:lang w:val="en-US" w:eastAsia="zh-CN"/>
              </w:rPr>
              <w:t>且该仪器可良好运行，并提供相关证明文件。</w:t>
            </w:r>
          </w:p>
          <w:p w14:paraId="338CF1E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3.仪器配置</w:t>
            </w:r>
          </w:p>
          <w:p w14:paraId="5499F90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 六通道全自动固相萃取仪主机 1台</w:t>
            </w:r>
          </w:p>
          <w:p w14:paraId="73F781D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3.2 不锈钢进样针 6套</w:t>
            </w:r>
          </w:p>
          <w:p w14:paraId="15F8803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3.3 独立高精度注射泵 6台</w:t>
            </w:r>
          </w:p>
          <w:p w14:paraId="706F04B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3.4 电磁阀6台</w:t>
            </w:r>
          </w:p>
          <w:p w14:paraId="6281AC2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3.5 排废泵 1套</w:t>
            </w:r>
          </w:p>
          <w:p w14:paraId="32D02A7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3.6 盖帽收集器 1个</w:t>
            </w:r>
          </w:p>
          <w:p w14:paraId="604F922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3.7  排废槽驱动电机 1台</w:t>
            </w:r>
          </w:p>
          <w:p w14:paraId="14D1C86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3.8 柱架驱动电机 1台</w:t>
            </w:r>
          </w:p>
          <w:p w14:paraId="43D7499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3.9 样品架驱动电机 1台</w:t>
            </w:r>
          </w:p>
          <w:p w14:paraId="7C8F23B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3.10 6ml柱插杆 6个</w:t>
            </w:r>
          </w:p>
          <w:p w14:paraId="6A8BC5C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3.11 进样针清洗工作站 1套</w:t>
            </w:r>
          </w:p>
          <w:p w14:paraId="0AEA9DBF">
            <w:pPr>
              <w:jc w:val="left"/>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rPr>
              <w:t>3.12 溶剂瓶套件 8套                                                                                                                                      3.13 带氮气发生器</w:t>
            </w:r>
            <w:r>
              <w:rPr>
                <w:rFonts w:hint="eastAsia" w:ascii="方正仿宋_GB2312" w:hAnsi="方正仿宋_GB2312" w:eastAsia="方正仿宋_GB2312" w:cs="方正仿宋_GB2312"/>
                <w:sz w:val="18"/>
                <w:szCs w:val="18"/>
                <w:vertAlign w:val="baseline"/>
                <w:lang w:val="en-US" w:eastAsia="zh-CN"/>
              </w:rPr>
              <w:t xml:space="preserve"> 氮气纯度要达到98%以上。</w:t>
            </w:r>
          </w:p>
          <w:p w14:paraId="1D6579B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 质保及备件供应：保证产品为全新原厂设备。仪器在调试通过后提供保修服务，保修期一年。在保修期内，所有服务及配件全部免费,保修期外，能更及时地为用户提供备品备件。</w:t>
            </w:r>
          </w:p>
          <w:p w14:paraId="3AA362A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5. 技术服务：提供快捷、周到、规范的技术服务，仪器出现故障时，供货或服务商维修人员在接到通知后24小时内响应，48小时内到现场维修。提供仪器设备详细的中文操作手册。</w:t>
            </w:r>
          </w:p>
          <w:p w14:paraId="00B86AE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6. 应用支持</w:t>
            </w:r>
            <w:r>
              <w:rPr>
                <w:rFonts w:hint="eastAsia" w:ascii="方正仿宋_GB2312" w:hAnsi="方正仿宋_GB2312" w:eastAsia="方正仿宋_GB2312" w:cs="方正仿宋_GB2312"/>
                <w:sz w:val="18"/>
                <w:szCs w:val="18"/>
                <w:vertAlign w:val="baseline"/>
                <w:lang w:eastAsia="zh-CN"/>
              </w:rPr>
              <w:t>：</w:t>
            </w:r>
            <w:r>
              <w:rPr>
                <w:rFonts w:hint="eastAsia" w:ascii="方正仿宋_GB2312" w:hAnsi="方正仿宋_GB2312" w:eastAsia="方正仿宋_GB2312" w:cs="方正仿宋_GB2312"/>
                <w:sz w:val="18"/>
                <w:szCs w:val="18"/>
                <w:vertAlign w:val="baseline"/>
              </w:rPr>
              <w:t>厂家有应用研发实验室，能够为用户在固相萃取技术的方法开发及优化方面提供支持及协助。</w:t>
            </w:r>
          </w:p>
        </w:tc>
      </w:tr>
      <w:tr w14:paraId="0D63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60" w:type="pct"/>
            <w:noWrap w:val="0"/>
            <w:vAlign w:val="center"/>
          </w:tcPr>
          <w:p w14:paraId="26B68677">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9</w:t>
            </w:r>
          </w:p>
        </w:tc>
        <w:tc>
          <w:tcPr>
            <w:tcW w:w="553" w:type="pct"/>
            <w:noWrap w:val="0"/>
            <w:vAlign w:val="center"/>
          </w:tcPr>
          <w:p w14:paraId="24EF53A6">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扩项实验用药品</w:t>
            </w:r>
          </w:p>
        </w:tc>
        <w:tc>
          <w:tcPr>
            <w:tcW w:w="532" w:type="pct"/>
            <w:noWrap w:val="0"/>
            <w:vAlign w:val="center"/>
          </w:tcPr>
          <w:p w14:paraId="25A2F277">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一批</w:t>
            </w:r>
          </w:p>
        </w:tc>
        <w:tc>
          <w:tcPr>
            <w:tcW w:w="3554" w:type="pct"/>
            <w:noWrap w:val="0"/>
            <w:vAlign w:val="top"/>
          </w:tcPr>
          <w:p w14:paraId="0B6DBB02">
            <w:pPr>
              <w:jc w:val="left"/>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color w:val="auto"/>
                <w:sz w:val="18"/>
                <w:szCs w:val="18"/>
                <w:vertAlign w:val="baseline"/>
              </w:rPr>
              <w:t>实验用药品：1.氯化钠优级纯500g、60瓶；2.乙酸钠分析纯500g、20瓶；3.无水硫酸镁分析纯500g、15瓶；4.柠檬酸钠二水合物分析纯500g、15瓶；5.柠檬酸钠 分析纯500g、15瓶；6.柠檬酸氢二钠，500g，15瓶；7、乙二胺四乙酸二钠·二水 优级纯500g、20瓶；8.磷酸氢二钠·无水 优级纯500g、15瓶；9.磷酸二氢铵·二水 优级纯500g、15瓶；10.柠檬酸一水 优级纯500g、15瓶；11.其他试剂：35瓶；</w:t>
            </w:r>
          </w:p>
        </w:tc>
      </w:tr>
      <w:tr w14:paraId="5789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noWrap w:val="0"/>
            <w:vAlign w:val="center"/>
          </w:tcPr>
          <w:p w14:paraId="6E823D24">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10</w:t>
            </w:r>
          </w:p>
        </w:tc>
        <w:tc>
          <w:tcPr>
            <w:tcW w:w="553" w:type="pct"/>
            <w:noWrap w:val="0"/>
            <w:vAlign w:val="center"/>
          </w:tcPr>
          <w:p w14:paraId="749232EA">
            <w:pPr>
              <w:jc w:val="center"/>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扩项用标准品</w:t>
            </w:r>
          </w:p>
        </w:tc>
        <w:tc>
          <w:tcPr>
            <w:tcW w:w="532" w:type="pct"/>
            <w:noWrap w:val="0"/>
            <w:vAlign w:val="center"/>
          </w:tcPr>
          <w:p w14:paraId="284C0B5E">
            <w:pPr>
              <w:jc w:val="center"/>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lang w:val="en-US" w:eastAsia="zh-CN"/>
              </w:rPr>
              <w:t>150</w:t>
            </w:r>
            <w:r>
              <w:rPr>
                <w:rFonts w:hint="eastAsia" w:ascii="方正仿宋_GB2312" w:hAnsi="方正仿宋_GB2312" w:eastAsia="方正仿宋_GB2312" w:cs="方正仿宋_GB2312"/>
                <w:color w:val="auto"/>
                <w:sz w:val="18"/>
                <w:szCs w:val="18"/>
                <w:highlight w:val="none"/>
                <w:vertAlign w:val="baseline"/>
              </w:rPr>
              <w:t>个</w:t>
            </w:r>
          </w:p>
          <w:p w14:paraId="63C5FF6E">
            <w:pPr>
              <w:jc w:val="center"/>
              <w:rPr>
                <w:rFonts w:hint="eastAsia" w:ascii="方正仿宋_GB2312" w:hAnsi="方正仿宋_GB2312" w:eastAsia="方正仿宋_GB2312" w:cs="方正仿宋_GB2312"/>
                <w:color w:val="auto"/>
                <w:sz w:val="18"/>
                <w:szCs w:val="18"/>
                <w:highlight w:val="none"/>
                <w:vertAlign w:val="baseline"/>
              </w:rPr>
            </w:pPr>
            <w:r>
              <w:rPr>
                <w:rFonts w:hint="eastAsia" w:ascii="方正仿宋_GB2312" w:hAnsi="方正仿宋_GB2312" w:eastAsia="方正仿宋_GB2312" w:cs="方正仿宋_GB2312"/>
                <w:color w:val="auto"/>
                <w:sz w:val="18"/>
                <w:szCs w:val="18"/>
                <w:highlight w:val="none"/>
                <w:vertAlign w:val="baseline"/>
              </w:rPr>
              <w:t>（3套）</w:t>
            </w:r>
          </w:p>
        </w:tc>
        <w:tc>
          <w:tcPr>
            <w:tcW w:w="3554" w:type="pct"/>
            <w:noWrap w:val="0"/>
            <w:vAlign w:val="top"/>
          </w:tcPr>
          <w:p w14:paraId="1017E2FC">
            <w:pPr>
              <w:jc w:val="left"/>
              <w:rPr>
                <w:rFonts w:hint="eastAsia" w:ascii="方正仿宋_GB2312" w:hAnsi="方正仿宋_GB2312" w:eastAsia="方正仿宋_GB2312" w:cs="方正仿宋_GB2312"/>
                <w:color w:val="FF0000"/>
                <w:sz w:val="18"/>
                <w:szCs w:val="18"/>
                <w:highlight w:val="yellow"/>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rPr>
              <w:t>1000ug/ml,1ml</w:t>
            </w:r>
          </w:p>
        </w:tc>
      </w:tr>
      <w:tr w14:paraId="6504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5A066793">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11</w:t>
            </w:r>
          </w:p>
        </w:tc>
        <w:tc>
          <w:tcPr>
            <w:tcW w:w="553" w:type="pct"/>
            <w:noWrap w:val="0"/>
            <w:vAlign w:val="center"/>
          </w:tcPr>
          <w:p w14:paraId="161AD49A">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实验室改造</w:t>
            </w:r>
          </w:p>
        </w:tc>
        <w:tc>
          <w:tcPr>
            <w:tcW w:w="532" w:type="pct"/>
            <w:noWrap w:val="0"/>
            <w:vAlign w:val="center"/>
          </w:tcPr>
          <w:p w14:paraId="6ADA9728">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2间</w:t>
            </w:r>
          </w:p>
        </w:tc>
        <w:tc>
          <w:tcPr>
            <w:tcW w:w="3554" w:type="pct"/>
            <w:noWrap w:val="0"/>
            <w:vAlign w:val="top"/>
          </w:tcPr>
          <w:p w14:paraId="77832A5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1.</w:t>
            </w:r>
            <w:r>
              <w:rPr>
                <w:rFonts w:hint="eastAsia" w:ascii="方正仿宋_GB2312" w:hAnsi="方正仿宋_GB2312" w:eastAsia="方正仿宋_GB2312" w:cs="方正仿宋_GB2312"/>
                <w:sz w:val="18"/>
                <w:szCs w:val="18"/>
                <w:vertAlign w:val="baseline"/>
              </w:rPr>
              <w:t>液质质室：边台一组：3000×750×800钢木结构，12.7实心理化板台面。带风机的万向吸风罩二个；实验凳4个，要求：PP凳面，螺旋升降；做实验室水电及通风改造。</w:t>
            </w:r>
          </w:p>
          <w:p w14:paraId="3590C03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2.</w:t>
            </w:r>
            <w:r>
              <w:rPr>
                <w:rFonts w:hint="eastAsia" w:ascii="方正仿宋_GB2312" w:hAnsi="方正仿宋_GB2312" w:eastAsia="方正仿宋_GB2312" w:cs="方正仿宋_GB2312"/>
                <w:sz w:val="18"/>
                <w:szCs w:val="18"/>
                <w:vertAlign w:val="baseline"/>
              </w:rPr>
              <w:t>气质质室：边台一组：3000×750×800钢木结构，12.7实心理化板台面；边台带水一组：800×750×800钢木结构，12.7实心理化板台面，带PP水盆，三口铜龙头；带风机的万向吸风罩一个；实验凳4个，要求：PP凳面，螺旋升降；全钢结构；气路设置、通风和降噪，药品室防爆灯、防爆开关及气瓶柜、试剂柜进行通风改造。</w:t>
            </w:r>
          </w:p>
        </w:tc>
      </w:tr>
      <w:tr w14:paraId="5CBA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51104672">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12</w:t>
            </w:r>
          </w:p>
        </w:tc>
        <w:tc>
          <w:tcPr>
            <w:tcW w:w="553" w:type="pct"/>
            <w:noWrap w:val="0"/>
            <w:vAlign w:val="center"/>
          </w:tcPr>
          <w:p w14:paraId="6F0F0D51">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highlight w:val="none"/>
                <w:vertAlign w:val="baseline"/>
              </w:rPr>
              <w:t>扩项用色谱</w:t>
            </w:r>
            <w:r>
              <w:rPr>
                <w:rFonts w:hint="eastAsia" w:ascii="方正仿宋_GB2312" w:hAnsi="方正仿宋_GB2312" w:eastAsia="方正仿宋_GB2312" w:cs="方正仿宋_GB2312"/>
                <w:sz w:val="18"/>
                <w:szCs w:val="18"/>
                <w:highlight w:val="none"/>
                <w:vertAlign w:val="baseline"/>
                <w:lang w:val="en-US" w:eastAsia="zh-CN"/>
              </w:rPr>
              <w:t>配件</w:t>
            </w:r>
            <w:r>
              <w:rPr>
                <w:rFonts w:hint="eastAsia" w:ascii="方正仿宋_GB2312" w:hAnsi="方正仿宋_GB2312" w:eastAsia="方正仿宋_GB2312" w:cs="方正仿宋_GB2312"/>
                <w:sz w:val="18"/>
                <w:szCs w:val="18"/>
                <w:highlight w:val="none"/>
                <w:vertAlign w:val="baseline"/>
              </w:rPr>
              <w:t>及常规耗材</w:t>
            </w:r>
          </w:p>
        </w:tc>
        <w:tc>
          <w:tcPr>
            <w:tcW w:w="532" w:type="pct"/>
            <w:noWrap w:val="0"/>
            <w:vAlign w:val="center"/>
          </w:tcPr>
          <w:p w14:paraId="28B60168">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一批</w:t>
            </w:r>
          </w:p>
        </w:tc>
        <w:tc>
          <w:tcPr>
            <w:tcW w:w="3554" w:type="pct"/>
            <w:noWrap w:val="0"/>
            <w:vAlign w:val="top"/>
          </w:tcPr>
          <w:p w14:paraId="46241D0F">
            <w:pPr>
              <w:numPr>
                <w:ilvl w:val="0"/>
                <w:numId w:val="16"/>
              </w:numPr>
              <w:jc w:val="left"/>
              <w:rPr>
                <w:rFonts w:hint="eastAsia" w:ascii="方正仿宋_GB2312" w:hAnsi="方正仿宋_GB2312" w:eastAsia="方正仿宋_GB2312" w:cs="方正仿宋_GB2312"/>
                <w:color w:val="auto"/>
                <w:sz w:val="18"/>
                <w:szCs w:val="18"/>
                <w:vertAlign w:val="baseline"/>
              </w:rPr>
            </w:pPr>
            <w:r>
              <w:rPr>
                <w:rFonts w:hint="eastAsia" w:ascii="方正仿宋_GB2312" w:hAnsi="方正仿宋_GB2312" w:eastAsia="方正仿宋_GB2312" w:cs="方正仿宋_GB2312"/>
                <w:color w:val="auto"/>
                <w:sz w:val="18"/>
                <w:szCs w:val="18"/>
                <w:highlight w:val="none"/>
                <w:vertAlign w:val="baseline"/>
                <w:lang w:val="en-US" w:eastAsia="zh-CN"/>
              </w:rPr>
              <w:t>陶瓷</w:t>
            </w:r>
            <w:r>
              <w:rPr>
                <w:rFonts w:hint="eastAsia" w:ascii="方正仿宋_GB2312" w:hAnsi="方正仿宋_GB2312" w:eastAsia="方正仿宋_GB2312" w:cs="方正仿宋_GB2312"/>
                <w:color w:val="auto"/>
                <w:sz w:val="18"/>
                <w:szCs w:val="18"/>
                <w:highlight w:val="none"/>
                <w:vertAlign w:val="baseline"/>
              </w:rPr>
              <w:t xml:space="preserve">均质子 </w:t>
            </w:r>
            <w:r>
              <w:rPr>
                <w:rFonts w:hint="eastAsia" w:ascii="方正仿宋_GB2312" w:hAnsi="方正仿宋_GB2312" w:eastAsia="方正仿宋_GB2312" w:cs="方正仿宋_GB2312"/>
                <w:b w:val="0"/>
                <w:bCs w:val="0"/>
                <w:color w:val="auto"/>
                <w:sz w:val="18"/>
                <w:szCs w:val="18"/>
                <w:highlight w:val="none"/>
                <w:vertAlign w:val="baseline"/>
              </w:rPr>
              <w:t>2C</w:t>
            </w:r>
            <w:r>
              <w:rPr>
                <w:rFonts w:hint="eastAsia" w:ascii="方正仿宋_GB2312" w:hAnsi="方正仿宋_GB2312" w:eastAsia="方正仿宋_GB2312" w:cs="方正仿宋_GB2312"/>
                <w:color w:val="auto"/>
                <w:sz w:val="18"/>
                <w:szCs w:val="18"/>
                <w:highlight w:val="none"/>
                <w:vertAlign w:val="baseline"/>
              </w:rPr>
              <w:t>M(长）*1</w:t>
            </w:r>
            <w:r>
              <w:rPr>
                <w:rFonts w:hint="eastAsia" w:ascii="方正仿宋_GB2312" w:hAnsi="方正仿宋_GB2312" w:eastAsia="方正仿宋_GB2312" w:cs="方正仿宋_GB2312"/>
                <w:b w:val="0"/>
                <w:bCs w:val="0"/>
                <w:color w:val="auto"/>
                <w:sz w:val="18"/>
                <w:szCs w:val="18"/>
                <w:highlight w:val="none"/>
                <w:vertAlign w:val="baseline"/>
              </w:rPr>
              <w:t>C</w:t>
            </w:r>
            <w:r>
              <w:rPr>
                <w:rFonts w:hint="eastAsia" w:ascii="方正仿宋_GB2312" w:hAnsi="方正仿宋_GB2312" w:eastAsia="方正仿宋_GB2312" w:cs="方正仿宋_GB2312"/>
                <w:color w:val="auto"/>
                <w:sz w:val="18"/>
                <w:szCs w:val="18"/>
                <w:highlight w:val="none"/>
                <w:vertAlign w:val="baseline"/>
              </w:rPr>
              <w:t>M</w:t>
            </w:r>
            <w:r>
              <w:rPr>
                <w:rFonts w:hint="eastAsia" w:ascii="方正仿宋_GB2312" w:hAnsi="方正仿宋_GB2312" w:eastAsia="方正仿宋_GB2312" w:cs="方正仿宋_GB2312"/>
                <w:b w:val="0"/>
                <w:bCs w:val="0"/>
                <w:color w:val="auto"/>
                <w:sz w:val="18"/>
                <w:szCs w:val="18"/>
                <w:highlight w:val="none"/>
                <w:vertAlign w:val="baseline"/>
              </w:rPr>
              <w:t>（</w:t>
            </w:r>
            <w:r>
              <w:rPr>
                <w:rFonts w:hint="eastAsia" w:ascii="方正仿宋_GB2312" w:hAnsi="方正仿宋_GB2312" w:eastAsia="方正仿宋_GB2312" w:cs="方正仿宋_GB2312"/>
                <w:color w:val="auto"/>
                <w:sz w:val="18"/>
                <w:szCs w:val="18"/>
                <w:highlight w:val="none"/>
                <w:vertAlign w:val="baseline"/>
              </w:rPr>
              <w:t>外径）、</w:t>
            </w:r>
            <w:r>
              <w:rPr>
                <w:rFonts w:hint="eastAsia" w:ascii="方正仿宋_GB2312" w:hAnsi="方正仿宋_GB2312" w:eastAsia="方正仿宋_GB2312" w:cs="方正仿宋_GB2312"/>
                <w:color w:val="auto"/>
                <w:sz w:val="18"/>
                <w:szCs w:val="18"/>
                <w:vertAlign w:val="baseline"/>
                <w:lang w:val="en-US" w:eastAsia="zh-CN"/>
              </w:rPr>
              <w:t>3</w:t>
            </w:r>
            <w:r>
              <w:rPr>
                <w:rFonts w:hint="eastAsia" w:ascii="方正仿宋_GB2312" w:hAnsi="方正仿宋_GB2312" w:eastAsia="方正仿宋_GB2312" w:cs="方正仿宋_GB2312"/>
                <w:color w:val="auto"/>
                <w:sz w:val="18"/>
                <w:szCs w:val="18"/>
                <w:vertAlign w:val="baseline"/>
              </w:rPr>
              <w:t>0</w:t>
            </w:r>
            <w:r>
              <w:rPr>
                <w:rFonts w:hint="eastAsia" w:ascii="方正仿宋_GB2312" w:hAnsi="方正仿宋_GB2312" w:eastAsia="方正仿宋_GB2312" w:cs="方正仿宋_GB2312"/>
                <w:color w:val="auto"/>
                <w:sz w:val="18"/>
                <w:szCs w:val="18"/>
                <w:vertAlign w:val="baseline"/>
                <w:lang w:val="en-US" w:eastAsia="zh-CN"/>
              </w:rPr>
              <w:t>盒</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2</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流动相滤膜</w:t>
            </w:r>
            <w:r>
              <w:rPr>
                <w:rFonts w:hint="eastAsia" w:ascii="方正仿宋_GB2312" w:hAnsi="方正仿宋_GB2312" w:eastAsia="方正仿宋_GB2312" w:cs="方正仿宋_GB2312"/>
                <w:color w:val="auto"/>
                <w:sz w:val="18"/>
                <w:szCs w:val="18"/>
                <w:vertAlign w:val="baseline"/>
              </w:rPr>
              <w:t>（有机相）</w:t>
            </w:r>
            <w:r>
              <w:rPr>
                <w:rFonts w:hint="eastAsia" w:ascii="方正仿宋_GB2312" w:hAnsi="方正仿宋_GB2312" w:eastAsia="方正仿宋_GB2312" w:cs="方正仿宋_GB2312"/>
                <w:color w:val="auto"/>
                <w:sz w:val="18"/>
                <w:szCs w:val="18"/>
                <w:vertAlign w:val="baseline"/>
                <w:lang w:eastAsia="zh-CN"/>
              </w:rPr>
              <w:t>、</w:t>
            </w:r>
            <w:r>
              <w:rPr>
                <w:rFonts w:hint="eastAsia" w:ascii="方正仿宋_GB2312" w:hAnsi="方正仿宋_GB2312" w:eastAsia="方正仿宋_GB2312" w:cs="方正仿宋_GB2312"/>
                <w:color w:val="auto"/>
                <w:sz w:val="18"/>
                <w:szCs w:val="18"/>
                <w:vertAlign w:val="baseline"/>
                <w:lang w:val="en-US" w:eastAsia="zh-CN"/>
              </w:rPr>
              <w:t>20盒</w:t>
            </w:r>
            <w:r>
              <w:rPr>
                <w:rFonts w:hint="eastAsia" w:ascii="方正仿宋_GB2312" w:hAnsi="方正仿宋_GB2312" w:eastAsia="方正仿宋_GB2312" w:cs="方正仿宋_GB2312"/>
                <w:color w:val="auto"/>
                <w:sz w:val="18"/>
                <w:szCs w:val="18"/>
                <w:vertAlign w:val="baseline"/>
                <w:lang w:eastAsia="zh-CN"/>
              </w:rPr>
              <w:t>，</w:t>
            </w:r>
            <w:r>
              <w:rPr>
                <w:rFonts w:hint="eastAsia" w:ascii="方正仿宋_GB2312" w:hAnsi="方正仿宋_GB2312" w:eastAsia="方正仿宋_GB2312" w:cs="方正仿宋_GB2312"/>
                <w:color w:val="auto"/>
                <w:sz w:val="18"/>
                <w:szCs w:val="18"/>
                <w:vertAlign w:val="baseline"/>
                <w:lang w:val="en-US" w:eastAsia="zh-CN"/>
              </w:rPr>
              <w:t>流动相滤膜</w:t>
            </w:r>
            <w:r>
              <w:rPr>
                <w:rFonts w:hint="eastAsia" w:ascii="方正仿宋_GB2312" w:hAnsi="方正仿宋_GB2312" w:eastAsia="方正仿宋_GB2312" w:cs="方正仿宋_GB2312"/>
                <w:color w:val="auto"/>
                <w:sz w:val="18"/>
                <w:szCs w:val="18"/>
                <w:vertAlign w:val="baseline"/>
                <w:lang w:eastAsia="zh-CN"/>
              </w:rPr>
              <w:t>（</w:t>
            </w:r>
            <w:r>
              <w:rPr>
                <w:rFonts w:hint="eastAsia" w:ascii="方正仿宋_GB2312" w:hAnsi="方正仿宋_GB2312" w:eastAsia="方正仿宋_GB2312" w:cs="方正仿宋_GB2312"/>
                <w:color w:val="auto"/>
                <w:sz w:val="18"/>
                <w:szCs w:val="18"/>
                <w:vertAlign w:val="baseline"/>
                <w:lang w:val="en-US" w:eastAsia="zh-CN"/>
              </w:rPr>
              <w:t>水相</w:t>
            </w:r>
            <w:r>
              <w:rPr>
                <w:rFonts w:hint="eastAsia" w:ascii="方正仿宋_GB2312" w:hAnsi="方正仿宋_GB2312" w:eastAsia="方正仿宋_GB2312" w:cs="方正仿宋_GB2312"/>
                <w:color w:val="auto"/>
                <w:sz w:val="18"/>
                <w:szCs w:val="18"/>
                <w:vertAlign w:val="baseline"/>
                <w:lang w:eastAsia="zh-CN"/>
              </w:rPr>
              <w:t>）</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20盒</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3.</w:t>
            </w:r>
            <w:r>
              <w:rPr>
                <w:rFonts w:hint="eastAsia" w:ascii="方正仿宋_GB2312" w:hAnsi="方正仿宋_GB2312" w:eastAsia="方正仿宋_GB2312" w:cs="方正仿宋_GB2312"/>
                <w:color w:val="auto"/>
                <w:sz w:val="18"/>
                <w:szCs w:val="18"/>
                <w:highlight w:val="none"/>
                <w:vertAlign w:val="baseline"/>
              </w:rPr>
              <w:t>塑料离心管50ml/包、30包</w:t>
            </w:r>
            <w:r>
              <w:rPr>
                <w:rFonts w:hint="eastAsia" w:ascii="方正仿宋_GB2312" w:hAnsi="方正仿宋_GB2312" w:eastAsia="方正仿宋_GB2312" w:cs="方正仿宋_GB2312"/>
                <w:color w:val="auto"/>
                <w:sz w:val="18"/>
                <w:szCs w:val="18"/>
                <w:highlight w:val="none"/>
                <w:vertAlign w:val="baseline"/>
                <w:lang w:eastAsia="zh-CN"/>
              </w:rPr>
              <w:t>（</w:t>
            </w:r>
            <w:r>
              <w:rPr>
                <w:rFonts w:hint="eastAsia" w:ascii="方正仿宋_GB2312" w:hAnsi="方正仿宋_GB2312" w:eastAsia="方正仿宋_GB2312" w:cs="方正仿宋_GB2312"/>
                <w:color w:val="auto"/>
                <w:sz w:val="18"/>
                <w:szCs w:val="18"/>
                <w:highlight w:val="none"/>
                <w:vertAlign w:val="baseline"/>
                <w:lang w:val="en-US" w:eastAsia="zh-CN"/>
              </w:rPr>
              <w:t>PP共聚物材质</w:t>
            </w:r>
            <w:r>
              <w:rPr>
                <w:rFonts w:hint="eastAsia" w:ascii="方正仿宋_GB2312" w:hAnsi="方正仿宋_GB2312" w:eastAsia="方正仿宋_GB2312" w:cs="方正仿宋_GB2312"/>
                <w:color w:val="auto"/>
                <w:sz w:val="18"/>
                <w:szCs w:val="18"/>
                <w:highlight w:val="none"/>
                <w:vertAlign w:val="baseline"/>
                <w:lang w:eastAsia="zh-CN"/>
              </w:rPr>
              <w:t>）</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4</w:t>
            </w:r>
            <w:r>
              <w:rPr>
                <w:rFonts w:hint="eastAsia" w:ascii="方正仿宋_GB2312" w:hAnsi="方正仿宋_GB2312" w:eastAsia="方正仿宋_GB2312" w:cs="方正仿宋_GB2312"/>
                <w:color w:val="auto"/>
                <w:sz w:val="18"/>
                <w:szCs w:val="18"/>
                <w:vertAlign w:val="baseline"/>
              </w:rPr>
              <w:t>.固相萃取C18  500Mg/6mL、40盒</w:t>
            </w:r>
            <w:r>
              <w:rPr>
                <w:rFonts w:hint="eastAsia" w:ascii="方正仿宋_GB2312" w:hAnsi="方正仿宋_GB2312" w:eastAsia="方正仿宋_GB2312" w:cs="方正仿宋_GB2312"/>
                <w:color w:val="auto"/>
                <w:sz w:val="18"/>
                <w:szCs w:val="18"/>
                <w:vertAlign w:val="baseline"/>
                <w:lang w:eastAsia="zh-CN"/>
              </w:rPr>
              <w:t>；</w:t>
            </w:r>
            <w:r>
              <w:rPr>
                <w:rFonts w:hint="eastAsia" w:ascii="方正仿宋_GB2312" w:hAnsi="方正仿宋_GB2312" w:eastAsia="方正仿宋_GB2312" w:cs="方正仿宋_GB2312"/>
                <w:color w:val="auto"/>
                <w:sz w:val="18"/>
                <w:szCs w:val="18"/>
                <w:vertAlign w:val="baseline"/>
                <w:lang w:val="en-US" w:eastAsia="zh-CN"/>
              </w:rPr>
              <w:t>5.</w:t>
            </w:r>
            <w:r>
              <w:rPr>
                <w:rFonts w:hint="eastAsia" w:ascii="方正仿宋_GB2312" w:hAnsi="方正仿宋_GB2312" w:eastAsia="方正仿宋_GB2312" w:cs="方正仿宋_GB2312"/>
                <w:color w:val="auto"/>
                <w:sz w:val="18"/>
                <w:szCs w:val="18"/>
                <w:vertAlign w:val="baseline"/>
              </w:rPr>
              <w:t>塑料离心管30个/包/</w:t>
            </w:r>
            <w:r>
              <w:rPr>
                <w:rFonts w:hint="eastAsia" w:ascii="方正仿宋_GB2312" w:hAnsi="方正仿宋_GB2312" w:eastAsia="方正仿宋_GB2312" w:cs="方正仿宋_GB2312"/>
                <w:color w:val="auto"/>
                <w:sz w:val="18"/>
                <w:szCs w:val="18"/>
                <w:vertAlign w:val="baseline"/>
                <w:lang w:val="en-US" w:eastAsia="zh-CN"/>
              </w:rPr>
              <w:t>100ml，10包</w:t>
            </w:r>
            <w:r>
              <w:rPr>
                <w:rFonts w:hint="eastAsia" w:ascii="方正仿宋_GB2312" w:hAnsi="方正仿宋_GB2312" w:eastAsia="方正仿宋_GB2312" w:cs="方正仿宋_GB2312"/>
                <w:color w:val="auto"/>
                <w:sz w:val="18"/>
                <w:szCs w:val="18"/>
                <w:highlight w:val="none"/>
                <w:vertAlign w:val="baseline"/>
                <w:lang w:eastAsia="zh-CN"/>
              </w:rPr>
              <w:t>（</w:t>
            </w:r>
            <w:r>
              <w:rPr>
                <w:rFonts w:hint="eastAsia" w:ascii="方正仿宋_GB2312" w:hAnsi="方正仿宋_GB2312" w:eastAsia="方正仿宋_GB2312" w:cs="方正仿宋_GB2312"/>
                <w:color w:val="auto"/>
                <w:sz w:val="18"/>
                <w:szCs w:val="18"/>
                <w:highlight w:val="none"/>
                <w:vertAlign w:val="baseline"/>
                <w:lang w:val="en-US" w:eastAsia="zh-CN"/>
              </w:rPr>
              <w:t>PP共聚物材质</w:t>
            </w:r>
            <w:r>
              <w:rPr>
                <w:rFonts w:hint="eastAsia" w:ascii="方正仿宋_GB2312" w:hAnsi="方正仿宋_GB2312" w:eastAsia="方正仿宋_GB2312" w:cs="方正仿宋_GB2312"/>
                <w:color w:val="auto"/>
                <w:sz w:val="18"/>
                <w:szCs w:val="18"/>
                <w:highlight w:val="none"/>
                <w:vertAlign w:val="baseline"/>
                <w:lang w:eastAsia="zh-CN"/>
              </w:rPr>
              <w:t>）</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6</w:t>
            </w:r>
            <w:r>
              <w:rPr>
                <w:rFonts w:hint="eastAsia" w:ascii="方正仿宋_GB2312" w:hAnsi="方正仿宋_GB2312" w:eastAsia="方正仿宋_GB2312" w:cs="方正仿宋_GB2312"/>
                <w:color w:val="auto"/>
                <w:sz w:val="18"/>
                <w:szCs w:val="18"/>
                <w:vertAlign w:val="baseline"/>
              </w:rPr>
              <w:t>.茄形瓶100ml、50个；</w:t>
            </w:r>
            <w:r>
              <w:rPr>
                <w:rFonts w:hint="eastAsia" w:ascii="方正仿宋_GB2312" w:hAnsi="方正仿宋_GB2312" w:eastAsia="方正仿宋_GB2312" w:cs="方正仿宋_GB2312"/>
                <w:color w:val="auto"/>
                <w:sz w:val="18"/>
                <w:szCs w:val="18"/>
                <w:vertAlign w:val="baseline"/>
                <w:lang w:val="en-US" w:eastAsia="zh-CN"/>
              </w:rPr>
              <w:t>7</w:t>
            </w:r>
            <w:r>
              <w:rPr>
                <w:rFonts w:hint="eastAsia" w:ascii="方正仿宋_GB2312" w:hAnsi="方正仿宋_GB2312" w:eastAsia="方正仿宋_GB2312" w:cs="方正仿宋_GB2312"/>
                <w:color w:val="auto"/>
                <w:sz w:val="18"/>
                <w:szCs w:val="18"/>
                <w:vertAlign w:val="baseline"/>
              </w:rPr>
              <w:t>.鸡心瓶150ml、50个；</w:t>
            </w:r>
            <w:r>
              <w:rPr>
                <w:rFonts w:hint="eastAsia" w:ascii="方正仿宋_GB2312" w:hAnsi="方正仿宋_GB2312" w:eastAsia="方正仿宋_GB2312" w:cs="方正仿宋_GB2312"/>
                <w:color w:val="auto"/>
                <w:sz w:val="18"/>
                <w:szCs w:val="18"/>
                <w:vertAlign w:val="baseline"/>
                <w:lang w:val="en-US" w:eastAsia="zh-CN"/>
              </w:rPr>
              <w:t>8</w:t>
            </w:r>
            <w:r>
              <w:rPr>
                <w:rFonts w:hint="eastAsia" w:ascii="方正仿宋_GB2312" w:hAnsi="方正仿宋_GB2312" w:eastAsia="方正仿宋_GB2312" w:cs="方正仿宋_GB2312"/>
                <w:color w:val="auto"/>
                <w:sz w:val="18"/>
                <w:szCs w:val="18"/>
                <w:vertAlign w:val="baseline"/>
              </w:rPr>
              <w:t>.玻璃离心管（带刻度10ml）80个；</w:t>
            </w:r>
            <w:r>
              <w:rPr>
                <w:rFonts w:hint="eastAsia" w:ascii="方正仿宋_GB2312" w:hAnsi="方正仿宋_GB2312" w:eastAsia="方正仿宋_GB2312" w:cs="方正仿宋_GB2312"/>
                <w:color w:val="auto"/>
                <w:sz w:val="18"/>
                <w:szCs w:val="18"/>
                <w:vertAlign w:val="baseline"/>
                <w:lang w:val="en-US" w:eastAsia="zh-CN"/>
              </w:rPr>
              <w:t>9</w:t>
            </w:r>
            <w:r>
              <w:rPr>
                <w:rFonts w:hint="eastAsia" w:ascii="方正仿宋_GB2312" w:hAnsi="方正仿宋_GB2312" w:eastAsia="方正仿宋_GB2312" w:cs="方正仿宋_GB2312"/>
                <w:color w:val="auto"/>
                <w:sz w:val="18"/>
                <w:szCs w:val="18"/>
                <w:vertAlign w:val="baseline"/>
              </w:rPr>
              <w:t>.进样瓶（含盖、垫）带气相盖1500个，带预切口液相盖1500个，共计3000个；</w:t>
            </w:r>
            <w:r>
              <w:rPr>
                <w:rFonts w:hint="eastAsia" w:ascii="方正仿宋_GB2312" w:hAnsi="方正仿宋_GB2312" w:eastAsia="方正仿宋_GB2312" w:cs="方正仿宋_GB2312"/>
                <w:color w:val="auto"/>
                <w:sz w:val="18"/>
                <w:szCs w:val="18"/>
                <w:vertAlign w:val="baseline"/>
                <w:lang w:val="en-US" w:eastAsia="zh-CN"/>
              </w:rPr>
              <w:t>10</w:t>
            </w:r>
            <w:r>
              <w:rPr>
                <w:rFonts w:hint="eastAsia" w:ascii="方正仿宋_GB2312" w:hAnsi="方正仿宋_GB2312" w:eastAsia="方正仿宋_GB2312" w:cs="方正仿宋_GB2312"/>
                <w:color w:val="auto"/>
                <w:sz w:val="18"/>
                <w:szCs w:val="18"/>
                <w:vertAlign w:val="baseline"/>
              </w:rPr>
              <w:t>.单道可调移液器0.</w:t>
            </w:r>
            <w:r>
              <w:rPr>
                <w:rFonts w:hint="eastAsia" w:ascii="方正仿宋_GB2312" w:hAnsi="方正仿宋_GB2312" w:eastAsia="方正仿宋_GB2312" w:cs="方正仿宋_GB2312"/>
                <w:color w:val="auto"/>
                <w:sz w:val="18"/>
                <w:szCs w:val="18"/>
                <w:vertAlign w:val="baseline"/>
                <w:lang w:val="en-US" w:eastAsia="zh-CN"/>
              </w:rPr>
              <w:t>2</w:t>
            </w:r>
            <w:r>
              <w:rPr>
                <w:rFonts w:hint="eastAsia" w:ascii="方正仿宋_GB2312" w:hAnsi="方正仿宋_GB2312" w:eastAsia="方正仿宋_GB2312" w:cs="方正仿宋_GB2312"/>
                <w:color w:val="auto"/>
                <w:sz w:val="18"/>
                <w:szCs w:val="18"/>
                <w:vertAlign w:val="baseline"/>
              </w:rPr>
              <w:t>-5mL（2支）</w:t>
            </w:r>
            <w:r>
              <w:rPr>
                <w:rFonts w:hint="eastAsia" w:ascii="方正仿宋_GB2312" w:hAnsi="方正仿宋_GB2312" w:eastAsia="方正仿宋_GB2312" w:cs="方正仿宋_GB2312"/>
                <w:color w:val="auto"/>
                <w:sz w:val="18"/>
                <w:szCs w:val="18"/>
                <w:vertAlign w:val="baseline"/>
                <w:lang w:eastAsia="zh-CN"/>
              </w:rPr>
              <w:t>、</w:t>
            </w:r>
            <w:r>
              <w:rPr>
                <w:rFonts w:hint="eastAsia" w:ascii="方正仿宋_GB2312" w:hAnsi="方正仿宋_GB2312" w:eastAsia="方正仿宋_GB2312" w:cs="方正仿宋_GB2312"/>
                <w:color w:val="auto"/>
                <w:sz w:val="18"/>
                <w:szCs w:val="18"/>
                <w:vertAlign w:val="baseline"/>
                <w:lang w:val="en-US" w:eastAsia="zh-CN"/>
              </w:rPr>
              <w:t>5</w:t>
            </w:r>
            <w:r>
              <w:rPr>
                <w:rFonts w:hint="eastAsia" w:ascii="方正仿宋_GB2312" w:hAnsi="方正仿宋_GB2312" w:eastAsia="方正仿宋_GB2312" w:cs="方正仿宋_GB2312"/>
                <w:color w:val="auto"/>
                <w:sz w:val="18"/>
                <w:szCs w:val="18"/>
                <w:vertAlign w:val="baseline"/>
              </w:rPr>
              <w:t>0-1000μL（2支）、1-10mL（2支）、</w:t>
            </w:r>
            <w:r>
              <w:rPr>
                <w:rFonts w:hint="eastAsia" w:ascii="方正仿宋_GB2312" w:hAnsi="方正仿宋_GB2312" w:eastAsia="方正仿宋_GB2312" w:cs="方正仿宋_GB2312"/>
                <w:color w:val="auto"/>
                <w:sz w:val="18"/>
                <w:szCs w:val="18"/>
                <w:vertAlign w:val="baseline"/>
                <w:lang w:val="en-US" w:eastAsia="zh-CN"/>
              </w:rPr>
              <w:t>1</w:t>
            </w:r>
            <w:r>
              <w:rPr>
                <w:rFonts w:hint="eastAsia" w:ascii="方正仿宋_GB2312" w:hAnsi="方正仿宋_GB2312" w:eastAsia="方正仿宋_GB2312" w:cs="方正仿宋_GB2312"/>
                <w:color w:val="auto"/>
                <w:sz w:val="18"/>
                <w:szCs w:val="18"/>
                <w:vertAlign w:val="baseline"/>
              </w:rPr>
              <w:t>-20μL（2支）、</w:t>
            </w:r>
            <w:r>
              <w:rPr>
                <w:rFonts w:hint="eastAsia" w:ascii="方正仿宋_GB2312" w:hAnsi="方正仿宋_GB2312" w:eastAsia="方正仿宋_GB2312" w:cs="方正仿宋_GB2312"/>
                <w:color w:val="auto"/>
                <w:sz w:val="18"/>
                <w:szCs w:val="18"/>
                <w:vertAlign w:val="baseline"/>
                <w:lang w:val="en-US" w:eastAsia="zh-CN"/>
              </w:rPr>
              <w:t>5</w:t>
            </w:r>
            <w:r>
              <w:rPr>
                <w:rFonts w:hint="eastAsia" w:ascii="方正仿宋_GB2312" w:hAnsi="方正仿宋_GB2312" w:eastAsia="方正仿宋_GB2312" w:cs="方正仿宋_GB2312"/>
                <w:color w:val="auto"/>
                <w:sz w:val="18"/>
                <w:szCs w:val="18"/>
                <w:vertAlign w:val="baseline"/>
              </w:rPr>
              <w:t>-100μL（2支）、</w:t>
            </w:r>
            <w:r>
              <w:rPr>
                <w:rFonts w:hint="eastAsia" w:ascii="方正仿宋_GB2312" w:hAnsi="方正仿宋_GB2312" w:eastAsia="方正仿宋_GB2312" w:cs="方正仿宋_GB2312"/>
                <w:color w:val="auto"/>
                <w:sz w:val="18"/>
                <w:szCs w:val="18"/>
                <w:vertAlign w:val="baseline"/>
                <w:lang w:val="en-US" w:eastAsia="zh-CN"/>
              </w:rPr>
              <w:t>1</w:t>
            </w:r>
            <w:r>
              <w:rPr>
                <w:rFonts w:hint="eastAsia" w:ascii="方正仿宋_GB2312" w:hAnsi="方正仿宋_GB2312" w:eastAsia="方正仿宋_GB2312" w:cs="方正仿宋_GB2312"/>
                <w:color w:val="auto"/>
                <w:sz w:val="18"/>
                <w:szCs w:val="18"/>
                <w:vertAlign w:val="baseline"/>
              </w:rPr>
              <w:t>0-200μL（2支）、</w:t>
            </w:r>
            <w:r>
              <w:rPr>
                <w:rFonts w:hint="eastAsia" w:ascii="方正仿宋_GB2312" w:hAnsi="方正仿宋_GB2312" w:eastAsia="方正仿宋_GB2312" w:cs="方正仿宋_GB2312"/>
                <w:color w:val="auto"/>
                <w:sz w:val="18"/>
                <w:szCs w:val="18"/>
                <w:vertAlign w:val="baseline"/>
                <w:lang w:val="en-US" w:eastAsia="zh-CN"/>
              </w:rPr>
              <w:t>15</w:t>
            </w:r>
            <w:r>
              <w:rPr>
                <w:rFonts w:hint="eastAsia" w:ascii="方正仿宋_GB2312" w:hAnsi="方正仿宋_GB2312" w:eastAsia="方正仿宋_GB2312" w:cs="方正仿宋_GB2312"/>
                <w:color w:val="auto"/>
                <w:sz w:val="18"/>
                <w:szCs w:val="18"/>
                <w:vertAlign w:val="baseline"/>
              </w:rPr>
              <w:t>-300μL（2支）；</w:t>
            </w:r>
            <w:r>
              <w:rPr>
                <w:rFonts w:hint="eastAsia" w:ascii="方正仿宋_GB2312" w:hAnsi="方正仿宋_GB2312" w:eastAsia="方正仿宋_GB2312" w:cs="方正仿宋_GB2312"/>
                <w:color w:val="auto"/>
                <w:sz w:val="18"/>
                <w:szCs w:val="18"/>
                <w:vertAlign w:val="baseline"/>
                <w:lang w:val="en-US" w:eastAsia="zh-CN"/>
              </w:rPr>
              <w:t>11</w:t>
            </w:r>
            <w:r>
              <w:rPr>
                <w:rFonts w:hint="eastAsia" w:ascii="方正仿宋_GB2312" w:hAnsi="方正仿宋_GB2312" w:eastAsia="方正仿宋_GB2312" w:cs="方正仿宋_GB2312"/>
                <w:color w:val="auto"/>
                <w:sz w:val="18"/>
                <w:szCs w:val="18"/>
                <w:vertAlign w:val="baseline"/>
              </w:rPr>
              <w:t>.扩项用气体一批，高纯氮</w:t>
            </w:r>
            <w:r>
              <w:rPr>
                <w:rFonts w:hint="eastAsia" w:ascii="方正仿宋_GB2312" w:hAnsi="方正仿宋_GB2312" w:eastAsia="方正仿宋_GB2312" w:cs="方正仿宋_GB2312"/>
                <w:color w:val="auto"/>
                <w:sz w:val="18"/>
                <w:szCs w:val="18"/>
                <w:vertAlign w:val="baseline"/>
                <w:lang w:val="en-US" w:eastAsia="zh-CN"/>
              </w:rPr>
              <w:t>10</w:t>
            </w:r>
            <w:r>
              <w:rPr>
                <w:rFonts w:hint="eastAsia" w:ascii="方正仿宋_GB2312" w:hAnsi="方正仿宋_GB2312" w:eastAsia="方正仿宋_GB2312" w:cs="方正仿宋_GB2312"/>
                <w:color w:val="auto"/>
                <w:sz w:val="18"/>
                <w:szCs w:val="18"/>
                <w:vertAlign w:val="baseline"/>
              </w:rPr>
              <w:t>瓶；1</w:t>
            </w:r>
            <w:r>
              <w:rPr>
                <w:rFonts w:hint="eastAsia" w:ascii="方正仿宋_GB2312" w:hAnsi="方正仿宋_GB2312" w:eastAsia="方正仿宋_GB2312" w:cs="方正仿宋_GB2312"/>
                <w:color w:val="auto"/>
                <w:sz w:val="18"/>
                <w:szCs w:val="18"/>
                <w:vertAlign w:val="baseline"/>
                <w:lang w:val="en-US" w:eastAsia="zh-CN"/>
              </w:rPr>
              <w:t>2</w:t>
            </w:r>
            <w:r>
              <w:rPr>
                <w:rFonts w:hint="eastAsia" w:ascii="方正仿宋_GB2312" w:hAnsi="方正仿宋_GB2312" w:eastAsia="方正仿宋_GB2312" w:cs="方正仿宋_GB2312"/>
                <w:color w:val="auto"/>
                <w:sz w:val="18"/>
                <w:szCs w:val="18"/>
                <w:vertAlign w:val="baseline"/>
              </w:rPr>
              <w:t>.佛罗里硒固相萃取小柱30个/包、160包</w:t>
            </w:r>
            <w:r>
              <w:rPr>
                <w:rFonts w:hint="eastAsia" w:ascii="方正仿宋_GB2312" w:hAnsi="方正仿宋_GB2312" w:eastAsia="方正仿宋_GB2312" w:cs="方正仿宋_GB2312"/>
                <w:color w:val="auto"/>
                <w:sz w:val="18"/>
                <w:szCs w:val="18"/>
                <w:vertAlign w:val="baseline"/>
                <w:lang w:eastAsia="zh-CN"/>
              </w:rPr>
              <w:t>；</w:t>
            </w:r>
            <w:r>
              <w:rPr>
                <w:rFonts w:hint="eastAsia" w:ascii="方正仿宋_GB2312" w:hAnsi="方正仿宋_GB2312" w:eastAsia="方正仿宋_GB2312" w:cs="方正仿宋_GB2312"/>
                <w:color w:val="auto"/>
                <w:sz w:val="18"/>
                <w:szCs w:val="18"/>
                <w:vertAlign w:val="baseline"/>
                <w:lang w:val="en-US" w:eastAsia="zh-CN"/>
              </w:rPr>
              <w:t>1</w:t>
            </w:r>
            <w:r>
              <w:rPr>
                <w:rFonts w:hint="eastAsia" w:ascii="方正仿宋_GB2312" w:hAnsi="方正仿宋_GB2312" w:eastAsia="方正仿宋_GB2312" w:cs="方正仿宋_GB2312"/>
                <w:color w:val="auto"/>
                <w:sz w:val="18"/>
                <w:szCs w:val="18"/>
                <w:highlight w:val="none"/>
                <w:vertAlign w:val="baseline"/>
                <w:lang w:val="en-US" w:eastAsia="zh-CN"/>
              </w:rPr>
              <w:t>3.QuEChERS 盐包（4g无水硫酸镁、1g氯化钠、0.5g柠檬酸二钠盐倍半水合物，1g柠檬酸钠二水和物），</w:t>
            </w:r>
            <w:r>
              <w:rPr>
                <w:rFonts w:hint="eastAsia" w:ascii="方正仿宋_GB2312" w:hAnsi="方正仿宋_GB2312" w:eastAsia="方正仿宋_GB2312" w:cs="方正仿宋_GB2312"/>
                <w:color w:val="auto"/>
                <w:sz w:val="18"/>
                <w:szCs w:val="18"/>
                <w:vertAlign w:val="baseline"/>
                <w:lang w:val="en-US" w:eastAsia="zh-CN"/>
              </w:rPr>
              <w:t xml:space="preserve">3000包；14.QuEChERS   15ml 萃取管（885㎎无水硫酸镁、150㎎PSA 、15㎎GCB） ,3000个； </w:t>
            </w:r>
            <w:r>
              <w:rPr>
                <w:rFonts w:hint="eastAsia" w:ascii="方正仿宋_GB2312" w:hAnsi="方正仿宋_GB2312" w:eastAsia="方正仿宋_GB2312" w:cs="方正仿宋_GB2312"/>
                <w:color w:val="auto"/>
                <w:sz w:val="18"/>
                <w:szCs w:val="18"/>
                <w:vertAlign w:val="baseline"/>
              </w:rPr>
              <w:t>1</w:t>
            </w:r>
            <w:r>
              <w:rPr>
                <w:rFonts w:hint="eastAsia" w:ascii="方正仿宋_GB2312" w:hAnsi="方正仿宋_GB2312" w:eastAsia="方正仿宋_GB2312" w:cs="方正仿宋_GB2312"/>
                <w:color w:val="auto"/>
                <w:sz w:val="18"/>
                <w:szCs w:val="18"/>
                <w:vertAlign w:val="baseline"/>
                <w:lang w:val="en-US" w:eastAsia="zh-CN"/>
              </w:rPr>
              <w:t>5</w:t>
            </w:r>
            <w:r>
              <w:rPr>
                <w:rFonts w:hint="eastAsia" w:ascii="方正仿宋_GB2312" w:hAnsi="方正仿宋_GB2312" w:eastAsia="方正仿宋_GB2312" w:cs="方正仿宋_GB2312"/>
                <w:color w:val="auto"/>
                <w:sz w:val="18"/>
                <w:szCs w:val="18"/>
                <w:vertAlign w:val="baseline"/>
              </w:rPr>
              <w:t xml:space="preserve">.微孔滤膜0.22um </w:t>
            </w:r>
            <w:r>
              <w:rPr>
                <w:rFonts w:hint="eastAsia" w:ascii="方正仿宋_GB2312" w:hAnsi="方正仿宋_GB2312" w:eastAsia="方正仿宋_GB2312" w:cs="方正仿宋_GB2312"/>
                <w:color w:val="auto"/>
                <w:sz w:val="18"/>
                <w:szCs w:val="18"/>
                <w:vertAlign w:val="baseline"/>
                <w:lang w:val="en-US" w:eastAsia="zh-CN"/>
              </w:rPr>
              <w:t>亲水PTFE</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3</w:t>
            </w:r>
            <w:r>
              <w:rPr>
                <w:rFonts w:hint="eastAsia" w:ascii="方正仿宋_GB2312" w:hAnsi="方正仿宋_GB2312" w:eastAsia="方正仿宋_GB2312" w:cs="方正仿宋_GB2312"/>
                <w:color w:val="auto"/>
                <w:sz w:val="18"/>
                <w:szCs w:val="18"/>
                <w:vertAlign w:val="baseline"/>
              </w:rPr>
              <w:t>0盒；</w:t>
            </w:r>
            <w:r>
              <w:rPr>
                <w:rFonts w:hint="eastAsia" w:ascii="方正仿宋_GB2312" w:hAnsi="方正仿宋_GB2312" w:eastAsia="方正仿宋_GB2312" w:cs="方正仿宋_GB2312"/>
                <w:color w:val="auto"/>
                <w:sz w:val="18"/>
                <w:szCs w:val="18"/>
                <w:vertAlign w:val="baseline"/>
                <w:lang w:val="en-US" w:eastAsia="zh-CN"/>
              </w:rPr>
              <w:t>16.2.5毫升无针注射器，50盒； 17.HLB去磷脂柱30个/盒，20 盒 ；18.亲水亲脂平衡型固相萃取柱 200mg/6ml ，20盒；19.十万分之一电子天平，1台。</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20.</w:t>
            </w:r>
            <w:r>
              <w:rPr>
                <w:rFonts w:hint="eastAsia" w:ascii="方正仿宋_GB2312" w:hAnsi="方正仿宋_GB2312" w:eastAsia="方正仿宋_GB2312" w:cs="方正仿宋_GB2312"/>
                <w:color w:val="auto"/>
                <w:sz w:val="18"/>
                <w:szCs w:val="18"/>
                <w:vertAlign w:val="baseline"/>
              </w:rPr>
              <w:t xml:space="preserve">微孔滤膜0.22um </w:t>
            </w:r>
            <w:r>
              <w:rPr>
                <w:rFonts w:hint="eastAsia" w:ascii="方正仿宋_GB2312" w:hAnsi="方正仿宋_GB2312" w:eastAsia="方正仿宋_GB2312" w:cs="方正仿宋_GB2312"/>
                <w:color w:val="auto"/>
                <w:sz w:val="18"/>
                <w:szCs w:val="18"/>
                <w:vertAlign w:val="baseline"/>
                <w:lang w:val="en-US" w:eastAsia="zh-CN"/>
              </w:rPr>
              <w:t>PTFE疏水膜</w:t>
            </w:r>
            <w:r>
              <w:rPr>
                <w:rFonts w:hint="eastAsia" w:ascii="方正仿宋_GB2312" w:hAnsi="方正仿宋_GB2312" w:eastAsia="方正仿宋_GB2312" w:cs="方正仿宋_GB2312"/>
                <w:color w:val="auto"/>
                <w:sz w:val="18"/>
                <w:szCs w:val="18"/>
                <w:vertAlign w:val="baseline"/>
              </w:rPr>
              <w:t>、</w:t>
            </w:r>
            <w:r>
              <w:rPr>
                <w:rFonts w:hint="eastAsia" w:ascii="方正仿宋_GB2312" w:hAnsi="方正仿宋_GB2312" w:eastAsia="方正仿宋_GB2312" w:cs="方正仿宋_GB2312"/>
                <w:color w:val="auto"/>
                <w:sz w:val="18"/>
                <w:szCs w:val="18"/>
                <w:vertAlign w:val="baseline"/>
                <w:lang w:val="en-US" w:eastAsia="zh-CN"/>
              </w:rPr>
              <w:t>3</w:t>
            </w:r>
            <w:r>
              <w:rPr>
                <w:rFonts w:hint="eastAsia" w:ascii="方正仿宋_GB2312" w:hAnsi="方正仿宋_GB2312" w:eastAsia="方正仿宋_GB2312" w:cs="方正仿宋_GB2312"/>
                <w:color w:val="auto"/>
                <w:sz w:val="18"/>
                <w:szCs w:val="18"/>
                <w:vertAlign w:val="baseline"/>
              </w:rPr>
              <w:t>0盒</w:t>
            </w:r>
            <w:r>
              <w:rPr>
                <w:rFonts w:hint="eastAsia" w:ascii="方正仿宋_GB2312" w:hAnsi="方正仿宋_GB2312" w:eastAsia="方正仿宋_GB2312" w:cs="方正仿宋_GB2312"/>
                <w:color w:val="auto"/>
                <w:sz w:val="18"/>
                <w:szCs w:val="18"/>
                <w:vertAlign w:val="baseline"/>
                <w:lang w:eastAsia="zh-CN"/>
              </w:rPr>
              <w:t>。</w:t>
            </w:r>
          </w:p>
          <w:p w14:paraId="57DD18C1">
            <w:pPr>
              <w:numPr>
                <w:ilvl w:val="0"/>
                <w:numId w:val="0"/>
              </w:numPr>
              <w:jc w:val="left"/>
              <w:rPr>
                <w:rFonts w:hint="eastAsia" w:ascii="方正仿宋_GB2312" w:hAnsi="方正仿宋_GB2312" w:eastAsia="方正仿宋_GB2312" w:cs="方正仿宋_GB2312"/>
                <w:color w:val="FF0000"/>
                <w:sz w:val="18"/>
                <w:szCs w:val="18"/>
                <w:vertAlign w:val="baseline"/>
                <w:lang w:val="en-US" w:eastAsia="zh-CN"/>
              </w:rPr>
            </w:pPr>
            <w:r>
              <w:rPr>
                <w:rFonts w:hint="eastAsia" w:ascii="方正仿宋_GB2312" w:hAnsi="方正仿宋_GB2312" w:eastAsia="方正仿宋_GB2312" w:cs="方正仿宋_GB2312"/>
                <w:color w:val="auto"/>
                <w:sz w:val="18"/>
                <w:szCs w:val="18"/>
                <w:vertAlign w:val="baseline"/>
                <w:lang w:val="en-US" w:eastAsia="zh-CN"/>
              </w:rPr>
              <w:t>21.检定、校准仪器10台仪器，玻璃量器、移液器、温度计、温湿度计等一批。22.玻璃器皿一批。23.移液枪6支。</w:t>
            </w:r>
          </w:p>
        </w:tc>
      </w:tr>
      <w:tr w14:paraId="645A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647066D5">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13</w:t>
            </w:r>
          </w:p>
        </w:tc>
        <w:tc>
          <w:tcPr>
            <w:tcW w:w="553" w:type="pct"/>
            <w:noWrap w:val="0"/>
            <w:vAlign w:val="center"/>
          </w:tcPr>
          <w:p w14:paraId="02813847">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对开门冰箱</w:t>
            </w:r>
          </w:p>
        </w:tc>
        <w:tc>
          <w:tcPr>
            <w:tcW w:w="532" w:type="pct"/>
            <w:noWrap w:val="0"/>
            <w:vAlign w:val="center"/>
          </w:tcPr>
          <w:p w14:paraId="0779E1F7">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一台</w:t>
            </w:r>
          </w:p>
        </w:tc>
        <w:tc>
          <w:tcPr>
            <w:tcW w:w="3554" w:type="pct"/>
            <w:noWrap w:val="0"/>
            <w:vAlign w:val="top"/>
          </w:tcPr>
          <w:p w14:paraId="725D8F9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一、用途</w:t>
            </w:r>
          </w:p>
          <w:p w14:paraId="5EB978B0">
            <w:pPr>
              <w:jc w:val="left"/>
              <w:rPr>
                <w:rFonts w:hint="eastAsia" w:ascii="方正仿宋_GB2312" w:hAnsi="方正仿宋_GB2312" w:eastAsia="方正仿宋_GB2312" w:cs="方正仿宋_GB2312"/>
                <w:color w:val="auto"/>
                <w:sz w:val="18"/>
                <w:szCs w:val="18"/>
                <w:highlight w:val="green"/>
                <w:vertAlign w:val="baseline"/>
                <w:lang w:eastAsia="zh-CN"/>
              </w:rPr>
            </w:pPr>
            <w:r>
              <w:rPr>
                <w:rFonts w:hint="eastAsia" w:ascii="方正仿宋_GB2312" w:hAnsi="方正仿宋_GB2312" w:eastAsia="方正仿宋_GB2312" w:cs="方正仿宋_GB2312"/>
                <w:color w:val="auto"/>
                <w:sz w:val="18"/>
                <w:szCs w:val="18"/>
                <w:vertAlign w:val="baseline"/>
                <w:lang w:val="en-US" w:eastAsia="zh-CN"/>
              </w:rPr>
              <w:t>用于农产品质量安全检测相关农、兽药标准品和化学试剂的存放。</w:t>
            </w:r>
          </w:p>
          <w:p w14:paraId="376BBB3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二、主要指标</w:t>
            </w:r>
          </w:p>
          <w:p w14:paraId="6E41134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2.1、工作条件：环境温度10~32℃，环境湿度：≤80%Rh，输入电压：220±10%，频率：50±1HZ。</w:t>
            </w:r>
          </w:p>
          <w:p w14:paraId="059C666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2.2、样式：立式、单门。</w:t>
            </w:r>
          </w:p>
          <w:p w14:paraId="3497DBF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2.3、有效容积（L）：416L。</w:t>
            </w:r>
          </w:p>
          <w:p w14:paraId="7E544791">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2.4、外部尺寸（宽*深*高mm）：690*653*1920。</w:t>
            </w:r>
          </w:p>
          <w:p w14:paraId="7EB5D04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2.5、内部尺寸（宽*深*高mm）：595*514*1343。</w:t>
            </w:r>
          </w:p>
          <w:p w14:paraId="1869F4F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2.6、净重/毛重（KG）：88/97。</w:t>
            </w:r>
          </w:p>
          <w:p w14:paraId="4A612288">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2.7、优化制冷系统设计，制冷高效，额定功率260W</w:t>
            </w:r>
          </w:p>
          <w:p w14:paraId="24993F2E">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2.8、内胆材料：HIPS耐低温高强度复合材料，抗腐蚀，易清洗，使用寿命长。</w:t>
            </w:r>
          </w:p>
          <w:p w14:paraId="756D2D6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2.9、箱体材料：优质结构PCM钢板，耐腐蚀，易清洁，保温性能好。</w:t>
            </w:r>
          </w:p>
          <w:p w14:paraId="04DC874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2.10、门体材质：电加热玻璃门，可根据使用环境选择常开、常关、自动电加热三种模式，门体防凝露设计，80%湿度环境下无凝露。</w:t>
            </w:r>
          </w:p>
          <w:p w14:paraId="59C018B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2.11、高亮度LED白色数码温度屏，视觉更柔和，同时可显示箱内温度和湿度，显示精度0.1℃。</w:t>
            </w:r>
          </w:p>
          <w:p w14:paraId="32629EED">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w:t>
            </w:r>
            <w:r>
              <w:rPr>
                <w:rFonts w:hint="eastAsia" w:ascii="方正仿宋_GB2312" w:hAnsi="方正仿宋_GB2312" w:eastAsia="方正仿宋_GB2312" w:cs="方正仿宋_GB2312"/>
                <w:sz w:val="18"/>
                <w:szCs w:val="18"/>
                <w:vertAlign w:val="baseline"/>
                <w:lang w:val="en-US" w:eastAsia="zh-CN"/>
              </w:rPr>
              <w:t>2</w:t>
            </w:r>
            <w:r>
              <w:rPr>
                <w:rFonts w:hint="eastAsia" w:ascii="方正仿宋_GB2312" w:hAnsi="方正仿宋_GB2312" w:eastAsia="方正仿宋_GB2312" w:cs="方正仿宋_GB2312"/>
                <w:sz w:val="18"/>
                <w:szCs w:val="18"/>
                <w:vertAlign w:val="baseline"/>
              </w:rPr>
              <w:t>、可调搁架设计：标配5个高密度钢丝浸塑搁架，间距小于1公分，防止物品掉落，带价目条，方便放置物品标识，易于清洗。</w:t>
            </w:r>
          </w:p>
          <w:p w14:paraId="3FD4D81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w:t>
            </w:r>
            <w:r>
              <w:rPr>
                <w:rFonts w:hint="eastAsia" w:ascii="方正仿宋_GB2312" w:hAnsi="方正仿宋_GB2312" w:eastAsia="方正仿宋_GB2312" w:cs="方正仿宋_GB2312"/>
                <w:sz w:val="18"/>
                <w:szCs w:val="18"/>
                <w:vertAlign w:val="baseline"/>
                <w:lang w:val="en-US" w:eastAsia="zh-CN"/>
              </w:rPr>
              <w:t>3</w:t>
            </w:r>
            <w:r>
              <w:rPr>
                <w:rFonts w:hint="eastAsia" w:ascii="方正仿宋_GB2312" w:hAnsi="方正仿宋_GB2312" w:eastAsia="方正仿宋_GB2312" w:cs="方正仿宋_GB2312"/>
                <w:sz w:val="18"/>
                <w:szCs w:val="18"/>
                <w:vertAlign w:val="baseline"/>
              </w:rPr>
              <w:t>、门体标配机械锁，安全门锁设计，保护样本安全。</w:t>
            </w:r>
          </w:p>
          <w:p w14:paraId="4E7E0A1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2.1</w:t>
            </w:r>
            <w:r>
              <w:rPr>
                <w:rFonts w:hint="eastAsia" w:ascii="方正仿宋_GB2312" w:hAnsi="方正仿宋_GB2312" w:eastAsia="方正仿宋_GB2312" w:cs="方正仿宋_GB2312"/>
                <w:sz w:val="18"/>
                <w:szCs w:val="18"/>
                <w:vertAlign w:val="baseline"/>
                <w:lang w:val="en-US" w:eastAsia="zh-CN"/>
              </w:rPr>
              <w:t>4</w:t>
            </w:r>
            <w:r>
              <w:rPr>
                <w:rFonts w:hint="eastAsia" w:ascii="方正仿宋_GB2312" w:hAnsi="方正仿宋_GB2312" w:eastAsia="方正仿宋_GB2312" w:cs="方正仿宋_GB2312"/>
                <w:sz w:val="18"/>
                <w:szCs w:val="18"/>
                <w:vertAlign w:val="baseline"/>
              </w:rPr>
              <w:t>、2个万向轮+2个定向轮设计，万向轮带有锁止功能，便于移动和固定放置。</w:t>
            </w:r>
          </w:p>
          <w:p w14:paraId="56D8754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w:t>
            </w:r>
            <w:r>
              <w:rPr>
                <w:rFonts w:hint="eastAsia" w:ascii="方正仿宋_GB2312" w:hAnsi="方正仿宋_GB2312" w:eastAsia="方正仿宋_GB2312" w:cs="方正仿宋_GB2312"/>
                <w:sz w:val="18"/>
                <w:szCs w:val="18"/>
                <w:vertAlign w:val="baseline"/>
                <w:lang w:val="en-US" w:eastAsia="zh-CN"/>
              </w:rPr>
              <w:t>15</w:t>
            </w:r>
            <w:r>
              <w:rPr>
                <w:rFonts w:hint="eastAsia" w:ascii="方正仿宋_GB2312" w:hAnsi="方正仿宋_GB2312" w:eastAsia="方正仿宋_GB2312" w:cs="方正仿宋_GB2312"/>
                <w:sz w:val="18"/>
                <w:szCs w:val="18"/>
                <w:vertAlign w:val="baseline"/>
              </w:rPr>
              <w:t>、标配蓄电池，断电情况下，可提供不少于24小时报警功能，实时显示箱内温度变化。</w:t>
            </w:r>
          </w:p>
          <w:p w14:paraId="554C40E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w:t>
            </w:r>
            <w:r>
              <w:rPr>
                <w:rFonts w:hint="eastAsia" w:ascii="方正仿宋_GB2312" w:hAnsi="方正仿宋_GB2312" w:eastAsia="方正仿宋_GB2312" w:cs="方正仿宋_GB2312"/>
                <w:sz w:val="18"/>
                <w:szCs w:val="18"/>
                <w:vertAlign w:val="baseline"/>
                <w:lang w:val="en-US" w:eastAsia="zh-CN"/>
              </w:rPr>
              <w:t>16</w:t>
            </w:r>
            <w:r>
              <w:rPr>
                <w:rFonts w:hint="eastAsia" w:ascii="方正仿宋_GB2312" w:hAnsi="方正仿宋_GB2312" w:eastAsia="方正仿宋_GB2312" w:cs="方正仿宋_GB2312"/>
                <w:sz w:val="18"/>
                <w:szCs w:val="18"/>
                <w:vertAlign w:val="baseline"/>
              </w:rPr>
              <w:t>、标配USB数据导出接口，接入U盘可自动存储当月及上月数据，数据PDF格式。U盘持续连接可自动持续存储温度数据。</w:t>
            </w:r>
          </w:p>
          <w:p w14:paraId="2590B1D0">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w:t>
            </w:r>
            <w:r>
              <w:rPr>
                <w:rFonts w:hint="eastAsia" w:ascii="方正仿宋_GB2312" w:hAnsi="方正仿宋_GB2312" w:eastAsia="方正仿宋_GB2312" w:cs="方正仿宋_GB2312"/>
                <w:sz w:val="18"/>
                <w:szCs w:val="18"/>
                <w:vertAlign w:val="baseline"/>
                <w:lang w:val="en-US" w:eastAsia="zh-CN"/>
              </w:rPr>
              <w:t>17</w:t>
            </w:r>
            <w:r>
              <w:rPr>
                <w:rFonts w:hint="eastAsia" w:ascii="方正仿宋_GB2312" w:hAnsi="方正仿宋_GB2312" w:eastAsia="方正仿宋_GB2312" w:cs="方正仿宋_GB2312"/>
                <w:sz w:val="18"/>
                <w:szCs w:val="18"/>
                <w:vertAlign w:val="baseline"/>
              </w:rPr>
              <w:t>、可选配远程报警功能以及打印机配置。</w:t>
            </w:r>
          </w:p>
          <w:p w14:paraId="6CE56D9C">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w:t>
            </w:r>
            <w:r>
              <w:rPr>
                <w:rFonts w:hint="eastAsia" w:ascii="方正仿宋_GB2312" w:hAnsi="方正仿宋_GB2312" w:eastAsia="方正仿宋_GB2312" w:cs="方正仿宋_GB2312"/>
                <w:sz w:val="18"/>
                <w:szCs w:val="18"/>
                <w:vertAlign w:val="baseline"/>
                <w:lang w:val="en-US" w:eastAsia="zh-CN"/>
              </w:rPr>
              <w:t>18</w:t>
            </w:r>
            <w:r>
              <w:rPr>
                <w:rFonts w:hint="eastAsia" w:ascii="方正仿宋_GB2312" w:hAnsi="方正仿宋_GB2312" w:eastAsia="方正仿宋_GB2312" w:cs="方正仿宋_GB2312"/>
                <w:sz w:val="18"/>
                <w:szCs w:val="18"/>
                <w:vertAlign w:val="baseline"/>
              </w:rPr>
              <w:t>、采用ABS材质暗把手，一体化设计美观大方，方便开门。</w:t>
            </w:r>
          </w:p>
          <w:p w14:paraId="0807227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w:t>
            </w:r>
            <w:r>
              <w:rPr>
                <w:rFonts w:hint="eastAsia" w:ascii="方正仿宋_GB2312" w:hAnsi="方正仿宋_GB2312" w:eastAsia="方正仿宋_GB2312" w:cs="方正仿宋_GB2312"/>
                <w:sz w:val="18"/>
                <w:szCs w:val="18"/>
                <w:vertAlign w:val="baseline"/>
                <w:lang w:val="en-US" w:eastAsia="zh-CN"/>
              </w:rPr>
              <w:t>19</w:t>
            </w:r>
            <w:r>
              <w:rPr>
                <w:rFonts w:hint="eastAsia" w:ascii="方正仿宋_GB2312" w:hAnsi="方正仿宋_GB2312" w:eastAsia="方正仿宋_GB2312" w:cs="方正仿宋_GB2312"/>
                <w:sz w:val="18"/>
                <w:szCs w:val="18"/>
                <w:vertAlign w:val="baseline"/>
              </w:rPr>
              <w:t>、箱体左侧标配1个测试孔，方便实验使用和监控箱内温度。</w:t>
            </w:r>
          </w:p>
          <w:p w14:paraId="6BE621A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w:t>
            </w:r>
            <w:r>
              <w:rPr>
                <w:rFonts w:hint="eastAsia" w:ascii="方正仿宋_GB2312" w:hAnsi="方正仿宋_GB2312" w:eastAsia="方正仿宋_GB2312" w:cs="方正仿宋_GB2312"/>
                <w:sz w:val="18"/>
                <w:szCs w:val="18"/>
                <w:vertAlign w:val="baseline"/>
                <w:lang w:val="en-US" w:eastAsia="zh-CN"/>
              </w:rPr>
              <w:t>20</w:t>
            </w:r>
            <w:r>
              <w:rPr>
                <w:rFonts w:hint="eastAsia" w:ascii="方正仿宋_GB2312" w:hAnsi="方正仿宋_GB2312" w:eastAsia="方正仿宋_GB2312" w:cs="方正仿宋_GB2312"/>
                <w:sz w:val="18"/>
                <w:szCs w:val="18"/>
                <w:vertAlign w:val="baseline"/>
              </w:rPr>
              <w:t>、冷凝水汇集后自动蒸发，无需人工倒水、免除冷凝水汇集烦恼。</w:t>
            </w:r>
          </w:p>
          <w:p w14:paraId="1A5762E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lang w:val="en-US" w:eastAsia="zh-CN"/>
              </w:rPr>
              <w:t>三</w:t>
            </w:r>
            <w:r>
              <w:rPr>
                <w:rFonts w:hint="eastAsia" w:ascii="方正仿宋_GB2312" w:hAnsi="方正仿宋_GB2312" w:eastAsia="方正仿宋_GB2312" w:cs="方正仿宋_GB2312"/>
                <w:sz w:val="18"/>
                <w:szCs w:val="18"/>
                <w:vertAlign w:val="baseline"/>
              </w:rPr>
              <w:t>、售后服务</w:t>
            </w:r>
          </w:p>
          <w:p w14:paraId="04E44C8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4.1、验收合格后，整机免费保修五年，终身维修。</w:t>
            </w:r>
          </w:p>
          <w:p w14:paraId="2DEB218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4.2、接到维修通知后，1小时内响应，24小时内实施维修服务。</w:t>
            </w:r>
          </w:p>
          <w:p w14:paraId="44673270">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4.3、终身免费提供技术服务、技术支持及咨询服务。</w:t>
            </w:r>
          </w:p>
        </w:tc>
      </w:tr>
      <w:tr w14:paraId="6B05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11F0284C">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14</w:t>
            </w:r>
          </w:p>
        </w:tc>
        <w:tc>
          <w:tcPr>
            <w:tcW w:w="553" w:type="pct"/>
            <w:noWrap w:val="0"/>
            <w:vAlign w:val="center"/>
          </w:tcPr>
          <w:p w14:paraId="530E1757">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试剂柜</w:t>
            </w:r>
          </w:p>
        </w:tc>
        <w:tc>
          <w:tcPr>
            <w:tcW w:w="532" w:type="pct"/>
            <w:noWrap w:val="0"/>
            <w:vAlign w:val="center"/>
          </w:tcPr>
          <w:p w14:paraId="4C6F8612">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color w:val="auto"/>
                <w:sz w:val="18"/>
                <w:szCs w:val="18"/>
                <w:vertAlign w:val="baseline"/>
                <w:lang w:val="en-US" w:eastAsia="zh-CN"/>
              </w:rPr>
              <w:t>4</w:t>
            </w:r>
            <w:r>
              <w:rPr>
                <w:rFonts w:hint="eastAsia" w:ascii="方正仿宋_GB2312" w:hAnsi="方正仿宋_GB2312" w:eastAsia="方正仿宋_GB2312" w:cs="方正仿宋_GB2312"/>
                <w:color w:val="auto"/>
                <w:sz w:val="18"/>
                <w:szCs w:val="18"/>
                <w:vertAlign w:val="baseline"/>
              </w:rPr>
              <w:t>台</w:t>
            </w:r>
          </w:p>
        </w:tc>
        <w:tc>
          <w:tcPr>
            <w:tcW w:w="3554" w:type="pct"/>
            <w:noWrap w:val="0"/>
            <w:vAlign w:val="top"/>
          </w:tcPr>
          <w:p w14:paraId="1B8DEFC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w:t>
            </w:r>
            <w:r>
              <w:rPr>
                <w:rFonts w:hint="eastAsia" w:ascii="方正仿宋_GB2312" w:hAnsi="方正仿宋_GB2312" w:eastAsia="方正仿宋_GB2312" w:cs="方正仿宋_GB2312"/>
                <w:sz w:val="18"/>
                <w:szCs w:val="18"/>
                <w:vertAlign w:val="baseline"/>
                <w:lang w:eastAsia="zh-CN"/>
              </w:rPr>
              <w:t>.</w:t>
            </w:r>
            <w:r>
              <w:rPr>
                <w:rFonts w:hint="eastAsia" w:ascii="方正仿宋_GB2312" w:hAnsi="方正仿宋_GB2312" w:eastAsia="方正仿宋_GB2312" w:cs="方正仿宋_GB2312"/>
                <w:sz w:val="18"/>
                <w:szCs w:val="18"/>
                <w:vertAlign w:val="baseline"/>
                <w:lang w:val="en-US" w:eastAsia="zh-CN"/>
              </w:rPr>
              <w:t>4</w:t>
            </w:r>
            <w:r>
              <w:rPr>
                <w:rFonts w:hint="eastAsia" w:ascii="方正仿宋_GB2312" w:hAnsi="方正仿宋_GB2312" w:eastAsia="方正仿宋_GB2312" w:cs="方正仿宋_GB2312"/>
                <w:sz w:val="18"/>
                <w:szCs w:val="18"/>
                <w:vertAlign w:val="baseline"/>
              </w:rPr>
              <w:t>加仑药品柜</w:t>
            </w:r>
          </w:p>
          <w:p w14:paraId="5F6FF6C5">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全钢主柜体：</w:t>
            </w:r>
          </w:p>
          <w:p w14:paraId="2F0FFDC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柜体主体采用1.0MM冷轧钢板，特殊承重部位采用1.2～1.5MM冷扎板，通过剪切、折弯、焊接、冲压、打磨一系列复杂工艺精致而成，表面经除油、酸洗、磷化作防锈处理，再静电粉沫喷涂EPOXY防护层做耐酸碱耐腐蚀表面处理，其喷涂EPOXY防护层附着力经落物撞击试验测试合格,牢固可靠,防腐、阻燃、防爆。</w:t>
            </w:r>
          </w:p>
          <w:p w14:paraId="66B05E2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2、产品结构采用拉铆螺母与金属板材嵌入工艺，标准件连接组合。</w:t>
            </w:r>
          </w:p>
          <w:p w14:paraId="7488221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3、门板内镶嵌防火减震静音材料填充。</w:t>
            </w:r>
          </w:p>
          <w:p w14:paraId="27377B96">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全钢药品柜层板</w:t>
            </w:r>
          </w:p>
          <w:p w14:paraId="2AD6846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1、层 板：采用16mm厚的优质中密度板，工作面外贴实验室专用0.9mm理化板。所有断面经经国产优质2.0mm厚PVC封边防水处理，四周做倒角圆滑处理，外表美观、光滑。</w:t>
            </w:r>
          </w:p>
          <w:p w14:paraId="48F09A77">
            <w:pPr>
              <w:jc w:val="left"/>
              <w:rPr>
                <w:rFonts w:hint="eastAsia" w:ascii="方正仿宋_GB2312" w:hAnsi="方正仿宋_GB2312" w:eastAsia="方正仿宋_GB2312" w:cs="方正仿宋_GB2312"/>
                <w:color w:val="auto"/>
                <w:sz w:val="18"/>
                <w:szCs w:val="18"/>
                <w:highlight w:val="none"/>
                <w:vertAlign w:val="baseline"/>
                <w:lang w:eastAsia="zh-CN"/>
              </w:rPr>
            </w:pPr>
            <w:r>
              <w:rPr>
                <w:rFonts w:hint="eastAsia" w:ascii="方正仿宋_GB2312" w:hAnsi="方正仿宋_GB2312" w:eastAsia="方正仿宋_GB2312" w:cs="方正仿宋_GB2312"/>
                <w:sz w:val="18"/>
                <w:szCs w:val="18"/>
                <w:vertAlign w:val="baseline"/>
              </w:rPr>
              <w:t>2、药品柜、试剂柜层板：采用18mm厚的优质中密度板，表面粘贴1.0mm厚的PP防腐蚀板，前端用铝合金型材封边，</w:t>
            </w:r>
            <w:r>
              <w:rPr>
                <w:rFonts w:hint="eastAsia" w:ascii="方正仿宋_GB2312" w:hAnsi="方正仿宋_GB2312" w:eastAsia="方正仿宋_GB2312" w:cs="方正仿宋_GB2312"/>
                <w:color w:val="auto"/>
                <w:sz w:val="18"/>
                <w:szCs w:val="18"/>
                <w:highlight w:val="none"/>
                <w:vertAlign w:val="baseline"/>
              </w:rPr>
              <w:t>防止层板变形并加强层板的承重性能</w:t>
            </w:r>
            <w:r>
              <w:rPr>
                <w:rFonts w:hint="eastAsia" w:ascii="方正仿宋_GB2312" w:hAnsi="方正仿宋_GB2312" w:eastAsia="方正仿宋_GB2312" w:cs="方正仿宋_GB2312"/>
                <w:color w:val="auto"/>
                <w:sz w:val="18"/>
                <w:szCs w:val="18"/>
                <w:highlight w:val="none"/>
                <w:vertAlign w:val="baseline"/>
                <w:lang w:eastAsia="zh-CN"/>
              </w:rPr>
              <w:t>、</w:t>
            </w:r>
            <w:r>
              <w:rPr>
                <w:rFonts w:hint="eastAsia" w:ascii="方正仿宋_GB2312" w:hAnsi="方正仿宋_GB2312" w:eastAsia="方正仿宋_GB2312" w:cs="方正仿宋_GB2312"/>
                <w:color w:val="auto"/>
                <w:sz w:val="18"/>
                <w:szCs w:val="18"/>
                <w:highlight w:val="none"/>
                <w:vertAlign w:val="baseline"/>
                <w:lang w:val="en-US" w:eastAsia="zh-CN"/>
              </w:rPr>
              <w:t>要有固定药品的措施</w:t>
            </w:r>
            <w:r>
              <w:rPr>
                <w:rFonts w:hint="eastAsia" w:ascii="方正仿宋_GB2312" w:hAnsi="方正仿宋_GB2312" w:eastAsia="方正仿宋_GB2312" w:cs="方正仿宋_GB2312"/>
                <w:color w:val="auto"/>
                <w:sz w:val="18"/>
                <w:szCs w:val="18"/>
                <w:highlight w:val="none"/>
                <w:vertAlign w:val="baseline"/>
                <w:lang w:eastAsia="zh-CN"/>
              </w:rPr>
              <w:t>（</w:t>
            </w:r>
            <w:r>
              <w:rPr>
                <w:rFonts w:hint="eastAsia" w:ascii="方正仿宋_GB2312" w:hAnsi="方正仿宋_GB2312" w:eastAsia="方正仿宋_GB2312" w:cs="方正仿宋_GB2312"/>
                <w:color w:val="auto"/>
                <w:sz w:val="18"/>
                <w:szCs w:val="18"/>
                <w:highlight w:val="none"/>
                <w:vertAlign w:val="baseline"/>
                <w:lang w:val="en-US" w:eastAsia="zh-CN"/>
              </w:rPr>
              <w:t>增加加固装置，防止意外发生</w:t>
            </w:r>
            <w:r>
              <w:rPr>
                <w:rFonts w:hint="eastAsia" w:ascii="方正仿宋_GB2312" w:hAnsi="方正仿宋_GB2312" w:eastAsia="方正仿宋_GB2312" w:cs="方正仿宋_GB2312"/>
                <w:color w:val="auto"/>
                <w:sz w:val="18"/>
                <w:szCs w:val="18"/>
                <w:highlight w:val="none"/>
                <w:vertAlign w:val="baseline"/>
                <w:lang w:eastAsia="zh-CN"/>
              </w:rPr>
              <w:t>）。</w:t>
            </w:r>
          </w:p>
          <w:p w14:paraId="5E0BF52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3、样品柜、仪器柜、文件柜层板：采用18mm厚的优质中密度板，表面粘贴1.0mm厚的酚醛树脂板，前端用铝合金封边，防止层板变形并加强层板的承重性能。</w:t>
            </w:r>
          </w:p>
          <w:p w14:paraId="4046D3B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4、所有层板调试均可自由拆卸及调整高度。</w:t>
            </w:r>
          </w:p>
          <w:p w14:paraId="383027D4">
            <w:pPr>
              <w:jc w:val="left"/>
              <w:rPr>
                <w:rFonts w:hint="eastAsia" w:ascii="方正仿宋_GB2312" w:hAnsi="方正仿宋_GB2312" w:eastAsia="方正仿宋_GB2312" w:cs="方正仿宋_GB2312"/>
                <w:sz w:val="18"/>
                <w:szCs w:val="18"/>
                <w:vertAlign w:val="baseline"/>
                <w:lang w:eastAsia="zh-CN"/>
              </w:rPr>
            </w:pPr>
            <w:r>
              <w:rPr>
                <w:rFonts w:hint="eastAsia" w:ascii="方正仿宋_GB2312" w:hAnsi="方正仿宋_GB2312" w:eastAsia="方正仿宋_GB2312" w:cs="方正仿宋_GB2312"/>
                <w:sz w:val="18"/>
                <w:szCs w:val="18"/>
                <w:vertAlign w:val="baseline"/>
              </w:rPr>
              <w:t>外形尺寸(长*宽*高)(mm)：1650*1090*460</w:t>
            </w:r>
            <w:r>
              <w:rPr>
                <w:rFonts w:hint="eastAsia" w:ascii="方正仿宋_GB2312" w:hAnsi="方正仿宋_GB2312" w:eastAsia="方正仿宋_GB2312" w:cs="方正仿宋_GB2312"/>
                <w:sz w:val="18"/>
                <w:szCs w:val="18"/>
                <w:vertAlign w:val="baseline"/>
                <w:lang w:eastAsia="zh-CN"/>
              </w:rPr>
              <w:t>（）</w:t>
            </w:r>
          </w:p>
        </w:tc>
      </w:tr>
      <w:tr w14:paraId="543F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noWrap w:val="0"/>
            <w:vAlign w:val="center"/>
          </w:tcPr>
          <w:p w14:paraId="25544C65">
            <w:pPr>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15</w:t>
            </w:r>
          </w:p>
        </w:tc>
        <w:tc>
          <w:tcPr>
            <w:tcW w:w="553" w:type="pct"/>
            <w:noWrap w:val="0"/>
            <w:vAlign w:val="center"/>
          </w:tcPr>
          <w:p w14:paraId="1E79EC3A">
            <w:pPr>
              <w:jc w:val="center"/>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流动相过滤系统</w:t>
            </w:r>
          </w:p>
        </w:tc>
        <w:tc>
          <w:tcPr>
            <w:tcW w:w="532" w:type="pct"/>
            <w:noWrap w:val="0"/>
            <w:vAlign w:val="center"/>
          </w:tcPr>
          <w:p w14:paraId="6F00F53E">
            <w:pPr>
              <w:jc w:val="center"/>
              <w:rPr>
                <w:rFonts w:hint="eastAsia" w:ascii="方正仿宋_GB2312" w:hAnsi="方正仿宋_GB2312" w:eastAsia="方正仿宋_GB2312" w:cs="方正仿宋_GB2312"/>
                <w:color w:val="auto"/>
                <w:sz w:val="18"/>
                <w:szCs w:val="18"/>
                <w:vertAlign w:val="baseline"/>
              </w:rPr>
            </w:pPr>
            <w:r>
              <w:rPr>
                <w:rFonts w:hint="eastAsia" w:ascii="方正仿宋_GB2312" w:hAnsi="方正仿宋_GB2312" w:eastAsia="方正仿宋_GB2312" w:cs="方正仿宋_GB2312"/>
                <w:color w:val="auto"/>
                <w:sz w:val="18"/>
                <w:szCs w:val="18"/>
                <w:vertAlign w:val="baseline"/>
                <w:lang w:val="en-US" w:eastAsia="zh-CN"/>
              </w:rPr>
              <w:t>2</w:t>
            </w:r>
            <w:r>
              <w:rPr>
                <w:rFonts w:hint="eastAsia" w:ascii="方正仿宋_GB2312" w:hAnsi="方正仿宋_GB2312" w:eastAsia="方正仿宋_GB2312" w:cs="方正仿宋_GB2312"/>
                <w:color w:val="auto"/>
                <w:sz w:val="18"/>
                <w:szCs w:val="18"/>
                <w:vertAlign w:val="baseline"/>
              </w:rPr>
              <w:t>台</w:t>
            </w:r>
          </w:p>
        </w:tc>
        <w:tc>
          <w:tcPr>
            <w:tcW w:w="3554" w:type="pct"/>
            <w:noWrap w:val="0"/>
            <w:vAlign w:val="top"/>
          </w:tcPr>
          <w:p w14:paraId="0321CCEA">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1、单级泵</w:t>
            </w:r>
          </w:p>
          <w:p w14:paraId="6E9985E4">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2、*最低真空度≤100mbar</w:t>
            </w:r>
          </w:p>
          <w:p w14:paraId="542368C7">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3、*抽气速度≥22L/min</w:t>
            </w:r>
          </w:p>
          <w:p w14:paraId="559086BF">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4、功率：60W</w:t>
            </w:r>
          </w:p>
          <w:p w14:paraId="5B20D9F2">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5、接口规格：10 mm</w:t>
            </w:r>
          </w:p>
          <w:p w14:paraId="2AEB37CB">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6、马达转速：1450 rpm</w:t>
            </w:r>
          </w:p>
          <w:p w14:paraId="1DFF2A59">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7、重量：6 kg</w:t>
            </w:r>
          </w:p>
          <w:p w14:paraId="3E3097E3">
            <w:pPr>
              <w:jc w:val="left"/>
              <w:rPr>
                <w:rFonts w:hint="eastAsia" w:ascii="方正仿宋_GB2312" w:hAnsi="方正仿宋_GB2312" w:eastAsia="方正仿宋_GB2312" w:cs="方正仿宋_GB2312"/>
                <w:sz w:val="18"/>
                <w:szCs w:val="18"/>
                <w:vertAlign w:val="baseline"/>
              </w:rPr>
            </w:pPr>
            <w:r>
              <w:rPr>
                <w:rFonts w:hint="eastAsia" w:ascii="方正仿宋_GB2312" w:hAnsi="方正仿宋_GB2312" w:eastAsia="方正仿宋_GB2312" w:cs="方正仿宋_GB2312"/>
                <w:sz w:val="18"/>
                <w:szCs w:val="18"/>
                <w:vertAlign w:val="baseline"/>
              </w:rPr>
              <w:t>8、防护等级：IP40</w:t>
            </w:r>
          </w:p>
        </w:tc>
      </w:tr>
    </w:tbl>
    <w:p w14:paraId="479BF7DB">
      <w:pPr>
        <w:jc w:val="both"/>
        <w:rPr>
          <w:rFonts w:hint="eastAsia"/>
          <w:sz w:val="24"/>
          <w:szCs w:val="32"/>
          <w:lang w:val="en-US" w:eastAsia="zh-CN"/>
        </w:rPr>
      </w:pPr>
    </w:p>
    <w:p w14:paraId="353AAB05">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商务要求：</w:t>
      </w:r>
    </w:p>
    <w:p w14:paraId="6ACD262A">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r>
        <w:rPr>
          <w:rFonts w:hint="eastAsia" w:ascii="方正仿宋_GBK" w:hAnsi="方正仿宋_GBK" w:eastAsia="方正仿宋_GBK" w:cs="方正仿宋_GBK"/>
          <w:sz w:val="28"/>
          <w:szCs w:val="28"/>
          <w:vertAlign w:val="baseline"/>
        </w:rPr>
        <w:t>交货时间：合同生效后2个月内</w:t>
      </w:r>
      <w:r>
        <w:rPr>
          <w:rFonts w:hint="eastAsia" w:ascii="方正仿宋_GBK" w:hAnsi="方正仿宋_GBK" w:eastAsia="方正仿宋_GBK" w:cs="方正仿宋_GBK"/>
          <w:sz w:val="28"/>
          <w:szCs w:val="28"/>
          <w:vertAlign w:val="baseline"/>
          <w:lang w:val="en-US" w:eastAsia="zh-CN"/>
        </w:rPr>
        <w:t>（具体以中标人与采购人合同签订为准）。</w:t>
      </w:r>
    </w:p>
    <w:p w14:paraId="17AFECF4">
      <w:pPr>
        <w:numPr>
          <w:ilvl w:val="0"/>
          <w:numId w:val="0"/>
        </w:numPr>
        <w:ind w:firstLine="560" w:firstLineChars="20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2、交付地点：采购人指定的地点。</w:t>
      </w:r>
    </w:p>
    <w:p w14:paraId="5A30DC2D">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3、付款方式：合同签订完成且缴纳履约保证金后支付合同价款的30%，最终验收合格后支付合同价款的70%（具体以中标人与采购人合同签订为准）。</w:t>
      </w:r>
    </w:p>
    <w:p w14:paraId="781EDF0E">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4、质保期：3年（具体以中标人与采购人合同签订为准）。</w:t>
      </w:r>
    </w:p>
    <w:p w14:paraId="69E94C8A">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5、售后服务要求：</w:t>
      </w:r>
    </w:p>
    <w:p w14:paraId="2047C1C7">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提供的现场免费安装、调试设备，进行操作试验，直至运行正常，为仪器操作人员提供免费的操作及维护培训。在质保期内出现故障中标单位在接到故障报修电话后，维修响应7x24小时响应，如当日无法修复，48小时内必须赶到现场解决故障。</w:t>
      </w:r>
    </w:p>
    <w:p w14:paraId="27D453F3">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②中标人须协助用户实验室完成“双认证”现场评审工作，负责协助实验室完成自查、整改，并协助用户向审核部门提交审查申请进行现场评审,并制定详细方案，保证扩项及复审工作完美完成，期间产生的费用由中标人承担。</w:t>
      </w:r>
    </w:p>
    <w:p w14:paraId="743D0ED1">
      <w:pPr>
        <w:numPr>
          <w:ilvl w:val="0"/>
          <w:numId w:val="0"/>
        </w:numPr>
        <w:ind w:firstLine="560" w:firstLineChars="20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③如有未尽事宜或收到设备参数不合要求情况，可双方协商决定，但决定权在购买方,购买方有权利退回所购买产品。</w:t>
      </w:r>
    </w:p>
    <w:p w14:paraId="1B065751">
      <w:pPr>
        <w:ind w:firstLine="560" w:firstLineChars="2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6、货物质量要求：</w:t>
      </w:r>
    </w:p>
    <w:p w14:paraId="7420E99A">
      <w:pPr>
        <w:ind w:firstLine="560" w:firstLineChars="2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4D2AF9A4">
      <w:pPr>
        <w:ind w:firstLine="560" w:firstLineChars="2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7、安装调试：</w:t>
      </w:r>
    </w:p>
    <w:p w14:paraId="41C707F7">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①中标人负责合同项目下货物的安装调试，一切费用由中标人负责。②中标人安装时必须对各安装场地内的其它设备、设施有良好保护措施。③所有货物在采购人指定地点收货及安装。</w:t>
      </w:r>
    </w:p>
    <w:p w14:paraId="0CD6E458">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8、验收要求：</w:t>
      </w:r>
    </w:p>
    <w:p w14:paraId="034040AB">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①在中标货物安装调试完成并正常工作后组织验收，验收应在采购人和中标人共同参加下进行。</w:t>
      </w:r>
    </w:p>
    <w:p w14:paraId="0DA21F68">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②采购人组成验收小组按国家有关的规定、标准进行。相关人员依据国家、行业规范、标准规程名录要求进行验收。验收时如发现所交付的货物有短装、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484ECE75">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③如果货物运输和安装调试过程中因事故造成货物短缺、损坏，中标人应及时安排换货，以保证货物安装调试验收顺利完成。换货的相关费用由中标人承担。</w:t>
      </w:r>
    </w:p>
    <w:p w14:paraId="302B1CD1">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35B89792">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⑤其他验收细则以中标人的投标文件中提供的货物技术资料及双方签订的合同条款为准。</w:t>
      </w:r>
    </w:p>
    <w:p w14:paraId="45EF2689">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w:t>
      </w:r>
      <w:r>
        <w:rPr>
          <w:rFonts w:hint="eastAsia" w:ascii="方正仿宋_GBK" w:hAnsi="方正仿宋_GBK" w:eastAsia="方正仿宋_GBK" w:cs="方正仿宋_GBK"/>
          <w:sz w:val="28"/>
          <w:szCs w:val="28"/>
          <w:vertAlign w:val="baseline"/>
        </w:rPr>
        <w:t>其他</w:t>
      </w:r>
      <w:r>
        <w:rPr>
          <w:rFonts w:hint="eastAsia" w:ascii="方正仿宋_GBK" w:hAnsi="方正仿宋_GBK" w:eastAsia="方正仿宋_GBK" w:cs="方正仿宋_GBK"/>
          <w:sz w:val="28"/>
          <w:szCs w:val="28"/>
          <w:vertAlign w:val="baseline"/>
          <w:lang w:val="en-US" w:eastAsia="zh-CN"/>
        </w:rPr>
        <w:t>要求：</w:t>
      </w:r>
    </w:p>
    <w:p w14:paraId="07A238F9">
      <w:pPr>
        <w:numPr>
          <w:ilvl w:val="0"/>
          <w:numId w:val="0"/>
        </w:numPr>
        <w:ind w:firstLine="562" w:firstLineChars="200"/>
        <w:jc w:val="left"/>
        <w:rPr>
          <w:rFonts w:hint="eastAsia"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需求表中</w:t>
      </w:r>
      <w:r>
        <w:rPr>
          <w:rFonts w:hint="default" w:ascii="Times New Roman" w:hAnsi="Times New Roman" w:eastAsia="方正仿宋_GBK" w:cs="Times New Roman"/>
          <w:b/>
          <w:bCs/>
          <w:color w:val="auto"/>
          <w:sz w:val="28"/>
          <w:szCs w:val="28"/>
          <w:vertAlign w:val="baseline"/>
          <w:lang w:val="en-US" w:eastAsia="zh-CN"/>
        </w:rPr>
        <w:t>超高效液相色谱-三重四极杆质谱联用仪</w:t>
      </w:r>
      <w:r>
        <w:rPr>
          <w:rFonts w:hint="eastAsia" w:ascii="Times New Roman" w:hAnsi="Times New Roman" w:eastAsia="方正仿宋_GBK" w:cs="Times New Roman"/>
          <w:b/>
          <w:bCs/>
          <w:color w:val="auto"/>
          <w:sz w:val="28"/>
          <w:szCs w:val="28"/>
          <w:vertAlign w:val="baseline"/>
          <w:lang w:val="en-US" w:eastAsia="zh-CN"/>
        </w:rPr>
        <w:t>为核心产品。</w:t>
      </w:r>
    </w:p>
    <w:p w14:paraId="3C19DC17">
      <w:pPr>
        <w:numPr>
          <w:ilvl w:val="0"/>
          <w:numId w:val="0"/>
        </w:numPr>
        <w:ind w:firstLine="562" w:firstLineChars="200"/>
        <w:jc w:val="left"/>
        <w:rPr>
          <w:rFonts w:hint="default"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★针对本项目的实际情况需出疆培训3次每次3-4人</w:t>
      </w:r>
      <w:r>
        <w:rPr>
          <w:rFonts w:hint="eastAsia" w:ascii="Times New Roman" w:hAnsi="Times New Roman" w:eastAsia="方正仿宋_GBK" w:cs="Times New Roman"/>
          <w:b/>
          <w:bCs/>
          <w:color w:val="auto"/>
          <w:sz w:val="28"/>
          <w:szCs w:val="28"/>
          <w:vertAlign w:val="baseline"/>
          <w:lang w:val="en-US" w:eastAsia="zh-CN"/>
        </w:rPr>
        <w:t>，期间</w:t>
      </w:r>
      <w:r>
        <w:rPr>
          <w:rFonts w:hint="default" w:ascii="Times New Roman" w:hAnsi="Times New Roman" w:eastAsia="方正仿宋_GBK" w:cs="Times New Roman"/>
          <w:b/>
          <w:bCs/>
          <w:color w:val="auto"/>
          <w:sz w:val="28"/>
          <w:szCs w:val="28"/>
          <w:vertAlign w:val="baseline"/>
          <w:lang w:val="en-US" w:eastAsia="zh-CN"/>
        </w:rPr>
        <w:t>所产生的费用食宿、交通费、培训费等均由中标方承担</w:t>
      </w:r>
      <w:r>
        <w:rPr>
          <w:rFonts w:hint="eastAsia" w:ascii="Times New Roman" w:hAnsi="Times New Roman" w:eastAsia="方正仿宋_GBK" w:cs="Times New Roman"/>
          <w:b/>
          <w:bCs/>
          <w:color w:val="auto"/>
          <w:sz w:val="28"/>
          <w:szCs w:val="28"/>
          <w:vertAlign w:val="baseline"/>
          <w:lang w:val="en-US" w:eastAsia="zh-CN"/>
        </w:rPr>
        <w:t>（具体以供应商与采购人合同签订为准）。</w:t>
      </w:r>
    </w:p>
    <w:p w14:paraId="33824973">
      <w:pPr>
        <w:numPr>
          <w:ilvl w:val="0"/>
          <w:numId w:val="0"/>
        </w:numPr>
        <w:ind w:firstLine="562" w:firstLineChars="200"/>
        <w:jc w:val="left"/>
        <w:rPr>
          <w:rFonts w:hint="eastAsia" w:ascii="方正仿宋_GBK" w:hAnsi="方正仿宋_GBK" w:eastAsia="方正仿宋_GBK" w:cs="方正仿宋_GBK"/>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技术指标中凡有品牌描述或指向某品牌的指标描述均为参考指标，同时作为衡定同类产品的依据，供应商可投同档次产品或更优产品。</w:t>
      </w:r>
    </w:p>
    <w:p w14:paraId="69A93930">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br w:type="page"/>
      </w:r>
    </w:p>
    <w:p w14:paraId="07F8CCEC">
      <w:pPr>
        <w:pStyle w:val="2"/>
        <w:numPr>
          <w:ilvl w:val="0"/>
          <w:numId w:val="0"/>
        </w:numPr>
        <w:spacing w:before="0" w:after="0" w:line="240" w:lineRule="atLeast"/>
        <w:ind w:left="1844" w:leftChars="0"/>
        <w:jc w:val="both"/>
        <w:rPr>
          <w:rFonts w:hint="eastAsia" w:ascii="仿宋_GB2312" w:eastAsia="仿宋_GB2312"/>
          <w:b/>
        </w:rPr>
      </w:pPr>
      <w:bookmarkStart w:id="475" w:name="_Toc10162"/>
      <w:bookmarkStart w:id="476" w:name="_Toc219175639"/>
      <w:bookmarkStart w:id="477" w:name="_Toc218935355"/>
      <w:bookmarkStart w:id="478" w:name="_Toc216582826"/>
      <w:r>
        <w:rPr>
          <w:rFonts w:hint="eastAsia" w:ascii="仿宋_GB2312" w:eastAsia="仿宋_GB2312"/>
          <w:b/>
          <w:lang w:eastAsia="zh-CN"/>
        </w:rPr>
        <w:t>第</w:t>
      </w:r>
      <w:r>
        <w:rPr>
          <w:rFonts w:hint="eastAsia" w:ascii="仿宋_GB2312" w:eastAsia="仿宋_GB2312"/>
          <w:b/>
          <w:lang w:val="en-US" w:eastAsia="zh-CN"/>
        </w:rPr>
        <w:t>6</w:t>
      </w:r>
      <w:r>
        <w:rPr>
          <w:rFonts w:hint="eastAsia" w:ascii="仿宋_GB2312" w:eastAsia="仿宋_GB2312"/>
          <w:b/>
          <w:lang w:eastAsia="zh-CN"/>
        </w:rPr>
        <w:t>章</w:t>
      </w:r>
      <w:r>
        <w:rPr>
          <w:rFonts w:hint="eastAsia" w:ascii="仿宋_GB2312" w:eastAsia="仿宋_GB2312"/>
          <w:b/>
        </w:rPr>
        <w:t xml:space="preserve">  </w:t>
      </w:r>
      <w:bookmarkStart w:id="479" w:name="_Toc7971"/>
      <w:bookmarkStart w:id="480" w:name="_Toc32647"/>
      <w:bookmarkStart w:id="481" w:name="_Toc507399907"/>
      <w:bookmarkStart w:id="482" w:name="_Toc515647832"/>
      <w:r>
        <w:rPr>
          <w:rFonts w:hint="eastAsia" w:ascii="仿宋_GB2312" w:eastAsia="仿宋_GB2312"/>
          <w:b/>
        </w:rPr>
        <w:t>评标方法和标准</w:t>
      </w:r>
      <w:bookmarkEnd w:id="475"/>
      <w:bookmarkEnd w:id="476"/>
      <w:bookmarkEnd w:id="477"/>
      <w:bookmarkEnd w:id="478"/>
      <w:bookmarkEnd w:id="479"/>
      <w:bookmarkEnd w:id="480"/>
      <w:bookmarkEnd w:id="481"/>
      <w:bookmarkEnd w:id="482"/>
    </w:p>
    <w:p w14:paraId="79B398FE">
      <w:pPr>
        <w:pStyle w:val="7"/>
        <w:tabs>
          <w:tab w:val="clear" w:pos="567"/>
        </w:tabs>
        <w:spacing w:before="0" w:line="240" w:lineRule="atLeast"/>
        <w:ind w:firstLine="540" w:firstLineChars="225"/>
        <w:rPr>
          <w:rFonts w:hint="eastAsia" w:ascii="仿宋" w:hAnsi="仿宋" w:eastAsia="仿宋" w:cs="仿宋"/>
        </w:rPr>
      </w:pPr>
    </w:p>
    <w:p w14:paraId="68F38891">
      <w:pPr>
        <w:pStyle w:val="7"/>
        <w:tabs>
          <w:tab w:val="clear" w:pos="567"/>
        </w:tabs>
        <w:spacing w:before="0" w:line="360" w:lineRule="auto"/>
        <w:ind w:firstLine="480" w:firstLineChars="200"/>
        <w:rPr>
          <w:rFonts w:hint="eastAsia" w:ascii="仿宋" w:hAnsi="仿宋" w:eastAsia="仿宋" w:cs="仿宋"/>
        </w:rPr>
      </w:pPr>
      <w:r>
        <w:rPr>
          <w:rFonts w:hint="eastAsia" w:ascii="仿宋" w:hAnsi="仿宋" w:eastAsia="仿宋" w:cs="仿宋"/>
        </w:rPr>
        <w:t>本项目将按照招标文件第一章投标人须知中“五 开标及评标”、“六 确定中标”及本章的规定评标。</w:t>
      </w:r>
    </w:p>
    <w:p w14:paraId="0D67B533">
      <w:pPr>
        <w:pStyle w:val="7"/>
        <w:tabs>
          <w:tab w:val="clear" w:pos="567"/>
        </w:tabs>
        <w:spacing w:before="0" w:line="360" w:lineRule="auto"/>
        <w:rPr>
          <w:rFonts w:hint="eastAsia" w:ascii="仿宋" w:hAnsi="仿宋" w:eastAsia="仿宋" w:cs="仿宋"/>
        </w:rPr>
      </w:pPr>
      <w:r>
        <w:rPr>
          <w:rFonts w:hint="eastAsia" w:ascii="仿宋" w:hAnsi="仿宋" w:eastAsia="仿宋" w:cs="仿宋"/>
        </w:rPr>
        <w:t>一、评标依据</w:t>
      </w:r>
    </w:p>
    <w:p w14:paraId="5ED71C48">
      <w:pPr>
        <w:pStyle w:val="7"/>
        <w:tabs>
          <w:tab w:val="clear" w:pos="567"/>
        </w:tabs>
        <w:spacing w:before="0" w:line="360" w:lineRule="auto"/>
        <w:rPr>
          <w:rFonts w:hint="eastAsia" w:ascii="仿宋" w:hAnsi="仿宋" w:eastAsia="仿宋" w:cs="仿宋"/>
        </w:rPr>
      </w:pPr>
      <w:r>
        <w:rPr>
          <w:rFonts w:hint="eastAsia" w:ascii="仿宋" w:hAnsi="仿宋" w:eastAsia="仿宋" w:cs="仿宋"/>
        </w:rPr>
        <w:t>1、评标工作严格执行《中华人民共和国政府采购法》、《政府采购货物和服务招标投标法》以及国家和地方颁布的有关法令、法规。</w:t>
      </w:r>
    </w:p>
    <w:p w14:paraId="4E478A22">
      <w:pPr>
        <w:pStyle w:val="7"/>
        <w:tabs>
          <w:tab w:val="clear" w:pos="567"/>
        </w:tabs>
        <w:spacing w:before="0" w:line="360" w:lineRule="auto"/>
        <w:rPr>
          <w:rFonts w:hint="eastAsia" w:ascii="仿宋" w:hAnsi="仿宋" w:eastAsia="仿宋" w:cs="仿宋"/>
        </w:rPr>
      </w:pPr>
      <w:r>
        <w:rPr>
          <w:rFonts w:hint="eastAsia" w:ascii="仿宋" w:hAnsi="仿宋" w:eastAsia="仿宋" w:cs="仿宋"/>
        </w:rPr>
        <w:t>2、评标的依据是招标文件及其补充通知、投标人的投标文件及其澄清文件以及本评标办法。</w:t>
      </w:r>
    </w:p>
    <w:p w14:paraId="509E869B">
      <w:pPr>
        <w:pStyle w:val="7"/>
        <w:tabs>
          <w:tab w:val="clear" w:pos="567"/>
        </w:tabs>
        <w:spacing w:before="0" w:line="360" w:lineRule="auto"/>
        <w:rPr>
          <w:rFonts w:hint="eastAsia" w:ascii="仿宋" w:hAnsi="仿宋" w:eastAsia="仿宋" w:cs="仿宋"/>
        </w:rPr>
      </w:pPr>
      <w:r>
        <w:rPr>
          <w:rFonts w:hint="eastAsia" w:ascii="仿宋" w:hAnsi="仿宋" w:eastAsia="仿宋" w:cs="仿宋"/>
        </w:rPr>
        <w:t>3、本次评标采用综合评分法。</w:t>
      </w:r>
    </w:p>
    <w:p w14:paraId="11038B4D">
      <w:pPr>
        <w:pStyle w:val="7"/>
        <w:tabs>
          <w:tab w:val="clear" w:pos="567"/>
        </w:tabs>
        <w:spacing w:before="0" w:line="360" w:lineRule="auto"/>
        <w:rPr>
          <w:rFonts w:hint="eastAsia" w:ascii="仿宋" w:hAnsi="仿宋" w:eastAsia="仿宋" w:cs="仿宋"/>
        </w:rPr>
      </w:pPr>
      <w:r>
        <w:rPr>
          <w:rFonts w:hint="eastAsia" w:ascii="仿宋" w:hAnsi="仿宋" w:eastAsia="仿宋" w:cs="仿宋"/>
        </w:rPr>
        <w:t>二、评标委员会</w:t>
      </w:r>
    </w:p>
    <w:p w14:paraId="1EA1B4C7">
      <w:pPr>
        <w:pStyle w:val="7"/>
        <w:tabs>
          <w:tab w:val="clear" w:pos="567"/>
        </w:tabs>
        <w:spacing w:before="0" w:line="360" w:lineRule="auto"/>
        <w:rPr>
          <w:rFonts w:hint="eastAsia" w:ascii="仿宋" w:hAnsi="仿宋" w:eastAsia="仿宋" w:cs="仿宋"/>
        </w:rPr>
      </w:pPr>
      <w:r>
        <w:rPr>
          <w:rFonts w:hint="eastAsia" w:ascii="仿宋" w:hAnsi="仿宋" w:eastAsia="仿宋" w:cs="仿宋"/>
        </w:rPr>
        <w:t>招标机构将按照《中华人民共和国招标投标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14:paraId="0866ED84">
      <w:pPr>
        <w:pStyle w:val="7"/>
        <w:tabs>
          <w:tab w:val="clear" w:pos="567"/>
        </w:tabs>
        <w:spacing w:before="0" w:line="360" w:lineRule="auto"/>
        <w:rPr>
          <w:rFonts w:hint="eastAsia" w:ascii="仿宋" w:hAnsi="仿宋" w:eastAsia="仿宋" w:cs="仿宋"/>
        </w:rPr>
      </w:pPr>
      <w:r>
        <w:rPr>
          <w:rFonts w:hint="eastAsia" w:ascii="仿宋" w:hAnsi="仿宋" w:eastAsia="仿宋" w:cs="仿宋"/>
        </w:rPr>
        <w:t>特别说明：为保证本项目服务质量，良好的售后服务；最低报价不作为中标的唯一依据。</w:t>
      </w:r>
    </w:p>
    <w:p w14:paraId="0056FF5A">
      <w:pPr>
        <w:pStyle w:val="7"/>
        <w:tabs>
          <w:tab w:val="clear" w:pos="567"/>
        </w:tabs>
        <w:spacing w:before="0" w:line="360" w:lineRule="auto"/>
        <w:rPr>
          <w:rFonts w:hint="eastAsia" w:ascii="仿宋" w:hAnsi="仿宋" w:eastAsia="仿宋" w:cs="仿宋"/>
        </w:rPr>
      </w:pPr>
      <w:r>
        <w:rPr>
          <w:rFonts w:hint="eastAsia" w:ascii="仿宋" w:hAnsi="仿宋" w:eastAsia="仿宋" w:cs="仿宋"/>
        </w:rPr>
        <w:t>三、投标文件的澄清</w:t>
      </w:r>
    </w:p>
    <w:p w14:paraId="137EFCAF">
      <w:pPr>
        <w:pStyle w:val="7"/>
        <w:tabs>
          <w:tab w:val="clear" w:pos="567"/>
        </w:tabs>
        <w:spacing w:before="0" w:line="360" w:lineRule="auto"/>
        <w:rPr>
          <w:rFonts w:hint="eastAsia" w:ascii="仿宋" w:hAnsi="仿宋" w:eastAsia="仿宋" w:cs="仿宋"/>
        </w:rPr>
      </w:pPr>
      <w:r>
        <w:rPr>
          <w:rFonts w:hint="eastAsia" w:ascii="仿宋" w:hAnsi="仿宋" w:eastAsia="仿宋" w:cs="仿宋"/>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14:paraId="6761B3D5">
      <w:pPr>
        <w:pStyle w:val="7"/>
        <w:tabs>
          <w:tab w:val="clear" w:pos="567"/>
        </w:tabs>
        <w:spacing w:before="0" w:line="360" w:lineRule="auto"/>
        <w:rPr>
          <w:rFonts w:hint="eastAsia" w:ascii="仿宋" w:hAnsi="仿宋" w:eastAsia="仿宋" w:cs="仿宋"/>
        </w:rPr>
      </w:pPr>
      <w:r>
        <w:rPr>
          <w:rFonts w:hint="eastAsia" w:ascii="仿宋" w:hAnsi="仿宋" w:eastAsia="仿宋" w:cs="仿宋"/>
        </w:rPr>
        <w:t>2、重要澄清的答复应是书面的，澄清答复不得对投标的价格、技术指标和参数等内容进行实质性修改。澄清文件须由投标人法定代表人或法人授权代表签字或加盖投标人公章并作为投标文件的组成部分。</w:t>
      </w:r>
    </w:p>
    <w:p w14:paraId="2A37D82C">
      <w:pPr>
        <w:pStyle w:val="7"/>
        <w:tabs>
          <w:tab w:val="clear" w:pos="567"/>
        </w:tabs>
        <w:spacing w:before="0" w:line="360" w:lineRule="auto"/>
        <w:rPr>
          <w:rFonts w:hint="eastAsia" w:ascii="仿宋" w:hAnsi="仿宋" w:eastAsia="仿宋" w:cs="仿宋"/>
        </w:rPr>
      </w:pPr>
      <w:r>
        <w:rPr>
          <w:rFonts w:hint="eastAsia" w:ascii="仿宋" w:hAnsi="仿宋" w:eastAsia="仿宋" w:cs="仿宋"/>
        </w:rPr>
        <w:t>四、对投标文件的评估和比较</w:t>
      </w:r>
    </w:p>
    <w:p w14:paraId="4436A52B">
      <w:pPr>
        <w:pStyle w:val="7"/>
        <w:tabs>
          <w:tab w:val="clear" w:pos="567"/>
        </w:tabs>
        <w:spacing w:before="0" w:line="360" w:lineRule="auto"/>
        <w:rPr>
          <w:rFonts w:hint="eastAsia" w:ascii="仿宋" w:hAnsi="仿宋" w:eastAsia="仿宋" w:cs="仿宋"/>
        </w:rPr>
      </w:pPr>
      <w:r>
        <w:rPr>
          <w:rFonts w:hint="eastAsia" w:ascii="仿宋" w:hAnsi="仿宋" w:eastAsia="仿宋" w:cs="仿宋"/>
        </w:rPr>
        <w:t>1、对实质性响应的投标文件进行评估和比较。</w:t>
      </w:r>
    </w:p>
    <w:p w14:paraId="57000B45">
      <w:pPr>
        <w:pStyle w:val="7"/>
        <w:tabs>
          <w:tab w:val="clear" w:pos="567"/>
        </w:tabs>
        <w:spacing w:before="0" w:line="360" w:lineRule="auto"/>
        <w:rPr>
          <w:rFonts w:hint="eastAsia" w:ascii="仿宋" w:hAnsi="仿宋" w:eastAsia="仿宋" w:cs="仿宋"/>
        </w:rPr>
      </w:pPr>
      <w:r>
        <w:rPr>
          <w:rFonts w:hint="eastAsia" w:ascii="仿宋" w:hAnsi="仿宋" w:eastAsia="仿宋" w:cs="仿宋"/>
        </w:rPr>
        <w:t>2、除考虑投标价格外，还应考虑以下因素：</w:t>
      </w:r>
    </w:p>
    <w:p w14:paraId="27623596">
      <w:pPr>
        <w:pStyle w:val="7"/>
        <w:tabs>
          <w:tab w:val="clear" w:pos="567"/>
        </w:tabs>
        <w:spacing w:before="0" w:line="360" w:lineRule="auto"/>
        <w:rPr>
          <w:rFonts w:hint="eastAsia" w:ascii="仿宋" w:hAnsi="仿宋" w:eastAsia="仿宋" w:cs="仿宋"/>
        </w:rPr>
      </w:pPr>
      <w:r>
        <w:rPr>
          <w:rFonts w:hint="eastAsia" w:ascii="仿宋" w:hAnsi="仿宋" w:eastAsia="仿宋" w:cs="仿宋"/>
        </w:rPr>
        <w:t>1.供货、安装服务期及付款方式；</w:t>
      </w:r>
    </w:p>
    <w:p w14:paraId="5C378673">
      <w:pPr>
        <w:pStyle w:val="7"/>
        <w:tabs>
          <w:tab w:val="clear" w:pos="567"/>
        </w:tabs>
        <w:spacing w:before="0" w:line="360" w:lineRule="auto"/>
        <w:rPr>
          <w:rFonts w:hint="eastAsia" w:ascii="仿宋" w:hAnsi="仿宋" w:eastAsia="仿宋" w:cs="仿宋"/>
        </w:rPr>
      </w:pPr>
      <w:r>
        <w:rPr>
          <w:rFonts w:hint="eastAsia" w:ascii="仿宋" w:hAnsi="仿宋" w:eastAsia="仿宋" w:cs="仿宋"/>
        </w:rPr>
        <w:t>2.供货、安装服务能力；</w:t>
      </w:r>
    </w:p>
    <w:p w14:paraId="76EB8E2C">
      <w:pPr>
        <w:pStyle w:val="7"/>
        <w:tabs>
          <w:tab w:val="clear" w:pos="567"/>
        </w:tabs>
        <w:spacing w:before="0" w:line="360" w:lineRule="auto"/>
        <w:rPr>
          <w:rFonts w:hint="eastAsia" w:ascii="仿宋" w:hAnsi="仿宋" w:eastAsia="仿宋" w:cs="仿宋"/>
        </w:rPr>
      </w:pPr>
      <w:r>
        <w:rPr>
          <w:rFonts w:hint="eastAsia" w:ascii="仿宋" w:hAnsi="仿宋" w:eastAsia="仿宋" w:cs="仿宋"/>
        </w:rPr>
        <w:t>3.产品的质量和适用性；</w:t>
      </w:r>
    </w:p>
    <w:p w14:paraId="18BACF10">
      <w:pPr>
        <w:pStyle w:val="7"/>
        <w:tabs>
          <w:tab w:val="clear" w:pos="567"/>
        </w:tabs>
        <w:spacing w:before="0" w:line="360" w:lineRule="auto"/>
        <w:rPr>
          <w:rFonts w:hint="eastAsia" w:ascii="仿宋" w:hAnsi="仿宋" w:eastAsia="仿宋" w:cs="仿宋"/>
        </w:rPr>
      </w:pPr>
      <w:r>
        <w:rPr>
          <w:rFonts w:hint="eastAsia" w:ascii="仿宋" w:hAnsi="仿宋" w:eastAsia="仿宋" w:cs="仿宋"/>
        </w:rPr>
        <w:t>4.配套供货、安装服务设备的安全性；</w:t>
      </w:r>
    </w:p>
    <w:p w14:paraId="29C642F3">
      <w:pPr>
        <w:pStyle w:val="7"/>
        <w:tabs>
          <w:tab w:val="clear" w:pos="567"/>
        </w:tabs>
        <w:spacing w:before="0" w:line="360" w:lineRule="auto"/>
        <w:rPr>
          <w:rFonts w:hint="eastAsia" w:ascii="仿宋" w:hAnsi="仿宋" w:eastAsia="仿宋" w:cs="仿宋"/>
        </w:rPr>
      </w:pPr>
      <w:r>
        <w:rPr>
          <w:rFonts w:hint="eastAsia" w:ascii="仿宋" w:hAnsi="仿宋" w:eastAsia="仿宋" w:cs="仿宋"/>
        </w:rPr>
        <w:t>5.零备件、专用工具及相关服务的费用；</w:t>
      </w:r>
    </w:p>
    <w:p w14:paraId="5D8796C9">
      <w:pPr>
        <w:pStyle w:val="7"/>
        <w:tabs>
          <w:tab w:val="clear" w:pos="567"/>
        </w:tabs>
        <w:spacing w:before="0" w:line="360" w:lineRule="auto"/>
        <w:rPr>
          <w:rFonts w:hint="eastAsia" w:ascii="仿宋" w:hAnsi="仿宋" w:eastAsia="仿宋" w:cs="仿宋"/>
        </w:rPr>
      </w:pPr>
      <w:r>
        <w:rPr>
          <w:rFonts w:hint="eastAsia" w:ascii="仿宋" w:hAnsi="仿宋" w:eastAsia="仿宋" w:cs="仿宋"/>
        </w:rPr>
        <w:t>6.招标文件中所要求的有关服务的费用；</w:t>
      </w:r>
    </w:p>
    <w:p w14:paraId="6279A385">
      <w:pPr>
        <w:pStyle w:val="7"/>
        <w:tabs>
          <w:tab w:val="clear" w:pos="567"/>
        </w:tabs>
        <w:spacing w:before="0" w:line="360" w:lineRule="auto"/>
        <w:rPr>
          <w:rFonts w:hint="eastAsia" w:ascii="仿宋" w:hAnsi="仿宋" w:eastAsia="仿宋" w:cs="仿宋"/>
        </w:rPr>
      </w:pPr>
      <w:r>
        <w:rPr>
          <w:rFonts w:hint="eastAsia" w:ascii="仿宋" w:hAnsi="仿宋" w:eastAsia="仿宋" w:cs="仿宋"/>
        </w:rPr>
        <w:t>7.发货到最终目的地的内陆运输、保险及其他费用。</w:t>
      </w:r>
    </w:p>
    <w:p w14:paraId="6B0E0133">
      <w:pPr>
        <w:pStyle w:val="7"/>
        <w:tabs>
          <w:tab w:val="clear" w:pos="567"/>
        </w:tabs>
        <w:spacing w:before="0" w:line="360" w:lineRule="auto"/>
        <w:rPr>
          <w:rFonts w:hint="eastAsia" w:ascii="仿宋" w:hAnsi="仿宋" w:eastAsia="仿宋" w:cs="仿宋"/>
        </w:rPr>
      </w:pPr>
      <w:r>
        <w:rPr>
          <w:rFonts w:hint="eastAsia" w:ascii="仿宋" w:hAnsi="仿宋" w:eastAsia="仿宋" w:cs="仿宋"/>
        </w:rPr>
        <w:t>8.其他特殊因素（如节能、安全和环保等）。</w:t>
      </w:r>
    </w:p>
    <w:p w14:paraId="0E322411">
      <w:pPr>
        <w:pStyle w:val="7"/>
        <w:tabs>
          <w:tab w:val="clear" w:pos="567"/>
        </w:tabs>
        <w:spacing w:before="0" w:line="360" w:lineRule="auto"/>
        <w:rPr>
          <w:rFonts w:hint="eastAsia" w:ascii="仿宋" w:hAnsi="仿宋" w:eastAsia="仿宋" w:cs="仿宋"/>
        </w:rPr>
      </w:pPr>
      <w:r>
        <w:rPr>
          <w:rFonts w:hint="eastAsia" w:ascii="仿宋" w:hAnsi="仿宋" w:eastAsia="仿宋" w:cs="仿宋"/>
        </w:rPr>
        <w:t>五、评标过程的保密</w:t>
      </w:r>
    </w:p>
    <w:p w14:paraId="382BDC24">
      <w:pPr>
        <w:pStyle w:val="7"/>
        <w:tabs>
          <w:tab w:val="clear" w:pos="567"/>
        </w:tabs>
        <w:spacing w:before="0" w:line="360" w:lineRule="auto"/>
        <w:rPr>
          <w:rFonts w:hint="eastAsia" w:ascii="仿宋" w:hAnsi="仿宋" w:eastAsia="仿宋" w:cs="仿宋"/>
        </w:rPr>
      </w:pPr>
      <w:r>
        <w:rPr>
          <w:rFonts w:hint="eastAsia" w:ascii="仿宋" w:hAnsi="仿宋" w:eastAsia="仿宋" w:cs="仿宋"/>
        </w:rPr>
        <w:t>1、开标后，凡是属于审查、澄清、评价和比较的有关资料以及中标建议等评标委员会成员或参与评标的有关工作人员均不得向投标人或其他无关的人员透露。</w:t>
      </w:r>
    </w:p>
    <w:p w14:paraId="5F523226">
      <w:pPr>
        <w:pStyle w:val="7"/>
        <w:tabs>
          <w:tab w:val="clear" w:pos="567"/>
        </w:tabs>
        <w:spacing w:before="0" w:line="360" w:lineRule="auto"/>
        <w:rPr>
          <w:rFonts w:hint="eastAsia" w:ascii="仿宋" w:hAnsi="仿宋" w:eastAsia="仿宋" w:cs="仿宋"/>
        </w:rPr>
      </w:pPr>
      <w:r>
        <w:rPr>
          <w:rFonts w:hint="eastAsia" w:ascii="仿宋" w:hAnsi="仿宋" w:eastAsia="仿宋" w:cs="仿宋"/>
        </w:rPr>
        <w:t>2、投标人在评标过程中，发现其进行意图影响评标结果的不符合《政府采购法》 及本项目招标有关规定的活动时，将被取消中标资格。</w:t>
      </w:r>
    </w:p>
    <w:p w14:paraId="782DFF04">
      <w:pPr>
        <w:pStyle w:val="7"/>
        <w:tabs>
          <w:tab w:val="clear" w:pos="567"/>
        </w:tabs>
        <w:spacing w:before="0" w:line="360" w:lineRule="auto"/>
        <w:rPr>
          <w:rFonts w:hint="eastAsia" w:ascii="仿宋" w:hAnsi="仿宋" w:eastAsia="仿宋" w:cs="仿宋"/>
        </w:rPr>
      </w:pPr>
      <w:r>
        <w:rPr>
          <w:rFonts w:hint="eastAsia" w:ascii="仿宋" w:hAnsi="仿宋" w:eastAsia="仿宋" w:cs="仿宋"/>
        </w:rPr>
        <w:t>六、初步评审</w:t>
      </w:r>
    </w:p>
    <w:p w14:paraId="004FFFA6">
      <w:pPr>
        <w:pStyle w:val="7"/>
        <w:tabs>
          <w:tab w:val="clear" w:pos="567"/>
        </w:tabs>
        <w:spacing w:before="0" w:line="360" w:lineRule="auto"/>
        <w:rPr>
          <w:rFonts w:hint="eastAsia" w:ascii="仿宋" w:hAnsi="仿宋" w:eastAsia="仿宋" w:cs="仿宋"/>
        </w:rPr>
      </w:pPr>
      <w:r>
        <w:rPr>
          <w:rFonts w:hint="eastAsia" w:ascii="仿宋" w:hAnsi="仿宋" w:eastAsia="仿宋" w:cs="仿宋"/>
        </w:rPr>
        <w:t>1、评标委员会可以要求投标人对投标文件中含义不明确、对同类问题表述不一致或者有明显文字和计算错误的内容作必要的澄清、说明或补正。澄清、说明或补正应以书面方式进行,并不得超出投标文件的范围或者改变投标文件的实质性内容。</w:t>
      </w:r>
    </w:p>
    <w:p w14:paraId="1370D422">
      <w:pPr>
        <w:pStyle w:val="7"/>
        <w:tabs>
          <w:tab w:val="clear" w:pos="567"/>
        </w:tabs>
        <w:spacing w:before="0" w:line="360" w:lineRule="auto"/>
        <w:rPr>
          <w:rFonts w:hint="eastAsia" w:ascii="仿宋" w:hAnsi="仿宋" w:eastAsia="仿宋" w:cs="仿宋"/>
        </w:rPr>
      </w:pPr>
      <w:r>
        <w:rPr>
          <w:rFonts w:hint="eastAsia" w:ascii="仿宋" w:hAnsi="仿宋" w:eastAsia="仿宋" w:cs="仿宋"/>
        </w:rPr>
        <w:t>投标文件中的大写金额和小写金额不一致的以大写金额为准；总价金额与单价金额不一致的，以单价计算出的总价金额为准。</w:t>
      </w:r>
    </w:p>
    <w:p w14:paraId="6930EF34">
      <w:pPr>
        <w:pStyle w:val="7"/>
        <w:tabs>
          <w:tab w:val="clear" w:pos="567"/>
        </w:tabs>
        <w:spacing w:before="0" w:line="360" w:lineRule="auto"/>
        <w:rPr>
          <w:rFonts w:hint="eastAsia" w:ascii="仿宋" w:hAnsi="仿宋" w:eastAsia="仿宋" w:cs="仿宋"/>
        </w:rPr>
      </w:pPr>
      <w:r>
        <w:rPr>
          <w:rFonts w:hint="eastAsia" w:ascii="仿宋" w:hAnsi="仿宋" w:eastAsia="仿宋" w:cs="仿宋"/>
        </w:rPr>
        <w:t>2、投标人在投标报价中应该对其报价进行全面分析。在评标过程中，评标委员会发现投标人的报价明显低于其他投标报价，评标委员会认定该投标人以低于成本报价竞标，其投标应作无效投标处理。</w:t>
      </w:r>
    </w:p>
    <w:p w14:paraId="1399A8A6">
      <w:pPr>
        <w:pStyle w:val="7"/>
        <w:tabs>
          <w:tab w:val="clear" w:pos="567"/>
        </w:tabs>
        <w:spacing w:before="0" w:line="360" w:lineRule="auto"/>
        <w:rPr>
          <w:rFonts w:hint="eastAsia" w:ascii="仿宋" w:hAnsi="仿宋" w:eastAsia="仿宋" w:cs="仿宋"/>
        </w:rPr>
      </w:pPr>
      <w:r>
        <w:rPr>
          <w:rFonts w:hint="eastAsia" w:ascii="仿宋" w:hAnsi="仿宋" w:eastAsia="仿宋" w:cs="仿宋"/>
        </w:rPr>
        <w:t>3、投标最低报价，不作为是否中标的依据。</w:t>
      </w:r>
    </w:p>
    <w:p w14:paraId="63C9DFB6">
      <w:pPr>
        <w:pStyle w:val="7"/>
        <w:tabs>
          <w:tab w:val="clear" w:pos="567"/>
        </w:tabs>
        <w:spacing w:before="0" w:line="360" w:lineRule="auto"/>
        <w:rPr>
          <w:rFonts w:hint="eastAsia" w:ascii="仿宋" w:hAnsi="仿宋" w:eastAsia="仿宋" w:cs="仿宋"/>
        </w:rPr>
      </w:pPr>
      <w:r>
        <w:rPr>
          <w:rFonts w:hint="eastAsia" w:ascii="仿宋" w:hAnsi="仿宋" w:eastAsia="仿宋" w:cs="仿宋"/>
        </w:rPr>
        <w:t>4、招标方不接受不符合国家相关规定的投标报价或优惠方案。</w:t>
      </w:r>
    </w:p>
    <w:p w14:paraId="203DF4AC">
      <w:pPr>
        <w:pStyle w:val="7"/>
        <w:tabs>
          <w:tab w:val="clear" w:pos="567"/>
        </w:tabs>
        <w:spacing w:before="0" w:line="360" w:lineRule="auto"/>
        <w:rPr>
          <w:rFonts w:hint="eastAsia" w:ascii="仿宋" w:hAnsi="仿宋" w:eastAsia="仿宋" w:cs="仿宋"/>
        </w:rPr>
      </w:pPr>
      <w:r>
        <w:rPr>
          <w:rFonts w:hint="eastAsia" w:ascii="仿宋" w:hAnsi="仿宋" w:eastAsia="仿宋" w:cs="仿宋"/>
        </w:rPr>
        <w:t>5、在评标过程中，评标委员会发现投标人以他人名义投标、串标、以行贿手段谋取中标或者以其他弄虚作假方式投标的，该投标人的投标将作无效投标处理。</w:t>
      </w:r>
    </w:p>
    <w:p w14:paraId="70C9E46B">
      <w:pPr>
        <w:pStyle w:val="7"/>
        <w:tabs>
          <w:tab w:val="clear" w:pos="567"/>
        </w:tabs>
        <w:spacing w:before="0" w:line="360" w:lineRule="auto"/>
        <w:rPr>
          <w:rFonts w:hint="eastAsia" w:ascii="仿宋" w:hAnsi="仿宋" w:eastAsia="仿宋" w:cs="仿宋"/>
        </w:rPr>
      </w:pPr>
      <w:r>
        <w:rPr>
          <w:rFonts w:hint="eastAsia" w:ascii="仿宋" w:hAnsi="仿宋" w:eastAsia="仿宋" w:cs="仿宋"/>
        </w:rPr>
        <w:t>6、投标人的资格条件不符合国家有关规定和招标文件要求的，或者拒不按照要求对投标文件进行澄清、说明或补正的，评标委员会应将其投标作无效投标处理。</w:t>
      </w:r>
    </w:p>
    <w:p w14:paraId="2DC501F4">
      <w:pPr>
        <w:pStyle w:val="7"/>
        <w:tabs>
          <w:tab w:val="clear" w:pos="567"/>
        </w:tabs>
        <w:spacing w:before="0" w:line="360" w:lineRule="auto"/>
        <w:rPr>
          <w:rFonts w:hint="eastAsia" w:ascii="仿宋" w:hAnsi="仿宋" w:eastAsia="仿宋" w:cs="仿宋"/>
        </w:rPr>
      </w:pPr>
      <w:r>
        <w:rPr>
          <w:rFonts w:hint="eastAsia" w:ascii="仿宋" w:hAnsi="仿宋" w:eastAsia="仿宋" w:cs="仿宋"/>
        </w:rPr>
        <w:t>7、评标委员会应当审查所有有效投标文件是否对招标文件提出的所有实质性要求和条件做出响应。未能在实质上响应的投标，应作无效投标处理。</w:t>
      </w:r>
    </w:p>
    <w:p w14:paraId="1C06C91D">
      <w:pPr>
        <w:pStyle w:val="7"/>
        <w:tabs>
          <w:tab w:val="clear" w:pos="567"/>
        </w:tabs>
        <w:spacing w:before="0" w:line="360" w:lineRule="auto"/>
        <w:rPr>
          <w:rFonts w:hint="eastAsia" w:ascii="仿宋" w:hAnsi="仿宋" w:eastAsia="仿宋" w:cs="仿宋"/>
        </w:rPr>
      </w:pPr>
      <w:r>
        <w:rPr>
          <w:rFonts w:hint="eastAsia" w:ascii="仿宋" w:hAnsi="仿宋" w:eastAsia="仿宋" w:cs="仿宋"/>
        </w:rPr>
        <w:t>8、投标人不得误导、干扰评标委员会的评标活动，否则其投标将作无效投标处理。</w:t>
      </w:r>
    </w:p>
    <w:p w14:paraId="0AF2DBF2">
      <w:pPr>
        <w:pStyle w:val="7"/>
        <w:tabs>
          <w:tab w:val="clear" w:pos="567"/>
        </w:tabs>
        <w:spacing w:before="0" w:line="360" w:lineRule="auto"/>
        <w:rPr>
          <w:rFonts w:hint="eastAsia" w:ascii="仿宋" w:hAnsi="仿宋" w:eastAsia="仿宋" w:cs="仿宋"/>
        </w:rPr>
      </w:pPr>
      <w:r>
        <w:rPr>
          <w:rFonts w:hint="eastAsia" w:ascii="仿宋" w:hAnsi="仿宋" w:eastAsia="仿宋" w:cs="仿宋"/>
        </w:rPr>
        <w:t>9、评标委员会应当根据招标文件，审查并逐项列出投标文件的全部投标偏差。投标偏差分为重大偏差和细微偏差。</w:t>
      </w:r>
    </w:p>
    <w:p w14:paraId="2B9218DC">
      <w:pPr>
        <w:pStyle w:val="7"/>
        <w:tabs>
          <w:tab w:val="clear" w:pos="567"/>
        </w:tabs>
        <w:spacing w:before="0" w:line="360" w:lineRule="auto"/>
        <w:rPr>
          <w:rFonts w:hint="eastAsia" w:ascii="仿宋" w:hAnsi="仿宋" w:eastAsia="仿宋" w:cs="仿宋"/>
        </w:rPr>
      </w:pPr>
      <w:r>
        <w:rPr>
          <w:rFonts w:hint="eastAsia" w:ascii="仿宋" w:hAnsi="仿宋" w:eastAsia="仿宋" w:cs="仿宋"/>
        </w:rPr>
        <w:t>10、评标委员会将确定每一投标人是否对投标文件的要求做出了实质性响应，而没有重大偏离。实质性响应的投标是指符合招标文件的所有条款、条件和规定且没有重 大偏离和保留的投标。重大偏离或保留系指影响到招标文件规定的服务范围和质量，或限制了采购人的权利和投标人的义务，而纠正这些偏离将影响到其他提交实质性响应的 投标人的公平竞争地位。</w:t>
      </w:r>
    </w:p>
    <w:p w14:paraId="0EB75263">
      <w:pPr>
        <w:pStyle w:val="7"/>
        <w:tabs>
          <w:tab w:val="clear" w:pos="567"/>
        </w:tabs>
        <w:spacing w:before="0" w:line="360" w:lineRule="auto"/>
        <w:rPr>
          <w:rFonts w:hint="eastAsia" w:ascii="仿宋" w:hAnsi="仿宋" w:eastAsia="仿宋" w:cs="仿宋"/>
        </w:rPr>
      </w:pPr>
      <w:r>
        <w:rPr>
          <w:rFonts w:hint="eastAsia" w:ascii="仿宋" w:hAnsi="仿宋" w:eastAsia="仿宋" w:cs="仿宋"/>
        </w:rPr>
        <w:t>11、下列情况属于重大偏差：</w:t>
      </w:r>
    </w:p>
    <w:p w14:paraId="3153CF65">
      <w:pPr>
        <w:pStyle w:val="7"/>
        <w:tabs>
          <w:tab w:val="clear" w:pos="567"/>
        </w:tabs>
        <w:spacing w:before="0" w:line="360" w:lineRule="auto"/>
        <w:rPr>
          <w:rFonts w:hint="eastAsia" w:ascii="仿宋" w:hAnsi="仿宋" w:eastAsia="仿宋" w:cs="仿宋"/>
        </w:rPr>
      </w:pPr>
      <w:r>
        <w:rPr>
          <w:rFonts w:hint="eastAsia" w:ascii="仿宋" w:hAnsi="仿宋" w:eastAsia="仿宋" w:cs="仿宋"/>
        </w:rPr>
        <w:t>1.投标文件没有投标人授权代表签字和加盖公章的；</w:t>
      </w:r>
    </w:p>
    <w:p w14:paraId="7B0600E4">
      <w:pPr>
        <w:pStyle w:val="7"/>
        <w:tabs>
          <w:tab w:val="clear" w:pos="567"/>
        </w:tabs>
        <w:spacing w:before="0" w:line="360" w:lineRule="auto"/>
        <w:rPr>
          <w:rFonts w:hint="eastAsia" w:ascii="仿宋" w:hAnsi="仿宋" w:eastAsia="仿宋" w:cs="仿宋"/>
        </w:rPr>
      </w:pPr>
      <w:r>
        <w:rPr>
          <w:rFonts w:hint="eastAsia" w:ascii="仿宋" w:hAnsi="仿宋" w:eastAsia="仿宋" w:cs="仿宋"/>
        </w:rPr>
        <w:t>2.投标文件中附有招标人不能接受的条件的；</w:t>
      </w:r>
    </w:p>
    <w:p w14:paraId="328752E6">
      <w:pPr>
        <w:pStyle w:val="7"/>
        <w:tabs>
          <w:tab w:val="clear" w:pos="567"/>
        </w:tabs>
        <w:spacing w:before="0" w:line="360" w:lineRule="auto"/>
        <w:rPr>
          <w:rFonts w:hint="eastAsia" w:ascii="仿宋" w:hAnsi="仿宋" w:eastAsia="仿宋" w:cs="仿宋"/>
        </w:rPr>
      </w:pPr>
      <w:r>
        <w:rPr>
          <w:rFonts w:hint="eastAsia" w:ascii="仿宋" w:hAnsi="仿宋" w:eastAsia="仿宋" w:cs="仿宋"/>
        </w:rPr>
        <w:t>3.不符合招标文件中规定的其他实质性要求的。投标文件有上述情形之一的，为未能对招标文件做出实质性响应的投标，将作无效投标处理。</w:t>
      </w:r>
    </w:p>
    <w:p w14:paraId="0874B39D">
      <w:pPr>
        <w:pStyle w:val="7"/>
        <w:tabs>
          <w:tab w:val="clear" w:pos="567"/>
        </w:tabs>
        <w:spacing w:before="0" w:line="360" w:lineRule="auto"/>
        <w:rPr>
          <w:rFonts w:hint="eastAsia" w:ascii="仿宋" w:hAnsi="仿宋" w:eastAsia="仿宋" w:cs="仿宋"/>
        </w:rPr>
      </w:pPr>
      <w:r>
        <w:rPr>
          <w:rFonts w:hint="eastAsia" w:ascii="仿宋" w:hAnsi="仿宋" w:eastAsia="仿宋" w:cs="仿宋"/>
        </w:rPr>
        <w:t>12、细微偏差是指投标实质上响应了招标文件要求，但在个别地方提供了不完整 的技术信息和数据等情况，并且补正这些遗漏或不完整不会对其他投标人造成不公平的 结果。细微偏差不影响投标文件的有效性。</w:t>
      </w:r>
    </w:p>
    <w:p w14:paraId="5D203359">
      <w:pPr>
        <w:pStyle w:val="7"/>
        <w:tabs>
          <w:tab w:val="clear" w:pos="567"/>
        </w:tabs>
        <w:spacing w:before="0" w:line="360" w:lineRule="auto"/>
        <w:rPr>
          <w:rFonts w:hint="eastAsia" w:ascii="仿宋" w:hAnsi="仿宋" w:eastAsia="仿宋" w:cs="仿宋"/>
        </w:rPr>
      </w:pPr>
      <w:r>
        <w:rPr>
          <w:rFonts w:hint="eastAsia" w:ascii="仿宋" w:hAnsi="仿宋" w:eastAsia="仿宋" w:cs="仿宋"/>
        </w:rPr>
        <w:t>评标委员会应当要求存在细小偏差的投标人在评标结束前以书面形式予以补正。拒 绝补正的，在详细评审时可以对细微偏差作不利于该投标人的量化。</w:t>
      </w:r>
    </w:p>
    <w:p w14:paraId="2A6E0CC1">
      <w:pPr>
        <w:pStyle w:val="7"/>
        <w:tabs>
          <w:tab w:val="clear" w:pos="567"/>
        </w:tabs>
        <w:spacing w:before="0" w:line="360" w:lineRule="auto"/>
        <w:rPr>
          <w:rFonts w:hint="eastAsia" w:ascii="仿宋" w:hAnsi="仿宋" w:eastAsia="仿宋" w:cs="仿宋"/>
        </w:rPr>
      </w:pPr>
      <w:r>
        <w:rPr>
          <w:rFonts w:hint="eastAsia" w:ascii="仿宋" w:hAnsi="仿宋" w:eastAsia="仿宋" w:cs="仿宋"/>
        </w:rPr>
        <w:t>13、对投标文件响应性的审查</w:t>
      </w:r>
    </w:p>
    <w:p w14:paraId="39BA0520">
      <w:pPr>
        <w:pStyle w:val="7"/>
        <w:tabs>
          <w:tab w:val="clear" w:pos="567"/>
        </w:tabs>
        <w:spacing w:before="0" w:line="360" w:lineRule="auto"/>
        <w:rPr>
          <w:rFonts w:hint="eastAsia" w:ascii="仿宋" w:hAnsi="仿宋" w:eastAsia="仿宋" w:cs="仿宋"/>
        </w:rPr>
      </w:pPr>
      <w:r>
        <w:rPr>
          <w:rFonts w:hint="eastAsia" w:ascii="仿宋" w:hAnsi="仿宋" w:eastAsia="仿宋" w:cs="仿宋"/>
        </w:rPr>
        <w:t>1.开标后，评标委员会将对投标文件进行审查，检查投标文件是否完整，是否出现计算性错误，投标文件正本是否由投标代表按规定签名，是否满足招标文件的格式要求，是否提供投标保证金。</w:t>
      </w:r>
    </w:p>
    <w:p w14:paraId="00D74F7C">
      <w:pPr>
        <w:pStyle w:val="7"/>
        <w:tabs>
          <w:tab w:val="clear" w:pos="567"/>
        </w:tabs>
        <w:spacing w:before="0" w:line="360" w:lineRule="auto"/>
        <w:rPr>
          <w:rFonts w:hint="eastAsia" w:ascii="仿宋" w:hAnsi="仿宋" w:eastAsia="仿宋" w:cs="仿宋"/>
        </w:rPr>
      </w:pPr>
      <w:r>
        <w:rPr>
          <w:rFonts w:hint="eastAsia" w:ascii="仿宋" w:hAnsi="仿宋" w:eastAsia="仿宋" w:cs="仿宋"/>
        </w:rPr>
        <w:t>2.评标委员会判断投标文件的实质性响应仅基于投标文件本身而不靠外部证据。</w:t>
      </w:r>
    </w:p>
    <w:p w14:paraId="5BE9318F">
      <w:pPr>
        <w:pStyle w:val="7"/>
        <w:tabs>
          <w:tab w:val="clear" w:pos="567"/>
        </w:tabs>
        <w:spacing w:before="0" w:line="360" w:lineRule="auto"/>
        <w:rPr>
          <w:rFonts w:hint="eastAsia" w:ascii="仿宋" w:hAnsi="仿宋" w:eastAsia="仿宋" w:cs="仿宋"/>
        </w:rPr>
      </w:pPr>
      <w:r>
        <w:rPr>
          <w:rFonts w:hint="eastAsia" w:ascii="仿宋" w:hAnsi="仿宋" w:eastAsia="仿宋" w:cs="仿宋"/>
        </w:rPr>
        <w:t>3.评标委员会将拒绝被确定为非实质性响应的投标。投标人不能通过修正或撤消不符合之处而使其投标成为实质性响应的投标。</w:t>
      </w:r>
    </w:p>
    <w:p w14:paraId="0EF3F31F">
      <w:pPr>
        <w:pStyle w:val="7"/>
        <w:tabs>
          <w:tab w:val="clear" w:pos="567"/>
        </w:tabs>
        <w:spacing w:before="0" w:line="360" w:lineRule="auto"/>
        <w:rPr>
          <w:rFonts w:hint="eastAsia" w:ascii="仿宋" w:hAnsi="仿宋" w:eastAsia="仿宋" w:cs="仿宋"/>
        </w:rPr>
      </w:pPr>
      <w:r>
        <w:rPr>
          <w:rFonts w:hint="eastAsia" w:ascii="仿宋" w:hAnsi="仿宋" w:eastAsia="仿宋" w:cs="仿宋"/>
        </w:rPr>
        <w:t>七、详细评审</w:t>
      </w:r>
    </w:p>
    <w:p w14:paraId="67ED33CA">
      <w:pPr>
        <w:pStyle w:val="7"/>
        <w:tabs>
          <w:tab w:val="clear" w:pos="567"/>
        </w:tabs>
        <w:spacing w:before="0" w:line="360" w:lineRule="auto"/>
        <w:rPr>
          <w:rFonts w:hint="eastAsia" w:ascii="仿宋" w:hAnsi="仿宋" w:eastAsia="仿宋" w:cs="仿宋"/>
        </w:rPr>
      </w:pPr>
      <w:r>
        <w:rPr>
          <w:rFonts w:hint="eastAsia" w:ascii="仿宋" w:hAnsi="仿宋" w:eastAsia="仿宋" w:cs="仿宋"/>
        </w:rPr>
        <w:t>1、经初步评审合格的投标文件，评标委员会应当根据招标文件确定的评标标准和方法，对其技术和商务部分作进一步的评审和比较。</w:t>
      </w:r>
    </w:p>
    <w:p w14:paraId="51CB2DA8">
      <w:pPr>
        <w:pStyle w:val="7"/>
        <w:tabs>
          <w:tab w:val="clear" w:pos="567"/>
        </w:tabs>
        <w:spacing w:before="0" w:line="360" w:lineRule="auto"/>
        <w:rPr>
          <w:rFonts w:hint="eastAsia" w:ascii="仿宋" w:hAnsi="仿宋" w:eastAsia="仿宋" w:cs="仿宋"/>
        </w:rPr>
      </w:pPr>
      <w:r>
        <w:rPr>
          <w:rFonts w:hint="eastAsia" w:ascii="仿宋" w:hAnsi="仿宋" w:eastAsia="仿宋" w:cs="仿宋"/>
        </w:rPr>
        <w:t>2、根据国务院《政府采购法实施条例》的规定，本项目可使用的评标方法为：</w:t>
      </w:r>
    </w:p>
    <w:p w14:paraId="3501F122">
      <w:pPr>
        <w:pStyle w:val="7"/>
        <w:tabs>
          <w:tab w:val="clear" w:pos="567"/>
        </w:tabs>
        <w:spacing w:before="0" w:line="360" w:lineRule="auto"/>
        <w:rPr>
          <w:rFonts w:hint="eastAsia" w:ascii="仿宋" w:hAnsi="仿宋" w:eastAsia="仿宋" w:cs="仿宋"/>
        </w:rPr>
      </w:pPr>
      <w:r>
        <w:rPr>
          <w:rFonts w:hint="eastAsia" w:ascii="仿宋" w:hAnsi="仿宋" w:eastAsia="仿宋" w:cs="仿宋"/>
        </w:rPr>
        <w:t>1）.最低评标价法，是指投标文件满足招标文件全部实质性要求且投标报价最低的供应商为中标候选人的评标方法。</w:t>
      </w:r>
    </w:p>
    <w:p w14:paraId="4B85E46F">
      <w:pPr>
        <w:pStyle w:val="7"/>
        <w:tabs>
          <w:tab w:val="clear" w:pos="567"/>
        </w:tabs>
        <w:spacing w:before="0" w:line="360" w:lineRule="auto"/>
        <w:rPr>
          <w:rFonts w:hint="eastAsia" w:ascii="仿宋" w:hAnsi="仿宋" w:eastAsia="仿宋" w:cs="仿宋"/>
        </w:rPr>
      </w:pPr>
      <w:r>
        <w:rPr>
          <w:rFonts w:hint="eastAsia" w:ascii="仿宋" w:hAnsi="仿宋" w:eastAsia="仿宋" w:cs="仿宋"/>
        </w:rPr>
        <w:t>技术、服务等标准统一的货物和服务项目，将采用最低评标价法进行评标。评定根 据符合采购需求、质量和服务相等且报价最低的原则确定成交供应商。质量和服务相等，是指供应商提供的产品质量和服务均能满足采购文件规定的实质性要求。</w:t>
      </w:r>
    </w:p>
    <w:p w14:paraId="1003240A">
      <w:pPr>
        <w:pStyle w:val="7"/>
        <w:tabs>
          <w:tab w:val="clear" w:pos="567"/>
        </w:tabs>
        <w:spacing w:before="0" w:line="360" w:lineRule="auto"/>
        <w:rPr>
          <w:rFonts w:hint="eastAsia" w:ascii="仿宋" w:hAnsi="仿宋" w:eastAsia="仿宋" w:cs="仿宋"/>
        </w:rPr>
      </w:pPr>
      <w:r>
        <w:rPr>
          <w:rFonts w:hint="eastAsia" w:ascii="仿宋" w:hAnsi="仿宋" w:eastAsia="仿宋" w:cs="仿宋"/>
        </w:rPr>
        <w:t>2）.综合评分法，是指投标文件满足招标文件全部实质性要求且按照评审因素的量化指标评审得分最高的供应商为中标候选人的评标方法。</w:t>
      </w:r>
    </w:p>
    <w:p w14:paraId="0E10C816">
      <w:pPr>
        <w:pStyle w:val="7"/>
        <w:tabs>
          <w:tab w:val="clear" w:pos="567"/>
        </w:tabs>
        <w:spacing w:before="0" w:line="360" w:lineRule="auto"/>
        <w:rPr>
          <w:rFonts w:hint="eastAsia" w:ascii="仿宋" w:hAnsi="仿宋" w:eastAsia="仿宋" w:cs="仿宋"/>
        </w:rPr>
      </w:pPr>
      <w:r>
        <w:rPr>
          <w:rFonts w:hint="eastAsia" w:ascii="仿宋" w:hAnsi="仿宋" w:eastAsia="仿宋" w:cs="仿宋"/>
        </w:rPr>
        <w:t>3.本项目依据投标须知中规定的评标办法进行评标，即综合评分法。</w:t>
      </w:r>
    </w:p>
    <w:p w14:paraId="48CB2818">
      <w:pPr>
        <w:pStyle w:val="7"/>
        <w:tabs>
          <w:tab w:val="clear" w:pos="567"/>
        </w:tabs>
        <w:spacing w:before="0" w:line="360" w:lineRule="auto"/>
        <w:rPr>
          <w:rFonts w:hint="eastAsia" w:ascii="仿宋" w:hAnsi="仿宋" w:eastAsia="仿宋" w:cs="仿宋"/>
        </w:rPr>
      </w:pPr>
      <w:r>
        <w:rPr>
          <w:rFonts w:hint="eastAsia" w:ascii="仿宋" w:hAnsi="仿宋" w:eastAsia="仿宋" w:cs="仿宋"/>
        </w:rPr>
        <w:t>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w:t>
      </w:r>
      <w:r>
        <w:rPr>
          <w:rFonts w:hint="eastAsia" w:ascii="仿宋" w:hAnsi="仿宋" w:eastAsia="仿宋" w:cs="仿宋"/>
          <w:lang w:val="en-US" w:eastAsia="zh-CN"/>
        </w:rPr>
        <w:t>价格</w:t>
      </w:r>
      <w:r>
        <w:rPr>
          <w:rFonts w:hint="eastAsia" w:ascii="仿宋" w:hAnsi="仿宋" w:eastAsia="仿宋" w:cs="仿宋"/>
        </w:rPr>
        <w:t>由</w:t>
      </w:r>
      <w:r>
        <w:rPr>
          <w:rFonts w:hint="eastAsia" w:ascii="仿宋" w:hAnsi="仿宋" w:eastAsia="仿宋" w:cs="仿宋"/>
          <w:lang w:val="en-US" w:eastAsia="zh-CN"/>
        </w:rPr>
        <w:t>低</w:t>
      </w:r>
      <w:r>
        <w:rPr>
          <w:rFonts w:hint="eastAsia" w:ascii="仿宋" w:hAnsi="仿宋" w:eastAsia="仿宋" w:cs="仿宋"/>
        </w:rPr>
        <w:t>到</w:t>
      </w:r>
      <w:r>
        <w:rPr>
          <w:rFonts w:hint="eastAsia" w:ascii="仿宋" w:hAnsi="仿宋" w:eastAsia="仿宋" w:cs="仿宋"/>
          <w:lang w:val="en-US" w:eastAsia="zh-CN"/>
        </w:rPr>
        <w:t>高</w:t>
      </w:r>
      <w:r>
        <w:rPr>
          <w:rFonts w:hint="eastAsia" w:ascii="仿宋" w:hAnsi="仿宋" w:eastAsia="仿宋" w:cs="仿宋"/>
        </w:rPr>
        <w:t>顺序排列。得分且投标</w:t>
      </w:r>
      <w:r>
        <w:rPr>
          <w:rFonts w:hint="eastAsia" w:ascii="仿宋" w:hAnsi="仿宋" w:eastAsia="仿宋" w:cs="仿宋"/>
          <w:lang w:val="en-US" w:eastAsia="zh-CN"/>
        </w:rPr>
        <w:t>价格</w:t>
      </w:r>
      <w:r>
        <w:rPr>
          <w:rFonts w:hint="eastAsia" w:ascii="仿宋" w:hAnsi="仿宋" w:eastAsia="仿宋" w:cs="仿宋"/>
        </w:rPr>
        <w:t>相同的，按技术指标优劣顺序排列。评审得分相同且</w:t>
      </w:r>
      <w:r>
        <w:rPr>
          <w:rFonts w:hint="eastAsia" w:ascii="仿宋" w:hAnsi="仿宋" w:eastAsia="仿宋" w:cs="仿宋"/>
          <w:lang w:eastAsia="zh-CN"/>
        </w:rPr>
        <w:t>投标价格</w:t>
      </w:r>
      <w:r>
        <w:rPr>
          <w:rFonts w:hint="eastAsia" w:ascii="仿宋" w:hAnsi="仿宋" w:eastAsia="仿宋" w:cs="仿宋"/>
        </w:rPr>
        <w:t>相同的，质量技术高的排在前，评审得分相同且</w:t>
      </w:r>
      <w:r>
        <w:rPr>
          <w:rFonts w:hint="eastAsia" w:ascii="仿宋" w:hAnsi="仿宋" w:eastAsia="仿宋" w:cs="仿宋"/>
          <w:lang w:eastAsia="zh-CN"/>
        </w:rPr>
        <w:t>投标价格</w:t>
      </w:r>
      <w:r>
        <w:rPr>
          <w:rFonts w:hint="eastAsia" w:ascii="仿宋" w:hAnsi="仿宋" w:eastAsia="仿宋" w:cs="仿宋"/>
        </w:rPr>
        <w:t>相同的，质量技术分相同的，售后服务分高的排在前。</w:t>
      </w:r>
    </w:p>
    <w:p w14:paraId="441303B0">
      <w:pPr>
        <w:pStyle w:val="7"/>
        <w:tabs>
          <w:tab w:val="clear" w:pos="567"/>
        </w:tabs>
        <w:spacing w:before="0" w:line="360" w:lineRule="auto"/>
        <w:rPr>
          <w:rFonts w:hint="eastAsia" w:ascii="仿宋" w:hAnsi="仿宋" w:eastAsia="仿宋" w:cs="仿宋"/>
        </w:rPr>
      </w:pPr>
      <w:r>
        <w:rPr>
          <w:rFonts w:hint="eastAsia" w:ascii="仿宋" w:hAnsi="仿宋" w:eastAsia="仿宋" w:cs="仿宋"/>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14:paraId="65F24E64">
      <w:pPr>
        <w:pStyle w:val="7"/>
        <w:tabs>
          <w:tab w:val="clear" w:pos="567"/>
        </w:tabs>
        <w:spacing w:before="0" w:line="360" w:lineRule="auto"/>
        <w:rPr>
          <w:rFonts w:hint="eastAsia" w:ascii="仿宋" w:hAnsi="仿宋" w:eastAsia="仿宋" w:cs="仿宋"/>
        </w:rPr>
      </w:pPr>
      <w:r>
        <w:rPr>
          <w:rFonts w:hint="eastAsia" w:ascii="仿宋" w:hAnsi="仿宋" w:eastAsia="仿宋" w:cs="仿宋"/>
        </w:rPr>
        <w:br w:type="page"/>
      </w:r>
    </w:p>
    <w:p w14:paraId="0228D00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bookmarkStart w:id="483" w:name="_Toc24600"/>
      <w:bookmarkStart w:id="484" w:name="_Toc22634"/>
      <w:bookmarkStart w:id="485" w:name="_Toc18182"/>
      <w:r>
        <w:rPr>
          <w:rFonts w:hint="eastAsia" w:ascii="方正仿宋_GBK" w:hAnsi="方正仿宋_GBK" w:eastAsia="方正仿宋_GBK" w:cs="方正仿宋_GBK"/>
          <w:spacing w:val="9"/>
          <w:sz w:val="30"/>
          <w:szCs w:val="30"/>
        </w:rPr>
        <w:t>初步评审—资格性审查表</w:t>
      </w:r>
      <w:bookmarkEnd w:id="483"/>
      <w:bookmarkEnd w:id="484"/>
      <w:bookmarkEnd w:id="485"/>
    </w:p>
    <w:tbl>
      <w:tblPr>
        <w:tblStyle w:val="19"/>
        <w:tblpPr w:leftFromText="180" w:rightFromText="180" w:vertAnchor="text" w:horzAnchor="page" w:tblpX="1885" w:tblpY="81"/>
        <w:tblOverlap w:val="never"/>
        <w:tblW w:w="9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6267"/>
        <w:gridCol w:w="724"/>
        <w:gridCol w:w="724"/>
        <w:gridCol w:w="725"/>
      </w:tblGrid>
      <w:tr w14:paraId="0C30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32B0A8">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序号</w:t>
            </w:r>
          </w:p>
        </w:tc>
        <w:tc>
          <w:tcPr>
            <w:tcW w:w="62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ED5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评审内容</w:t>
            </w: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39D35F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供应商</w:t>
            </w:r>
          </w:p>
        </w:tc>
      </w:tr>
      <w:tr w14:paraId="2A48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78AF8">
            <w:pPr>
              <w:jc w:val="center"/>
              <w:rPr>
                <w:rFonts w:hint="eastAsia" w:ascii="方正仿宋_GBK" w:hAnsi="方正仿宋_GBK" w:eastAsia="方正仿宋_GBK" w:cs="方正仿宋_GBK"/>
                <w:i w:val="0"/>
                <w:iCs w:val="0"/>
                <w:color w:val="000000"/>
                <w:sz w:val="24"/>
                <w:szCs w:val="24"/>
                <w:u w:val="none"/>
              </w:rPr>
            </w:pPr>
          </w:p>
        </w:tc>
        <w:tc>
          <w:tcPr>
            <w:tcW w:w="62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5CAB0">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CEF04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60BA8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F5151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r>
      <w:tr w14:paraId="5013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CCE2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38197232">
            <w:pPr>
              <w:keepNext w:val="0"/>
              <w:keepLines w:val="0"/>
              <w:widowControl/>
              <w:suppressLineNumbers w:val="0"/>
              <w:jc w:val="left"/>
              <w:textAlignment w:val="center"/>
              <w:rPr>
                <w:rFonts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法人或者非法人组织的营业执照等证明文件复印件（须加盖本单位章）或自然人的身份证明复印件；</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8CCC5E0">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56F62C8">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F2B5F4">
            <w:pPr>
              <w:jc w:val="center"/>
              <w:rPr>
                <w:rFonts w:hint="eastAsia" w:ascii="方正仿宋_GBK" w:hAnsi="方正仿宋_GBK" w:eastAsia="方正仿宋_GBK" w:cs="方正仿宋_GBK"/>
                <w:i w:val="0"/>
                <w:iCs w:val="0"/>
                <w:color w:val="000000"/>
                <w:sz w:val="24"/>
                <w:szCs w:val="24"/>
                <w:u w:val="none"/>
              </w:rPr>
            </w:pPr>
          </w:p>
        </w:tc>
      </w:tr>
      <w:tr w14:paraId="30AA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F569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74445FCE">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法定代表人身份证明或法定代表人授权委托书，自然人响应的无需提供；</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45FFE93">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F4EF171">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4DCF83">
            <w:pPr>
              <w:jc w:val="center"/>
              <w:rPr>
                <w:rFonts w:hint="eastAsia" w:ascii="方正仿宋_GBK" w:hAnsi="方正仿宋_GBK" w:eastAsia="方正仿宋_GBK" w:cs="方正仿宋_GBK"/>
                <w:i w:val="0"/>
                <w:iCs w:val="0"/>
                <w:color w:val="000000"/>
                <w:sz w:val="24"/>
                <w:szCs w:val="24"/>
                <w:u w:val="none"/>
              </w:rPr>
            </w:pPr>
          </w:p>
        </w:tc>
      </w:tr>
      <w:tr w14:paraId="4DC1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E41F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3</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6FE89956">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2023年度的财务审计报告（新成立未满一年的新公司提供近三个月内的银行资信证明）；</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CEB47AD">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D6BBC16">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911C83">
            <w:pPr>
              <w:jc w:val="center"/>
              <w:rPr>
                <w:rFonts w:hint="eastAsia" w:ascii="方正仿宋_GBK" w:hAnsi="方正仿宋_GBK" w:eastAsia="方正仿宋_GBK" w:cs="方正仿宋_GBK"/>
                <w:i w:val="0"/>
                <w:iCs w:val="0"/>
                <w:color w:val="000000"/>
                <w:sz w:val="24"/>
                <w:szCs w:val="24"/>
                <w:u w:val="none"/>
              </w:rPr>
            </w:pPr>
          </w:p>
        </w:tc>
      </w:tr>
      <w:tr w14:paraId="761B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9367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4</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797D12CC">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提供依法缴纳近6个月内任意1个月缴纳社会保障金的证明材料（投标人单位的社保缴费凭证及个人明细表）；</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EB366FC">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6127B3">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E043BF">
            <w:pPr>
              <w:jc w:val="center"/>
              <w:rPr>
                <w:rFonts w:hint="eastAsia" w:ascii="方正仿宋_GBK" w:hAnsi="方正仿宋_GBK" w:eastAsia="方正仿宋_GBK" w:cs="方正仿宋_GBK"/>
                <w:i w:val="0"/>
                <w:iCs w:val="0"/>
                <w:color w:val="000000"/>
                <w:sz w:val="24"/>
                <w:szCs w:val="24"/>
                <w:u w:val="none"/>
              </w:rPr>
            </w:pPr>
          </w:p>
        </w:tc>
      </w:tr>
      <w:tr w14:paraId="4E92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19D7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5</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262FADD3">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内任意1个月税收证明（税务部门出具的完税凭证或缴税证明或银行出具的“银行电子缴税付款凭证”）；注：①若为零申报企业，需提供无欠税证明或国家税务总局电子税务局“申报结果查询截图”。②“税种”非社会保险；</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B167F4C">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E0DCD0C">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CAB7E7">
            <w:pPr>
              <w:jc w:val="center"/>
              <w:rPr>
                <w:rFonts w:hint="eastAsia" w:ascii="方正仿宋_GBK" w:hAnsi="方正仿宋_GBK" w:eastAsia="方正仿宋_GBK" w:cs="方正仿宋_GBK"/>
                <w:i w:val="0"/>
                <w:iCs w:val="0"/>
                <w:color w:val="000000"/>
                <w:sz w:val="24"/>
                <w:szCs w:val="24"/>
                <w:u w:val="none"/>
              </w:rPr>
            </w:pPr>
          </w:p>
        </w:tc>
      </w:tr>
      <w:tr w14:paraId="5087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B813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6</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2324BCD6">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凡拟参加本次项目的投标人，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须提供查询截图并加盖公章）；</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21F133F">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22ADADE">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EA7AB8">
            <w:pPr>
              <w:jc w:val="center"/>
              <w:rPr>
                <w:rFonts w:hint="eastAsia" w:ascii="方正仿宋_GBK" w:hAnsi="方正仿宋_GBK" w:eastAsia="方正仿宋_GBK" w:cs="方正仿宋_GBK"/>
                <w:i w:val="0"/>
                <w:iCs w:val="0"/>
                <w:color w:val="000000"/>
                <w:sz w:val="24"/>
                <w:szCs w:val="24"/>
                <w:u w:val="none"/>
              </w:rPr>
            </w:pPr>
          </w:p>
        </w:tc>
      </w:tr>
      <w:tr w14:paraId="2CAD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E687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7</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4514BD31">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供应商提供针对本次项目《反商业贿赂承诺书》；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F6D4FE3">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149DF0A">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91C581">
            <w:pPr>
              <w:jc w:val="center"/>
              <w:rPr>
                <w:rFonts w:hint="eastAsia" w:ascii="方正仿宋_GBK" w:hAnsi="方正仿宋_GBK" w:eastAsia="方正仿宋_GBK" w:cs="方正仿宋_GBK"/>
                <w:i w:val="0"/>
                <w:iCs w:val="0"/>
                <w:color w:val="000000"/>
                <w:sz w:val="24"/>
                <w:szCs w:val="24"/>
                <w:u w:val="none"/>
              </w:rPr>
            </w:pPr>
          </w:p>
        </w:tc>
      </w:tr>
      <w:tr w14:paraId="6D41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3BBF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8</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3BD484AD">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参加政府采购活动前三年内在经营活动中没有重大违法记录的书面声明；</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6285A38">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98B0CA3">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7135B58">
            <w:pPr>
              <w:jc w:val="center"/>
              <w:rPr>
                <w:rFonts w:hint="eastAsia" w:ascii="方正仿宋_GBK" w:hAnsi="方正仿宋_GBK" w:eastAsia="方正仿宋_GBK" w:cs="方正仿宋_GBK"/>
                <w:i w:val="0"/>
                <w:iCs w:val="0"/>
                <w:color w:val="000000"/>
                <w:sz w:val="24"/>
                <w:szCs w:val="24"/>
                <w:u w:val="none"/>
              </w:rPr>
            </w:pPr>
          </w:p>
        </w:tc>
      </w:tr>
      <w:tr w14:paraId="3B63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6A44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9</w:t>
            </w: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46EE8FA0">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提供缴纳投标保证金的有效凭证</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28DE7ED">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CD8E8E2">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DD8993F">
            <w:pPr>
              <w:jc w:val="center"/>
              <w:rPr>
                <w:rFonts w:hint="eastAsia" w:ascii="方正仿宋_GBK" w:hAnsi="方正仿宋_GBK" w:eastAsia="方正仿宋_GBK" w:cs="方正仿宋_GBK"/>
                <w:i w:val="0"/>
                <w:iCs w:val="0"/>
                <w:color w:val="000000"/>
                <w:sz w:val="24"/>
                <w:szCs w:val="24"/>
                <w:u w:val="none"/>
              </w:rPr>
            </w:pPr>
          </w:p>
        </w:tc>
      </w:tr>
      <w:tr w14:paraId="3D7A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287A8A">
            <w:pPr>
              <w:jc w:val="center"/>
              <w:rPr>
                <w:rFonts w:hint="eastAsia" w:ascii="方正仿宋_GBK" w:hAnsi="方正仿宋_GBK" w:eastAsia="方正仿宋_GBK" w:cs="方正仿宋_GBK"/>
                <w:i w:val="0"/>
                <w:iCs w:val="0"/>
                <w:color w:val="000000"/>
                <w:sz w:val="24"/>
                <w:szCs w:val="24"/>
                <w:u w:val="none"/>
              </w:rPr>
            </w:pPr>
          </w:p>
        </w:tc>
        <w:tc>
          <w:tcPr>
            <w:tcW w:w="6267" w:type="dxa"/>
            <w:tcBorders>
              <w:top w:val="single" w:color="000000" w:sz="4" w:space="0"/>
              <w:left w:val="single" w:color="000000" w:sz="4" w:space="0"/>
              <w:bottom w:val="single" w:color="000000" w:sz="4" w:space="0"/>
              <w:right w:val="single" w:color="000000" w:sz="4" w:space="0"/>
            </w:tcBorders>
            <w:noWrap w:val="0"/>
            <w:vAlign w:val="center"/>
          </w:tcPr>
          <w:p w14:paraId="270B09B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结论</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87D9308">
            <w:pPr>
              <w:jc w:val="center"/>
              <w:rPr>
                <w:rFonts w:hint="eastAsia" w:ascii="方正仿宋_GBK" w:hAnsi="方正仿宋_GBK" w:eastAsia="方正仿宋_GBK" w:cs="方正仿宋_GBK"/>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3E45EF40">
            <w:pPr>
              <w:jc w:val="center"/>
              <w:rPr>
                <w:rFonts w:hint="eastAsia" w:ascii="方正仿宋_GBK" w:hAnsi="方正仿宋_GBK" w:eastAsia="方正仿宋_GBK" w:cs="方正仿宋_GBK"/>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486E93D">
            <w:pPr>
              <w:rPr>
                <w:rFonts w:hint="eastAsia" w:ascii="宋体" w:hAnsi="宋体" w:eastAsia="宋体" w:cs="宋体"/>
                <w:i w:val="0"/>
                <w:iCs w:val="0"/>
                <w:color w:val="000000"/>
                <w:sz w:val="24"/>
                <w:szCs w:val="24"/>
                <w:u w:val="none"/>
              </w:rPr>
            </w:pPr>
          </w:p>
        </w:tc>
      </w:tr>
    </w:tbl>
    <w:p w14:paraId="7CD91D0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仿宋" w:hAnsi="仿宋" w:eastAsia="仿宋" w:cs="仿宋"/>
          <w:i w:val="0"/>
          <w:iCs w:val="0"/>
          <w:snapToGrid w:val="0"/>
          <w:color w:val="000000"/>
          <w:kern w:val="0"/>
          <w:sz w:val="23"/>
          <w:szCs w:val="23"/>
          <w:u w:val="none"/>
          <w:lang w:val="en-US" w:eastAsia="zh-CN" w:bidi="ar"/>
        </w:rPr>
      </w:pPr>
      <w:r>
        <w:rPr>
          <w:rFonts w:hint="eastAsia" w:ascii="仿宋" w:hAnsi="仿宋" w:eastAsia="仿宋" w:cs="仿宋"/>
          <w:i w:val="0"/>
          <w:iCs w:val="0"/>
          <w:snapToGrid w:val="0"/>
          <w:color w:val="000000"/>
          <w:kern w:val="0"/>
          <w:sz w:val="23"/>
          <w:szCs w:val="23"/>
          <w:u w:val="none"/>
          <w:lang w:val="en-US" w:eastAsia="zh-CN" w:bidi="ar"/>
        </w:rPr>
        <w:t>注：近六个月是指2024年2月-2024年8月 。</w:t>
      </w:r>
    </w:p>
    <w:p w14:paraId="13B8268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方正仿宋_GBK"/>
          <w:sz w:val="23"/>
          <w:szCs w:val="23"/>
          <w:lang w:eastAsia="zh-CN"/>
        </w:rPr>
        <w:sectPr>
          <w:footerReference r:id="rId12" w:type="default"/>
          <w:pgSz w:w="11906" w:h="16838"/>
          <w:pgMar w:top="1440" w:right="1800" w:bottom="1440" w:left="1800" w:header="0" w:footer="1243" w:gutter="0"/>
          <w:pgNumType w:fmt="numberInDash"/>
          <w:cols w:space="720" w:num="1"/>
        </w:sectPr>
      </w:pPr>
      <w:r>
        <w:rPr>
          <w:rFonts w:hint="eastAsia" w:ascii="方正仿宋_GBK" w:hAnsi="方正仿宋_GBK" w:eastAsia="方正仿宋_GBK" w:cs="方正仿宋_GBK"/>
          <w:spacing w:val="8"/>
          <w:sz w:val="23"/>
          <w:szCs w:val="23"/>
        </w:rPr>
        <w:t>未通过资格审查的供应商不进入评标；通过资格审查的供应商少于不足三家的</w:t>
      </w:r>
      <w:r>
        <w:rPr>
          <w:rFonts w:hint="eastAsia" w:ascii="方正仿宋_GBK" w:hAnsi="方正仿宋_GBK" w:eastAsia="方正仿宋_GBK" w:cs="方正仿宋_GBK"/>
          <w:spacing w:val="8"/>
          <w:sz w:val="23"/>
          <w:szCs w:val="23"/>
          <w:lang w:eastAsia="zh-CN"/>
        </w:rPr>
        <w:t>，</w:t>
      </w:r>
      <w:r>
        <w:rPr>
          <w:rFonts w:hint="eastAsia" w:ascii="方正仿宋_GBK" w:hAnsi="方正仿宋_GBK" w:eastAsia="方正仿宋_GBK" w:cs="方正仿宋_GBK"/>
          <w:spacing w:val="8"/>
          <w:sz w:val="23"/>
          <w:szCs w:val="23"/>
        </w:rPr>
        <w:t>不得评标</w:t>
      </w:r>
      <w:r>
        <w:rPr>
          <w:rFonts w:hint="eastAsia" w:ascii="方正仿宋_GBK" w:hAnsi="方正仿宋_GBK" w:eastAsia="方正仿宋_GBK" w:cs="方正仿宋_GBK"/>
          <w:spacing w:val="8"/>
          <w:sz w:val="23"/>
          <w:szCs w:val="23"/>
          <w:lang w:eastAsia="zh-CN"/>
        </w:rPr>
        <w:t>。</w:t>
      </w:r>
    </w:p>
    <w:p w14:paraId="270520A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bookmarkStart w:id="486" w:name="_Toc9897"/>
      <w:bookmarkStart w:id="487" w:name="_Toc32552"/>
      <w:bookmarkStart w:id="488" w:name="_Toc11318"/>
      <w:r>
        <w:rPr>
          <w:rFonts w:hint="eastAsia" w:ascii="方正仿宋_GBK" w:hAnsi="方正仿宋_GBK" w:eastAsia="方正仿宋_GBK" w:cs="方正仿宋_GBK"/>
          <w:spacing w:val="8"/>
          <w:sz w:val="30"/>
          <w:szCs w:val="30"/>
        </w:rPr>
        <w:t>初步评审—符合性审查表</w:t>
      </w:r>
      <w:bookmarkEnd w:id="486"/>
      <w:bookmarkEnd w:id="487"/>
      <w:bookmarkEnd w:id="488"/>
    </w:p>
    <w:p w14:paraId="074DB3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bl>
      <w:tblPr>
        <w:tblStyle w:val="24"/>
        <w:tblW w:w="81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5990"/>
        <w:gridCol w:w="1442"/>
      </w:tblGrid>
      <w:tr w14:paraId="77C2F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677" w:type="dxa"/>
            <w:gridSpan w:val="2"/>
            <w:noWrap w:val="0"/>
            <w:vAlign w:val="center"/>
          </w:tcPr>
          <w:p w14:paraId="384E094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pPr>
          </w:p>
        </w:tc>
        <w:tc>
          <w:tcPr>
            <w:tcW w:w="1442" w:type="dxa"/>
            <w:noWrap w:val="0"/>
            <w:vAlign w:val="center"/>
          </w:tcPr>
          <w:p w14:paraId="2628D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评审意见</w:t>
            </w:r>
          </w:p>
        </w:tc>
      </w:tr>
      <w:tr w14:paraId="1755C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87" w:type="dxa"/>
            <w:noWrap w:val="0"/>
            <w:vAlign w:val="center"/>
          </w:tcPr>
          <w:p w14:paraId="04BC9D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5"/>
                <w:sz w:val="23"/>
                <w:szCs w:val="23"/>
              </w:rPr>
              <w:t>序号</w:t>
            </w:r>
          </w:p>
        </w:tc>
        <w:tc>
          <w:tcPr>
            <w:tcW w:w="5990" w:type="dxa"/>
            <w:noWrap w:val="0"/>
            <w:vAlign w:val="center"/>
          </w:tcPr>
          <w:p w14:paraId="7A57F6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评审内容</w:t>
            </w:r>
          </w:p>
        </w:tc>
        <w:tc>
          <w:tcPr>
            <w:tcW w:w="1442" w:type="dxa"/>
            <w:noWrap w:val="0"/>
            <w:vAlign w:val="center"/>
          </w:tcPr>
          <w:p w14:paraId="020A86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6"/>
                <w:sz w:val="23"/>
                <w:szCs w:val="23"/>
              </w:rPr>
              <w:t>是否合格</w:t>
            </w:r>
          </w:p>
        </w:tc>
      </w:tr>
      <w:tr w14:paraId="58E3E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87" w:type="dxa"/>
            <w:noWrap w:val="0"/>
            <w:vAlign w:val="center"/>
          </w:tcPr>
          <w:p w14:paraId="287E30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1</w:t>
            </w:r>
          </w:p>
        </w:tc>
        <w:tc>
          <w:tcPr>
            <w:tcW w:w="5990" w:type="dxa"/>
            <w:noWrap w:val="0"/>
            <w:vAlign w:val="center"/>
          </w:tcPr>
          <w:p w14:paraId="741796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各供应商投标报价未高于预算金额；</w:t>
            </w:r>
          </w:p>
        </w:tc>
        <w:tc>
          <w:tcPr>
            <w:tcW w:w="1442" w:type="dxa"/>
            <w:noWrap w:val="0"/>
            <w:vAlign w:val="center"/>
          </w:tcPr>
          <w:p w14:paraId="5416824F">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27325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jc w:val="center"/>
        </w:trPr>
        <w:tc>
          <w:tcPr>
            <w:tcW w:w="687" w:type="dxa"/>
            <w:noWrap w:val="0"/>
            <w:vAlign w:val="center"/>
          </w:tcPr>
          <w:p w14:paraId="1B53B1A4">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pPr>
          </w:p>
          <w:p w14:paraId="11F4E9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2</w:t>
            </w:r>
          </w:p>
        </w:tc>
        <w:tc>
          <w:tcPr>
            <w:tcW w:w="5990" w:type="dxa"/>
            <w:noWrap w:val="0"/>
            <w:vAlign w:val="center"/>
          </w:tcPr>
          <w:p w14:paraId="6CDCFA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hint="eastAsia" w:ascii="宋体" w:hAnsi="宋体" w:eastAsia="宋体" w:cs="宋体"/>
                <w:spacing w:val="12"/>
                <w:sz w:val="23"/>
                <w:szCs w:val="23"/>
                <w:lang w:eastAsia="zh-CN"/>
              </w:rPr>
              <w:t>评标委员会</w:t>
            </w:r>
            <w:r>
              <w:rPr>
                <w:rFonts w:ascii="宋体" w:hAnsi="宋体" w:eastAsia="宋体" w:cs="宋体"/>
                <w:spacing w:val="12"/>
                <w:sz w:val="23"/>
                <w:szCs w:val="23"/>
              </w:rPr>
              <w:t>认为供应商的报价无明显低于</w:t>
            </w:r>
            <w:r>
              <w:rPr>
                <w:rFonts w:hint="eastAsia" w:ascii="宋体" w:hAnsi="宋体" w:eastAsia="宋体" w:cs="宋体"/>
                <w:spacing w:val="12"/>
                <w:sz w:val="23"/>
                <w:szCs w:val="23"/>
                <w:lang w:val="en-US" w:eastAsia="zh-CN"/>
              </w:rPr>
              <w:t>或高于</w:t>
            </w:r>
            <w:r>
              <w:rPr>
                <w:rFonts w:ascii="宋体" w:hAnsi="宋体" w:eastAsia="宋体" w:cs="宋体"/>
                <w:spacing w:val="12"/>
                <w:sz w:val="23"/>
                <w:szCs w:val="23"/>
              </w:rPr>
              <w:t>其他通过审查供应商的报价的，供应商的报价不存在异常一致并成规律性的，其报</w:t>
            </w:r>
            <w:r>
              <w:rPr>
                <w:rFonts w:ascii="宋体" w:hAnsi="宋体" w:eastAsia="宋体" w:cs="宋体"/>
                <w:spacing w:val="-6"/>
                <w:sz w:val="23"/>
                <w:szCs w:val="23"/>
              </w:rPr>
              <w:t>价合理；</w:t>
            </w:r>
          </w:p>
        </w:tc>
        <w:tc>
          <w:tcPr>
            <w:tcW w:w="1442" w:type="dxa"/>
            <w:noWrap w:val="0"/>
            <w:vAlign w:val="center"/>
          </w:tcPr>
          <w:p w14:paraId="3563456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60AF8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687" w:type="dxa"/>
            <w:noWrap w:val="0"/>
            <w:vAlign w:val="center"/>
          </w:tcPr>
          <w:p w14:paraId="7CEC9C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3</w:t>
            </w:r>
          </w:p>
        </w:tc>
        <w:tc>
          <w:tcPr>
            <w:tcW w:w="5990" w:type="dxa"/>
            <w:noWrap w:val="0"/>
            <w:vAlign w:val="center"/>
          </w:tcPr>
          <w:p w14:paraId="717FC7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ascii="宋体" w:hAnsi="宋体" w:eastAsia="宋体" w:cs="宋体"/>
                <w:spacing w:val="7"/>
                <w:sz w:val="23"/>
                <w:szCs w:val="23"/>
              </w:rPr>
              <w:t>报价文件按照</w:t>
            </w:r>
            <w:r>
              <w:rPr>
                <w:rFonts w:hint="eastAsia" w:ascii="宋体" w:hAnsi="宋体" w:eastAsia="宋体" w:cs="宋体"/>
                <w:spacing w:val="7"/>
                <w:sz w:val="23"/>
                <w:szCs w:val="23"/>
                <w:lang w:eastAsia="zh-CN"/>
              </w:rPr>
              <w:t>招标文件</w:t>
            </w:r>
            <w:r>
              <w:rPr>
                <w:rFonts w:ascii="宋体" w:hAnsi="宋体" w:eastAsia="宋体" w:cs="宋体"/>
                <w:spacing w:val="7"/>
                <w:sz w:val="23"/>
                <w:szCs w:val="23"/>
              </w:rPr>
              <w:t>的规定编制、标记及签署盖章的</w:t>
            </w:r>
            <w:r>
              <w:rPr>
                <w:rFonts w:hint="eastAsia" w:ascii="宋体" w:hAnsi="宋体" w:eastAsia="宋体" w:cs="宋体"/>
                <w:spacing w:val="7"/>
                <w:sz w:val="23"/>
                <w:szCs w:val="23"/>
                <w:lang w:eastAsia="zh-CN"/>
              </w:rPr>
              <w:t>；</w:t>
            </w:r>
          </w:p>
        </w:tc>
        <w:tc>
          <w:tcPr>
            <w:tcW w:w="1442" w:type="dxa"/>
            <w:noWrap w:val="0"/>
            <w:vAlign w:val="center"/>
          </w:tcPr>
          <w:p w14:paraId="7AC9FE53">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40A7E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87" w:type="dxa"/>
            <w:noWrap w:val="0"/>
            <w:vAlign w:val="center"/>
          </w:tcPr>
          <w:p w14:paraId="429EAD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4</w:t>
            </w:r>
          </w:p>
        </w:tc>
        <w:tc>
          <w:tcPr>
            <w:tcW w:w="5990" w:type="dxa"/>
            <w:noWrap w:val="0"/>
            <w:vAlign w:val="center"/>
          </w:tcPr>
          <w:p w14:paraId="434A64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10"/>
                <w:sz w:val="23"/>
                <w:szCs w:val="23"/>
              </w:rPr>
              <w:t>按</w:t>
            </w:r>
            <w:r>
              <w:rPr>
                <w:rFonts w:hint="eastAsia" w:ascii="宋体" w:hAnsi="宋体" w:eastAsia="宋体" w:cs="宋体"/>
                <w:spacing w:val="10"/>
                <w:sz w:val="23"/>
                <w:szCs w:val="23"/>
                <w:lang w:eastAsia="zh-CN"/>
              </w:rPr>
              <w:t>招标文件</w:t>
            </w:r>
            <w:r>
              <w:rPr>
                <w:rFonts w:ascii="宋体" w:hAnsi="宋体" w:eastAsia="宋体" w:cs="宋体"/>
                <w:spacing w:val="10"/>
                <w:sz w:val="23"/>
                <w:szCs w:val="23"/>
              </w:rPr>
              <w:t>规定的格式填写，内容全或关键字迹清晰、数量等齐</w:t>
            </w:r>
            <w:r>
              <w:rPr>
                <w:rFonts w:ascii="宋体" w:hAnsi="宋体" w:eastAsia="宋体" w:cs="宋体"/>
                <w:spacing w:val="3"/>
                <w:sz w:val="23"/>
                <w:szCs w:val="23"/>
              </w:rPr>
              <w:t>全的；</w:t>
            </w:r>
          </w:p>
        </w:tc>
        <w:tc>
          <w:tcPr>
            <w:tcW w:w="1442" w:type="dxa"/>
            <w:noWrap w:val="0"/>
            <w:vAlign w:val="center"/>
          </w:tcPr>
          <w:p w14:paraId="0E487C5D">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136F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687" w:type="dxa"/>
            <w:noWrap w:val="0"/>
            <w:vAlign w:val="center"/>
          </w:tcPr>
          <w:p w14:paraId="547667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5</w:t>
            </w:r>
          </w:p>
        </w:tc>
        <w:tc>
          <w:tcPr>
            <w:tcW w:w="5990" w:type="dxa"/>
            <w:noWrap w:val="0"/>
            <w:vAlign w:val="center"/>
          </w:tcPr>
          <w:p w14:paraId="72C954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9"/>
                <w:sz w:val="23"/>
                <w:szCs w:val="23"/>
              </w:rPr>
              <w:t>符合</w:t>
            </w:r>
            <w:r>
              <w:rPr>
                <w:rFonts w:hint="eastAsia" w:ascii="宋体" w:hAnsi="宋体" w:eastAsia="宋体" w:cs="宋体"/>
                <w:spacing w:val="9"/>
                <w:sz w:val="23"/>
                <w:szCs w:val="23"/>
                <w:lang w:eastAsia="zh-CN"/>
              </w:rPr>
              <w:t>招标文件</w:t>
            </w:r>
            <w:r>
              <w:rPr>
                <w:rFonts w:ascii="宋体" w:hAnsi="宋体" w:eastAsia="宋体" w:cs="宋体"/>
                <w:spacing w:val="9"/>
                <w:sz w:val="23"/>
                <w:szCs w:val="23"/>
              </w:rPr>
              <w:t>中规定的实质性要求及其他项目要求；</w:t>
            </w:r>
          </w:p>
        </w:tc>
        <w:tc>
          <w:tcPr>
            <w:tcW w:w="1442" w:type="dxa"/>
            <w:noWrap w:val="0"/>
            <w:vAlign w:val="center"/>
          </w:tcPr>
          <w:p w14:paraId="7A448252">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356B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87" w:type="dxa"/>
            <w:noWrap w:val="0"/>
            <w:vAlign w:val="center"/>
          </w:tcPr>
          <w:p w14:paraId="5BA609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6</w:t>
            </w:r>
          </w:p>
        </w:tc>
        <w:tc>
          <w:tcPr>
            <w:tcW w:w="5990" w:type="dxa"/>
            <w:noWrap w:val="0"/>
            <w:vAlign w:val="center"/>
          </w:tcPr>
          <w:p w14:paraId="238B15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没有采购人不能接受的附加条件的；</w:t>
            </w:r>
          </w:p>
        </w:tc>
        <w:tc>
          <w:tcPr>
            <w:tcW w:w="1442" w:type="dxa"/>
            <w:noWrap w:val="0"/>
            <w:vAlign w:val="center"/>
          </w:tcPr>
          <w:p w14:paraId="1045C1B7">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2C821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87" w:type="dxa"/>
            <w:noWrap w:val="0"/>
            <w:vAlign w:val="center"/>
          </w:tcPr>
          <w:p w14:paraId="29473D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7</w:t>
            </w:r>
          </w:p>
        </w:tc>
        <w:tc>
          <w:tcPr>
            <w:tcW w:w="5990" w:type="dxa"/>
            <w:noWrap w:val="0"/>
            <w:vAlign w:val="center"/>
          </w:tcPr>
          <w:p w14:paraId="093AAC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6"/>
                <w:sz w:val="23"/>
                <w:szCs w:val="23"/>
              </w:rPr>
              <w:t>不同供应商的报价文件没有错漏一致的情况；</w:t>
            </w:r>
          </w:p>
        </w:tc>
        <w:tc>
          <w:tcPr>
            <w:tcW w:w="1442" w:type="dxa"/>
            <w:noWrap w:val="0"/>
            <w:vAlign w:val="center"/>
          </w:tcPr>
          <w:p w14:paraId="7777DAB4">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3576E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687" w:type="dxa"/>
            <w:noWrap w:val="0"/>
            <w:vAlign w:val="center"/>
          </w:tcPr>
          <w:p w14:paraId="3F3269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8</w:t>
            </w:r>
          </w:p>
        </w:tc>
        <w:tc>
          <w:tcPr>
            <w:tcW w:w="5990" w:type="dxa"/>
            <w:noWrap w:val="0"/>
            <w:vAlign w:val="center"/>
          </w:tcPr>
          <w:p w14:paraId="14A72F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7"/>
                <w:sz w:val="23"/>
                <w:szCs w:val="23"/>
              </w:rPr>
              <w:t>供应商附有详细地址、联系人、电话标明的。</w:t>
            </w:r>
          </w:p>
        </w:tc>
        <w:tc>
          <w:tcPr>
            <w:tcW w:w="1442" w:type="dxa"/>
            <w:noWrap w:val="0"/>
            <w:vAlign w:val="center"/>
          </w:tcPr>
          <w:p w14:paraId="5F9C4E2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58F39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677" w:type="dxa"/>
            <w:gridSpan w:val="2"/>
            <w:noWrap w:val="0"/>
            <w:vAlign w:val="center"/>
          </w:tcPr>
          <w:p w14:paraId="6A8E8F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ascii="宋体" w:hAnsi="宋体" w:eastAsia="宋体" w:cs="宋体"/>
                <w:spacing w:val="12"/>
                <w:sz w:val="23"/>
                <w:szCs w:val="23"/>
              </w:rPr>
              <w:t>结论：通过评审打</w:t>
            </w:r>
            <w:r>
              <w:rPr>
                <w:rFonts w:hint="eastAsia" w:ascii="宋体" w:hAnsi="宋体" w:eastAsia="宋体" w:cs="宋体"/>
                <w:spacing w:val="12"/>
                <w:sz w:val="23"/>
                <w:szCs w:val="23"/>
                <w:lang w:eastAsia="zh-CN"/>
              </w:rPr>
              <w:t>“</w:t>
            </w:r>
            <w:r>
              <w:rPr>
                <w:rFonts w:ascii="宋体" w:hAnsi="宋体" w:eastAsia="宋体" w:cs="宋体"/>
                <w:spacing w:val="12"/>
                <w:sz w:val="23"/>
                <w:szCs w:val="23"/>
              </w:rPr>
              <w:t>√</w:t>
            </w:r>
            <w:r>
              <w:rPr>
                <w:rFonts w:hint="eastAsia" w:ascii="宋体" w:hAnsi="宋体" w:eastAsia="宋体" w:cs="宋体"/>
                <w:spacing w:val="12"/>
                <w:sz w:val="23"/>
                <w:szCs w:val="23"/>
                <w:lang w:eastAsia="zh-CN"/>
              </w:rPr>
              <w:t>”</w:t>
            </w:r>
            <w:r>
              <w:rPr>
                <w:rFonts w:ascii="宋体" w:hAnsi="宋体" w:eastAsia="宋体" w:cs="宋体"/>
                <w:spacing w:val="12"/>
                <w:sz w:val="23"/>
                <w:szCs w:val="23"/>
              </w:rPr>
              <w:t>,未通过评审打</w:t>
            </w:r>
            <w:r>
              <w:rPr>
                <w:rFonts w:hint="eastAsia" w:ascii="宋体" w:hAnsi="宋体" w:eastAsia="宋体" w:cs="宋体"/>
                <w:spacing w:val="12"/>
                <w:sz w:val="23"/>
                <w:szCs w:val="23"/>
                <w:lang w:eastAsia="zh-CN"/>
              </w:rPr>
              <w:t>“</w:t>
            </w:r>
            <w:r>
              <w:rPr>
                <w:rFonts w:ascii="宋体" w:hAnsi="宋体" w:eastAsia="宋体" w:cs="宋体"/>
                <w:spacing w:val="12"/>
                <w:sz w:val="23"/>
                <w:szCs w:val="23"/>
              </w:rPr>
              <w:t>×</w:t>
            </w:r>
            <w:r>
              <w:rPr>
                <w:rFonts w:hint="eastAsia" w:ascii="宋体" w:hAnsi="宋体" w:eastAsia="宋体" w:cs="宋体"/>
                <w:spacing w:val="12"/>
                <w:sz w:val="23"/>
                <w:szCs w:val="23"/>
                <w:lang w:eastAsia="zh-CN"/>
              </w:rPr>
              <w:t>”</w:t>
            </w:r>
          </w:p>
        </w:tc>
        <w:tc>
          <w:tcPr>
            <w:tcW w:w="1442" w:type="dxa"/>
            <w:noWrap w:val="0"/>
            <w:vAlign w:val="center"/>
          </w:tcPr>
          <w:p w14:paraId="721786AC">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bl>
    <w:p w14:paraId="0C3F31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10"/>
          <w:sz w:val="23"/>
          <w:szCs w:val="23"/>
        </w:rPr>
        <w:t>说明：</w:t>
      </w:r>
    </w:p>
    <w:p w14:paraId="26517E6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3"/>
          <w:sz w:val="23"/>
          <w:szCs w:val="23"/>
        </w:rPr>
        <w:t>（</w:t>
      </w:r>
      <w:r>
        <w:rPr>
          <w:rFonts w:ascii="Times New Roman" w:hAnsi="Times New Roman" w:eastAsia="Times New Roman" w:cs="Times New Roman"/>
          <w:spacing w:val="-3"/>
          <w:sz w:val="23"/>
          <w:szCs w:val="23"/>
        </w:rPr>
        <w:t>1</w:t>
      </w:r>
      <w:r>
        <w:rPr>
          <w:spacing w:val="-3"/>
          <w:sz w:val="23"/>
          <w:szCs w:val="23"/>
        </w:rPr>
        <w:t>）上述各项中用</w:t>
      </w:r>
      <w:r>
        <w:rPr>
          <w:rFonts w:hint="eastAsia" w:ascii="Times New Roman" w:hAnsi="Times New Roman" w:cs="Times New Roman"/>
          <w:spacing w:val="-3"/>
          <w:sz w:val="23"/>
          <w:szCs w:val="23"/>
          <w:lang w:eastAsia="zh-CN"/>
        </w:rPr>
        <w:t>“</w:t>
      </w:r>
      <w:r>
        <w:rPr>
          <w:rFonts w:ascii="Times New Roman" w:hAnsi="Times New Roman" w:eastAsia="Times New Roman" w:cs="Times New Roman"/>
          <w:spacing w:val="-3"/>
          <w:sz w:val="23"/>
          <w:szCs w:val="23"/>
        </w:rPr>
        <w:t>√</w:t>
      </w:r>
      <w:r>
        <w:rPr>
          <w:rFonts w:hint="eastAsia" w:ascii="Times New Roman" w:hAnsi="Times New Roman" w:cs="Times New Roman"/>
          <w:spacing w:val="-3"/>
          <w:sz w:val="23"/>
          <w:szCs w:val="23"/>
          <w:lang w:eastAsia="zh-CN"/>
        </w:rPr>
        <w:t>”</w:t>
      </w:r>
      <w:r>
        <w:rPr>
          <w:spacing w:val="-3"/>
          <w:sz w:val="23"/>
          <w:szCs w:val="23"/>
        </w:rPr>
        <w:t>表示通过，</w:t>
      </w:r>
      <w:r>
        <w:rPr>
          <w:rFonts w:hint="eastAsia"/>
          <w:spacing w:val="-3"/>
          <w:sz w:val="23"/>
          <w:szCs w:val="23"/>
          <w:lang w:eastAsia="zh-CN"/>
        </w:rPr>
        <w:t>“</w:t>
      </w:r>
      <w:r>
        <w:rPr>
          <w:rFonts w:ascii="Times New Roman" w:hAnsi="Times New Roman" w:eastAsia="Times New Roman" w:cs="Times New Roman"/>
          <w:spacing w:val="-3"/>
          <w:sz w:val="23"/>
          <w:szCs w:val="23"/>
        </w:rPr>
        <w:t>×</w:t>
      </w:r>
      <w:r>
        <w:rPr>
          <w:rFonts w:hint="eastAsia" w:ascii="Times New Roman" w:hAnsi="Times New Roman" w:cs="Times New Roman"/>
          <w:spacing w:val="-3"/>
          <w:sz w:val="23"/>
          <w:szCs w:val="23"/>
          <w:lang w:eastAsia="zh-CN"/>
        </w:rPr>
        <w:t>”</w:t>
      </w:r>
      <w:r>
        <w:rPr>
          <w:spacing w:val="-3"/>
          <w:sz w:val="23"/>
          <w:szCs w:val="23"/>
        </w:rPr>
        <w:t>表示不通过；</w:t>
      </w:r>
    </w:p>
    <w:p w14:paraId="6D612FD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3"/>
          <w:sz w:val="23"/>
          <w:szCs w:val="23"/>
        </w:rPr>
      </w:pPr>
      <w:r>
        <w:rPr>
          <w:spacing w:val="-3"/>
          <w:sz w:val="23"/>
          <w:szCs w:val="23"/>
        </w:rPr>
        <w:t>（2）上述各项中如有一项为</w:t>
      </w:r>
      <w:r>
        <w:rPr>
          <w:rFonts w:hint="eastAsia"/>
          <w:spacing w:val="-3"/>
          <w:sz w:val="23"/>
          <w:szCs w:val="23"/>
          <w:lang w:eastAsia="zh-CN"/>
        </w:rPr>
        <w:t>“</w:t>
      </w:r>
      <w:r>
        <w:rPr>
          <w:spacing w:val="-3"/>
          <w:sz w:val="23"/>
          <w:szCs w:val="23"/>
        </w:rPr>
        <w:t>×</w:t>
      </w:r>
      <w:r>
        <w:rPr>
          <w:rFonts w:hint="eastAsia"/>
          <w:spacing w:val="-3"/>
          <w:sz w:val="23"/>
          <w:szCs w:val="23"/>
          <w:lang w:eastAsia="zh-CN"/>
        </w:rPr>
        <w:t>”</w:t>
      </w:r>
      <w:r>
        <w:rPr>
          <w:spacing w:val="-3"/>
          <w:sz w:val="23"/>
          <w:szCs w:val="23"/>
        </w:rPr>
        <w:t>,则结论为</w:t>
      </w:r>
      <w:r>
        <w:rPr>
          <w:rFonts w:hint="eastAsia"/>
          <w:spacing w:val="-3"/>
          <w:sz w:val="23"/>
          <w:szCs w:val="23"/>
          <w:lang w:eastAsia="zh-CN"/>
        </w:rPr>
        <w:t>“</w:t>
      </w:r>
      <w:r>
        <w:rPr>
          <w:spacing w:val="-3"/>
          <w:sz w:val="23"/>
          <w:szCs w:val="23"/>
        </w:rPr>
        <w:t>×</w:t>
      </w:r>
      <w:r>
        <w:rPr>
          <w:rFonts w:hint="eastAsia"/>
          <w:spacing w:val="-3"/>
          <w:sz w:val="23"/>
          <w:szCs w:val="23"/>
          <w:lang w:eastAsia="zh-CN"/>
        </w:rPr>
        <w:t>”</w:t>
      </w:r>
      <w:r>
        <w:rPr>
          <w:spacing w:val="-3"/>
          <w:sz w:val="23"/>
          <w:szCs w:val="23"/>
        </w:rPr>
        <w:t>,表示该响应文件中存在重大偏差，不能通过初步评审；</w:t>
      </w:r>
      <w:r>
        <w:rPr>
          <w:rFonts w:hint="eastAsia"/>
          <w:spacing w:val="-3"/>
          <w:sz w:val="23"/>
          <w:szCs w:val="23"/>
          <w:lang w:eastAsia="zh-CN"/>
        </w:rPr>
        <w:t>评标委员会</w:t>
      </w:r>
      <w:r>
        <w:rPr>
          <w:spacing w:val="-3"/>
          <w:sz w:val="23"/>
          <w:szCs w:val="23"/>
        </w:rPr>
        <w:t>对某一分项评审认为不合格时，必须要写明原因。</w:t>
      </w:r>
    </w:p>
    <w:p w14:paraId="6A316E7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Theme="minorEastAsia"/>
          <w:spacing w:val="-3"/>
          <w:sz w:val="23"/>
          <w:szCs w:val="23"/>
          <w:lang w:eastAsia="zh-CN"/>
        </w:rPr>
        <w:sectPr>
          <w:footerReference r:id="rId13" w:type="default"/>
          <w:pgSz w:w="11906" w:h="16838"/>
          <w:pgMar w:top="1440" w:right="1800" w:bottom="1440" w:left="1800" w:header="0" w:footer="1243" w:gutter="0"/>
          <w:pgNumType w:fmt="numberInDash"/>
          <w:cols w:space="720" w:num="1"/>
        </w:sectPr>
      </w:pPr>
      <w:r>
        <w:rPr>
          <w:spacing w:val="-3"/>
          <w:sz w:val="23"/>
          <w:szCs w:val="23"/>
        </w:rPr>
        <w:t>（3）响应文件最终合格与否，以所有</w:t>
      </w:r>
      <w:r>
        <w:rPr>
          <w:rFonts w:hint="eastAsia"/>
          <w:spacing w:val="-3"/>
          <w:sz w:val="23"/>
          <w:szCs w:val="23"/>
          <w:lang w:eastAsia="zh-CN"/>
        </w:rPr>
        <w:t>评标委员会</w:t>
      </w:r>
      <w:r>
        <w:rPr>
          <w:spacing w:val="-3"/>
          <w:sz w:val="23"/>
          <w:szCs w:val="23"/>
        </w:rPr>
        <w:t>的评审意见中少数服从多数</w:t>
      </w:r>
      <w:r>
        <w:rPr>
          <w:rFonts w:hint="eastAsia"/>
          <w:spacing w:val="-3"/>
          <w:sz w:val="23"/>
          <w:szCs w:val="23"/>
          <w:lang w:val="en-US" w:eastAsia="zh-CN"/>
        </w:rPr>
        <w:t>为</w:t>
      </w:r>
      <w:r>
        <w:rPr>
          <w:rFonts w:hint="eastAsia"/>
          <w:spacing w:val="-3"/>
          <w:sz w:val="23"/>
          <w:szCs w:val="23"/>
        </w:rPr>
        <w:t>原则定论</w:t>
      </w:r>
      <w:r>
        <w:rPr>
          <w:rFonts w:hint="eastAsia"/>
          <w:spacing w:val="-3"/>
          <w:sz w:val="23"/>
          <w:szCs w:val="23"/>
          <w:lang w:eastAsia="zh-CN"/>
        </w:rPr>
        <w:t>。</w:t>
      </w:r>
    </w:p>
    <w:p w14:paraId="180014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pacing w:val="8"/>
          <w:sz w:val="30"/>
          <w:szCs w:val="30"/>
          <w:lang w:eastAsia="zh-CN"/>
        </w:rPr>
      </w:pPr>
      <w:bookmarkStart w:id="489" w:name="_Toc23459"/>
      <w:bookmarkStart w:id="490" w:name="_Toc8390"/>
      <w:r>
        <w:rPr>
          <w:rFonts w:hint="eastAsia" w:ascii="方正仿宋_GBK" w:hAnsi="方正仿宋_GBK" w:eastAsia="方正仿宋_GBK" w:cs="方正仿宋_GBK"/>
          <w:spacing w:val="8"/>
          <w:sz w:val="30"/>
          <w:szCs w:val="30"/>
          <w:lang w:eastAsia="zh-CN"/>
        </w:rPr>
        <w:t>评标办法</w:t>
      </w:r>
      <w:bookmarkEnd w:id="489"/>
      <w:bookmarkEnd w:id="49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60"/>
        <w:gridCol w:w="780"/>
        <w:gridCol w:w="5999"/>
      </w:tblGrid>
      <w:tr w14:paraId="304D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noWrap w:val="0"/>
            <w:vAlign w:val="top"/>
          </w:tcPr>
          <w:p w14:paraId="335E8753">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评审项目</w:t>
            </w:r>
          </w:p>
        </w:tc>
        <w:tc>
          <w:tcPr>
            <w:tcW w:w="780" w:type="dxa"/>
            <w:noWrap w:val="0"/>
            <w:vAlign w:val="top"/>
          </w:tcPr>
          <w:p w14:paraId="0F0DEE3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分数</w:t>
            </w:r>
          </w:p>
        </w:tc>
        <w:tc>
          <w:tcPr>
            <w:tcW w:w="5999" w:type="dxa"/>
            <w:noWrap w:val="0"/>
            <w:vAlign w:val="top"/>
          </w:tcPr>
          <w:p w14:paraId="4528854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评审要素</w:t>
            </w:r>
          </w:p>
        </w:tc>
      </w:tr>
      <w:tr w14:paraId="171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2854AD01">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价格因素</w:t>
            </w:r>
          </w:p>
          <w:p w14:paraId="2DE232C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30分</w:t>
            </w:r>
          </w:p>
        </w:tc>
        <w:tc>
          <w:tcPr>
            <w:tcW w:w="960" w:type="dxa"/>
            <w:noWrap w:val="0"/>
            <w:vAlign w:val="center"/>
          </w:tcPr>
          <w:p w14:paraId="212B8C6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w:t>
            </w:r>
          </w:p>
          <w:p w14:paraId="4342D5EE">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w:t>
            </w:r>
          </w:p>
        </w:tc>
        <w:tc>
          <w:tcPr>
            <w:tcW w:w="780" w:type="dxa"/>
            <w:noWrap w:val="0"/>
            <w:vAlign w:val="center"/>
          </w:tcPr>
          <w:p w14:paraId="2EF7F88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w:t>
            </w:r>
            <w:r>
              <w:rPr>
                <w:rFonts w:hint="eastAsia" w:ascii="宋体" w:hAnsi="宋体" w:eastAsia="宋体" w:cs="宋体"/>
                <w:sz w:val="24"/>
                <w:szCs w:val="24"/>
                <w:highlight w:val="none"/>
              </w:rPr>
              <w:t>分</w:t>
            </w:r>
          </w:p>
        </w:tc>
        <w:tc>
          <w:tcPr>
            <w:tcW w:w="5999" w:type="dxa"/>
            <w:noWrap w:val="0"/>
            <w:vAlign w:val="center"/>
          </w:tcPr>
          <w:p w14:paraId="546430DA">
            <w:p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100投标报价 30分</w:t>
            </w:r>
          </w:p>
          <w:p w14:paraId="4D0D042B">
            <w:p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2.计算分数时四舍五入取小数点后两位，分数最高不超过 30分。</w:t>
            </w:r>
          </w:p>
          <w:p w14:paraId="497BF457">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2"/>
                <w:szCs w:val="22"/>
                <w:highlight w:val="none"/>
                <w:lang w:val="en-US" w:eastAsia="zh-CN" w:bidi="ar-SA"/>
              </w:rPr>
              <w:t>（</w:t>
            </w:r>
            <w:r>
              <w:rPr>
                <w:rFonts w:hint="eastAsia" w:ascii="宋体" w:hAnsi="宋体" w:eastAsia="宋体" w:cs="宋体"/>
                <w:b/>
                <w:bCs/>
                <w:kern w:val="2"/>
                <w:sz w:val="22"/>
                <w:szCs w:val="22"/>
                <w:highlight w:val="none"/>
                <w:lang w:val="en-US" w:eastAsia="zh-CN" w:bidi="ar-SA"/>
              </w:rPr>
              <w:t>注：根据《政府采购促进中小企业发展管理办法》（财库﹝2020﹞46 号）、《关于进一步加大政府采购支持中小企业力度的通知》（财库〔2022〕19 号）的规定，对小型和微型企业给予 10%的价格扣除，用扣除后的价格参与评标，提供相关证明资料，否则无效。残疾人福利性单位属于小型、微型企业的，不重复享受政策。</w:t>
            </w:r>
            <w:r>
              <w:rPr>
                <w:rFonts w:hint="eastAsia" w:ascii="宋体" w:hAnsi="宋体" w:eastAsia="宋体" w:cs="宋体"/>
                <w:kern w:val="2"/>
                <w:sz w:val="22"/>
                <w:szCs w:val="22"/>
                <w:highlight w:val="none"/>
                <w:lang w:val="en-US" w:eastAsia="zh-CN" w:bidi="ar-SA"/>
              </w:rPr>
              <w:t>）</w:t>
            </w:r>
          </w:p>
        </w:tc>
      </w:tr>
      <w:tr w14:paraId="7E69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noWrap w:val="0"/>
            <w:vAlign w:val="center"/>
          </w:tcPr>
          <w:p w14:paraId="6F1FAB27">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商务技术部分70分</w:t>
            </w:r>
          </w:p>
        </w:tc>
        <w:tc>
          <w:tcPr>
            <w:tcW w:w="960" w:type="dxa"/>
            <w:noWrap w:val="0"/>
            <w:vAlign w:val="center"/>
          </w:tcPr>
          <w:p w14:paraId="1338078C">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业绩</w:t>
            </w:r>
          </w:p>
        </w:tc>
        <w:tc>
          <w:tcPr>
            <w:tcW w:w="780" w:type="dxa"/>
            <w:noWrap w:val="0"/>
            <w:vAlign w:val="center"/>
          </w:tcPr>
          <w:p w14:paraId="018B1A7F">
            <w:pPr>
              <w:pStyle w:val="26"/>
              <w:spacing w:before="0" w:after="0" w:line="240" w:lineRule="auto"/>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3分</w:t>
            </w:r>
          </w:p>
        </w:tc>
        <w:tc>
          <w:tcPr>
            <w:tcW w:w="5999" w:type="dxa"/>
            <w:noWrap w:val="0"/>
            <w:vAlign w:val="center"/>
          </w:tcPr>
          <w:p w14:paraId="4625202F">
            <w:pPr>
              <w:tabs>
                <w:tab w:val="left" w:pos="1141"/>
              </w:tabs>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投标人在投标文件提供从近三年承接过的类似项目业绩。</w:t>
            </w:r>
          </w:p>
          <w:p w14:paraId="2A8A3D54">
            <w:pPr>
              <w:tabs>
                <w:tab w:val="left" w:pos="1141"/>
              </w:tabs>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1.单个类似项目的业绩，每提供一项得1分，满分3分；（</w:t>
            </w:r>
            <w:r>
              <w:rPr>
                <w:rFonts w:hint="eastAsia" w:ascii="宋体" w:hAnsi="宋体" w:eastAsia="宋体" w:cs="宋体"/>
                <w:b/>
                <w:bCs/>
                <w:kern w:val="0"/>
                <w:sz w:val="24"/>
                <w:szCs w:val="24"/>
                <w:highlight w:val="none"/>
                <w:lang w:val="en-US" w:eastAsia="zh-CN" w:bidi="ar-SA"/>
              </w:rPr>
              <w:t>业绩证明材料须提供合同原件扫描件加盖投标单位公章和中标通知书原件扫描件。未按要求提供证明材料的不得分；合同未显示签订日期或未显示项目名称,则该合同视为无效业绩,不予以得分。</w:t>
            </w:r>
            <w:r>
              <w:rPr>
                <w:rFonts w:hint="eastAsia" w:ascii="宋体" w:hAnsi="宋体" w:eastAsia="宋体" w:cs="宋体"/>
                <w:kern w:val="0"/>
                <w:sz w:val="24"/>
                <w:szCs w:val="24"/>
                <w:highlight w:val="none"/>
                <w:lang w:val="en-US" w:eastAsia="zh-CN" w:bidi="ar-SA"/>
              </w:rPr>
              <w:t>）</w:t>
            </w:r>
          </w:p>
        </w:tc>
      </w:tr>
      <w:tr w14:paraId="38E7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272C6836">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2894D8D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参数</w:t>
            </w:r>
          </w:p>
          <w:p w14:paraId="4BCF0A8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规格</w:t>
            </w:r>
          </w:p>
        </w:tc>
        <w:tc>
          <w:tcPr>
            <w:tcW w:w="780" w:type="dxa"/>
            <w:noWrap w:val="0"/>
            <w:vAlign w:val="center"/>
          </w:tcPr>
          <w:p w14:paraId="1BE906EA">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5999" w:type="dxa"/>
            <w:noWrap w:val="0"/>
            <w:vAlign w:val="center"/>
          </w:tcPr>
          <w:p w14:paraId="2C19FDDD">
            <w:pPr>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根据投标人响应采购文件技术参数情况进行评比。</w:t>
            </w:r>
          </w:p>
          <w:p w14:paraId="26E15254">
            <w:pPr>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技术参数：根据所投产品的配置与性能指标响应程度打分。完全满足招标参数要求得 20分；每有一项负偏离扣1分，扣完为止。</w:t>
            </w:r>
          </w:p>
          <w:p w14:paraId="4CC047FA">
            <w:pPr>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备注：1.提供第三方检测报告或技术白皮书或加盖生产厂家公章的产品说明书等印证资料，证明所投产品参数满足招标文件要求，否则参数按负偏离处理。</w:t>
            </w:r>
          </w:p>
          <w:p w14:paraId="4050584F">
            <w:pPr>
              <w:numPr>
                <w:ilvl w:val="0"/>
                <w:numId w:val="16"/>
              </w:numPr>
              <w:ind w:left="0" w:leftChars="0"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提供的第三方检测报告或技术白皮书或加盖生产厂家公章的产品说明书等印证资料，有缺页的视为无效印证资料。</w:t>
            </w:r>
          </w:p>
          <w:p w14:paraId="55286F96">
            <w:pPr>
              <w:numPr>
                <w:ilvl w:val="0"/>
                <w:numId w:val="16"/>
              </w:numPr>
              <w:ind w:left="0" w:leftChars="0"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需求表中*及★标记参数为重要参数，出现负偏离此项不得分。</w:t>
            </w:r>
          </w:p>
        </w:tc>
      </w:tr>
      <w:tr w14:paraId="7A5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2731E3ED">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22B6869F">
            <w:pPr>
              <w:jc w:val="both"/>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实施方案</w:t>
            </w:r>
          </w:p>
        </w:tc>
        <w:tc>
          <w:tcPr>
            <w:tcW w:w="780" w:type="dxa"/>
            <w:noWrap w:val="0"/>
            <w:vAlign w:val="center"/>
          </w:tcPr>
          <w:p w14:paraId="0729C6B5">
            <w:pPr>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16分</w:t>
            </w:r>
          </w:p>
        </w:tc>
        <w:tc>
          <w:tcPr>
            <w:tcW w:w="5999" w:type="dxa"/>
            <w:noWrap w:val="0"/>
            <w:vAlign w:val="center"/>
          </w:tcPr>
          <w:p w14:paraId="6E484F5B">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1、提供的①实施组织机构、②项目配置人员、③分工安排、④责任划分，确保项目顺利实施；满分8 分，每缺一项扣2分，每一项内容不详或描述不清的扣1分，不提供不得分。</w:t>
            </w:r>
          </w:p>
          <w:p w14:paraId="0126804F">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①提供完整的供货方案和计划安排，能够完全满足采购人实际需求；②配送及安装能够及时保证产品安全、保质、保量完成配送及安装；满分4分，每缺一项扣2分，每一项内容不详或描述不清的扣1分，不提供不得分。</w:t>
            </w:r>
          </w:p>
          <w:p w14:paraId="448EF1E4">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3、①提供产品运输、装卸、存放过程中的突发状况应急处理措施，②可行性强，能够保证产品在突发状况下仍能安全、保质、保量完成配送；满分 4 分，每缺一项扣2分，每一项内容不详或描述不清的扣1分，不提供不得分。</w:t>
            </w:r>
          </w:p>
        </w:tc>
      </w:tr>
      <w:tr w14:paraId="482A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1644FC8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3BAF7DCA">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技术培训方案</w:t>
            </w:r>
          </w:p>
        </w:tc>
        <w:tc>
          <w:tcPr>
            <w:tcW w:w="780" w:type="dxa"/>
            <w:noWrap w:val="0"/>
            <w:vAlign w:val="center"/>
          </w:tcPr>
          <w:p w14:paraId="3CDB78DA">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9分</w:t>
            </w:r>
          </w:p>
        </w:tc>
        <w:tc>
          <w:tcPr>
            <w:tcW w:w="5999" w:type="dxa"/>
            <w:noWrap w:val="0"/>
            <w:vAlign w:val="center"/>
          </w:tcPr>
          <w:p w14:paraId="0DE9D1B1">
            <w:pPr>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培训计划情况，应含详细合理的培训方案，包含：①培训时间、培训地点、培训方式；②培训产品基本原理；③操作使用和保养维修；培训方案中包含以上每项内容，每项内容均为3分，共计9分，每缺一项扣3分，每一项内容缺失、内容阐述不全面、不符合项目实际情况、无法满足采购需求的扣 1分，不提供不得分。</w:t>
            </w:r>
          </w:p>
        </w:tc>
      </w:tr>
      <w:tr w14:paraId="543B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1B14F56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7565A55F">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售后服务</w:t>
            </w:r>
          </w:p>
        </w:tc>
        <w:tc>
          <w:tcPr>
            <w:tcW w:w="780" w:type="dxa"/>
            <w:noWrap w:val="0"/>
            <w:vAlign w:val="center"/>
          </w:tcPr>
          <w:p w14:paraId="67BEF7F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20分</w:t>
            </w:r>
          </w:p>
        </w:tc>
        <w:tc>
          <w:tcPr>
            <w:tcW w:w="5999" w:type="dxa"/>
            <w:noWrap w:val="0"/>
            <w:vAlign w:val="center"/>
          </w:tcPr>
          <w:p w14:paraId="187ACC2D">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1.供应商根据本项目的采购需求制定售后方案，包括①售后维保，②技术人员技术支持及咨询服务，③协助用户实验室完成“双认证”现场评审工作，并制定详细方案，</w:t>
            </w:r>
            <w:r>
              <w:rPr>
                <w:rFonts w:hint="eastAsia" w:ascii="宋体" w:hAnsi="宋体" w:eastAsia="宋体" w:cs="宋体"/>
                <w:kern w:val="0"/>
                <w:sz w:val="24"/>
                <w:szCs w:val="24"/>
                <w:highlight w:val="none"/>
                <w:lang w:val="en-US" w:eastAsia="zh-CN"/>
              </w:rPr>
              <w:t>④</w:t>
            </w:r>
            <w:r>
              <w:rPr>
                <w:rFonts w:hint="eastAsia" w:ascii="宋体" w:hAnsi="宋体" w:eastAsia="宋体" w:cs="宋体"/>
                <w:kern w:val="0"/>
                <w:sz w:val="24"/>
                <w:szCs w:val="24"/>
                <w:highlight w:val="none"/>
              </w:rPr>
              <w:t>在任何时候、任何地点均可享受到终生的免费咨询服务。满分</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分，每缺一项扣</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分，每一项内容不详或描述不清的扣1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分，不提供不得分。</w:t>
            </w:r>
          </w:p>
          <w:p w14:paraId="672FE2AF">
            <w:pPr>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2.①供应商或生产厂家设有正规完善的售后维修服务机构，②有至少2名的专职工程师，③提供1小时故障响应，</w:t>
            </w:r>
            <w:r>
              <w:rPr>
                <w:rFonts w:hint="eastAsia" w:ascii="宋体" w:hAnsi="宋体" w:eastAsia="宋体" w:cs="宋体"/>
                <w:kern w:val="0"/>
                <w:sz w:val="24"/>
                <w:szCs w:val="24"/>
                <w:highlight w:val="none"/>
                <w:lang w:val="en-US" w:eastAsia="zh-CN"/>
              </w:rPr>
              <w:t>48</w:t>
            </w:r>
            <w:r>
              <w:rPr>
                <w:rFonts w:hint="eastAsia" w:ascii="宋体" w:hAnsi="宋体" w:eastAsia="宋体" w:cs="宋体"/>
                <w:kern w:val="0"/>
                <w:sz w:val="24"/>
                <w:szCs w:val="24"/>
                <w:highlight w:val="none"/>
              </w:rPr>
              <w:t>小时之内工程师修复并排除故障的应急抢修方案，④常备配件库房</w:t>
            </w:r>
            <w:r>
              <w:rPr>
                <w:rFonts w:hint="eastAsia" w:ascii="宋体" w:hAnsi="宋体" w:eastAsia="宋体" w:cs="宋体"/>
                <w:kern w:val="0"/>
                <w:sz w:val="24"/>
                <w:szCs w:val="24"/>
                <w:highlight w:val="none"/>
                <w:lang w:eastAsia="zh-CN"/>
              </w:rPr>
              <w:t>；</w:t>
            </w:r>
          </w:p>
          <w:p w14:paraId="6881A521">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提供配件库房、维修详细地址及维修工程师姓名、联系电话、设备维修工程师资格证书及身份证、近三个月社保证明复印件。满分 </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 xml:space="preserve"> 分，每缺一项扣</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分，每一项内容不详或描述不清的扣</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分，不提供不得分。</w:t>
            </w:r>
          </w:p>
        </w:tc>
      </w:tr>
      <w:tr w14:paraId="5695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231E9E2E">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668AC2D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标函</w:t>
            </w:r>
          </w:p>
          <w:p w14:paraId="4F21D27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质量</w:t>
            </w:r>
          </w:p>
        </w:tc>
        <w:tc>
          <w:tcPr>
            <w:tcW w:w="780" w:type="dxa"/>
            <w:noWrap w:val="0"/>
            <w:vAlign w:val="center"/>
          </w:tcPr>
          <w:p w14:paraId="61C48AA4">
            <w:pPr>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2分</w:t>
            </w:r>
          </w:p>
        </w:tc>
        <w:tc>
          <w:tcPr>
            <w:tcW w:w="5999" w:type="dxa"/>
            <w:noWrap w:val="0"/>
            <w:vAlign w:val="center"/>
          </w:tcPr>
          <w:p w14:paraId="4C009F41">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投标文件制作规范。制作规范的得2分；有一项细微偏差扣0.5分，直至该项分值扣完为止。</w:t>
            </w:r>
          </w:p>
        </w:tc>
      </w:tr>
    </w:tbl>
    <w:p w14:paraId="37BAAA91">
      <w:pPr>
        <w:rPr>
          <w:rFonts w:hint="eastAsia"/>
        </w:rPr>
      </w:pPr>
    </w:p>
    <w:p w14:paraId="678A8CCB">
      <w:pPr>
        <w:numPr>
          <w:ilvl w:val="0"/>
          <w:numId w:val="0"/>
        </w:numPr>
        <w:ind w:firstLine="420" w:firstLineChars="200"/>
        <w:jc w:val="left"/>
        <w:rPr>
          <w:rFonts w:hint="eastAsia" w:ascii="仿宋" w:hAnsi="仿宋" w:eastAsia="仿宋" w:cs="仿宋"/>
          <w:lang w:val="en-US" w:eastAsia="zh-CN"/>
        </w:rPr>
      </w:pPr>
      <w:r>
        <w:rPr>
          <w:rFonts w:hint="eastAsia"/>
        </w:rPr>
        <w:t>评审完毕，评标委员会根据汇总各投标企业的综合得分，按照得分高低进行排序，取前三名作为中标候选人推荐给招标委员会。如果两投标人的得分相同，</w:t>
      </w:r>
      <w:r>
        <w:rPr>
          <w:rFonts w:hint="eastAsia"/>
          <w:lang w:eastAsia="zh-CN"/>
        </w:rPr>
        <w:t>投标价格</w:t>
      </w:r>
      <w:r>
        <w:rPr>
          <w:rFonts w:hint="eastAsia"/>
          <w:lang w:val="en-US" w:eastAsia="zh-CN"/>
        </w:rPr>
        <w:t>低</w:t>
      </w:r>
      <w:r>
        <w:rPr>
          <w:rFonts w:hint="eastAsia"/>
        </w:rPr>
        <w:t>者排在前。</w:t>
      </w:r>
    </w:p>
    <w:p w14:paraId="3C222E41">
      <w:r>
        <w:br w:type="page"/>
      </w:r>
    </w:p>
    <w:p w14:paraId="2AF075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sz w:val="31"/>
          <w:szCs w:val="31"/>
        </w:rPr>
      </w:pPr>
      <w:bookmarkStart w:id="491" w:name="_Toc29904"/>
      <w:bookmarkStart w:id="492" w:name="_Toc25091"/>
      <w:r>
        <w:rPr>
          <w:rFonts w:hint="eastAsia" w:ascii="仿宋_GB2312" w:hAnsi="Times New Roman" w:eastAsia="仿宋_GB2312" w:cs="Times New Roman"/>
          <w:b/>
          <w:kern w:val="44"/>
          <w:sz w:val="32"/>
          <w:szCs w:val="20"/>
          <w:lang w:val="en-US" w:eastAsia="zh-CN" w:bidi="ar-SA"/>
        </w:rPr>
        <w:t>第7章政府采购合同</w:t>
      </w:r>
      <w:bookmarkEnd w:id="491"/>
      <w:bookmarkEnd w:id="492"/>
    </w:p>
    <w:p w14:paraId="554274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ACC2310">
      <w:pPr>
        <w:rPr>
          <w:rFonts w:hint="eastAsia" w:ascii="宋体" w:hAnsi="宋体" w:cs="宋体"/>
          <w:bCs/>
          <w:color w:val="000000"/>
          <w:sz w:val="24"/>
          <w:u w:val="single"/>
        </w:rPr>
      </w:pPr>
      <w:r>
        <w:rPr>
          <w:rFonts w:hint="eastAsia" w:ascii="宋体" w:hAnsi="宋体" w:cs="宋体"/>
          <w:bCs/>
          <w:color w:val="000000"/>
          <w:sz w:val="24"/>
        </w:rPr>
        <w:t>合同编号：</w:t>
      </w:r>
      <w:r>
        <w:rPr>
          <w:rFonts w:hint="eastAsia" w:ascii="宋体" w:hAnsi="宋体" w:cs="宋体"/>
          <w:bCs/>
          <w:color w:val="000000"/>
          <w:sz w:val="24"/>
          <w:u w:val="single"/>
        </w:rPr>
        <w:t xml:space="preserve">           </w:t>
      </w:r>
    </w:p>
    <w:p w14:paraId="69F8B81A">
      <w:pPr>
        <w:spacing w:line="480" w:lineRule="auto"/>
        <w:jc w:val="center"/>
        <w:rPr>
          <w:rFonts w:hint="eastAsia" w:ascii="宋体" w:hAnsi="宋体" w:cs="宋体"/>
          <w:bCs/>
          <w:color w:val="000000"/>
          <w:sz w:val="28"/>
          <w:szCs w:val="28"/>
        </w:rPr>
      </w:pPr>
    </w:p>
    <w:p w14:paraId="6EB12E3B">
      <w:pPr>
        <w:spacing w:line="480" w:lineRule="auto"/>
        <w:jc w:val="center"/>
        <w:rPr>
          <w:rFonts w:hint="eastAsia" w:ascii="宋体" w:hAnsi="宋体" w:cs="宋体"/>
          <w:bCs/>
          <w:color w:val="000000"/>
          <w:sz w:val="28"/>
          <w:szCs w:val="28"/>
        </w:rPr>
      </w:pPr>
    </w:p>
    <w:p w14:paraId="21058384">
      <w:pPr>
        <w:spacing w:line="480" w:lineRule="auto"/>
        <w:jc w:val="center"/>
        <w:rPr>
          <w:rFonts w:hint="eastAsia" w:ascii="宋体" w:hAnsi="宋体" w:cs="宋体"/>
          <w:bCs/>
          <w:color w:val="000000"/>
          <w:sz w:val="28"/>
          <w:szCs w:val="28"/>
        </w:rPr>
      </w:pPr>
    </w:p>
    <w:p w14:paraId="183C3B80">
      <w:pPr>
        <w:spacing w:line="480" w:lineRule="auto"/>
        <w:jc w:val="center"/>
        <w:outlineLvl w:val="1"/>
        <w:rPr>
          <w:rFonts w:hint="eastAsia" w:ascii="宋体" w:hAnsi="宋体" w:cs="宋体"/>
          <w:bCs/>
          <w:color w:val="000000"/>
          <w:sz w:val="44"/>
          <w:szCs w:val="44"/>
        </w:rPr>
      </w:pPr>
      <w:bookmarkStart w:id="493" w:name="_Toc9138"/>
      <w:bookmarkStart w:id="494" w:name="_Toc699"/>
      <w:bookmarkStart w:id="495" w:name="_Toc14132"/>
      <w:r>
        <w:rPr>
          <w:rFonts w:hint="eastAsia" w:ascii="宋体" w:hAnsi="宋体" w:cs="宋体"/>
          <w:bCs/>
          <w:color w:val="000000"/>
          <w:sz w:val="44"/>
          <w:szCs w:val="44"/>
        </w:rPr>
        <w:t>政府采购合同参考范本</w:t>
      </w:r>
      <w:bookmarkEnd w:id="493"/>
      <w:bookmarkEnd w:id="494"/>
      <w:bookmarkEnd w:id="495"/>
    </w:p>
    <w:p w14:paraId="01180852">
      <w:pPr>
        <w:spacing w:line="480" w:lineRule="auto"/>
        <w:jc w:val="center"/>
        <w:rPr>
          <w:rFonts w:hint="eastAsia" w:ascii="宋体" w:hAnsi="宋体" w:cs="宋体"/>
          <w:bCs/>
          <w:color w:val="000000"/>
          <w:sz w:val="24"/>
        </w:rPr>
      </w:pPr>
      <w:r>
        <w:rPr>
          <w:rFonts w:hint="eastAsia" w:ascii="宋体" w:hAnsi="宋体" w:cs="宋体"/>
          <w:bCs/>
          <w:color w:val="000000"/>
          <w:sz w:val="24"/>
        </w:rPr>
        <w:t>（货物类）</w:t>
      </w:r>
    </w:p>
    <w:p w14:paraId="0FD748B6">
      <w:pPr>
        <w:pStyle w:val="27"/>
        <w:ind w:firstLine="0"/>
        <w:rPr>
          <w:rFonts w:hint="eastAsia" w:hAnsi="宋体" w:cs="宋体"/>
          <w:bCs/>
          <w:color w:val="000000"/>
          <w:szCs w:val="24"/>
        </w:rPr>
      </w:pPr>
    </w:p>
    <w:p w14:paraId="75BB65D6">
      <w:pPr>
        <w:pStyle w:val="27"/>
        <w:ind w:firstLine="0"/>
        <w:rPr>
          <w:rFonts w:hint="eastAsia" w:hAnsi="宋体" w:cs="宋体"/>
          <w:bCs/>
          <w:color w:val="000000"/>
          <w:szCs w:val="24"/>
        </w:rPr>
      </w:pPr>
    </w:p>
    <w:p w14:paraId="6B81BCC9">
      <w:pPr>
        <w:pStyle w:val="27"/>
        <w:ind w:firstLine="0"/>
        <w:rPr>
          <w:rFonts w:hint="eastAsia" w:hAnsi="宋体" w:cs="宋体"/>
          <w:bCs/>
          <w:color w:val="000000"/>
          <w:szCs w:val="24"/>
        </w:rPr>
      </w:pPr>
    </w:p>
    <w:p w14:paraId="5AAF0B3E">
      <w:pPr>
        <w:pStyle w:val="27"/>
        <w:ind w:firstLine="0"/>
        <w:jc w:val="center"/>
        <w:outlineLvl w:val="1"/>
        <w:rPr>
          <w:rFonts w:hint="eastAsia" w:hAnsi="宋体" w:cs="宋体"/>
          <w:bCs/>
          <w:color w:val="000000"/>
          <w:szCs w:val="24"/>
        </w:rPr>
      </w:pPr>
      <w:bookmarkStart w:id="496" w:name="_Toc19534"/>
      <w:bookmarkStart w:id="497" w:name="_Toc2120"/>
      <w:bookmarkStart w:id="498" w:name="_Toc26988"/>
      <w:r>
        <w:rPr>
          <w:rFonts w:hint="eastAsia" w:hAnsi="宋体" w:cs="宋体"/>
          <w:bCs/>
          <w:color w:val="000000"/>
          <w:szCs w:val="24"/>
        </w:rPr>
        <w:t>第一部分 合同书</w:t>
      </w:r>
      <w:bookmarkEnd w:id="496"/>
      <w:bookmarkEnd w:id="497"/>
      <w:bookmarkEnd w:id="498"/>
    </w:p>
    <w:p w14:paraId="2316C3E5">
      <w:pPr>
        <w:pStyle w:val="27"/>
        <w:ind w:firstLine="0"/>
        <w:rPr>
          <w:rFonts w:hint="eastAsia" w:hAnsi="宋体" w:cs="宋体"/>
          <w:bCs/>
          <w:color w:val="000000"/>
          <w:szCs w:val="24"/>
        </w:rPr>
      </w:pPr>
    </w:p>
    <w:p w14:paraId="62736253">
      <w:pPr>
        <w:pStyle w:val="27"/>
        <w:ind w:firstLine="0"/>
        <w:rPr>
          <w:rFonts w:hint="eastAsia" w:hAnsi="宋体" w:cs="宋体"/>
          <w:bCs/>
          <w:color w:val="000000"/>
          <w:szCs w:val="24"/>
        </w:rPr>
      </w:pPr>
    </w:p>
    <w:p w14:paraId="2B38E018">
      <w:pPr>
        <w:spacing w:before="120" w:line="22" w:lineRule="atLeast"/>
        <w:rPr>
          <w:rFonts w:hint="eastAsia" w:ascii="宋体" w:hAnsi="宋体" w:cs="宋体"/>
          <w:bCs/>
          <w:color w:val="000000"/>
          <w:sz w:val="24"/>
        </w:rPr>
      </w:pPr>
    </w:p>
    <w:p w14:paraId="6A2BFB4C">
      <w:pPr>
        <w:spacing w:before="120" w:line="22" w:lineRule="atLeast"/>
        <w:ind w:left="960"/>
        <w:rPr>
          <w:rFonts w:hint="eastAsia" w:ascii="宋体" w:hAnsi="宋体" w:cs="宋体"/>
          <w:bCs/>
          <w:color w:val="000000"/>
          <w:sz w:val="24"/>
        </w:rPr>
      </w:pPr>
      <w:r>
        <w:rPr>
          <w:rFonts w:hint="eastAsia" w:ascii="宋体" w:hAnsi="宋体" w:cs="宋体"/>
          <w:bCs/>
          <w:color w:val="000000"/>
          <w:sz w:val="24"/>
        </w:rPr>
        <w:t>项目名称：</w:t>
      </w:r>
      <w:r>
        <w:rPr>
          <w:rFonts w:hint="eastAsia" w:ascii="宋体" w:hAnsi="宋体" w:cs="宋体"/>
          <w:bCs/>
          <w:color w:val="000000"/>
          <w:sz w:val="24"/>
          <w:u w:val="single"/>
        </w:rPr>
        <w:t xml:space="preserve">                                   </w:t>
      </w:r>
    </w:p>
    <w:p w14:paraId="2D44913B">
      <w:pPr>
        <w:pStyle w:val="28"/>
        <w:spacing w:before="120" w:line="22" w:lineRule="atLeast"/>
        <w:rPr>
          <w:rFonts w:hint="eastAsia" w:ascii="宋体" w:hAnsi="宋体" w:eastAsia="宋体" w:cs="宋体"/>
          <w:bCs/>
          <w:color w:val="000000"/>
          <w:szCs w:val="24"/>
        </w:rPr>
      </w:pPr>
    </w:p>
    <w:p w14:paraId="72A7B7A8">
      <w:pPr>
        <w:pStyle w:val="28"/>
        <w:spacing w:before="120" w:line="22" w:lineRule="atLeast"/>
        <w:rPr>
          <w:rFonts w:hint="eastAsia" w:ascii="宋体" w:hAnsi="宋体" w:eastAsia="宋体" w:cs="宋体"/>
          <w:bCs/>
          <w:color w:val="000000"/>
          <w:szCs w:val="24"/>
        </w:rPr>
      </w:pPr>
    </w:p>
    <w:p w14:paraId="21CD9C0C">
      <w:pPr>
        <w:rPr>
          <w:rFonts w:hint="eastAsia" w:ascii="宋体" w:hAnsi="宋体" w:cs="宋体"/>
          <w:bCs/>
          <w:color w:val="000000"/>
        </w:rPr>
      </w:pPr>
    </w:p>
    <w:p w14:paraId="5C94C560">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u w:val="single"/>
        </w:rPr>
        <w:t xml:space="preserve">                                       </w:t>
      </w:r>
    </w:p>
    <w:p w14:paraId="63E7C6E0">
      <w:pPr>
        <w:spacing w:before="120" w:line="22" w:lineRule="atLeast"/>
        <w:rPr>
          <w:rFonts w:hint="eastAsia" w:ascii="宋体" w:hAnsi="宋体" w:cs="宋体"/>
          <w:bCs/>
          <w:color w:val="000000"/>
          <w:sz w:val="24"/>
        </w:rPr>
      </w:pPr>
    </w:p>
    <w:p w14:paraId="7C46E585">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供应商</w:t>
      </w:r>
      <w:r>
        <w:rPr>
          <w:rFonts w:hint="eastAsia" w:ascii="宋体" w:hAnsi="宋体" w:cs="宋体"/>
          <w:bCs/>
          <w:color w:val="000000"/>
          <w:sz w:val="24"/>
        </w:rPr>
        <w:t>：</w:t>
      </w:r>
      <w:r>
        <w:rPr>
          <w:rFonts w:hint="eastAsia" w:ascii="宋体" w:hAnsi="宋体" w:cs="宋体"/>
          <w:bCs/>
          <w:color w:val="000000"/>
          <w:sz w:val="24"/>
          <w:u w:val="single"/>
        </w:rPr>
        <w:t xml:space="preserve">                                       </w:t>
      </w:r>
    </w:p>
    <w:p w14:paraId="0B7B31F8">
      <w:pPr>
        <w:spacing w:before="120" w:line="22" w:lineRule="atLeast"/>
        <w:rPr>
          <w:rFonts w:hint="eastAsia" w:ascii="宋体" w:hAnsi="宋体" w:cs="宋体"/>
          <w:bCs/>
          <w:color w:val="000000"/>
          <w:sz w:val="24"/>
        </w:rPr>
      </w:pPr>
    </w:p>
    <w:p w14:paraId="644DA2AD">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签订地：</w:t>
      </w:r>
      <w:r>
        <w:rPr>
          <w:rFonts w:hint="eastAsia" w:ascii="宋体" w:hAnsi="宋体" w:cs="宋体"/>
          <w:bCs/>
          <w:color w:val="000000"/>
          <w:sz w:val="24"/>
          <w:u w:val="single"/>
        </w:rPr>
        <w:t xml:space="preserve">                                     </w:t>
      </w:r>
    </w:p>
    <w:p w14:paraId="73A223A7">
      <w:pPr>
        <w:spacing w:before="120" w:line="22" w:lineRule="atLeast"/>
        <w:rPr>
          <w:rFonts w:hint="eastAsia" w:ascii="宋体" w:hAnsi="宋体" w:cs="宋体"/>
          <w:bCs/>
          <w:color w:val="000000"/>
          <w:sz w:val="24"/>
        </w:rPr>
      </w:pPr>
    </w:p>
    <w:p w14:paraId="418AEAFA">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73D0C8DE">
      <w:pPr>
        <w:autoSpaceDE w:val="0"/>
        <w:autoSpaceDN w:val="0"/>
        <w:adjustRightInd w:val="0"/>
        <w:spacing w:line="600" w:lineRule="exact"/>
        <w:ind w:firstLine="640"/>
        <w:jc w:val="center"/>
        <w:rPr>
          <w:rFonts w:hint="eastAsia" w:ascii="宋体" w:hAnsi="宋体" w:cs="宋体"/>
          <w:bCs/>
          <w:color w:val="000000"/>
          <w:sz w:val="24"/>
        </w:rPr>
        <w:sectPr>
          <w:footerReference r:id="rId14" w:type="default"/>
          <w:pgSz w:w="11907" w:h="16840"/>
          <w:pgMar w:top="1474" w:right="1814" w:bottom="1474" w:left="1814" w:header="851" w:footer="851" w:gutter="0"/>
          <w:pgNumType w:fmt="numberInDash"/>
          <w:cols w:space="720" w:num="1"/>
          <w:docGrid w:linePitch="462" w:charSpace="0"/>
        </w:sectPr>
      </w:pPr>
    </w:p>
    <w:p w14:paraId="045A04A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年</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月</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日</w:t>
      </w:r>
      <w:r>
        <w:rPr>
          <w:rFonts w:hint="eastAsia" w:ascii="宋体" w:hAnsi="宋体" w:cs="宋体"/>
          <w:bCs/>
          <w:color w:val="000000"/>
          <w:sz w:val="24"/>
        </w:rPr>
        <w:t>，</w:t>
      </w:r>
      <w:r>
        <w:rPr>
          <w:rFonts w:hint="eastAsia" w:ascii="宋体" w:hAnsi="宋体" w:cs="宋体"/>
          <w:bCs/>
          <w:color w:val="000000"/>
          <w:sz w:val="24"/>
          <w:u w:val="single"/>
        </w:rPr>
        <w:t xml:space="preserve">   （采购人名称）   </w:t>
      </w:r>
      <w:r>
        <w:rPr>
          <w:rFonts w:hint="eastAsia" w:ascii="宋体" w:hAnsi="宋体" w:cs="宋体"/>
          <w:bCs/>
          <w:color w:val="000000"/>
          <w:sz w:val="24"/>
        </w:rPr>
        <w:t>以</w:t>
      </w:r>
      <w:r>
        <w:rPr>
          <w:rFonts w:hint="eastAsia" w:ascii="宋体" w:hAnsi="宋体" w:cs="宋体"/>
          <w:bCs/>
          <w:color w:val="000000"/>
          <w:sz w:val="24"/>
          <w:u w:val="single"/>
        </w:rPr>
        <w:t xml:space="preserve">   （政府采购方式）  </w:t>
      </w:r>
      <w:r>
        <w:rPr>
          <w:rFonts w:hint="eastAsia" w:ascii="宋体" w:hAnsi="宋体" w:cs="宋体"/>
          <w:bCs/>
          <w:color w:val="000000"/>
          <w:sz w:val="24"/>
        </w:rPr>
        <w:t>对</w:t>
      </w:r>
      <w:r>
        <w:rPr>
          <w:rFonts w:hint="eastAsia" w:ascii="宋体" w:hAnsi="宋体" w:cs="宋体"/>
          <w:bCs/>
          <w:color w:val="000000"/>
          <w:sz w:val="24"/>
          <w:u w:val="single"/>
        </w:rPr>
        <w:t xml:space="preserve">   （同前页项目名称）   </w:t>
      </w:r>
      <w:r>
        <w:rPr>
          <w:rFonts w:hint="eastAsia" w:ascii="宋体" w:hAnsi="宋体" w:cs="宋体"/>
          <w:bCs/>
          <w:color w:val="000000"/>
          <w:sz w:val="24"/>
        </w:rPr>
        <w:t>项目进行了采购。经</w:t>
      </w:r>
      <w:r>
        <w:rPr>
          <w:rFonts w:hint="eastAsia" w:ascii="宋体" w:hAnsi="宋体" w:cs="宋体"/>
          <w:bCs/>
          <w:color w:val="000000"/>
          <w:sz w:val="24"/>
          <w:u w:val="single"/>
        </w:rPr>
        <w:t xml:space="preserve">   （相关评定主体名称）   </w:t>
      </w:r>
      <w:r>
        <w:rPr>
          <w:rFonts w:hint="eastAsia" w:ascii="宋体" w:hAnsi="宋体" w:cs="宋体"/>
          <w:bCs/>
          <w:color w:val="000000"/>
          <w:sz w:val="24"/>
        </w:rPr>
        <w:t>评定，</w:t>
      </w:r>
      <w:r>
        <w:rPr>
          <w:rFonts w:hint="eastAsia" w:ascii="宋体" w:hAnsi="宋体" w:cs="宋体"/>
          <w:bCs/>
          <w:color w:val="000000"/>
          <w:sz w:val="24"/>
          <w:u w:val="single"/>
        </w:rPr>
        <w:t xml:space="preserve">   （中标供应商名称）</w:t>
      </w:r>
      <w:r>
        <w:rPr>
          <w:rFonts w:hint="eastAsia" w:ascii="宋体" w:hAnsi="宋体" w:cs="宋体"/>
          <w:bCs/>
          <w:color w:val="000000"/>
          <w:sz w:val="24"/>
        </w:rPr>
        <w:t>为该项目中标供应商。现于中标通知书发出之日起三十日内，按照采购文件确定的事项签订本合同。</w:t>
      </w:r>
    </w:p>
    <w:p w14:paraId="794CD10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lang w:val="zh-CN"/>
        </w:rPr>
        <w:t>根据《中华人民共和国合同法》、《中华人民共和国政府采购法》等相关法律法规之规定，按照平等、自愿、公平和诚实信用的原则，经</w:t>
      </w:r>
      <w:r>
        <w:rPr>
          <w:rFonts w:hint="eastAsia" w:ascii="宋体" w:hAnsi="宋体" w:cs="宋体"/>
          <w:bCs/>
          <w:color w:val="000000"/>
          <w:sz w:val="24"/>
          <w:u w:val="single"/>
        </w:rPr>
        <w:t xml:space="preserve">   （采购人名称）   </w:t>
      </w:r>
      <w:r>
        <w:rPr>
          <w:rFonts w:hint="eastAsia" w:ascii="宋体" w:hAnsi="宋体" w:cs="宋体"/>
          <w:bCs/>
          <w:color w:val="000000"/>
          <w:sz w:val="24"/>
          <w:lang w:val="zh-CN"/>
        </w:rPr>
        <w:t>(以下简称：采购人)和</w:t>
      </w:r>
      <w:r>
        <w:rPr>
          <w:rFonts w:hint="eastAsia" w:ascii="宋体" w:hAnsi="宋体" w:cs="宋体"/>
          <w:bCs/>
          <w:color w:val="000000"/>
          <w:sz w:val="24"/>
          <w:u w:val="single"/>
        </w:rPr>
        <w:t xml:space="preserve">   （中标供应商名称）   </w:t>
      </w:r>
      <w:r>
        <w:rPr>
          <w:rFonts w:hint="eastAsia" w:ascii="宋体" w:hAnsi="宋体" w:cs="宋体"/>
          <w:bCs/>
          <w:color w:val="000000"/>
          <w:sz w:val="24"/>
          <w:lang w:val="zh-CN"/>
        </w:rPr>
        <w:t>(以下简称：供应商)协商一致，约定以下合同</w:t>
      </w:r>
      <w:r>
        <w:rPr>
          <w:rFonts w:hint="eastAsia" w:ascii="宋体" w:hAnsi="宋体" w:cs="宋体"/>
          <w:bCs/>
          <w:color w:val="000000"/>
          <w:sz w:val="24"/>
        </w:rPr>
        <w:t>条款，以兹共同遵守、全面履行。</w:t>
      </w:r>
    </w:p>
    <w:p w14:paraId="533ABA43">
      <w:pPr>
        <w:spacing w:line="560" w:lineRule="exact"/>
        <w:ind w:firstLine="480" w:firstLineChars="200"/>
        <w:outlineLvl w:val="0"/>
        <w:rPr>
          <w:rFonts w:hint="eastAsia" w:ascii="宋体" w:hAnsi="宋体" w:cs="宋体"/>
          <w:bCs/>
          <w:color w:val="000000"/>
          <w:sz w:val="24"/>
        </w:rPr>
      </w:pPr>
      <w:bookmarkStart w:id="499" w:name="_Toc16760"/>
      <w:bookmarkStart w:id="500" w:name="_Toc2232"/>
      <w:bookmarkStart w:id="501" w:name="_Toc24059"/>
      <w:bookmarkStart w:id="502" w:name="_Toc3029"/>
      <w:bookmarkStart w:id="503" w:name="_Toc3758"/>
      <w:bookmarkStart w:id="504" w:name="_Toc7119"/>
      <w:r>
        <w:rPr>
          <w:rFonts w:hint="eastAsia" w:ascii="宋体" w:hAnsi="宋体" w:cs="宋体"/>
          <w:bCs/>
          <w:color w:val="000000"/>
          <w:sz w:val="24"/>
        </w:rPr>
        <w:t>1.1 合同组成部分</w:t>
      </w:r>
      <w:bookmarkEnd w:id="499"/>
      <w:bookmarkEnd w:id="500"/>
      <w:bookmarkEnd w:id="501"/>
      <w:bookmarkEnd w:id="502"/>
      <w:bookmarkEnd w:id="503"/>
      <w:bookmarkEnd w:id="504"/>
    </w:p>
    <w:p w14:paraId="0FCF413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D2FD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1.1.1 本合同及其补充合同、变更协议；</w:t>
      </w:r>
    </w:p>
    <w:p w14:paraId="6CFD7CF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1.1.2 中标通知书；</w:t>
      </w:r>
    </w:p>
    <w:p w14:paraId="6F068030">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1.1.3 投标文件（含澄清或者说明文件）；</w:t>
      </w:r>
    </w:p>
    <w:p w14:paraId="0E48F8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1.1.4 招标文件（含澄清或者修改文件）；</w:t>
      </w:r>
    </w:p>
    <w:p w14:paraId="0CC7FBE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1.1.5 其他相关采购文件。</w:t>
      </w:r>
    </w:p>
    <w:p w14:paraId="3C4DC34E">
      <w:pPr>
        <w:spacing w:line="560" w:lineRule="exact"/>
        <w:ind w:firstLine="480" w:firstLineChars="200"/>
        <w:outlineLvl w:val="0"/>
        <w:rPr>
          <w:rFonts w:hint="eastAsia" w:ascii="宋体" w:hAnsi="宋体" w:cs="宋体"/>
          <w:bCs/>
          <w:color w:val="000000"/>
          <w:sz w:val="24"/>
        </w:rPr>
      </w:pPr>
      <w:bookmarkStart w:id="505" w:name="_Toc18910"/>
      <w:bookmarkStart w:id="506" w:name="_Toc24300"/>
      <w:bookmarkStart w:id="507" w:name="_Toc27126"/>
      <w:bookmarkStart w:id="508" w:name="_Toc17275"/>
      <w:bookmarkStart w:id="509" w:name="_Toc12242"/>
      <w:bookmarkStart w:id="510" w:name="_Toc21295"/>
      <w:r>
        <w:rPr>
          <w:rFonts w:hint="eastAsia" w:ascii="宋体" w:hAnsi="宋体" w:cs="宋体"/>
          <w:bCs/>
          <w:color w:val="000000"/>
          <w:sz w:val="24"/>
        </w:rPr>
        <w:t>1.2 货物</w:t>
      </w:r>
      <w:bookmarkEnd w:id="505"/>
      <w:bookmarkEnd w:id="506"/>
      <w:bookmarkEnd w:id="507"/>
      <w:bookmarkEnd w:id="508"/>
      <w:bookmarkEnd w:id="509"/>
      <w:bookmarkEnd w:id="510"/>
    </w:p>
    <w:p w14:paraId="2B36F073">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1.2.1 货物名称：</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117EB6D">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1.2.2 货物数量：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60A4B416">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1.2.3 货物质量：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16E3CAF8">
      <w:pPr>
        <w:spacing w:line="560" w:lineRule="exact"/>
        <w:ind w:firstLine="480" w:firstLineChars="200"/>
        <w:outlineLvl w:val="0"/>
        <w:rPr>
          <w:rFonts w:hint="eastAsia" w:ascii="宋体" w:hAnsi="宋体" w:cs="宋体"/>
          <w:bCs/>
          <w:color w:val="000000"/>
          <w:sz w:val="24"/>
        </w:rPr>
      </w:pPr>
      <w:bookmarkStart w:id="511" w:name="_Toc23292"/>
      <w:bookmarkStart w:id="512" w:name="_Toc21631"/>
      <w:bookmarkStart w:id="513" w:name="_Toc16446"/>
      <w:bookmarkStart w:id="514" w:name="_Toc28852"/>
      <w:bookmarkStart w:id="515" w:name="_Toc21551"/>
      <w:bookmarkStart w:id="516" w:name="_Toc28283"/>
      <w:r>
        <w:rPr>
          <w:rFonts w:hint="eastAsia" w:ascii="宋体" w:hAnsi="宋体" w:cs="宋体"/>
          <w:bCs/>
          <w:color w:val="000000"/>
          <w:sz w:val="24"/>
        </w:rPr>
        <w:t>1.3 价款</w:t>
      </w:r>
      <w:bookmarkEnd w:id="511"/>
      <w:bookmarkEnd w:id="512"/>
      <w:bookmarkEnd w:id="513"/>
      <w:bookmarkEnd w:id="514"/>
      <w:bookmarkEnd w:id="515"/>
      <w:bookmarkEnd w:id="516"/>
    </w:p>
    <w:p w14:paraId="500E4F6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本合同总价为：￥</w:t>
      </w:r>
      <w:r>
        <w:rPr>
          <w:rFonts w:hint="eastAsia" w:ascii="宋体" w:hAnsi="宋体" w:cs="宋体"/>
          <w:bCs/>
          <w:color w:val="000000"/>
          <w:sz w:val="24"/>
          <w:u w:val="single"/>
        </w:rPr>
        <w:t xml:space="preserve">           </w:t>
      </w:r>
      <w:r>
        <w:rPr>
          <w:rFonts w:hint="eastAsia" w:ascii="宋体" w:hAnsi="宋体" w:cs="宋体"/>
          <w:bCs/>
          <w:color w:val="000000"/>
          <w:sz w:val="24"/>
        </w:rPr>
        <w:t>元（大写：</w:t>
      </w:r>
      <w:r>
        <w:rPr>
          <w:rFonts w:hint="eastAsia" w:ascii="宋体" w:hAnsi="宋体" w:cs="宋体"/>
          <w:bCs/>
          <w:color w:val="000000"/>
          <w:sz w:val="24"/>
          <w:u w:val="single"/>
        </w:rPr>
        <w:t xml:space="preserve">                 </w:t>
      </w:r>
      <w:r>
        <w:rPr>
          <w:rFonts w:hint="eastAsia" w:ascii="宋体" w:hAnsi="宋体" w:cs="宋体"/>
          <w:bCs/>
          <w:color w:val="000000"/>
          <w:sz w:val="24"/>
        </w:rPr>
        <w:t>元人民币）</w:t>
      </w:r>
      <w:r>
        <w:rPr>
          <w:rFonts w:hint="eastAsia" w:ascii="宋体" w:hAnsi="宋体" w:eastAsia="宋体" w:cs="宋体"/>
          <w:bCs/>
          <w:color w:val="000000"/>
          <w:sz w:val="24"/>
          <w:lang w:eastAsia="zh-CN"/>
        </w:rPr>
        <w:t>。</w:t>
      </w:r>
    </w:p>
    <w:p w14:paraId="4F4E1659">
      <w:pPr>
        <w:rPr>
          <w:rFonts w:hint="eastAsia" w:ascii="宋体" w:hAnsi="宋体" w:cs="宋体"/>
          <w:bCs/>
          <w:color w:val="000000"/>
          <w:sz w:val="24"/>
        </w:rPr>
      </w:pPr>
      <w:r>
        <w:rPr>
          <w:rFonts w:hint="eastAsia" w:ascii="宋体" w:hAnsi="宋体" w:cs="宋体"/>
          <w:bCs/>
          <w:color w:val="000000"/>
          <w:sz w:val="24"/>
        </w:rPr>
        <w:br w:type="page"/>
      </w:r>
    </w:p>
    <w:p w14:paraId="6A546129">
      <w:pPr>
        <w:spacing w:line="56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3A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910130">
            <w:pPr>
              <w:pStyle w:val="29"/>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序号</w:t>
            </w:r>
          </w:p>
        </w:tc>
        <w:tc>
          <w:tcPr>
            <w:tcW w:w="3402" w:type="dxa"/>
            <w:noWrap w:val="0"/>
            <w:vAlign w:val="center"/>
          </w:tcPr>
          <w:p w14:paraId="5836CCDB">
            <w:pPr>
              <w:pStyle w:val="29"/>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分项名称</w:t>
            </w:r>
          </w:p>
        </w:tc>
        <w:tc>
          <w:tcPr>
            <w:tcW w:w="2552" w:type="dxa"/>
            <w:noWrap w:val="0"/>
            <w:vAlign w:val="center"/>
          </w:tcPr>
          <w:p w14:paraId="57C2AA85">
            <w:pPr>
              <w:pStyle w:val="29"/>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分项价格</w:t>
            </w:r>
          </w:p>
        </w:tc>
      </w:tr>
      <w:tr w14:paraId="6BF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6ACBC7">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6E20D9BD">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36D0467D">
            <w:pPr>
              <w:pStyle w:val="29"/>
              <w:spacing w:line="560" w:lineRule="exact"/>
              <w:ind w:firstLine="200"/>
              <w:jc w:val="center"/>
              <w:rPr>
                <w:rFonts w:hint="eastAsia" w:hAnsi="宋体" w:cs="宋体"/>
                <w:bCs/>
                <w:color w:val="000000"/>
                <w:kern w:val="2"/>
                <w:sz w:val="24"/>
                <w:szCs w:val="24"/>
              </w:rPr>
            </w:pPr>
          </w:p>
        </w:tc>
      </w:tr>
      <w:tr w14:paraId="427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9676D9">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1C72A07E">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49A2693E">
            <w:pPr>
              <w:pStyle w:val="29"/>
              <w:spacing w:line="560" w:lineRule="exact"/>
              <w:ind w:firstLine="200"/>
              <w:jc w:val="center"/>
              <w:rPr>
                <w:rFonts w:hint="eastAsia" w:hAnsi="宋体" w:cs="宋体"/>
                <w:bCs/>
                <w:color w:val="000000"/>
                <w:kern w:val="2"/>
                <w:sz w:val="24"/>
                <w:szCs w:val="24"/>
              </w:rPr>
            </w:pPr>
          </w:p>
        </w:tc>
      </w:tr>
      <w:tr w14:paraId="3B5C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A066AAB">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4A6C098C">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4E828809">
            <w:pPr>
              <w:pStyle w:val="29"/>
              <w:spacing w:line="560" w:lineRule="exact"/>
              <w:ind w:firstLine="200"/>
              <w:jc w:val="center"/>
              <w:rPr>
                <w:rFonts w:hint="eastAsia" w:hAnsi="宋体" w:cs="宋体"/>
                <w:bCs/>
                <w:color w:val="000000"/>
                <w:kern w:val="2"/>
                <w:sz w:val="24"/>
                <w:szCs w:val="24"/>
              </w:rPr>
            </w:pPr>
          </w:p>
        </w:tc>
      </w:tr>
      <w:tr w14:paraId="6F8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3C291">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12F05A4E">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42B60780">
            <w:pPr>
              <w:pStyle w:val="29"/>
              <w:spacing w:line="560" w:lineRule="exact"/>
              <w:ind w:firstLine="200"/>
              <w:jc w:val="center"/>
              <w:rPr>
                <w:rFonts w:hint="eastAsia" w:hAnsi="宋体" w:cs="宋体"/>
                <w:bCs/>
                <w:color w:val="000000"/>
                <w:kern w:val="2"/>
                <w:sz w:val="24"/>
                <w:szCs w:val="24"/>
              </w:rPr>
            </w:pPr>
          </w:p>
        </w:tc>
      </w:tr>
      <w:tr w14:paraId="1AE4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F129C5C">
            <w:pPr>
              <w:pStyle w:val="29"/>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总价</w:t>
            </w:r>
          </w:p>
        </w:tc>
        <w:tc>
          <w:tcPr>
            <w:tcW w:w="2552" w:type="dxa"/>
            <w:noWrap w:val="0"/>
            <w:vAlign w:val="center"/>
          </w:tcPr>
          <w:p w14:paraId="3296BFC3">
            <w:pPr>
              <w:pStyle w:val="29"/>
              <w:spacing w:line="560" w:lineRule="exact"/>
              <w:ind w:firstLine="200"/>
              <w:jc w:val="center"/>
              <w:rPr>
                <w:rFonts w:hint="eastAsia" w:hAnsi="宋体" w:cs="宋体"/>
                <w:bCs/>
                <w:color w:val="000000"/>
                <w:kern w:val="2"/>
                <w:sz w:val="24"/>
                <w:szCs w:val="24"/>
              </w:rPr>
            </w:pPr>
          </w:p>
        </w:tc>
      </w:tr>
    </w:tbl>
    <w:p w14:paraId="0619E6C9">
      <w:pPr>
        <w:spacing w:line="560" w:lineRule="exact"/>
        <w:ind w:firstLine="480" w:firstLineChars="200"/>
        <w:outlineLvl w:val="0"/>
        <w:rPr>
          <w:rFonts w:hint="eastAsia" w:ascii="宋体" w:hAnsi="宋体" w:cs="宋体"/>
          <w:bCs/>
          <w:color w:val="000000"/>
          <w:sz w:val="24"/>
        </w:rPr>
      </w:pPr>
      <w:bookmarkStart w:id="517" w:name="_Toc15661"/>
      <w:bookmarkStart w:id="518" w:name="_Toc22618"/>
      <w:bookmarkStart w:id="519" w:name="_Toc10340"/>
      <w:bookmarkStart w:id="520" w:name="_Toc1814"/>
      <w:bookmarkStart w:id="521" w:name="_Toc6581"/>
      <w:bookmarkStart w:id="522" w:name="_Toc10983"/>
      <w:r>
        <w:rPr>
          <w:rFonts w:hint="eastAsia" w:ascii="宋体" w:hAnsi="宋体" w:cs="宋体"/>
          <w:bCs/>
          <w:color w:val="000000"/>
          <w:sz w:val="24"/>
        </w:rPr>
        <w:t>1.4 付款方式和发票开具方式</w:t>
      </w:r>
      <w:bookmarkEnd w:id="517"/>
      <w:bookmarkEnd w:id="518"/>
      <w:bookmarkEnd w:id="519"/>
      <w:bookmarkEnd w:id="520"/>
      <w:bookmarkEnd w:id="521"/>
      <w:bookmarkEnd w:id="522"/>
    </w:p>
    <w:p w14:paraId="6FD1954A">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1.4.1 付款方式：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84877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1.4.2 发票开具方式：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BEC51E7">
      <w:pPr>
        <w:spacing w:line="560" w:lineRule="exact"/>
        <w:ind w:firstLine="480" w:firstLineChars="200"/>
        <w:outlineLvl w:val="0"/>
        <w:rPr>
          <w:rFonts w:hint="eastAsia" w:ascii="宋体" w:hAnsi="宋体" w:cs="宋体"/>
          <w:bCs/>
          <w:color w:val="000000"/>
          <w:sz w:val="24"/>
        </w:rPr>
      </w:pPr>
      <w:bookmarkStart w:id="523" w:name="_Toc14858"/>
      <w:bookmarkStart w:id="524" w:name="_Toc19304"/>
      <w:bookmarkStart w:id="525" w:name="_Toc2846"/>
      <w:bookmarkStart w:id="526" w:name="_Toc20882"/>
      <w:bookmarkStart w:id="527" w:name="_Toc32071"/>
      <w:bookmarkStart w:id="528" w:name="_Toc27684"/>
      <w:r>
        <w:rPr>
          <w:rFonts w:hint="eastAsia" w:ascii="宋体" w:hAnsi="宋体" w:cs="宋体"/>
          <w:bCs/>
          <w:color w:val="000000"/>
          <w:sz w:val="24"/>
        </w:rPr>
        <w:t>1.5 货物交付期限、地点和方式</w:t>
      </w:r>
      <w:bookmarkEnd w:id="523"/>
      <w:bookmarkEnd w:id="524"/>
      <w:bookmarkEnd w:id="525"/>
      <w:bookmarkEnd w:id="526"/>
      <w:bookmarkEnd w:id="527"/>
      <w:bookmarkEnd w:id="528"/>
    </w:p>
    <w:p w14:paraId="6D357F4E">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1.5.1 交付期限：</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154B9D">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1.5.2 交付地点：</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0CDF2DE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1.5.3 交付方式：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FAA3571">
      <w:pPr>
        <w:spacing w:line="560" w:lineRule="exact"/>
        <w:ind w:firstLine="480" w:firstLineChars="200"/>
        <w:outlineLvl w:val="0"/>
        <w:rPr>
          <w:rFonts w:hint="eastAsia" w:ascii="宋体" w:hAnsi="宋体" w:cs="宋体"/>
          <w:bCs/>
          <w:color w:val="000000"/>
          <w:sz w:val="24"/>
        </w:rPr>
      </w:pPr>
      <w:bookmarkStart w:id="529" w:name="_Toc29029"/>
      <w:bookmarkStart w:id="530" w:name="_Toc19554"/>
      <w:bookmarkStart w:id="531" w:name="_Toc21423"/>
      <w:bookmarkStart w:id="532" w:name="_Toc16116"/>
      <w:bookmarkStart w:id="533" w:name="_Toc27250"/>
      <w:bookmarkStart w:id="534" w:name="_Toc19166"/>
      <w:r>
        <w:rPr>
          <w:rFonts w:hint="eastAsia" w:ascii="宋体" w:hAnsi="宋体" w:cs="宋体"/>
          <w:bCs/>
          <w:color w:val="000000"/>
          <w:sz w:val="24"/>
        </w:rPr>
        <w:t>1.6 违约责任</w:t>
      </w:r>
      <w:bookmarkEnd w:id="529"/>
      <w:bookmarkEnd w:id="530"/>
      <w:bookmarkEnd w:id="531"/>
      <w:bookmarkEnd w:id="532"/>
      <w:bookmarkEnd w:id="533"/>
      <w:bookmarkEnd w:id="534"/>
    </w:p>
    <w:p w14:paraId="29E883D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1.6.1 除不可抗力外，如果</w:t>
      </w:r>
      <w:r>
        <w:rPr>
          <w:rFonts w:hint="eastAsia" w:ascii="宋体" w:hAnsi="宋体" w:cs="宋体"/>
          <w:bCs/>
          <w:color w:val="000000"/>
          <w:sz w:val="24"/>
          <w:lang w:eastAsia="zh-CN"/>
        </w:rPr>
        <w:t>供应商</w:t>
      </w:r>
      <w:r>
        <w:rPr>
          <w:rFonts w:hint="eastAsia" w:ascii="宋体" w:hAnsi="宋体" w:cs="宋体"/>
          <w:bCs/>
          <w:color w:val="000000"/>
          <w:sz w:val="24"/>
        </w:rPr>
        <w:t>没有按照本合同约定的期限、地点和方式交付货物，那么</w:t>
      </w:r>
      <w:r>
        <w:rPr>
          <w:rFonts w:hint="eastAsia" w:ascii="宋体" w:hAnsi="宋体" w:cs="宋体"/>
          <w:bCs/>
          <w:color w:val="000000"/>
          <w:sz w:val="24"/>
          <w:lang w:eastAsia="zh-CN"/>
        </w:rPr>
        <w:t>采购人</w:t>
      </w:r>
      <w:r>
        <w:rPr>
          <w:rFonts w:hint="eastAsia" w:ascii="宋体" w:hAnsi="宋体" w:cs="宋体"/>
          <w:bCs/>
          <w:color w:val="000000"/>
          <w:sz w:val="24"/>
        </w:rPr>
        <w:t>可要求</w:t>
      </w:r>
      <w:r>
        <w:rPr>
          <w:rFonts w:hint="eastAsia" w:ascii="宋体" w:hAnsi="宋体" w:cs="宋体"/>
          <w:bCs/>
          <w:color w:val="000000"/>
          <w:sz w:val="24"/>
          <w:lang w:eastAsia="zh-CN"/>
        </w:rPr>
        <w:t>供应商</w:t>
      </w:r>
      <w:r>
        <w:rPr>
          <w:rFonts w:hint="eastAsia" w:ascii="宋体" w:hAnsi="宋体" w:cs="宋体"/>
          <w:bCs/>
          <w:color w:val="000000"/>
          <w:sz w:val="24"/>
        </w:rPr>
        <w:t>支付违约金，违约金按每迟延交付货物一日的应交付而未交付货物价格的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%；迟延交付货物的违约金计算数额达到前述最高限额之日起，</w:t>
      </w:r>
      <w:r>
        <w:rPr>
          <w:rFonts w:hint="eastAsia" w:ascii="宋体" w:hAnsi="宋体" w:cs="宋体"/>
          <w:bCs/>
          <w:color w:val="000000"/>
          <w:sz w:val="24"/>
          <w:lang w:eastAsia="zh-CN"/>
        </w:rPr>
        <w:t>采购人</w:t>
      </w:r>
      <w:r>
        <w:rPr>
          <w:rFonts w:hint="eastAsia" w:ascii="宋体" w:hAnsi="宋体" w:cs="宋体"/>
          <w:bCs/>
          <w:color w:val="000000"/>
          <w:sz w:val="24"/>
        </w:rPr>
        <w:t>有权在要求</w:t>
      </w:r>
      <w:r>
        <w:rPr>
          <w:rFonts w:hint="eastAsia" w:ascii="宋体" w:hAnsi="宋体" w:cs="宋体"/>
          <w:bCs/>
          <w:color w:val="000000"/>
          <w:sz w:val="24"/>
          <w:lang w:eastAsia="zh-CN"/>
        </w:rPr>
        <w:t>供应商</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供应商</w:t>
      </w:r>
      <w:r>
        <w:rPr>
          <w:rFonts w:hint="eastAsia" w:ascii="宋体" w:hAnsi="宋体" w:cs="宋体"/>
          <w:bCs/>
          <w:color w:val="000000"/>
          <w:sz w:val="24"/>
        </w:rPr>
        <w:t>解除本合同；</w:t>
      </w:r>
    </w:p>
    <w:p w14:paraId="27E238D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1.6.2 除不可抗力外，如果</w:t>
      </w:r>
      <w:r>
        <w:rPr>
          <w:rFonts w:hint="eastAsia" w:ascii="宋体" w:hAnsi="宋体" w:cs="宋体"/>
          <w:bCs/>
          <w:color w:val="000000"/>
          <w:sz w:val="24"/>
          <w:lang w:eastAsia="zh-CN"/>
        </w:rPr>
        <w:t>采购人</w:t>
      </w:r>
      <w:r>
        <w:rPr>
          <w:rFonts w:hint="eastAsia" w:ascii="宋体" w:hAnsi="宋体" w:cs="宋体"/>
          <w:bCs/>
          <w:color w:val="000000"/>
          <w:sz w:val="24"/>
        </w:rPr>
        <w:t>没有按照本合同约定的付款方式付款，那么</w:t>
      </w:r>
      <w:r>
        <w:rPr>
          <w:rFonts w:hint="eastAsia" w:ascii="宋体" w:hAnsi="宋体" w:cs="宋体"/>
          <w:bCs/>
          <w:color w:val="000000"/>
          <w:sz w:val="24"/>
          <w:lang w:eastAsia="zh-CN"/>
        </w:rPr>
        <w:t>供应商</w:t>
      </w:r>
      <w:r>
        <w:rPr>
          <w:rFonts w:hint="eastAsia" w:ascii="宋体" w:hAnsi="宋体" w:cs="宋体"/>
          <w:bCs/>
          <w:color w:val="000000"/>
          <w:sz w:val="24"/>
        </w:rPr>
        <w:t>可要求</w:t>
      </w:r>
      <w:r>
        <w:rPr>
          <w:rFonts w:hint="eastAsia" w:ascii="宋体" w:hAnsi="宋体" w:cs="宋体"/>
          <w:bCs/>
          <w:color w:val="000000"/>
          <w:sz w:val="24"/>
          <w:lang w:eastAsia="zh-CN"/>
        </w:rPr>
        <w:t>采购人</w:t>
      </w:r>
      <w:r>
        <w:rPr>
          <w:rFonts w:hint="eastAsia" w:ascii="宋体" w:hAnsi="宋体" w:cs="宋体"/>
          <w:bCs/>
          <w:color w:val="000000"/>
          <w:sz w:val="24"/>
        </w:rPr>
        <w:t>支付违约金，违约金按每迟延付款一日的应付而未付款的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%；迟延付款的违约金计算数额达到前述最高限额之日起，</w:t>
      </w:r>
      <w:r>
        <w:rPr>
          <w:rFonts w:hint="eastAsia" w:ascii="宋体" w:hAnsi="宋体" w:cs="宋体"/>
          <w:bCs/>
          <w:color w:val="000000"/>
          <w:sz w:val="24"/>
          <w:lang w:eastAsia="zh-CN"/>
        </w:rPr>
        <w:t>供应商</w:t>
      </w:r>
      <w:r>
        <w:rPr>
          <w:rFonts w:hint="eastAsia" w:ascii="宋体" w:hAnsi="宋体" w:cs="宋体"/>
          <w:bCs/>
          <w:color w:val="000000"/>
          <w:sz w:val="24"/>
        </w:rPr>
        <w:t>有权在要求</w:t>
      </w:r>
      <w:r>
        <w:rPr>
          <w:rFonts w:hint="eastAsia" w:ascii="宋体" w:hAnsi="宋体" w:cs="宋体"/>
          <w:bCs/>
          <w:color w:val="000000"/>
          <w:sz w:val="24"/>
          <w:lang w:eastAsia="zh-CN"/>
        </w:rPr>
        <w:t>采购人</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采购人</w:t>
      </w:r>
      <w:r>
        <w:rPr>
          <w:rFonts w:hint="eastAsia" w:ascii="宋体" w:hAnsi="宋体" w:cs="宋体"/>
          <w:bCs/>
          <w:color w:val="000000"/>
          <w:sz w:val="24"/>
        </w:rPr>
        <w:t>解除本合同；</w:t>
      </w:r>
    </w:p>
    <w:p w14:paraId="6B46090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7E2E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7F2A5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A59BD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1.6.6 如果出现政府采购监督管理部门在处理投诉事项期间，书面通知</w:t>
      </w:r>
      <w:r>
        <w:rPr>
          <w:rFonts w:hint="eastAsia" w:ascii="宋体" w:hAnsi="宋体" w:cs="宋体"/>
          <w:bCs/>
          <w:color w:val="000000"/>
          <w:sz w:val="24"/>
          <w:lang w:eastAsia="zh-CN"/>
        </w:rPr>
        <w:t>采购人</w:t>
      </w:r>
      <w:r>
        <w:rPr>
          <w:rFonts w:hint="eastAsia" w:ascii="宋体" w:hAnsi="宋体" w:cs="宋体"/>
          <w:bCs/>
          <w:color w:val="000000"/>
          <w:sz w:val="24"/>
        </w:rPr>
        <w:t>暂停采购活动的情形，或者询问或质疑事项可能影响中标结果的，导致</w:t>
      </w:r>
      <w:r>
        <w:rPr>
          <w:rFonts w:hint="eastAsia" w:ascii="宋体" w:hAnsi="宋体" w:cs="宋体"/>
          <w:bCs/>
          <w:color w:val="000000"/>
          <w:sz w:val="24"/>
          <w:lang w:eastAsia="zh-CN"/>
        </w:rPr>
        <w:t>采购人</w:t>
      </w:r>
      <w:r>
        <w:rPr>
          <w:rFonts w:hint="eastAsia" w:ascii="宋体" w:hAnsi="宋体" w:cs="宋体"/>
          <w:bCs/>
          <w:color w:val="000000"/>
          <w:sz w:val="24"/>
        </w:rPr>
        <w:t>中止履行合同的情形，均不视为</w:t>
      </w:r>
      <w:r>
        <w:rPr>
          <w:rFonts w:hint="eastAsia" w:ascii="宋体" w:hAnsi="宋体" w:cs="宋体"/>
          <w:bCs/>
          <w:color w:val="000000"/>
          <w:sz w:val="24"/>
          <w:lang w:eastAsia="zh-CN"/>
        </w:rPr>
        <w:t>采购人</w:t>
      </w:r>
      <w:r>
        <w:rPr>
          <w:rFonts w:hint="eastAsia" w:ascii="宋体" w:hAnsi="宋体" w:cs="宋体"/>
          <w:bCs/>
          <w:color w:val="000000"/>
          <w:sz w:val="24"/>
        </w:rPr>
        <w:t>违约。</w:t>
      </w:r>
    </w:p>
    <w:p w14:paraId="131F4CC0">
      <w:pPr>
        <w:spacing w:line="560" w:lineRule="exact"/>
        <w:ind w:firstLine="480" w:firstLineChars="200"/>
        <w:outlineLvl w:val="0"/>
        <w:rPr>
          <w:rFonts w:hint="eastAsia" w:ascii="宋体" w:hAnsi="宋体" w:cs="宋体"/>
          <w:bCs/>
          <w:color w:val="000000"/>
          <w:sz w:val="24"/>
        </w:rPr>
      </w:pPr>
      <w:bookmarkStart w:id="535" w:name="_Toc23209"/>
      <w:bookmarkStart w:id="536" w:name="_Toc15583"/>
      <w:bookmarkStart w:id="537" w:name="_Toc28375"/>
      <w:bookmarkStart w:id="538" w:name="_Toc23451"/>
      <w:bookmarkStart w:id="539" w:name="_Toc16021"/>
      <w:bookmarkStart w:id="540" w:name="_Toc21743"/>
      <w:r>
        <w:rPr>
          <w:rFonts w:hint="eastAsia" w:ascii="宋体" w:hAnsi="宋体" w:cs="宋体"/>
          <w:bCs/>
          <w:color w:val="000000"/>
          <w:sz w:val="24"/>
        </w:rPr>
        <w:t>1.7 合同争议的解决</w:t>
      </w:r>
      <w:bookmarkEnd w:id="535"/>
      <w:bookmarkEnd w:id="536"/>
      <w:bookmarkEnd w:id="537"/>
      <w:bookmarkEnd w:id="538"/>
      <w:bookmarkEnd w:id="539"/>
      <w:bookmarkEnd w:id="540"/>
    </w:p>
    <w:p w14:paraId="3C03BEC8">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本合同履行过程中发生的任何争议，双方当事人均可通过和解或者调解解决；不愿和解、调解或者和解、调解不成的，可以选择下列第</w:t>
      </w:r>
      <w:r>
        <w:rPr>
          <w:rFonts w:hint="eastAsia" w:ascii="宋体" w:hAnsi="宋体" w:cs="宋体"/>
          <w:bCs/>
          <w:color w:val="000000"/>
          <w:sz w:val="24"/>
          <w:u w:val="single"/>
        </w:rPr>
        <w:t xml:space="preserve">    </w:t>
      </w:r>
      <w:r>
        <w:rPr>
          <w:rFonts w:hint="eastAsia" w:ascii="宋体" w:hAnsi="宋体" w:cs="宋体"/>
          <w:bCs/>
          <w:color w:val="000000"/>
          <w:sz w:val="24"/>
        </w:rPr>
        <w:t>种方式解决</w:t>
      </w:r>
      <w:r>
        <w:rPr>
          <w:rFonts w:hint="eastAsia" w:ascii="宋体" w:hAnsi="宋体" w:eastAsia="宋体" w:cs="宋体"/>
          <w:bCs/>
          <w:color w:val="000000"/>
          <w:sz w:val="24"/>
          <w:lang w:eastAsia="zh-CN"/>
        </w:rPr>
        <w:t>：</w:t>
      </w:r>
    </w:p>
    <w:p w14:paraId="63EA749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1.7.1 将争议提交</w:t>
      </w:r>
      <w:r>
        <w:rPr>
          <w:rFonts w:hint="eastAsia" w:ascii="宋体" w:hAnsi="宋体" w:cs="宋体"/>
          <w:bCs/>
          <w:color w:val="000000"/>
          <w:sz w:val="24"/>
          <w:u w:val="single"/>
        </w:rPr>
        <w:t xml:space="preserve">              </w:t>
      </w:r>
      <w:r>
        <w:rPr>
          <w:rFonts w:hint="eastAsia" w:ascii="宋体" w:hAnsi="宋体" w:cs="宋体"/>
          <w:bCs/>
          <w:color w:val="000000"/>
          <w:sz w:val="24"/>
        </w:rPr>
        <w:t>仲裁委员会依申请仲裁时其现行有效的仲裁规则裁决；</w:t>
      </w:r>
    </w:p>
    <w:p w14:paraId="16FC42A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1.7.2 向</w:t>
      </w:r>
      <w:r>
        <w:rPr>
          <w:rFonts w:hint="eastAsia" w:ascii="宋体" w:hAnsi="宋体" w:cs="宋体"/>
          <w:bCs/>
          <w:color w:val="000000"/>
          <w:sz w:val="24"/>
          <w:u w:val="single"/>
        </w:rPr>
        <w:t xml:space="preserve">   （被告住所地、合同履行地、合同签订地、原告住所地、标的物所在地等与争议有实际联系的地点中选出的人民法院名称）    </w:t>
      </w:r>
      <w:r>
        <w:rPr>
          <w:rFonts w:hint="eastAsia" w:ascii="宋体" w:hAnsi="宋体" w:cs="宋体"/>
          <w:bCs/>
          <w:color w:val="000000"/>
          <w:sz w:val="24"/>
        </w:rPr>
        <w:t>人民法院起诉。</w:t>
      </w:r>
    </w:p>
    <w:p w14:paraId="6730F0DD">
      <w:pPr>
        <w:spacing w:line="560" w:lineRule="exact"/>
        <w:ind w:firstLine="480" w:firstLineChars="200"/>
        <w:outlineLvl w:val="0"/>
        <w:rPr>
          <w:rFonts w:hint="eastAsia" w:ascii="宋体" w:hAnsi="宋体" w:cs="宋体"/>
          <w:bCs/>
          <w:color w:val="000000"/>
          <w:sz w:val="24"/>
        </w:rPr>
      </w:pPr>
      <w:bookmarkStart w:id="541" w:name="_Toc7344"/>
      <w:bookmarkStart w:id="542" w:name="_Toc13214"/>
      <w:bookmarkStart w:id="543" w:name="_Toc24028"/>
      <w:bookmarkStart w:id="544" w:name="_Toc7245"/>
      <w:bookmarkStart w:id="545" w:name="_Toc15322"/>
      <w:bookmarkStart w:id="546" w:name="_Toc11173"/>
      <w:r>
        <w:rPr>
          <w:rFonts w:hint="eastAsia" w:ascii="宋体" w:hAnsi="宋体" w:cs="宋体"/>
          <w:bCs/>
          <w:color w:val="000000"/>
          <w:sz w:val="24"/>
        </w:rPr>
        <w:t>1.8 合同生效</w:t>
      </w:r>
      <w:bookmarkEnd w:id="541"/>
      <w:bookmarkEnd w:id="542"/>
      <w:bookmarkEnd w:id="543"/>
      <w:bookmarkEnd w:id="544"/>
      <w:bookmarkEnd w:id="545"/>
      <w:bookmarkEnd w:id="546"/>
    </w:p>
    <w:p w14:paraId="1C83D4A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本合同自双方当事人盖章或者签字时生效。</w:t>
      </w:r>
    </w:p>
    <w:p w14:paraId="6433E9ED">
      <w:pPr>
        <w:autoSpaceDE w:val="0"/>
        <w:autoSpaceDN w:val="0"/>
        <w:adjustRightInd w:val="0"/>
        <w:spacing w:line="560" w:lineRule="exact"/>
        <w:rPr>
          <w:rFonts w:hint="eastAsia" w:ascii="宋体" w:hAnsi="宋体" w:cs="宋体"/>
          <w:bCs/>
          <w:color w:val="000000"/>
          <w:sz w:val="24"/>
          <w:lang w:val="zh-CN"/>
        </w:rPr>
      </w:pPr>
    </w:p>
    <w:p w14:paraId="760DAFB0">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采购人：                                   供应商：</w:t>
      </w:r>
    </w:p>
    <w:p w14:paraId="1C536DA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统一社会信用代码：                        统一社会信用代码或身份证号码：</w:t>
      </w:r>
    </w:p>
    <w:p w14:paraId="7CA26E00">
      <w:pPr>
        <w:autoSpaceDE w:val="0"/>
        <w:autoSpaceDN w:val="0"/>
        <w:adjustRightInd w:val="0"/>
        <w:spacing w:line="560" w:lineRule="exact"/>
        <w:rPr>
          <w:rFonts w:hint="eastAsia" w:ascii="宋体" w:hAnsi="宋体" w:cs="宋体"/>
          <w:bCs/>
          <w:color w:val="000000"/>
          <w:sz w:val="24"/>
          <w:lang w:val="zh-CN"/>
        </w:rPr>
      </w:pPr>
    </w:p>
    <w:p w14:paraId="54449B4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住所：                                   住所：</w:t>
      </w:r>
    </w:p>
    <w:p w14:paraId="5E0A4628">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法定代表人或                             法定代表人</w:t>
      </w:r>
    </w:p>
    <w:p w14:paraId="151683A6">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授权代表（签字）：                        或授权代表（签字）: </w:t>
      </w:r>
    </w:p>
    <w:p w14:paraId="786917FA">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联系人：                                 联系人：</w:t>
      </w:r>
    </w:p>
    <w:p w14:paraId="763D0A8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约定送达地址：                           约定送达地址：</w:t>
      </w:r>
    </w:p>
    <w:p w14:paraId="7E54E81E">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邮政编码：                               邮政编码：</w:t>
      </w:r>
    </w:p>
    <w:p w14:paraId="7E2DCE02">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电话:                                    电话: </w:t>
      </w:r>
    </w:p>
    <w:p w14:paraId="3252EC3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传真:                                    传真:</w:t>
      </w:r>
    </w:p>
    <w:p w14:paraId="6108225E">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lang w:val="zh-CN"/>
        </w:rPr>
        <w:t>电子邮箱：                               电子邮箱：</w:t>
      </w:r>
    </w:p>
    <w:p w14:paraId="6CBDBF18">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开户银行：                               开户银行： </w:t>
      </w:r>
    </w:p>
    <w:p w14:paraId="18849F42">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开户名称：                               开户名称： </w:t>
      </w:r>
    </w:p>
    <w:p w14:paraId="2A9748E9">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开户账号：</w:t>
      </w:r>
      <w:r>
        <w:rPr>
          <w:rFonts w:hint="eastAsia" w:ascii="宋体" w:hAnsi="宋体" w:cs="宋体"/>
          <w:bCs/>
          <w:color w:val="000000"/>
          <w:sz w:val="24"/>
          <w:lang w:val="zh-CN"/>
        </w:rPr>
        <w:t xml:space="preserve">                               </w:t>
      </w:r>
      <w:r>
        <w:rPr>
          <w:rFonts w:hint="eastAsia" w:ascii="宋体" w:hAnsi="宋体" w:cs="宋体"/>
          <w:bCs/>
          <w:color w:val="000000"/>
          <w:sz w:val="24"/>
        </w:rPr>
        <w:t>开户账号：</w:t>
      </w:r>
    </w:p>
    <w:p w14:paraId="53200752">
      <w:pPr>
        <w:pStyle w:val="27"/>
        <w:spacing w:line="560" w:lineRule="exact"/>
        <w:ind w:firstLine="200"/>
        <w:jc w:val="center"/>
        <w:outlineLvl w:val="1"/>
        <w:rPr>
          <w:rFonts w:hint="eastAsia" w:hAnsi="宋体" w:cs="宋体"/>
          <w:bCs/>
          <w:color w:val="000000"/>
          <w:szCs w:val="24"/>
        </w:rPr>
      </w:pPr>
      <w:bookmarkStart w:id="547" w:name="_Toc331685783"/>
      <w:r>
        <w:rPr>
          <w:rFonts w:hint="eastAsia" w:hAnsi="宋体" w:cs="宋体"/>
          <w:bCs/>
          <w:color w:val="000000"/>
          <w:szCs w:val="24"/>
        </w:rPr>
        <w:br w:type="page"/>
      </w:r>
      <w:bookmarkStart w:id="548" w:name="_Toc18814"/>
      <w:bookmarkStart w:id="549" w:name="_Toc25139"/>
      <w:bookmarkStart w:id="550" w:name="_Toc31391"/>
      <w:r>
        <w:rPr>
          <w:rFonts w:hint="eastAsia" w:hAnsi="宋体" w:cs="宋体"/>
          <w:bCs/>
          <w:color w:val="000000"/>
          <w:szCs w:val="24"/>
        </w:rPr>
        <w:t>第二部分 合同一般条款</w:t>
      </w:r>
      <w:bookmarkEnd w:id="547"/>
      <w:bookmarkEnd w:id="548"/>
      <w:bookmarkEnd w:id="549"/>
      <w:bookmarkEnd w:id="550"/>
    </w:p>
    <w:p w14:paraId="5CCE1495">
      <w:pPr>
        <w:spacing w:line="560" w:lineRule="exact"/>
        <w:ind w:firstLine="480" w:firstLineChars="200"/>
        <w:outlineLvl w:val="0"/>
        <w:rPr>
          <w:rFonts w:hint="eastAsia" w:ascii="宋体" w:hAnsi="宋体" w:cs="宋体"/>
          <w:bCs/>
          <w:color w:val="000000"/>
          <w:sz w:val="24"/>
        </w:rPr>
      </w:pPr>
      <w:bookmarkStart w:id="551" w:name="_Ref467379101"/>
      <w:bookmarkStart w:id="552" w:name="_Toc259093669"/>
      <w:bookmarkStart w:id="553" w:name="_Ref467378499"/>
      <w:bookmarkStart w:id="554" w:name="_Ref467379214"/>
      <w:bookmarkStart w:id="555" w:name="_Ref467379094"/>
      <w:bookmarkStart w:id="556" w:name="_Ref467379109"/>
      <w:bookmarkStart w:id="557" w:name="_Toc279701240"/>
      <w:bookmarkStart w:id="558" w:name="_Ref467379205"/>
      <w:bookmarkStart w:id="559" w:name="_Ref467378463"/>
      <w:bookmarkStart w:id="560" w:name="_Toc28763"/>
      <w:bookmarkStart w:id="561" w:name="_Toc21776"/>
      <w:bookmarkStart w:id="562" w:name="_Toc19614"/>
      <w:bookmarkStart w:id="563" w:name="_Ref467379195"/>
      <w:bookmarkStart w:id="564" w:name="_Ref467378404"/>
      <w:bookmarkStart w:id="565" w:name="_Toc16917"/>
      <w:bookmarkStart w:id="566" w:name="_Ref467379225"/>
      <w:bookmarkStart w:id="567" w:name="_Toc487900349"/>
      <w:bookmarkStart w:id="568" w:name="_Toc18232"/>
      <w:bookmarkStart w:id="569" w:name="_Toc12550"/>
      <w:r>
        <w:rPr>
          <w:rFonts w:hint="eastAsia" w:ascii="宋体" w:hAnsi="宋体" w:cs="宋体"/>
          <w:bCs/>
          <w:color w:val="000000"/>
          <w:sz w:val="24"/>
        </w:rPr>
        <w:t>2.1 定义</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CACC9F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本合同中的下列词语应按以下内容进行解释：</w:t>
      </w:r>
    </w:p>
    <w:p w14:paraId="6879629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 “合同”系指采购人和中标供应商签订的载明双方当事人所达成的协议，并包括所有的附件、附录和构成合同的其他文件。</w:t>
      </w:r>
    </w:p>
    <w:p w14:paraId="640DF08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2.1.2 “合同价”系指根据合同约定，中标供应商在完全履行合同义务后，采购人应支付给中标供应商的价格。</w:t>
      </w:r>
    </w:p>
    <w:p w14:paraId="36B3B5E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 “货物”系指中标供应商根据合同约定应向采购人交付的一切各种形态和种类的物品，包括原材料、燃料、设备、机械、仪表、备件、计算机软件、产品等，并包括工具、手册等其他相关资料。</w:t>
      </w:r>
    </w:p>
    <w:p w14:paraId="346E230D">
      <w:pPr>
        <w:spacing w:line="560" w:lineRule="exact"/>
        <w:ind w:firstLine="480" w:firstLineChars="200"/>
        <w:rPr>
          <w:rFonts w:hint="eastAsia" w:ascii="宋体" w:hAnsi="宋体" w:cs="宋体"/>
          <w:bCs/>
          <w:color w:val="000000"/>
          <w:sz w:val="24"/>
        </w:rPr>
      </w:pPr>
      <w:bookmarkStart w:id="570" w:name="_Ref467378840"/>
      <w:r>
        <w:rPr>
          <w:rFonts w:hint="eastAsia" w:ascii="宋体" w:hAnsi="宋体" w:cs="宋体"/>
          <w:bCs/>
          <w:color w:val="000000"/>
          <w:sz w:val="24"/>
        </w:rPr>
        <w:t>2.1.4 “</w:t>
      </w:r>
      <w:r>
        <w:rPr>
          <w:rFonts w:hint="eastAsia" w:ascii="宋体" w:hAnsi="宋体" w:cs="宋体"/>
          <w:bCs/>
          <w:color w:val="000000"/>
          <w:sz w:val="24"/>
          <w:lang w:eastAsia="zh-CN"/>
        </w:rPr>
        <w:t>采购人</w:t>
      </w:r>
      <w:r>
        <w:rPr>
          <w:rFonts w:hint="eastAsia" w:ascii="宋体" w:hAnsi="宋体" w:cs="宋体"/>
          <w:bCs/>
          <w:color w:val="000000"/>
          <w:sz w:val="24"/>
        </w:rPr>
        <w:t>”系指与中标供应商签署合同的采购人</w:t>
      </w:r>
      <w:bookmarkEnd w:id="570"/>
      <w:r>
        <w:rPr>
          <w:rFonts w:hint="eastAsia" w:ascii="宋体" w:hAnsi="宋体" w:cs="宋体"/>
          <w:bCs/>
          <w:color w:val="000000"/>
          <w:sz w:val="24"/>
        </w:rPr>
        <w:t>；采购人委托采购代理机构代表其与</w:t>
      </w:r>
      <w:r>
        <w:rPr>
          <w:rFonts w:hint="eastAsia" w:ascii="宋体" w:hAnsi="宋体" w:cs="宋体"/>
          <w:bCs/>
          <w:color w:val="000000"/>
          <w:sz w:val="24"/>
          <w:lang w:eastAsia="zh-CN"/>
        </w:rPr>
        <w:t>供应商</w:t>
      </w:r>
      <w:r>
        <w:rPr>
          <w:rFonts w:hint="eastAsia" w:ascii="宋体" w:hAnsi="宋体" w:cs="宋体"/>
          <w:bCs/>
          <w:color w:val="000000"/>
          <w:sz w:val="24"/>
        </w:rPr>
        <w:t>签订合同的，采购人的授权委托书作为合同附件。</w:t>
      </w:r>
    </w:p>
    <w:p w14:paraId="5338555A">
      <w:pPr>
        <w:spacing w:line="560" w:lineRule="exact"/>
        <w:ind w:firstLine="480" w:firstLineChars="200"/>
        <w:rPr>
          <w:rFonts w:hint="eastAsia" w:ascii="宋体" w:hAnsi="宋体" w:cs="宋体"/>
          <w:bCs/>
          <w:color w:val="000000"/>
          <w:sz w:val="24"/>
        </w:rPr>
      </w:pPr>
      <w:bookmarkStart w:id="571" w:name="_Ref467379400"/>
      <w:r>
        <w:rPr>
          <w:rFonts w:hint="eastAsia" w:ascii="宋体" w:hAnsi="宋体" w:cs="宋体"/>
          <w:bCs/>
          <w:color w:val="000000"/>
          <w:sz w:val="24"/>
        </w:rPr>
        <w:t>2.1.5 “</w:t>
      </w:r>
      <w:r>
        <w:rPr>
          <w:rFonts w:hint="eastAsia" w:ascii="宋体" w:hAnsi="宋体" w:cs="宋体"/>
          <w:bCs/>
          <w:color w:val="000000"/>
          <w:sz w:val="24"/>
          <w:lang w:eastAsia="zh-CN"/>
        </w:rPr>
        <w:t>供应商</w:t>
      </w:r>
      <w:r>
        <w:rPr>
          <w:rFonts w:hint="eastAsia" w:ascii="宋体" w:hAnsi="宋体" w:cs="宋体"/>
          <w:bCs/>
          <w:color w:val="000000"/>
          <w:sz w:val="24"/>
        </w:rPr>
        <w:t>”系指根据合同约定交付货物的中标供应商</w:t>
      </w:r>
      <w:bookmarkEnd w:id="571"/>
      <w:r>
        <w:rPr>
          <w:rFonts w:hint="eastAsia" w:ascii="宋体" w:hAnsi="宋体" w:cs="宋体"/>
          <w:bCs/>
          <w:color w:val="000000"/>
          <w:sz w:val="24"/>
        </w:rPr>
        <w:t>；两个以上的自然人、法人或者其他组织组成一个联合体，以一个供应商的身份共同参加政府采购的，联合体各方均应为</w:t>
      </w:r>
      <w:r>
        <w:rPr>
          <w:rFonts w:hint="eastAsia" w:ascii="宋体" w:hAnsi="宋体" w:cs="宋体"/>
          <w:bCs/>
          <w:color w:val="000000"/>
          <w:sz w:val="24"/>
          <w:lang w:eastAsia="zh-CN"/>
        </w:rPr>
        <w:t>供应商</w:t>
      </w:r>
      <w:r>
        <w:rPr>
          <w:rFonts w:hint="eastAsia" w:ascii="宋体" w:hAnsi="宋体" w:cs="宋体"/>
          <w:bCs/>
          <w:color w:val="000000"/>
          <w:sz w:val="24"/>
        </w:rPr>
        <w:t>或者与</w:t>
      </w:r>
      <w:r>
        <w:rPr>
          <w:rFonts w:hint="eastAsia" w:ascii="宋体" w:hAnsi="宋体" w:cs="宋体"/>
          <w:bCs/>
          <w:color w:val="000000"/>
          <w:sz w:val="24"/>
          <w:lang w:eastAsia="zh-CN"/>
        </w:rPr>
        <w:t>供应商</w:t>
      </w:r>
      <w:r>
        <w:rPr>
          <w:rFonts w:hint="eastAsia" w:ascii="宋体" w:hAnsi="宋体" w:cs="宋体"/>
          <w:bCs/>
          <w:color w:val="000000"/>
          <w:sz w:val="24"/>
        </w:rPr>
        <w:t>相同地位的合同当事人，并就合同约定的事项对</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68AC2991">
      <w:pPr>
        <w:spacing w:line="560" w:lineRule="exact"/>
        <w:ind w:firstLine="480" w:firstLineChars="200"/>
        <w:rPr>
          <w:rFonts w:hint="eastAsia" w:ascii="宋体" w:hAnsi="宋体" w:cs="宋体"/>
          <w:bCs/>
          <w:color w:val="000000"/>
          <w:sz w:val="24"/>
        </w:rPr>
      </w:pPr>
      <w:bookmarkStart w:id="572" w:name="_Ref467379436"/>
      <w:r>
        <w:rPr>
          <w:rFonts w:hint="eastAsia" w:ascii="宋体" w:hAnsi="宋体" w:cs="宋体"/>
          <w:bCs/>
          <w:color w:val="000000"/>
          <w:sz w:val="24"/>
        </w:rPr>
        <w:t>2.1.6 “现场”系指合同约定货物将要运至或者安装的地点。</w:t>
      </w:r>
      <w:bookmarkEnd w:id="572"/>
    </w:p>
    <w:p w14:paraId="136B1C8F">
      <w:pPr>
        <w:spacing w:line="560" w:lineRule="exact"/>
        <w:ind w:firstLine="480" w:firstLineChars="200"/>
        <w:outlineLvl w:val="0"/>
        <w:rPr>
          <w:rFonts w:hint="eastAsia" w:ascii="宋体" w:hAnsi="宋体" w:cs="宋体"/>
          <w:bCs/>
          <w:color w:val="000000"/>
          <w:sz w:val="24"/>
        </w:rPr>
      </w:pPr>
      <w:bookmarkStart w:id="573" w:name="_Toc259093670"/>
      <w:bookmarkStart w:id="574" w:name="_Toc487900350"/>
      <w:bookmarkStart w:id="575" w:name="_Toc4214"/>
      <w:bookmarkStart w:id="576" w:name="_Toc25051"/>
      <w:bookmarkStart w:id="577" w:name="_Toc13336"/>
      <w:bookmarkStart w:id="578" w:name="_Toc24584"/>
      <w:bookmarkStart w:id="579" w:name="_Toc27635"/>
      <w:bookmarkStart w:id="580" w:name="_Toc279701241"/>
      <w:bookmarkStart w:id="581" w:name="_Toc32504"/>
      <w:r>
        <w:rPr>
          <w:rFonts w:hint="eastAsia" w:ascii="宋体" w:hAnsi="宋体" w:cs="宋体"/>
          <w:bCs/>
          <w:color w:val="000000"/>
          <w:sz w:val="24"/>
        </w:rPr>
        <w:t>2.2 技术规范</w:t>
      </w:r>
      <w:bookmarkEnd w:id="573"/>
      <w:bookmarkEnd w:id="574"/>
      <w:bookmarkEnd w:id="575"/>
      <w:bookmarkEnd w:id="576"/>
      <w:bookmarkEnd w:id="577"/>
      <w:bookmarkEnd w:id="578"/>
      <w:bookmarkEnd w:id="579"/>
      <w:bookmarkEnd w:id="580"/>
      <w:bookmarkEnd w:id="581"/>
    </w:p>
    <w:p w14:paraId="7F84AE9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货物所应遵守的技术规范应与采购文件规定的技术规范和技术规范附件(如果有的话)及其技术规范偏差表(如果被</w:t>
      </w:r>
      <w:r>
        <w:rPr>
          <w:rFonts w:hint="eastAsia" w:ascii="宋体" w:hAnsi="宋体" w:cs="宋体"/>
          <w:bCs/>
          <w:color w:val="000000"/>
          <w:sz w:val="24"/>
          <w:lang w:eastAsia="zh-CN"/>
        </w:rPr>
        <w:t>采购人</w:t>
      </w:r>
      <w:r>
        <w:rPr>
          <w:rFonts w:hint="eastAsia" w:ascii="宋体" w:hAnsi="宋体" w:cs="宋体"/>
          <w:bCs/>
          <w:color w:val="000000"/>
          <w:sz w:val="24"/>
        </w:rPr>
        <w:t>接受的话)相一致；如果采购文件中没有技术规范的相应说明，那么应以国家有关部门最新颁布的相应标准和规范为准。</w:t>
      </w:r>
    </w:p>
    <w:p w14:paraId="58E41168">
      <w:pPr>
        <w:spacing w:line="560" w:lineRule="exact"/>
        <w:ind w:firstLine="480" w:firstLineChars="200"/>
        <w:outlineLvl w:val="0"/>
        <w:rPr>
          <w:rFonts w:hint="eastAsia" w:ascii="宋体" w:hAnsi="宋体" w:cs="宋体"/>
          <w:bCs/>
          <w:color w:val="000000"/>
          <w:sz w:val="24"/>
        </w:rPr>
      </w:pPr>
      <w:bookmarkStart w:id="582" w:name="_Toc487900351"/>
      <w:bookmarkStart w:id="583" w:name="_Toc8333"/>
      <w:bookmarkStart w:id="584" w:name="_Toc259093671"/>
      <w:bookmarkStart w:id="585" w:name="_Toc31634"/>
      <w:bookmarkStart w:id="586" w:name="_Toc16124"/>
      <w:bookmarkStart w:id="587" w:name="_Toc15529"/>
      <w:bookmarkStart w:id="588" w:name="_Toc279701242"/>
      <w:bookmarkStart w:id="589" w:name="_Toc9829"/>
      <w:bookmarkStart w:id="590" w:name="_Toc27853"/>
      <w:r>
        <w:rPr>
          <w:rFonts w:hint="eastAsia" w:ascii="宋体" w:hAnsi="宋体" w:cs="宋体"/>
          <w:bCs/>
          <w:color w:val="000000"/>
          <w:sz w:val="24"/>
        </w:rPr>
        <w:t>2.3 知识产权</w:t>
      </w:r>
      <w:bookmarkEnd w:id="582"/>
      <w:bookmarkEnd w:id="583"/>
      <w:bookmarkEnd w:id="584"/>
      <w:bookmarkEnd w:id="585"/>
      <w:bookmarkEnd w:id="586"/>
      <w:bookmarkEnd w:id="587"/>
      <w:bookmarkEnd w:id="588"/>
      <w:bookmarkEnd w:id="589"/>
      <w:bookmarkEnd w:id="590"/>
    </w:p>
    <w:p w14:paraId="3BD3DAF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2.3.1 </w:t>
      </w:r>
      <w:r>
        <w:rPr>
          <w:rFonts w:hint="eastAsia" w:ascii="宋体" w:hAnsi="宋体" w:cs="宋体"/>
          <w:bCs/>
          <w:color w:val="000000"/>
          <w:sz w:val="24"/>
          <w:lang w:eastAsia="zh-CN"/>
        </w:rPr>
        <w:t>供应商</w:t>
      </w:r>
      <w:r>
        <w:rPr>
          <w:rFonts w:hint="eastAsia" w:ascii="宋体" w:hAnsi="宋体" w:cs="宋体"/>
          <w:bCs/>
          <w:color w:val="000000"/>
          <w:sz w:val="24"/>
        </w:rPr>
        <w:t>应保证</w:t>
      </w:r>
      <w:r>
        <w:rPr>
          <w:rFonts w:hint="eastAsia" w:ascii="宋体" w:hAnsi="宋体" w:cs="宋体"/>
          <w:bCs/>
          <w:color w:val="000000"/>
          <w:sz w:val="24"/>
          <w:lang w:eastAsia="zh-CN"/>
        </w:rPr>
        <w:t>采购人</w:t>
      </w:r>
      <w:r>
        <w:rPr>
          <w:rFonts w:hint="eastAsia" w:ascii="宋体" w:hAnsi="宋体" w:cs="宋体"/>
          <w:bCs/>
          <w:color w:val="000000"/>
          <w:sz w:val="24"/>
        </w:rPr>
        <w:t>在使用该货物或其任何一部分时不受任何第三方提出的侵犯其著作权、商标权、专利权等知识产权方面的起诉；如果任何第三方提出侵权指控，那么</w:t>
      </w:r>
      <w:r>
        <w:rPr>
          <w:rFonts w:hint="eastAsia" w:ascii="宋体" w:hAnsi="宋体" w:cs="宋体"/>
          <w:bCs/>
          <w:color w:val="000000"/>
          <w:sz w:val="24"/>
          <w:lang w:eastAsia="zh-CN"/>
        </w:rPr>
        <w:t>供应商</w:t>
      </w:r>
      <w:r>
        <w:rPr>
          <w:rFonts w:hint="eastAsia" w:ascii="宋体" w:hAnsi="宋体" w:cs="宋体"/>
          <w:bCs/>
          <w:color w:val="000000"/>
          <w:sz w:val="24"/>
        </w:rPr>
        <w:t>须与该第三方交涉并承担由此发生的一切责任、费用和赔偿；</w:t>
      </w:r>
    </w:p>
    <w:p w14:paraId="75046E2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2.3.2具有知识产权的计算机软件等货物的知识产权归属，详见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461585B7">
      <w:pPr>
        <w:spacing w:line="560" w:lineRule="exact"/>
        <w:ind w:firstLine="480" w:firstLineChars="200"/>
        <w:outlineLvl w:val="0"/>
        <w:rPr>
          <w:rFonts w:hint="eastAsia" w:ascii="宋体" w:hAnsi="宋体" w:cs="宋体"/>
          <w:bCs/>
          <w:color w:val="000000"/>
          <w:sz w:val="24"/>
        </w:rPr>
      </w:pPr>
      <w:bookmarkStart w:id="591" w:name="_Toc11932"/>
      <w:bookmarkStart w:id="592" w:name="_Toc25317"/>
      <w:bookmarkStart w:id="593" w:name="_Toc510"/>
      <w:bookmarkStart w:id="594" w:name="_Toc14753"/>
      <w:bookmarkStart w:id="595" w:name="_Toc4194"/>
      <w:bookmarkStart w:id="596" w:name="_Toc29149"/>
      <w:r>
        <w:rPr>
          <w:rFonts w:hint="eastAsia" w:ascii="宋体" w:hAnsi="宋体" w:cs="宋体"/>
          <w:bCs/>
          <w:color w:val="000000"/>
          <w:sz w:val="24"/>
        </w:rPr>
        <w:t>2.4 包装和装运</w:t>
      </w:r>
      <w:bookmarkEnd w:id="591"/>
      <w:bookmarkEnd w:id="592"/>
      <w:bookmarkEnd w:id="593"/>
      <w:bookmarkEnd w:id="594"/>
      <w:bookmarkEnd w:id="595"/>
      <w:bookmarkEnd w:id="596"/>
    </w:p>
    <w:p w14:paraId="2362C61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2.4.1除</w:t>
      </w:r>
      <w:r>
        <w:rPr>
          <w:rFonts w:hint="eastAsia" w:ascii="宋体" w:hAnsi="宋体" w:cs="宋体"/>
          <w:bCs/>
          <w:i/>
          <w:color w:val="000000"/>
          <w:sz w:val="24"/>
          <w:u w:val="single"/>
        </w:rPr>
        <w:t>合同专用条款</w:t>
      </w:r>
      <w:r>
        <w:rPr>
          <w:rFonts w:hint="eastAsia" w:ascii="宋体" w:hAnsi="宋体" w:cs="宋体"/>
          <w:bCs/>
          <w:color w:val="000000"/>
          <w:sz w:val="24"/>
        </w:rPr>
        <w:t>另有约定外,</w:t>
      </w:r>
      <w:r>
        <w:rPr>
          <w:rFonts w:hint="eastAsia" w:ascii="宋体" w:hAnsi="宋体" w:cs="宋体"/>
          <w:bCs/>
          <w:color w:val="000000"/>
          <w:sz w:val="24"/>
          <w:lang w:eastAsia="zh-CN"/>
        </w:rPr>
        <w:t>供应商</w:t>
      </w:r>
      <w:r>
        <w:rPr>
          <w:rFonts w:hint="eastAsia" w:ascii="宋体" w:hAnsi="宋体" w:cs="宋体"/>
          <w:bCs/>
          <w:color w:val="000000"/>
          <w:sz w:val="24"/>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s="宋体"/>
          <w:bCs/>
          <w:color w:val="000000"/>
          <w:sz w:val="24"/>
          <w:lang w:eastAsia="zh-CN"/>
        </w:rPr>
        <w:t>供应商</w:t>
      </w:r>
      <w:r>
        <w:rPr>
          <w:rFonts w:hint="eastAsia" w:ascii="宋体" w:hAnsi="宋体" w:cs="宋体"/>
          <w:bCs/>
          <w:color w:val="000000"/>
          <w:sz w:val="24"/>
        </w:rPr>
        <w:t>承担。</w:t>
      </w:r>
    </w:p>
    <w:p w14:paraId="43980A3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2.4.2 装运货物的要求和通知，详见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7B9A6D89">
      <w:pPr>
        <w:spacing w:line="560" w:lineRule="exact"/>
        <w:ind w:firstLine="480" w:firstLineChars="200"/>
        <w:outlineLvl w:val="0"/>
        <w:rPr>
          <w:rFonts w:hint="eastAsia" w:ascii="宋体" w:hAnsi="宋体" w:cs="宋体"/>
          <w:bCs/>
          <w:color w:val="000000"/>
          <w:sz w:val="24"/>
        </w:rPr>
      </w:pPr>
      <w:bookmarkStart w:id="597" w:name="_Ref467378541"/>
      <w:bookmarkStart w:id="598" w:name="_Toc279701245"/>
      <w:bookmarkStart w:id="599" w:name="_Ref467379542"/>
      <w:bookmarkStart w:id="600" w:name="_Ref467379536"/>
      <w:bookmarkStart w:id="601" w:name="_Toc487900354"/>
      <w:bookmarkStart w:id="602" w:name="_Toc259093674"/>
      <w:bookmarkStart w:id="603" w:name="_Ref467378591"/>
      <w:bookmarkStart w:id="604" w:name="_Ref467379527"/>
      <w:bookmarkStart w:id="605" w:name="_Toc26875"/>
      <w:bookmarkStart w:id="606" w:name="_Toc26182"/>
      <w:bookmarkStart w:id="607" w:name="_Toc26318"/>
      <w:bookmarkStart w:id="608" w:name="_Toc10181"/>
      <w:bookmarkStart w:id="609" w:name="_Toc30272"/>
      <w:bookmarkStart w:id="610" w:name="_Toc19074"/>
      <w:r>
        <w:rPr>
          <w:rFonts w:hint="eastAsia" w:ascii="宋体" w:hAnsi="宋体" w:cs="宋体"/>
          <w:bCs/>
          <w:color w:val="000000"/>
          <w:sz w:val="24"/>
        </w:rPr>
        <w:t>2.</w:t>
      </w:r>
      <w:bookmarkEnd w:id="597"/>
      <w:bookmarkEnd w:id="598"/>
      <w:bookmarkEnd w:id="599"/>
      <w:bookmarkEnd w:id="600"/>
      <w:bookmarkEnd w:id="601"/>
      <w:bookmarkEnd w:id="602"/>
      <w:bookmarkEnd w:id="603"/>
      <w:bookmarkEnd w:id="604"/>
      <w:r>
        <w:rPr>
          <w:rFonts w:hint="eastAsia" w:ascii="宋体" w:hAnsi="宋体" w:cs="宋体"/>
          <w:bCs/>
          <w:color w:val="000000"/>
          <w:sz w:val="24"/>
        </w:rPr>
        <w:t>5 履约检查和问题反馈</w:t>
      </w:r>
      <w:bookmarkEnd w:id="605"/>
      <w:bookmarkEnd w:id="606"/>
      <w:bookmarkEnd w:id="607"/>
      <w:bookmarkEnd w:id="608"/>
      <w:bookmarkEnd w:id="609"/>
      <w:bookmarkEnd w:id="610"/>
    </w:p>
    <w:p w14:paraId="565DEB0B">
      <w:pPr>
        <w:spacing w:line="560" w:lineRule="exact"/>
        <w:ind w:firstLine="480" w:firstLineChars="200"/>
        <w:rPr>
          <w:rFonts w:hint="eastAsia" w:ascii="宋体" w:hAnsi="宋体" w:cs="宋体"/>
          <w:bCs/>
          <w:color w:val="000000"/>
          <w:sz w:val="24"/>
        </w:rPr>
      </w:pPr>
      <w:bookmarkStart w:id="611" w:name="_Ref467379657"/>
      <w:r>
        <w:rPr>
          <w:rFonts w:hint="eastAsia" w:ascii="宋体" w:hAnsi="宋体" w:cs="宋体"/>
          <w:bCs/>
          <w:color w:val="000000"/>
          <w:sz w:val="24"/>
        </w:rPr>
        <w:t>2.5.1</w:t>
      </w:r>
      <w:bookmarkEnd w:id="611"/>
      <w:bookmarkStart w:id="612" w:name="_Toc186431854"/>
      <w:bookmarkStart w:id="613" w:name="_Toc279701247"/>
      <w:bookmarkStart w:id="614" w:name="_Ref467379807"/>
      <w:bookmarkStart w:id="615" w:name="_Toc487900357"/>
      <w:bookmarkStart w:id="616" w:name="_Ref467379793"/>
      <w:bookmarkStart w:id="617" w:name="_Toc259093676"/>
      <w:r>
        <w:rPr>
          <w:rFonts w:hint="eastAsia" w:ascii="宋体" w:hAnsi="宋体" w:cs="宋体"/>
          <w:bCs/>
          <w:color w:val="000000"/>
          <w:sz w:val="24"/>
          <w:lang w:eastAsia="zh-CN"/>
        </w:rPr>
        <w:t>采购人</w:t>
      </w:r>
      <w:r>
        <w:rPr>
          <w:rFonts w:hint="eastAsia" w:ascii="宋体" w:hAnsi="宋体" w:cs="宋体"/>
          <w:bCs/>
          <w:color w:val="000000"/>
          <w:sz w:val="24"/>
        </w:rPr>
        <w:t>有权在其认为必要时，对</w:t>
      </w:r>
      <w:r>
        <w:rPr>
          <w:rFonts w:hint="eastAsia" w:ascii="宋体" w:hAnsi="宋体" w:cs="宋体"/>
          <w:bCs/>
          <w:color w:val="000000"/>
          <w:sz w:val="24"/>
          <w:lang w:eastAsia="zh-CN"/>
        </w:rPr>
        <w:t>供应商</w:t>
      </w:r>
      <w:r>
        <w:rPr>
          <w:rFonts w:hint="eastAsia" w:ascii="宋体" w:hAnsi="宋体" w:cs="宋体"/>
          <w:bCs/>
          <w:color w:val="000000"/>
          <w:sz w:val="24"/>
        </w:rPr>
        <w:t>是否能够按照合同约定交付货物进行履约检查，以确保</w:t>
      </w:r>
      <w:r>
        <w:rPr>
          <w:rFonts w:hint="eastAsia" w:ascii="宋体" w:hAnsi="宋体" w:cs="宋体"/>
          <w:bCs/>
          <w:color w:val="000000"/>
          <w:sz w:val="24"/>
          <w:lang w:eastAsia="zh-CN"/>
        </w:rPr>
        <w:t>供应商</w:t>
      </w:r>
      <w:r>
        <w:rPr>
          <w:rFonts w:hint="eastAsia" w:ascii="宋体" w:hAnsi="宋体" w:cs="宋体"/>
          <w:bCs/>
          <w:color w:val="000000"/>
          <w:sz w:val="24"/>
        </w:rPr>
        <w:t>所交付的货物能够依约满足</w:t>
      </w:r>
      <w:r>
        <w:rPr>
          <w:rFonts w:hint="eastAsia" w:ascii="宋体" w:hAnsi="宋体" w:cs="宋体"/>
          <w:bCs/>
          <w:color w:val="000000"/>
          <w:sz w:val="24"/>
          <w:lang w:eastAsia="zh-CN"/>
        </w:rPr>
        <w:t>采购人</w:t>
      </w:r>
      <w:r>
        <w:rPr>
          <w:rFonts w:hint="eastAsia" w:ascii="宋体" w:hAnsi="宋体" w:cs="宋体"/>
          <w:bCs/>
          <w:color w:val="000000"/>
          <w:sz w:val="24"/>
        </w:rPr>
        <w:t>之项目需求，但不得因履约检查妨碍</w:t>
      </w:r>
      <w:r>
        <w:rPr>
          <w:rFonts w:hint="eastAsia" w:ascii="宋体" w:hAnsi="宋体" w:cs="宋体"/>
          <w:bCs/>
          <w:color w:val="000000"/>
          <w:sz w:val="24"/>
          <w:lang w:eastAsia="zh-CN"/>
        </w:rPr>
        <w:t>供应商</w:t>
      </w:r>
      <w:r>
        <w:rPr>
          <w:rFonts w:hint="eastAsia" w:ascii="宋体" w:hAnsi="宋体" w:cs="宋体"/>
          <w:bCs/>
          <w:color w:val="000000"/>
          <w:sz w:val="24"/>
        </w:rPr>
        <w:t>的正常工作，</w:t>
      </w:r>
      <w:r>
        <w:rPr>
          <w:rFonts w:hint="eastAsia" w:ascii="宋体" w:hAnsi="宋体" w:cs="宋体"/>
          <w:bCs/>
          <w:color w:val="000000"/>
          <w:sz w:val="24"/>
          <w:lang w:eastAsia="zh-CN"/>
        </w:rPr>
        <w:t>供应商</w:t>
      </w:r>
      <w:r>
        <w:rPr>
          <w:rFonts w:hint="eastAsia" w:ascii="宋体" w:hAnsi="宋体" w:cs="宋体"/>
          <w:bCs/>
          <w:color w:val="000000"/>
          <w:sz w:val="24"/>
        </w:rPr>
        <w:t>应予积极配合；</w:t>
      </w:r>
    </w:p>
    <w:p w14:paraId="008F627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2.5.2 合同履行期间，</w:t>
      </w:r>
      <w:r>
        <w:rPr>
          <w:rFonts w:hint="eastAsia" w:ascii="宋体" w:hAnsi="宋体" w:cs="宋体"/>
          <w:bCs/>
          <w:color w:val="000000"/>
          <w:sz w:val="24"/>
          <w:lang w:eastAsia="zh-CN"/>
        </w:rPr>
        <w:t>采购人</w:t>
      </w:r>
      <w:r>
        <w:rPr>
          <w:rFonts w:hint="eastAsia" w:ascii="宋体" w:hAnsi="宋体" w:cs="宋体"/>
          <w:bCs/>
          <w:color w:val="000000"/>
          <w:sz w:val="24"/>
        </w:rPr>
        <w:t>有权将履行过程中出现的问题反馈给</w:t>
      </w:r>
      <w:r>
        <w:rPr>
          <w:rFonts w:hint="eastAsia" w:ascii="宋体" w:hAnsi="宋体" w:cs="宋体"/>
          <w:bCs/>
          <w:color w:val="000000"/>
          <w:sz w:val="24"/>
          <w:lang w:eastAsia="zh-CN"/>
        </w:rPr>
        <w:t>供应商</w:t>
      </w:r>
      <w:r>
        <w:rPr>
          <w:rFonts w:hint="eastAsia" w:ascii="宋体" w:hAnsi="宋体" w:cs="宋体"/>
          <w:bCs/>
          <w:color w:val="000000"/>
          <w:sz w:val="24"/>
        </w:rPr>
        <w:t>，双方当事人应以书面形式约定需要完善和改进的内容</w:t>
      </w:r>
      <w:bookmarkEnd w:id="612"/>
      <w:bookmarkStart w:id="618" w:name="_Toc186431855"/>
      <w:r>
        <w:rPr>
          <w:rFonts w:hint="eastAsia" w:ascii="宋体" w:hAnsi="宋体" w:cs="宋体"/>
          <w:bCs/>
          <w:color w:val="000000"/>
          <w:sz w:val="24"/>
        </w:rPr>
        <w:t>。</w:t>
      </w:r>
    </w:p>
    <w:bookmarkEnd w:id="618"/>
    <w:p w14:paraId="0B4D8B52">
      <w:pPr>
        <w:spacing w:line="560" w:lineRule="exact"/>
        <w:ind w:firstLine="480" w:firstLineChars="200"/>
        <w:outlineLvl w:val="0"/>
        <w:rPr>
          <w:rFonts w:hint="eastAsia" w:ascii="宋体" w:hAnsi="宋体" w:cs="宋体"/>
          <w:bCs/>
          <w:color w:val="000000"/>
          <w:sz w:val="24"/>
        </w:rPr>
      </w:pPr>
      <w:bookmarkStart w:id="619" w:name="_Toc4292"/>
      <w:bookmarkStart w:id="620" w:name="_Toc28451"/>
      <w:bookmarkStart w:id="621" w:name="_Toc18086"/>
      <w:bookmarkStart w:id="622" w:name="_Toc19219"/>
      <w:bookmarkStart w:id="623" w:name="_Toc7836"/>
      <w:bookmarkStart w:id="624" w:name="_Toc13908"/>
      <w:r>
        <w:rPr>
          <w:rFonts w:hint="eastAsia" w:ascii="宋体" w:hAnsi="宋体" w:cs="宋体"/>
          <w:bCs/>
          <w:color w:val="000000"/>
          <w:sz w:val="24"/>
        </w:rPr>
        <w:t>2.6 结算方式和付款条件</w:t>
      </w:r>
      <w:bookmarkEnd w:id="613"/>
      <w:bookmarkEnd w:id="614"/>
      <w:bookmarkEnd w:id="615"/>
      <w:bookmarkEnd w:id="616"/>
      <w:bookmarkEnd w:id="617"/>
      <w:bookmarkEnd w:id="619"/>
      <w:bookmarkEnd w:id="620"/>
      <w:bookmarkEnd w:id="621"/>
      <w:bookmarkEnd w:id="622"/>
      <w:bookmarkEnd w:id="623"/>
      <w:bookmarkEnd w:id="624"/>
    </w:p>
    <w:p w14:paraId="5455748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52931363">
      <w:pPr>
        <w:spacing w:line="560" w:lineRule="exact"/>
        <w:ind w:firstLine="480" w:firstLineChars="200"/>
        <w:outlineLvl w:val="0"/>
        <w:rPr>
          <w:rFonts w:hint="eastAsia" w:ascii="宋体" w:hAnsi="宋体" w:cs="宋体"/>
          <w:bCs/>
          <w:color w:val="000000"/>
          <w:sz w:val="24"/>
        </w:rPr>
      </w:pPr>
      <w:bookmarkStart w:id="625" w:name="_Ref467379863"/>
      <w:bookmarkStart w:id="626" w:name="_Toc487900358"/>
      <w:bookmarkStart w:id="627" w:name="_Ref467379852"/>
      <w:bookmarkStart w:id="628" w:name="_Toc279701248"/>
      <w:bookmarkStart w:id="629" w:name="_Ref467379923"/>
      <w:bookmarkStart w:id="630" w:name="_Toc259093677"/>
      <w:bookmarkStart w:id="631" w:name="_Toc18202"/>
      <w:bookmarkStart w:id="632" w:name="_Toc9417"/>
      <w:bookmarkStart w:id="633" w:name="_Toc16110"/>
      <w:bookmarkStart w:id="634" w:name="_Toc774"/>
      <w:bookmarkStart w:id="635" w:name="_Toc3225"/>
      <w:bookmarkStart w:id="636" w:name="_Toc30574"/>
      <w:r>
        <w:rPr>
          <w:rFonts w:hint="eastAsia" w:ascii="宋体" w:hAnsi="宋体" w:cs="宋体"/>
          <w:bCs/>
          <w:color w:val="000000"/>
          <w:sz w:val="24"/>
        </w:rPr>
        <w:t>2.7 技术资料</w:t>
      </w:r>
      <w:bookmarkEnd w:id="625"/>
      <w:bookmarkEnd w:id="626"/>
      <w:bookmarkEnd w:id="627"/>
      <w:bookmarkEnd w:id="628"/>
      <w:bookmarkEnd w:id="629"/>
      <w:bookmarkEnd w:id="630"/>
      <w:r>
        <w:rPr>
          <w:rFonts w:hint="eastAsia" w:ascii="宋体" w:hAnsi="宋体" w:cs="宋体"/>
          <w:bCs/>
          <w:color w:val="000000"/>
          <w:sz w:val="24"/>
        </w:rPr>
        <w:t>和保密义务</w:t>
      </w:r>
      <w:bookmarkEnd w:id="631"/>
      <w:bookmarkEnd w:id="632"/>
      <w:bookmarkEnd w:id="633"/>
      <w:bookmarkEnd w:id="634"/>
      <w:bookmarkEnd w:id="635"/>
      <w:bookmarkEnd w:id="636"/>
    </w:p>
    <w:p w14:paraId="21ADD01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2.7.1 </w:t>
      </w:r>
      <w:r>
        <w:rPr>
          <w:rFonts w:hint="eastAsia" w:ascii="宋体" w:hAnsi="宋体" w:cs="宋体"/>
          <w:bCs/>
          <w:color w:val="000000"/>
          <w:sz w:val="24"/>
          <w:lang w:eastAsia="zh-CN"/>
        </w:rPr>
        <w:t>供应商</w:t>
      </w:r>
      <w:r>
        <w:rPr>
          <w:rFonts w:hint="eastAsia" w:ascii="宋体" w:hAnsi="宋体" w:cs="宋体"/>
          <w:bCs/>
          <w:color w:val="000000"/>
          <w:sz w:val="24"/>
        </w:rPr>
        <w:t>有权依据合同约定和项目需要，向</w:t>
      </w:r>
      <w:r>
        <w:rPr>
          <w:rFonts w:hint="eastAsia" w:ascii="宋体" w:hAnsi="宋体" w:cs="宋体"/>
          <w:bCs/>
          <w:color w:val="000000"/>
          <w:sz w:val="24"/>
          <w:lang w:eastAsia="zh-CN"/>
        </w:rPr>
        <w:t>采购人</w:t>
      </w:r>
      <w:r>
        <w:rPr>
          <w:rFonts w:hint="eastAsia" w:ascii="宋体" w:hAnsi="宋体" w:cs="宋体"/>
          <w:bCs/>
          <w:color w:val="000000"/>
          <w:sz w:val="24"/>
        </w:rPr>
        <w:t>了解有关情况，调阅有关资料等，</w:t>
      </w:r>
      <w:r>
        <w:rPr>
          <w:rFonts w:hint="eastAsia" w:ascii="宋体" w:hAnsi="宋体" w:cs="宋体"/>
          <w:bCs/>
          <w:color w:val="000000"/>
          <w:sz w:val="24"/>
          <w:lang w:eastAsia="zh-CN"/>
        </w:rPr>
        <w:t>采购人</w:t>
      </w:r>
      <w:r>
        <w:rPr>
          <w:rFonts w:hint="eastAsia" w:ascii="宋体" w:hAnsi="宋体" w:cs="宋体"/>
          <w:bCs/>
          <w:color w:val="000000"/>
          <w:sz w:val="24"/>
        </w:rPr>
        <w:t>应予积极配合；</w:t>
      </w:r>
    </w:p>
    <w:p w14:paraId="25C8EEC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2.7.2 </w:t>
      </w:r>
      <w:r>
        <w:rPr>
          <w:rFonts w:hint="eastAsia" w:ascii="宋体" w:hAnsi="宋体" w:cs="宋体"/>
          <w:bCs/>
          <w:color w:val="000000"/>
          <w:sz w:val="24"/>
          <w:lang w:eastAsia="zh-CN"/>
        </w:rPr>
        <w:t>供应商</w:t>
      </w:r>
      <w:r>
        <w:rPr>
          <w:rFonts w:hint="eastAsia" w:ascii="宋体" w:hAnsi="宋体" w:cs="宋体"/>
          <w:bCs/>
          <w:color w:val="000000"/>
          <w:sz w:val="24"/>
        </w:rPr>
        <w:t>有义务妥善保管和保护由</w:t>
      </w:r>
      <w:r>
        <w:rPr>
          <w:rFonts w:hint="eastAsia" w:ascii="宋体" w:hAnsi="宋体" w:cs="宋体"/>
          <w:bCs/>
          <w:color w:val="000000"/>
          <w:sz w:val="24"/>
          <w:lang w:eastAsia="zh-CN"/>
        </w:rPr>
        <w:t>采购人</w:t>
      </w:r>
      <w:r>
        <w:rPr>
          <w:rFonts w:hint="eastAsia" w:ascii="宋体" w:hAnsi="宋体" w:cs="宋体"/>
          <w:bCs/>
          <w:color w:val="000000"/>
          <w:sz w:val="24"/>
        </w:rPr>
        <w:t>提供的前款信息和资料等；</w:t>
      </w:r>
    </w:p>
    <w:p w14:paraId="5F5D9EE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03C952">
      <w:pPr>
        <w:spacing w:line="560" w:lineRule="exact"/>
        <w:ind w:firstLine="480" w:firstLineChars="200"/>
        <w:outlineLvl w:val="0"/>
        <w:rPr>
          <w:rFonts w:hint="eastAsia" w:ascii="宋体" w:hAnsi="宋体" w:cs="宋体"/>
          <w:bCs/>
          <w:color w:val="000000"/>
          <w:sz w:val="24"/>
        </w:rPr>
      </w:pPr>
      <w:bookmarkStart w:id="637" w:name="_Toc13822"/>
      <w:bookmarkStart w:id="638" w:name="_Toc3896"/>
      <w:bookmarkStart w:id="639" w:name="_Toc8399"/>
      <w:bookmarkStart w:id="640" w:name="_Toc7860"/>
      <w:r>
        <w:rPr>
          <w:rFonts w:hint="eastAsia" w:ascii="宋体" w:hAnsi="宋体" w:cs="宋体"/>
          <w:bCs/>
          <w:color w:val="000000"/>
          <w:sz w:val="24"/>
        </w:rPr>
        <w:t>2.8 质量保证</w:t>
      </w:r>
      <w:bookmarkEnd w:id="637"/>
      <w:bookmarkEnd w:id="638"/>
      <w:bookmarkEnd w:id="639"/>
      <w:bookmarkEnd w:id="640"/>
    </w:p>
    <w:p w14:paraId="2D97844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2.8.1 </w:t>
      </w:r>
      <w:r>
        <w:rPr>
          <w:rFonts w:hint="eastAsia" w:ascii="宋体" w:hAnsi="宋体" w:cs="宋体"/>
          <w:bCs/>
          <w:color w:val="000000"/>
          <w:sz w:val="24"/>
          <w:lang w:eastAsia="zh-CN"/>
        </w:rPr>
        <w:t>供应商</w:t>
      </w:r>
      <w:r>
        <w:rPr>
          <w:rFonts w:hint="eastAsia" w:ascii="宋体" w:hAnsi="宋体" w:cs="宋体"/>
          <w:bCs/>
          <w:color w:val="000000"/>
          <w:sz w:val="24"/>
        </w:rPr>
        <w:t>应建立和完善履行合同的内部质量保证体系，并提供相关内部规章制度给</w:t>
      </w:r>
      <w:r>
        <w:rPr>
          <w:rFonts w:hint="eastAsia" w:ascii="宋体" w:hAnsi="宋体" w:cs="宋体"/>
          <w:bCs/>
          <w:color w:val="000000"/>
          <w:sz w:val="24"/>
          <w:lang w:eastAsia="zh-CN"/>
        </w:rPr>
        <w:t>采购人</w:t>
      </w:r>
      <w:r>
        <w:rPr>
          <w:rFonts w:hint="eastAsia" w:ascii="宋体" w:hAnsi="宋体" w:cs="宋体"/>
          <w:bCs/>
          <w:color w:val="000000"/>
          <w:sz w:val="24"/>
        </w:rPr>
        <w:t>，以便</w:t>
      </w:r>
      <w:r>
        <w:rPr>
          <w:rFonts w:hint="eastAsia" w:ascii="宋体" w:hAnsi="宋体" w:cs="宋体"/>
          <w:bCs/>
          <w:color w:val="000000"/>
          <w:sz w:val="24"/>
          <w:lang w:eastAsia="zh-CN"/>
        </w:rPr>
        <w:t>采购人</w:t>
      </w:r>
      <w:r>
        <w:rPr>
          <w:rFonts w:hint="eastAsia" w:ascii="宋体" w:hAnsi="宋体" w:cs="宋体"/>
          <w:bCs/>
          <w:color w:val="000000"/>
          <w:sz w:val="24"/>
        </w:rPr>
        <w:t>进行监督检查；</w:t>
      </w:r>
    </w:p>
    <w:p w14:paraId="6873AAA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2.8.2 </w:t>
      </w:r>
      <w:r>
        <w:rPr>
          <w:rFonts w:hint="eastAsia" w:ascii="宋体" w:hAnsi="宋体" w:cs="宋体"/>
          <w:bCs/>
          <w:color w:val="000000"/>
          <w:sz w:val="24"/>
          <w:lang w:eastAsia="zh-CN"/>
        </w:rPr>
        <w:t>供应商</w:t>
      </w:r>
      <w:r>
        <w:rPr>
          <w:rFonts w:hint="eastAsia" w:ascii="宋体" w:hAnsi="宋体" w:cs="宋体"/>
          <w:bCs/>
          <w:color w:val="000000"/>
          <w:sz w:val="24"/>
        </w:rPr>
        <w:t>应保证履行合同的人员数量和素质、软件和硬件设备的配置、场地、环境和设施等满足全面履行合同的要求，并应接受</w:t>
      </w:r>
      <w:r>
        <w:rPr>
          <w:rFonts w:hint="eastAsia" w:ascii="宋体" w:hAnsi="宋体" w:cs="宋体"/>
          <w:bCs/>
          <w:color w:val="000000"/>
          <w:sz w:val="24"/>
          <w:lang w:eastAsia="zh-CN"/>
        </w:rPr>
        <w:t>采购人</w:t>
      </w:r>
      <w:r>
        <w:rPr>
          <w:rFonts w:hint="eastAsia" w:ascii="宋体" w:hAnsi="宋体" w:cs="宋体"/>
          <w:bCs/>
          <w:color w:val="000000"/>
          <w:sz w:val="24"/>
        </w:rPr>
        <w:t>的监督检查。</w:t>
      </w:r>
    </w:p>
    <w:p w14:paraId="3E285F08">
      <w:pPr>
        <w:spacing w:line="560" w:lineRule="exact"/>
        <w:ind w:firstLine="480" w:firstLineChars="200"/>
        <w:outlineLvl w:val="0"/>
        <w:rPr>
          <w:rFonts w:hint="eastAsia" w:ascii="宋体" w:hAnsi="宋体" w:cs="宋体"/>
          <w:bCs/>
          <w:color w:val="000000"/>
          <w:sz w:val="24"/>
        </w:rPr>
      </w:pPr>
      <w:bookmarkStart w:id="641" w:name="_Toc22761"/>
      <w:bookmarkStart w:id="642" w:name="_Toc17244"/>
      <w:bookmarkStart w:id="643" w:name="_Toc11191"/>
      <w:bookmarkStart w:id="644" w:name="_Toc11154"/>
      <w:bookmarkStart w:id="645" w:name="_Toc259093681"/>
      <w:bookmarkStart w:id="646" w:name="_Toc487900362"/>
      <w:bookmarkStart w:id="647" w:name="_Toc279701252"/>
      <w:r>
        <w:rPr>
          <w:rFonts w:hint="eastAsia" w:ascii="宋体" w:hAnsi="宋体" w:cs="宋体"/>
          <w:bCs/>
          <w:color w:val="000000"/>
          <w:sz w:val="24"/>
        </w:rPr>
        <w:t>2.9 货物的风险负担</w:t>
      </w:r>
      <w:bookmarkEnd w:id="641"/>
      <w:bookmarkEnd w:id="642"/>
      <w:bookmarkEnd w:id="643"/>
      <w:bookmarkEnd w:id="644"/>
    </w:p>
    <w:p w14:paraId="5BB752F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货物或者在途货物或者交付给第一承运人后的货物毁损、灭失的风险负担详见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6AA15115">
      <w:pPr>
        <w:spacing w:line="560" w:lineRule="exact"/>
        <w:ind w:firstLine="480" w:firstLineChars="200"/>
        <w:outlineLvl w:val="0"/>
        <w:rPr>
          <w:rFonts w:hint="eastAsia" w:ascii="宋体" w:hAnsi="宋体" w:cs="宋体"/>
          <w:bCs/>
          <w:color w:val="000000"/>
          <w:sz w:val="24"/>
        </w:rPr>
      </w:pPr>
      <w:bookmarkStart w:id="648" w:name="_Toc2546"/>
      <w:bookmarkStart w:id="649" w:name="_Toc18953"/>
      <w:bookmarkStart w:id="650" w:name="_Toc14055"/>
      <w:bookmarkStart w:id="651" w:name="_Toc11114"/>
      <w:r>
        <w:rPr>
          <w:rFonts w:hint="eastAsia" w:ascii="宋体" w:hAnsi="宋体" w:cs="宋体"/>
          <w:bCs/>
          <w:color w:val="000000"/>
          <w:sz w:val="24"/>
        </w:rPr>
        <w:t>2.10 延迟交货</w:t>
      </w:r>
      <w:bookmarkEnd w:id="645"/>
      <w:bookmarkEnd w:id="646"/>
      <w:bookmarkEnd w:id="647"/>
      <w:bookmarkEnd w:id="648"/>
      <w:bookmarkEnd w:id="649"/>
      <w:bookmarkEnd w:id="650"/>
      <w:bookmarkEnd w:id="651"/>
    </w:p>
    <w:p w14:paraId="1BA7B0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在合同履行过程中，如果</w:t>
      </w:r>
      <w:r>
        <w:rPr>
          <w:rFonts w:hint="eastAsia" w:ascii="宋体" w:hAnsi="宋体" w:cs="宋体"/>
          <w:bCs/>
          <w:color w:val="000000"/>
          <w:sz w:val="24"/>
          <w:lang w:eastAsia="zh-CN"/>
        </w:rPr>
        <w:t>供应商</w:t>
      </w:r>
      <w:r>
        <w:rPr>
          <w:rFonts w:hint="eastAsia" w:ascii="宋体" w:hAnsi="宋体" w:cs="宋体"/>
          <w:bCs/>
          <w:color w:val="000000"/>
          <w:sz w:val="24"/>
        </w:rPr>
        <w:t>遇到不能按时交付货物的情况，应及时以书面形式将不能按时交付货物的理由、预期延误时间通知</w:t>
      </w: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lang w:eastAsia="zh-CN"/>
        </w:rPr>
        <w:t>采购人</w:t>
      </w:r>
      <w:r>
        <w:rPr>
          <w:rFonts w:hint="eastAsia" w:ascii="宋体" w:hAnsi="宋体" w:cs="宋体"/>
          <w:bCs/>
          <w:color w:val="000000"/>
          <w:sz w:val="24"/>
        </w:rPr>
        <w:t>收到</w:t>
      </w:r>
      <w:r>
        <w:rPr>
          <w:rFonts w:hint="eastAsia" w:ascii="宋体" w:hAnsi="宋体" w:cs="宋体"/>
          <w:bCs/>
          <w:color w:val="000000"/>
          <w:sz w:val="24"/>
          <w:lang w:eastAsia="zh-CN"/>
        </w:rPr>
        <w:t>供应商</w:t>
      </w:r>
      <w:r>
        <w:rPr>
          <w:rFonts w:hint="eastAsia" w:ascii="宋体" w:hAnsi="宋体" w:cs="宋体"/>
          <w:bCs/>
          <w:color w:val="000000"/>
          <w:sz w:val="24"/>
        </w:rPr>
        <w:t>通知后，认为其理由正当的，可以书面形式酌情同意</w:t>
      </w:r>
      <w:r>
        <w:rPr>
          <w:rFonts w:hint="eastAsia" w:ascii="宋体" w:hAnsi="宋体" w:cs="宋体"/>
          <w:bCs/>
          <w:color w:val="000000"/>
          <w:sz w:val="24"/>
          <w:lang w:eastAsia="zh-CN"/>
        </w:rPr>
        <w:t>供应商</w:t>
      </w:r>
      <w:r>
        <w:rPr>
          <w:rFonts w:hint="eastAsia" w:ascii="宋体" w:hAnsi="宋体" w:cs="宋体"/>
          <w:bCs/>
          <w:color w:val="000000"/>
          <w:sz w:val="24"/>
        </w:rPr>
        <w:t>可以延长交货的具体时间。</w:t>
      </w:r>
    </w:p>
    <w:p w14:paraId="68A61A26">
      <w:pPr>
        <w:spacing w:line="560" w:lineRule="exact"/>
        <w:ind w:firstLine="480" w:firstLineChars="200"/>
        <w:outlineLvl w:val="0"/>
        <w:rPr>
          <w:rFonts w:hint="eastAsia" w:ascii="宋体" w:hAnsi="宋体" w:cs="宋体"/>
          <w:bCs/>
          <w:color w:val="000000"/>
          <w:sz w:val="24"/>
        </w:rPr>
      </w:pPr>
      <w:bookmarkStart w:id="652" w:name="_Toc7502"/>
      <w:bookmarkStart w:id="653" w:name="_Toc18756"/>
      <w:bookmarkStart w:id="654" w:name="_Toc9244"/>
      <w:bookmarkStart w:id="655" w:name="_Toc16058"/>
      <w:bookmarkStart w:id="656" w:name="_Ref467378121"/>
      <w:bookmarkStart w:id="657" w:name="_Toc259093683"/>
      <w:bookmarkStart w:id="658" w:name="_Toc487900364"/>
      <w:bookmarkStart w:id="659" w:name="_Toc279701254"/>
      <w:r>
        <w:rPr>
          <w:rFonts w:hint="eastAsia" w:ascii="宋体" w:hAnsi="宋体" w:cs="宋体"/>
          <w:bCs/>
          <w:color w:val="000000"/>
          <w:sz w:val="24"/>
        </w:rPr>
        <w:t>2.11 合同变更</w:t>
      </w:r>
      <w:bookmarkEnd w:id="652"/>
      <w:bookmarkEnd w:id="653"/>
      <w:bookmarkEnd w:id="654"/>
      <w:bookmarkEnd w:id="655"/>
    </w:p>
    <w:p w14:paraId="20AC279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4A6F855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2.11.2 合同继续履行将损害国家利益和社会公共利益的，双方当事人应当以书面形式变更合同。有过错的一方应当承担赔偿责任，双方当事人都有过错的，各自承担相应的责任。</w:t>
      </w:r>
      <w:bookmarkStart w:id="660" w:name="_Toc487900369"/>
      <w:bookmarkStart w:id="661" w:name="_Toc279701259"/>
      <w:bookmarkStart w:id="662" w:name="_Toc259093688"/>
    </w:p>
    <w:p w14:paraId="12B1E32E">
      <w:pPr>
        <w:spacing w:line="560" w:lineRule="exact"/>
        <w:ind w:firstLine="480" w:firstLineChars="200"/>
        <w:outlineLvl w:val="0"/>
        <w:rPr>
          <w:rFonts w:hint="eastAsia" w:ascii="宋体" w:hAnsi="宋体" w:cs="宋体"/>
          <w:bCs/>
          <w:color w:val="000000"/>
          <w:sz w:val="24"/>
        </w:rPr>
      </w:pPr>
      <w:bookmarkStart w:id="663" w:name="_Toc10366"/>
      <w:bookmarkStart w:id="664" w:name="_Toc18665"/>
      <w:bookmarkStart w:id="665" w:name="_Toc22947"/>
      <w:bookmarkStart w:id="666" w:name="_Toc15237"/>
      <w:bookmarkStart w:id="667" w:name="_Toc22955"/>
      <w:bookmarkStart w:id="668" w:name="_Toc11409"/>
      <w:r>
        <w:rPr>
          <w:rFonts w:hint="eastAsia" w:ascii="宋体" w:hAnsi="宋体" w:cs="宋体"/>
          <w:bCs/>
          <w:color w:val="000000"/>
          <w:sz w:val="24"/>
        </w:rPr>
        <w:t>2.12 合同转让</w:t>
      </w:r>
      <w:bookmarkEnd w:id="660"/>
      <w:bookmarkEnd w:id="661"/>
      <w:bookmarkEnd w:id="662"/>
      <w:r>
        <w:rPr>
          <w:rFonts w:hint="eastAsia" w:ascii="宋体" w:hAnsi="宋体" w:cs="宋体"/>
          <w:bCs/>
          <w:color w:val="000000"/>
          <w:sz w:val="24"/>
        </w:rPr>
        <w:t>和分包</w:t>
      </w:r>
      <w:bookmarkEnd w:id="663"/>
      <w:bookmarkEnd w:id="664"/>
      <w:bookmarkEnd w:id="665"/>
      <w:bookmarkEnd w:id="666"/>
      <w:bookmarkEnd w:id="667"/>
      <w:bookmarkEnd w:id="668"/>
    </w:p>
    <w:p w14:paraId="771128E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合同的权利义务依法不得转让，但经</w:t>
      </w:r>
      <w:r>
        <w:rPr>
          <w:rFonts w:hint="eastAsia" w:ascii="宋体" w:hAnsi="宋体" w:cs="宋体"/>
          <w:bCs/>
          <w:color w:val="000000"/>
          <w:sz w:val="24"/>
          <w:lang w:eastAsia="zh-CN"/>
        </w:rPr>
        <w:t>采购人</w:t>
      </w:r>
      <w:r>
        <w:rPr>
          <w:rFonts w:hint="eastAsia" w:ascii="宋体" w:hAnsi="宋体" w:cs="宋体"/>
          <w:bCs/>
          <w:color w:val="000000"/>
          <w:sz w:val="24"/>
        </w:rPr>
        <w:t>同意，</w:t>
      </w:r>
      <w:r>
        <w:rPr>
          <w:rFonts w:hint="eastAsia" w:ascii="宋体" w:hAnsi="宋体" w:cs="宋体"/>
          <w:bCs/>
          <w:color w:val="000000"/>
          <w:sz w:val="24"/>
          <w:lang w:eastAsia="zh-CN"/>
        </w:rPr>
        <w:t>供应商</w:t>
      </w:r>
      <w:r>
        <w:rPr>
          <w:rFonts w:hint="eastAsia" w:ascii="宋体" w:hAnsi="宋体" w:cs="宋体"/>
          <w:bCs/>
          <w:color w:val="000000"/>
          <w:sz w:val="24"/>
        </w:rPr>
        <w:t>可以依法采取分包方式履行合同，即：依法可以将合同项下的部分非主体、非关键性工作分包给他人完成，接受分包的人应当具备相应的资格条件，并不得再次分包，且</w:t>
      </w:r>
      <w:r>
        <w:rPr>
          <w:rFonts w:hint="eastAsia" w:ascii="宋体" w:hAnsi="宋体" w:cs="宋体"/>
          <w:bCs/>
          <w:color w:val="000000"/>
          <w:sz w:val="24"/>
          <w:lang w:eastAsia="zh-CN"/>
        </w:rPr>
        <w:t>供应商</w:t>
      </w:r>
      <w:r>
        <w:rPr>
          <w:rFonts w:hint="eastAsia" w:ascii="宋体" w:hAnsi="宋体" w:cs="宋体"/>
          <w:bCs/>
          <w:color w:val="000000"/>
          <w:sz w:val="24"/>
        </w:rPr>
        <w:t>应就分包项目向</w:t>
      </w:r>
      <w:r>
        <w:rPr>
          <w:rFonts w:hint="eastAsia" w:ascii="宋体" w:hAnsi="宋体" w:cs="宋体"/>
          <w:bCs/>
          <w:color w:val="000000"/>
          <w:sz w:val="24"/>
          <w:lang w:eastAsia="zh-CN"/>
        </w:rPr>
        <w:t>采购人</w:t>
      </w:r>
      <w:r>
        <w:rPr>
          <w:rFonts w:hint="eastAsia" w:ascii="宋体" w:hAnsi="宋体" w:cs="宋体"/>
          <w:bCs/>
          <w:color w:val="000000"/>
          <w:sz w:val="24"/>
        </w:rPr>
        <w:t>负责，并与分包供应商就分包项目向</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2BA81CD3">
      <w:pPr>
        <w:spacing w:line="560" w:lineRule="exact"/>
        <w:ind w:firstLine="480" w:firstLineChars="200"/>
        <w:outlineLvl w:val="0"/>
        <w:rPr>
          <w:rFonts w:hint="eastAsia" w:ascii="宋体" w:hAnsi="宋体" w:cs="宋体"/>
          <w:bCs/>
          <w:color w:val="000000"/>
          <w:sz w:val="24"/>
        </w:rPr>
      </w:pPr>
      <w:bookmarkStart w:id="669" w:name="_Toc11261"/>
      <w:bookmarkStart w:id="670" w:name="_Toc14066"/>
      <w:bookmarkStart w:id="671" w:name="_Toc13566"/>
      <w:bookmarkStart w:id="672" w:name="_Toc16508"/>
      <w:bookmarkStart w:id="673" w:name="_Toc12802"/>
      <w:bookmarkStart w:id="674" w:name="_Toc13955"/>
      <w:r>
        <w:rPr>
          <w:rFonts w:hint="eastAsia" w:ascii="宋体" w:hAnsi="宋体" w:cs="宋体"/>
          <w:bCs/>
          <w:color w:val="000000"/>
          <w:sz w:val="24"/>
        </w:rPr>
        <w:t>2.13 不可抗力</w:t>
      </w:r>
      <w:bookmarkEnd w:id="669"/>
      <w:bookmarkEnd w:id="670"/>
      <w:bookmarkEnd w:id="671"/>
      <w:bookmarkEnd w:id="672"/>
      <w:bookmarkEnd w:id="673"/>
      <w:bookmarkEnd w:id="674"/>
    </w:p>
    <w:p w14:paraId="5B0B50D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2.13.1如果任何一方遭遇法律规定的不可抗力，致使合同履行受阻时，履行合同的期限应予延长，延长的期限应相当于不可抗力所影响的时间；</w:t>
      </w:r>
    </w:p>
    <w:p w14:paraId="294A24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2.13.2 因不可抗力致使不能实现合同目的的，当事人可以解除合同；</w:t>
      </w:r>
    </w:p>
    <w:p w14:paraId="4B83014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2.13.3 因不可抗力致使合同有变更必要的，双方当事人应在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约定时间内以书面形式变更合同；</w:t>
      </w:r>
    </w:p>
    <w:p w14:paraId="3DC9882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2.13.4受不可抗力影响的一方在不可抗力发生后，应在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约定时间内以书面形式通知对方当事人，并在</w:t>
      </w:r>
      <w:r>
        <w:rPr>
          <w:rFonts w:hint="eastAsia" w:ascii="宋体" w:hAnsi="宋体" w:cs="宋体"/>
          <w:bCs/>
          <w:i/>
          <w:color w:val="000000"/>
          <w:sz w:val="24"/>
          <w:u w:val="single"/>
        </w:rPr>
        <w:t>合同专用条款</w:t>
      </w:r>
      <w:r>
        <w:rPr>
          <w:rFonts w:hint="eastAsia" w:ascii="宋体" w:hAnsi="宋体" w:cs="宋体"/>
          <w:bCs/>
          <w:color w:val="000000"/>
          <w:sz w:val="24"/>
        </w:rPr>
        <w:t>约定时间内，将有关部门出具的证明文件送达对方当事人。</w:t>
      </w:r>
    </w:p>
    <w:p w14:paraId="2A926C41">
      <w:pPr>
        <w:spacing w:line="560" w:lineRule="exact"/>
        <w:ind w:firstLine="480" w:firstLineChars="200"/>
        <w:outlineLvl w:val="0"/>
        <w:rPr>
          <w:rFonts w:hint="eastAsia" w:ascii="宋体" w:hAnsi="宋体" w:cs="宋体"/>
          <w:bCs/>
          <w:color w:val="000000"/>
          <w:sz w:val="24"/>
        </w:rPr>
      </w:pPr>
      <w:bookmarkStart w:id="675" w:name="_Toc259093684"/>
      <w:bookmarkStart w:id="676" w:name="_Toc689"/>
      <w:bookmarkStart w:id="677" w:name="_Toc19533"/>
      <w:bookmarkStart w:id="678" w:name="_Toc30676"/>
      <w:bookmarkStart w:id="679" w:name="_Toc487900365"/>
      <w:bookmarkStart w:id="680" w:name="_Toc3415"/>
      <w:bookmarkStart w:id="681" w:name="_Toc6969"/>
      <w:bookmarkStart w:id="682" w:name="_Toc279701255"/>
      <w:bookmarkStart w:id="683" w:name="_Toc8688"/>
      <w:r>
        <w:rPr>
          <w:rFonts w:hint="eastAsia" w:ascii="宋体" w:hAnsi="宋体" w:cs="宋体"/>
          <w:bCs/>
          <w:color w:val="000000"/>
          <w:sz w:val="24"/>
        </w:rPr>
        <w:t>2.14 税费</w:t>
      </w:r>
      <w:bookmarkEnd w:id="675"/>
      <w:bookmarkEnd w:id="676"/>
      <w:bookmarkEnd w:id="677"/>
      <w:bookmarkEnd w:id="678"/>
      <w:bookmarkEnd w:id="679"/>
      <w:bookmarkEnd w:id="680"/>
      <w:bookmarkEnd w:id="681"/>
      <w:bookmarkEnd w:id="682"/>
      <w:bookmarkEnd w:id="683"/>
    </w:p>
    <w:p w14:paraId="1C53B7F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与合同有关的一切税费，均按照中华人民共和国法律的相关规定。</w:t>
      </w:r>
    </w:p>
    <w:p w14:paraId="3003F171">
      <w:pPr>
        <w:spacing w:line="560" w:lineRule="exact"/>
        <w:ind w:firstLine="480" w:firstLineChars="200"/>
        <w:outlineLvl w:val="0"/>
        <w:rPr>
          <w:rFonts w:hint="eastAsia" w:ascii="宋体" w:hAnsi="宋体" w:cs="宋体"/>
          <w:bCs/>
          <w:color w:val="000000"/>
          <w:sz w:val="24"/>
        </w:rPr>
      </w:pPr>
      <w:bookmarkStart w:id="684" w:name="_Toc279701258"/>
      <w:bookmarkStart w:id="685" w:name="_Toc487900368"/>
      <w:bookmarkStart w:id="686" w:name="_Toc8298"/>
      <w:bookmarkStart w:id="687" w:name="_Toc25444"/>
      <w:bookmarkStart w:id="688" w:name="_Toc7102"/>
      <w:bookmarkStart w:id="689" w:name="_Toc259093687"/>
      <w:bookmarkStart w:id="690" w:name="_Toc31569"/>
      <w:bookmarkStart w:id="691" w:name="_Toc14899"/>
      <w:bookmarkStart w:id="692" w:name="_Toc16959"/>
      <w:r>
        <w:rPr>
          <w:rFonts w:hint="eastAsia" w:ascii="宋体" w:hAnsi="宋体" w:cs="宋体"/>
          <w:bCs/>
          <w:color w:val="000000"/>
          <w:sz w:val="24"/>
        </w:rPr>
        <w:t xml:space="preserve">2.15 </w:t>
      </w:r>
      <w:r>
        <w:rPr>
          <w:rFonts w:hint="eastAsia" w:ascii="宋体" w:hAnsi="宋体" w:cs="宋体"/>
          <w:bCs/>
          <w:color w:val="000000"/>
          <w:sz w:val="24"/>
          <w:lang w:eastAsia="zh-CN"/>
        </w:rPr>
        <w:t>供应商</w:t>
      </w:r>
      <w:r>
        <w:rPr>
          <w:rFonts w:hint="eastAsia" w:ascii="宋体" w:hAnsi="宋体" w:cs="宋体"/>
          <w:bCs/>
          <w:color w:val="000000"/>
          <w:sz w:val="24"/>
        </w:rPr>
        <w:t>破产</w:t>
      </w:r>
      <w:bookmarkEnd w:id="684"/>
      <w:bookmarkEnd w:id="685"/>
      <w:bookmarkEnd w:id="686"/>
      <w:bookmarkEnd w:id="687"/>
      <w:bookmarkEnd w:id="688"/>
      <w:bookmarkEnd w:id="689"/>
      <w:bookmarkEnd w:id="690"/>
      <w:bookmarkEnd w:id="691"/>
      <w:bookmarkEnd w:id="692"/>
    </w:p>
    <w:p w14:paraId="09AF8C7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如果</w:t>
      </w:r>
      <w:r>
        <w:rPr>
          <w:rFonts w:hint="eastAsia" w:ascii="宋体" w:hAnsi="宋体" w:cs="宋体"/>
          <w:bCs/>
          <w:color w:val="000000"/>
          <w:sz w:val="24"/>
          <w:lang w:eastAsia="zh-CN"/>
        </w:rPr>
        <w:t>供应商</w:t>
      </w:r>
      <w:r>
        <w:rPr>
          <w:rFonts w:hint="eastAsia" w:ascii="宋体" w:hAnsi="宋体" w:cs="宋体"/>
          <w:bCs/>
          <w:color w:val="000000"/>
          <w:sz w:val="24"/>
        </w:rPr>
        <w:t>破产导致合同无法履行时，</w:t>
      </w:r>
      <w:r>
        <w:rPr>
          <w:rFonts w:hint="eastAsia" w:ascii="宋体" w:hAnsi="宋体" w:cs="宋体"/>
          <w:bCs/>
          <w:color w:val="000000"/>
          <w:sz w:val="24"/>
          <w:lang w:eastAsia="zh-CN"/>
        </w:rPr>
        <w:t>采购人</w:t>
      </w:r>
      <w:r>
        <w:rPr>
          <w:rFonts w:hint="eastAsia" w:ascii="宋体" w:hAnsi="宋体" w:cs="宋体"/>
          <w:bCs/>
          <w:color w:val="000000"/>
          <w:sz w:val="24"/>
        </w:rPr>
        <w:t>可以书面形式通知</w:t>
      </w:r>
      <w:r>
        <w:rPr>
          <w:rFonts w:hint="eastAsia" w:ascii="宋体" w:hAnsi="宋体" w:cs="宋体"/>
          <w:bCs/>
          <w:color w:val="000000"/>
          <w:sz w:val="24"/>
          <w:lang w:eastAsia="zh-CN"/>
        </w:rPr>
        <w:t>供应商</w:t>
      </w:r>
      <w:r>
        <w:rPr>
          <w:rFonts w:hint="eastAsia" w:ascii="宋体" w:hAnsi="宋体" w:cs="宋体"/>
          <w:bCs/>
          <w:color w:val="000000"/>
          <w:sz w:val="24"/>
        </w:rPr>
        <w:t>终止合同且不给予</w:t>
      </w:r>
      <w:r>
        <w:rPr>
          <w:rFonts w:hint="eastAsia" w:ascii="宋体" w:hAnsi="宋体" w:cs="宋体"/>
          <w:bCs/>
          <w:color w:val="000000"/>
          <w:sz w:val="24"/>
          <w:lang w:eastAsia="zh-CN"/>
        </w:rPr>
        <w:t>供应商</w:t>
      </w:r>
      <w:r>
        <w:rPr>
          <w:rFonts w:hint="eastAsia" w:ascii="宋体" w:hAnsi="宋体" w:cs="宋体"/>
          <w:bCs/>
          <w:color w:val="000000"/>
          <w:sz w:val="24"/>
        </w:rPr>
        <w:t>任何补偿和赔偿，但合同的终止不损害或不影响</w:t>
      </w:r>
      <w:r>
        <w:rPr>
          <w:rFonts w:hint="eastAsia" w:ascii="宋体" w:hAnsi="宋体" w:cs="宋体"/>
          <w:bCs/>
          <w:color w:val="000000"/>
          <w:sz w:val="24"/>
          <w:lang w:eastAsia="zh-CN"/>
        </w:rPr>
        <w:t>采购人</w:t>
      </w:r>
      <w:r>
        <w:rPr>
          <w:rFonts w:hint="eastAsia" w:ascii="宋体" w:hAnsi="宋体" w:cs="宋体"/>
          <w:bCs/>
          <w:color w:val="000000"/>
          <w:sz w:val="24"/>
        </w:rPr>
        <w:t>已经采取或将要采取的任何要求</w:t>
      </w:r>
      <w:r>
        <w:rPr>
          <w:rFonts w:hint="eastAsia" w:ascii="宋体" w:hAnsi="宋体" w:cs="宋体"/>
          <w:bCs/>
          <w:color w:val="000000"/>
          <w:sz w:val="24"/>
          <w:lang w:eastAsia="zh-CN"/>
        </w:rPr>
        <w:t>供应商</w:t>
      </w:r>
      <w:r>
        <w:rPr>
          <w:rFonts w:hint="eastAsia" w:ascii="宋体" w:hAnsi="宋体" w:cs="宋体"/>
          <w:bCs/>
          <w:color w:val="000000"/>
          <w:sz w:val="24"/>
        </w:rPr>
        <w:t>支付违约金、赔偿损失等的行动或补救措施的权利。</w:t>
      </w:r>
    </w:p>
    <w:p w14:paraId="3CA7569A">
      <w:pPr>
        <w:spacing w:line="560" w:lineRule="exact"/>
        <w:ind w:firstLine="480" w:firstLineChars="200"/>
        <w:outlineLvl w:val="0"/>
        <w:rPr>
          <w:rFonts w:hint="eastAsia" w:ascii="宋体" w:hAnsi="宋体" w:cs="宋体"/>
          <w:bCs/>
          <w:color w:val="000000"/>
          <w:sz w:val="24"/>
        </w:rPr>
      </w:pPr>
      <w:bookmarkStart w:id="693" w:name="_Toc13789"/>
      <w:bookmarkStart w:id="694" w:name="_Toc15387"/>
      <w:bookmarkStart w:id="695" w:name="_Toc29333"/>
      <w:bookmarkStart w:id="696" w:name="_Toc30714"/>
      <w:bookmarkStart w:id="697" w:name="_Toc29320"/>
      <w:bookmarkStart w:id="698" w:name="_Toc6134"/>
      <w:r>
        <w:rPr>
          <w:rFonts w:hint="eastAsia" w:ascii="宋体" w:hAnsi="宋体" w:cs="宋体"/>
          <w:bCs/>
          <w:color w:val="000000"/>
          <w:sz w:val="24"/>
        </w:rPr>
        <w:t>2.16 合同中止、终止</w:t>
      </w:r>
      <w:bookmarkEnd w:id="693"/>
      <w:bookmarkEnd w:id="694"/>
      <w:bookmarkEnd w:id="695"/>
      <w:bookmarkEnd w:id="696"/>
      <w:bookmarkEnd w:id="697"/>
      <w:bookmarkEnd w:id="698"/>
    </w:p>
    <w:p w14:paraId="3FD67F5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2.16.1 双方当事人不得擅自中止或者终止合同；</w:t>
      </w:r>
    </w:p>
    <w:p w14:paraId="7E68447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2.16.2合同继续履行将损害国家利益和社会公共利益的，双方当事人应当中止或者终止合同。有过错的一方应当承担赔偿责任，双方当事人都有过错的，各自承担相应的责任。</w:t>
      </w:r>
    </w:p>
    <w:p w14:paraId="27219A4F">
      <w:pPr>
        <w:spacing w:line="560" w:lineRule="exact"/>
        <w:ind w:firstLine="480" w:firstLineChars="200"/>
        <w:outlineLvl w:val="0"/>
        <w:rPr>
          <w:rFonts w:hint="eastAsia" w:ascii="宋体" w:hAnsi="宋体" w:cs="宋体"/>
          <w:bCs/>
          <w:color w:val="000000"/>
          <w:sz w:val="24"/>
        </w:rPr>
      </w:pPr>
      <w:bookmarkStart w:id="699" w:name="_Toc9948"/>
      <w:bookmarkStart w:id="700" w:name="_Toc1125"/>
      <w:bookmarkStart w:id="701" w:name="_Toc11163"/>
      <w:bookmarkStart w:id="702" w:name="_Toc14563"/>
      <w:bookmarkStart w:id="703" w:name="_Toc6596"/>
      <w:bookmarkStart w:id="704" w:name="_Toc21504"/>
      <w:r>
        <w:rPr>
          <w:rFonts w:hint="eastAsia" w:ascii="宋体" w:hAnsi="宋体" w:cs="宋体"/>
          <w:bCs/>
          <w:color w:val="000000"/>
          <w:sz w:val="24"/>
        </w:rPr>
        <w:t>2.17 检验和验收</w:t>
      </w:r>
      <w:bookmarkEnd w:id="699"/>
      <w:bookmarkEnd w:id="700"/>
      <w:bookmarkEnd w:id="701"/>
      <w:bookmarkEnd w:id="702"/>
      <w:bookmarkEnd w:id="703"/>
      <w:bookmarkEnd w:id="704"/>
    </w:p>
    <w:p w14:paraId="6CED7990">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2.17.1货物交付前，</w:t>
      </w:r>
      <w:r>
        <w:rPr>
          <w:rFonts w:hint="eastAsia" w:ascii="宋体" w:hAnsi="宋体" w:cs="宋体"/>
          <w:bCs/>
          <w:color w:val="000000"/>
          <w:sz w:val="24"/>
          <w:lang w:eastAsia="zh-CN"/>
        </w:rPr>
        <w:t>供应商</w:t>
      </w:r>
      <w:r>
        <w:rPr>
          <w:rFonts w:hint="eastAsia" w:ascii="宋体" w:hAnsi="宋体" w:cs="宋体"/>
          <w:bCs/>
          <w:color w:val="000000"/>
          <w:sz w:val="24"/>
        </w:rPr>
        <w:t>应对货物的质量、数量等方面进行详细、全面的检验，并向</w:t>
      </w:r>
      <w:r>
        <w:rPr>
          <w:rFonts w:hint="eastAsia" w:ascii="宋体" w:hAnsi="宋体" w:cs="宋体"/>
          <w:bCs/>
          <w:color w:val="000000"/>
          <w:sz w:val="24"/>
          <w:lang w:eastAsia="zh-CN"/>
        </w:rPr>
        <w:t>采购人</w:t>
      </w:r>
      <w:r>
        <w:rPr>
          <w:rFonts w:hint="eastAsia" w:ascii="宋体" w:hAnsi="宋体" w:cs="宋体"/>
          <w:bCs/>
          <w:color w:val="000000"/>
          <w:sz w:val="24"/>
        </w:rPr>
        <w:t>出具证明货物符合合同约定的文件；货物交付时，</w:t>
      </w:r>
      <w:r>
        <w:rPr>
          <w:rFonts w:hint="eastAsia" w:ascii="宋体" w:hAnsi="宋体" w:cs="宋体"/>
          <w:bCs/>
          <w:color w:val="000000"/>
          <w:sz w:val="24"/>
          <w:lang w:eastAsia="zh-CN"/>
        </w:rPr>
        <w:t>供应商</w:t>
      </w:r>
      <w:r>
        <w:rPr>
          <w:rFonts w:hint="eastAsia" w:ascii="宋体" w:hAnsi="宋体" w:cs="宋体"/>
          <w:bCs/>
          <w:color w:val="000000"/>
          <w:sz w:val="24"/>
        </w:rPr>
        <w:t>在</w:t>
      </w:r>
      <w:r>
        <w:rPr>
          <w:rFonts w:hint="eastAsia" w:ascii="宋体" w:hAnsi="宋体" w:cs="宋体"/>
          <w:bCs/>
          <w:i/>
          <w:color w:val="000000"/>
          <w:sz w:val="24"/>
          <w:u w:val="single"/>
        </w:rPr>
        <w:t>合同专用条款</w:t>
      </w:r>
      <w:r>
        <w:rPr>
          <w:rFonts w:hint="eastAsia" w:ascii="宋体" w:hAnsi="宋体" w:cs="宋体"/>
          <w:bCs/>
          <w:color w:val="000000"/>
          <w:sz w:val="24"/>
        </w:rPr>
        <w:t>约定时间内组织验收，并可依法邀请相关方参加，验收应出具验收书。</w:t>
      </w:r>
    </w:p>
    <w:p w14:paraId="1ABC6BD2">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2.17.2合同期满或者履行完毕后，</w:t>
      </w:r>
      <w:r>
        <w:rPr>
          <w:rFonts w:hint="eastAsia" w:ascii="宋体" w:hAnsi="宋体" w:cs="宋体"/>
          <w:bCs/>
          <w:color w:val="000000"/>
          <w:sz w:val="24"/>
          <w:lang w:eastAsia="zh-CN"/>
        </w:rPr>
        <w:t>采购人</w:t>
      </w:r>
      <w:r>
        <w:rPr>
          <w:rFonts w:hint="eastAsia" w:ascii="宋体" w:hAnsi="宋体" w:cs="宋体"/>
          <w:bCs/>
          <w:color w:val="000000"/>
          <w:sz w:val="24"/>
        </w:rPr>
        <w:t>有权组织（包括依法邀请国家认可的质量检测机构参加）对</w:t>
      </w:r>
      <w:r>
        <w:rPr>
          <w:rFonts w:hint="eastAsia" w:ascii="宋体" w:hAnsi="宋体" w:cs="宋体"/>
          <w:bCs/>
          <w:color w:val="000000"/>
          <w:sz w:val="24"/>
          <w:lang w:eastAsia="zh-CN"/>
        </w:rPr>
        <w:t>供应商</w:t>
      </w:r>
      <w:r>
        <w:rPr>
          <w:rFonts w:hint="eastAsia" w:ascii="宋体" w:hAnsi="宋体" w:cs="宋体"/>
          <w:bCs/>
          <w:color w:val="000000"/>
          <w:sz w:val="24"/>
        </w:rPr>
        <w:t>履约的验收，即：按照合同约定的技术、服务、安全标准，组织对每一项技术、服务、安全标准的履约情况的验收，并出具验收书。</w:t>
      </w:r>
    </w:p>
    <w:p w14:paraId="07C2AD41">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2.17.3 检验和验收标准、程序等具体内容以及前述验收书的效力详见</w:t>
      </w:r>
      <w:r>
        <w:rPr>
          <w:rFonts w:hint="eastAsia" w:ascii="宋体" w:hAnsi="宋体" w:cs="宋体"/>
          <w:bCs/>
          <w:i/>
          <w:color w:val="000000"/>
          <w:sz w:val="24"/>
          <w:u w:val="single"/>
        </w:rPr>
        <w:t>合同专用条款</w:t>
      </w:r>
      <w:r>
        <w:rPr>
          <w:rFonts w:hint="eastAsia" w:ascii="宋体" w:hAnsi="宋体" w:cs="宋体"/>
          <w:bCs/>
          <w:i/>
          <w:color w:val="000000"/>
          <w:sz w:val="24"/>
        </w:rPr>
        <w:t>。</w:t>
      </w:r>
    </w:p>
    <w:bookmarkEnd w:id="656"/>
    <w:bookmarkEnd w:id="657"/>
    <w:bookmarkEnd w:id="658"/>
    <w:bookmarkEnd w:id="659"/>
    <w:p w14:paraId="23C41610">
      <w:pPr>
        <w:spacing w:line="560" w:lineRule="exact"/>
        <w:ind w:firstLine="480" w:firstLineChars="200"/>
        <w:outlineLvl w:val="0"/>
        <w:rPr>
          <w:rFonts w:hint="eastAsia" w:ascii="宋体" w:hAnsi="宋体" w:cs="宋体"/>
          <w:bCs/>
          <w:color w:val="000000"/>
          <w:sz w:val="24"/>
        </w:rPr>
      </w:pPr>
      <w:bookmarkStart w:id="705" w:name="_Toc279701261"/>
      <w:bookmarkStart w:id="706" w:name="_Toc259093690"/>
      <w:bookmarkStart w:id="707" w:name="_Toc487900371"/>
      <w:bookmarkStart w:id="708" w:name="_Toc19604"/>
      <w:bookmarkStart w:id="709" w:name="_Toc9652"/>
      <w:bookmarkStart w:id="710" w:name="_Toc11757"/>
      <w:bookmarkStart w:id="711" w:name="_Toc25182"/>
      <w:bookmarkStart w:id="712" w:name="_Toc11284"/>
      <w:bookmarkStart w:id="713" w:name="_Toc9817"/>
      <w:r>
        <w:rPr>
          <w:rFonts w:hint="eastAsia" w:ascii="宋体" w:hAnsi="宋体" w:cs="宋体"/>
          <w:bCs/>
          <w:color w:val="000000"/>
          <w:sz w:val="24"/>
        </w:rPr>
        <w:t>2.18 通知</w:t>
      </w:r>
      <w:bookmarkEnd w:id="705"/>
      <w:bookmarkEnd w:id="706"/>
      <w:bookmarkEnd w:id="707"/>
      <w:r>
        <w:rPr>
          <w:rFonts w:hint="eastAsia" w:ascii="宋体" w:hAnsi="宋体" w:cs="宋体"/>
          <w:bCs/>
          <w:color w:val="000000"/>
          <w:sz w:val="24"/>
        </w:rPr>
        <w:t>和送达</w:t>
      </w:r>
      <w:bookmarkEnd w:id="708"/>
      <w:bookmarkEnd w:id="709"/>
      <w:bookmarkEnd w:id="710"/>
      <w:bookmarkEnd w:id="711"/>
      <w:bookmarkEnd w:id="712"/>
      <w:bookmarkEnd w:id="713"/>
    </w:p>
    <w:p w14:paraId="4434EE30">
      <w:pPr>
        <w:spacing w:line="560" w:lineRule="exact"/>
        <w:ind w:firstLine="480" w:firstLineChars="200"/>
        <w:rPr>
          <w:rFonts w:hint="eastAsia" w:ascii="宋体" w:hAnsi="宋体" w:cs="宋体"/>
          <w:bCs/>
          <w:color w:val="000000"/>
          <w:sz w:val="24"/>
        </w:rPr>
      </w:pPr>
      <w:bookmarkStart w:id="714" w:name="_Toc3135"/>
      <w:bookmarkStart w:id="715" w:name="_Toc6698"/>
      <w:bookmarkStart w:id="716" w:name="_Toc259093691"/>
      <w:bookmarkStart w:id="717" w:name="_Toc487900372"/>
      <w:bookmarkStart w:id="718" w:name="_Toc279701262"/>
      <w:r>
        <w:rPr>
          <w:rFonts w:hint="eastAsia" w:ascii="宋体" w:hAnsi="宋体" w:cs="宋体"/>
          <w:bCs/>
          <w:color w:val="000000"/>
          <w:sz w:val="24"/>
        </w:rPr>
        <w:t>2.18.1 任何一方因履行合同而以合同第一部分尾部所列明的</w:t>
      </w:r>
      <w:r>
        <w:rPr>
          <w:rFonts w:hint="eastAsia" w:ascii="宋体" w:hAnsi="宋体" w:cs="宋体"/>
          <w:bCs/>
          <w:color w:val="000000"/>
          <w:sz w:val="24"/>
          <w:u w:val="single"/>
        </w:rPr>
        <w:t xml:space="preserve">          </w:t>
      </w:r>
      <w:r>
        <w:rPr>
          <w:rFonts w:hint="eastAsia" w:ascii="宋体" w:hAnsi="宋体" w:cs="宋体"/>
          <w:bCs/>
          <w:color w:val="000000"/>
          <w:sz w:val="24"/>
        </w:rPr>
        <w:t>发出的所有通知、文件、材料，均视为已向对方当事人送达；任何一方变更上述送达方式或者地址的，应于</w:t>
      </w:r>
      <w:r>
        <w:rPr>
          <w:rFonts w:hint="eastAsia" w:ascii="宋体" w:hAnsi="宋体" w:cs="宋体"/>
          <w:bCs/>
          <w:color w:val="000000"/>
          <w:sz w:val="24"/>
          <w:u w:val="single"/>
        </w:rPr>
        <w:t xml:space="preserve">   </w:t>
      </w:r>
      <w:r>
        <w:rPr>
          <w:rFonts w:hint="eastAsia" w:ascii="宋体" w:hAnsi="宋体" w:cs="宋体"/>
          <w:bCs/>
          <w:color w:val="000000"/>
          <w:sz w:val="24"/>
        </w:rPr>
        <w:t>个工作日内书面通知对方当事人，在对方当事人收到有关变更通知之前，变更前的约定送达方式或者地址仍视为有效。</w:t>
      </w:r>
      <w:bookmarkEnd w:id="714"/>
      <w:bookmarkEnd w:id="715"/>
    </w:p>
    <w:p w14:paraId="6EC12780">
      <w:pPr>
        <w:spacing w:line="560" w:lineRule="exact"/>
        <w:ind w:firstLine="480" w:firstLineChars="200"/>
        <w:rPr>
          <w:rFonts w:hint="eastAsia" w:ascii="宋体" w:hAnsi="宋体" w:cs="宋体"/>
          <w:bCs/>
          <w:color w:val="000000"/>
          <w:sz w:val="24"/>
        </w:rPr>
      </w:pPr>
      <w:bookmarkStart w:id="719" w:name="_Toc23294"/>
      <w:bookmarkStart w:id="720" w:name="_Toc23128"/>
      <w:r>
        <w:rPr>
          <w:rFonts w:hint="eastAsia" w:ascii="宋体" w:hAnsi="宋体" w:cs="宋体"/>
          <w:bCs/>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719"/>
      <w:bookmarkEnd w:id="720"/>
    </w:p>
    <w:p w14:paraId="408E5399">
      <w:pPr>
        <w:spacing w:line="560" w:lineRule="exact"/>
        <w:ind w:firstLine="480" w:firstLineChars="200"/>
        <w:outlineLvl w:val="0"/>
        <w:rPr>
          <w:rFonts w:hint="eastAsia" w:ascii="宋体" w:hAnsi="宋体" w:cs="宋体"/>
          <w:bCs/>
          <w:color w:val="000000"/>
          <w:sz w:val="24"/>
        </w:rPr>
      </w:pPr>
      <w:bookmarkStart w:id="721" w:name="_Toc16706"/>
      <w:bookmarkStart w:id="722" w:name="_Toc30599"/>
      <w:bookmarkStart w:id="723" w:name="_Toc600"/>
      <w:bookmarkStart w:id="724" w:name="_Toc21088"/>
      <w:bookmarkStart w:id="725" w:name="_Toc18540"/>
      <w:bookmarkStart w:id="726" w:name="_Toc4355"/>
      <w:r>
        <w:rPr>
          <w:rFonts w:hint="eastAsia" w:ascii="宋体" w:hAnsi="宋体" w:cs="宋体"/>
          <w:bCs/>
          <w:color w:val="000000"/>
          <w:sz w:val="24"/>
        </w:rPr>
        <w:t>2.19 计量单位</w:t>
      </w:r>
      <w:bookmarkEnd w:id="716"/>
      <w:bookmarkEnd w:id="717"/>
      <w:bookmarkEnd w:id="718"/>
      <w:bookmarkEnd w:id="721"/>
      <w:bookmarkEnd w:id="722"/>
      <w:bookmarkEnd w:id="723"/>
      <w:bookmarkEnd w:id="724"/>
      <w:bookmarkEnd w:id="725"/>
      <w:bookmarkEnd w:id="726"/>
    </w:p>
    <w:p w14:paraId="022A358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除技术规范中另有规定外,合同的计量单位均使用国家法定计量单位。</w:t>
      </w:r>
    </w:p>
    <w:p w14:paraId="5ED01805">
      <w:pPr>
        <w:spacing w:line="560" w:lineRule="exact"/>
        <w:ind w:firstLine="480" w:firstLineChars="200"/>
        <w:outlineLvl w:val="0"/>
        <w:rPr>
          <w:rFonts w:hint="eastAsia" w:ascii="宋体" w:hAnsi="宋体" w:cs="宋体"/>
          <w:bCs/>
          <w:color w:val="000000"/>
          <w:sz w:val="24"/>
        </w:rPr>
      </w:pPr>
      <w:bookmarkStart w:id="727" w:name="_Toc487900373"/>
      <w:bookmarkStart w:id="728" w:name="_Toc12773"/>
      <w:bookmarkStart w:id="729" w:name="_Toc259093692"/>
      <w:bookmarkStart w:id="730" w:name="_Toc10330"/>
      <w:bookmarkStart w:id="731" w:name="_Toc279701263"/>
      <w:bookmarkStart w:id="732" w:name="_Toc22278"/>
      <w:bookmarkStart w:id="733" w:name="_Toc10645"/>
      <w:bookmarkStart w:id="734" w:name="_Toc11699"/>
      <w:bookmarkStart w:id="735" w:name="_Toc18567"/>
      <w:r>
        <w:rPr>
          <w:rFonts w:hint="eastAsia" w:ascii="宋体" w:hAnsi="宋体" w:cs="宋体"/>
          <w:bCs/>
          <w:color w:val="000000"/>
          <w:sz w:val="24"/>
        </w:rPr>
        <w:t>2.20 合同使用的文字和适用的法律</w:t>
      </w:r>
      <w:bookmarkEnd w:id="727"/>
      <w:bookmarkEnd w:id="728"/>
      <w:bookmarkEnd w:id="729"/>
      <w:bookmarkEnd w:id="730"/>
      <w:bookmarkEnd w:id="731"/>
      <w:bookmarkEnd w:id="732"/>
      <w:bookmarkEnd w:id="733"/>
      <w:bookmarkEnd w:id="734"/>
      <w:bookmarkEnd w:id="735"/>
    </w:p>
    <w:p w14:paraId="1A77C80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2.20.1 合同使用汉语书就、变更和解释；</w:t>
      </w:r>
    </w:p>
    <w:p w14:paraId="37913A0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2.20.2 合同适用中华人民共和国法律。</w:t>
      </w:r>
    </w:p>
    <w:p w14:paraId="2E9DFD7F">
      <w:pPr>
        <w:spacing w:line="560" w:lineRule="exact"/>
        <w:ind w:firstLine="480" w:firstLineChars="200"/>
        <w:outlineLvl w:val="0"/>
        <w:rPr>
          <w:rFonts w:hint="eastAsia" w:ascii="宋体" w:hAnsi="宋体" w:cs="宋体"/>
          <w:bCs/>
          <w:color w:val="000000"/>
          <w:sz w:val="24"/>
        </w:rPr>
      </w:pPr>
      <w:bookmarkStart w:id="736" w:name="_Toc16673"/>
      <w:bookmarkStart w:id="737" w:name="_Toc8417"/>
      <w:bookmarkStart w:id="738" w:name="_Toc30233"/>
      <w:bookmarkStart w:id="739" w:name="_Toc19559"/>
      <w:bookmarkStart w:id="740" w:name="_Toc3148"/>
      <w:bookmarkStart w:id="741" w:name="_Toc259093693"/>
      <w:bookmarkStart w:id="742" w:name="_Toc279701264"/>
      <w:bookmarkStart w:id="743" w:name="_Toc12004"/>
      <w:bookmarkStart w:id="744" w:name="_Toc487900374"/>
      <w:r>
        <w:rPr>
          <w:rFonts w:hint="eastAsia" w:ascii="宋体" w:hAnsi="宋体" w:cs="宋体"/>
          <w:bCs/>
          <w:color w:val="000000"/>
          <w:sz w:val="24"/>
        </w:rPr>
        <w:t>2.21 履约保证金</w:t>
      </w:r>
      <w:bookmarkEnd w:id="736"/>
      <w:bookmarkEnd w:id="737"/>
      <w:bookmarkEnd w:id="738"/>
      <w:bookmarkEnd w:id="739"/>
      <w:bookmarkEnd w:id="740"/>
      <w:bookmarkEnd w:id="741"/>
      <w:bookmarkEnd w:id="742"/>
      <w:bookmarkEnd w:id="743"/>
    </w:p>
    <w:p w14:paraId="227F67B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2.21.1 采购文件要求</w:t>
      </w:r>
      <w:r>
        <w:rPr>
          <w:rFonts w:hint="eastAsia" w:ascii="宋体" w:hAnsi="宋体" w:cs="宋体"/>
          <w:bCs/>
          <w:color w:val="000000"/>
          <w:sz w:val="24"/>
          <w:lang w:eastAsia="zh-CN"/>
        </w:rPr>
        <w:t>供应商</w:t>
      </w:r>
      <w:r>
        <w:rPr>
          <w:rFonts w:hint="eastAsia" w:ascii="宋体" w:hAnsi="宋体" w:cs="宋体"/>
          <w:bCs/>
          <w:color w:val="000000"/>
          <w:sz w:val="24"/>
        </w:rPr>
        <w:t>提交履约保证金的，</w:t>
      </w:r>
      <w:r>
        <w:rPr>
          <w:rFonts w:hint="eastAsia" w:ascii="宋体" w:hAnsi="宋体" w:cs="宋体"/>
          <w:bCs/>
          <w:color w:val="000000"/>
          <w:sz w:val="24"/>
          <w:lang w:eastAsia="zh-CN"/>
        </w:rPr>
        <w:t>供应商</w:t>
      </w:r>
      <w:r>
        <w:rPr>
          <w:rFonts w:hint="eastAsia" w:ascii="宋体" w:hAnsi="宋体" w:cs="宋体"/>
          <w:bCs/>
          <w:color w:val="000000"/>
          <w:sz w:val="24"/>
        </w:rPr>
        <w:t>应按</w:t>
      </w:r>
      <w:r>
        <w:rPr>
          <w:rFonts w:hint="eastAsia" w:ascii="宋体" w:hAnsi="宋体" w:cs="宋体"/>
          <w:bCs/>
          <w:i/>
          <w:color w:val="000000"/>
          <w:sz w:val="24"/>
          <w:u w:val="single"/>
        </w:rPr>
        <w:t>合同专用条款</w:t>
      </w:r>
      <w:r>
        <w:rPr>
          <w:rFonts w:hint="eastAsia" w:ascii="宋体" w:hAnsi="宋体" w:cs="宋体"/>
          <w:bCs/>
          <w:color w:val="000000"/>
          <w:sz w:val="24"/>
        </w:rPr>
        <w:t>约定的方式，以支票、汇票、本票或者金融机构、担保机构出具的保函等非现金形式，提交不超过合同价10%的履约保证金；</w:t>
      </w:r>
    </w:p>
    <w:p w14:paraId="580763B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2.21.2  履约保证金在</w:t>
      </w:r>
      <w:r>
        <w:rPr>
          <w:rFonts w:hint="eastAsia" w:ascii="宋体" w:hAnsi="宋体" w:cs="宋体"/>
          <w:bCs/>
          <w:i/>
          <w:color w:val="000000"/>
          <w:sz w:val="24"/>
          <w:u w:val="single"/>
        </w:rPr>
        <w:t>合同专用条款</w:t>
      </w:r>
      <w:r>
        <w:rPr>
          <w:rFonts w:hint="eastAsia" w:ascii="宋体" w:hAnsi="宋体" w:cs="宋体"/>
          <w:bCs/>
          <w:color w:val="000000"/>
          <w:sz w:val="24"/>
        </w:rPr>
        <w:t>约定期间内或者货物质量保证期内不予退还或者应完全有效，前述约定期间届满或者货物质量保证期届满之日起</w:t>
      </w:r>
      <w:r>
        <w:rPr>
          <w:rFonts w:hint="eastAsia" w:ascii="宋体" w:hAnsi="宋体" w:cs="宋体"/>
          <w:bCs/>
          <w:color w:val="000000"/>
          <w:sz w:val="24"/>
          <w:u w:val="single"/>
        </w:rPr>
        <w:t xml:space="preserve">  </w:t>
      </w:r>
      <w:r>
        <w:rPr>
          <w:rFonts w:hint="eastAsia" w:ascii="宋体" w:hAnsi="宋体" w:cs="宋体"/>
          <w:bCs/>
          <w:color w:val="000000"/>
          <w:sz w:val="24"/>
        </w:rPr>
        <w:t>个工作日内，</w:t>
      </w:r>
      <w:r>
        <w:rPr>
          <w:rFonts w:hint="eastAsia" w:ascii="宋体" w:hAnsi="宋体" w:cs="宋体"/>
          <w:bCs/>
          <w:color w:val="000000"/>
          <w:sz w:val="24"/>
          <w:lang w:eastAsia="zh-CN"/>
        </w:rPr>
        <w:t>采购人</w:t>
      </w:r>
      <w:r>
        <w:rPr>
          <w:rFonts w:hint="eastAsia" w:ascii="宋体" w:hAnsi="宋体" w:cs="宋体"/>
          <w:bCs/>
          <w:color w:val="000000"/>
          <w:sz w:val="24"/>
        </w:rPr>
        <w:t>应将履约保证金退还</w:t>
      </w:r>
      <w:r>
        <w:rPr>
          <w:rFonts w:hint="eastAsia" w:ascii="宋体" w:hAnsi="宋体" w:cs="宋体"/>
          <w:bCs/>
          <w:color w:val="000000"/>
          <w:sz w:val="24"/>
          <w:lang w:eastAsia="zh-CN"/>
        </w:rPr>
        <w:t>供应商</w:t>
      </w:r>
      <w:r>
        <w:rPr>
          <w:rFonts w:hint="eastAsia" w:ascii="宋体" w:hAnsi="宋体" w:cs="宋体"/>
          <w:bCs/>
          <w:color w:val="000000"/>
          <w:sz w:val="24"/>
        </w:rPr>
        <w:t>；</w:t>
      </w:r>
    </w:p>
    <w:p w14:paraId="20902AB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2.21.3 如果</w:t>
      </w:r>
      <w:r>
        <w:rPr>
          <w:rFonts w:hint="eastAsia" w:ascii="宋体" w:hAnsi="宋体" w:cs="宋体"/>
          <w:bCs/>
          <w:color w:val="000000"/>
          <w:sz w:val="24"/>
          <w:lang w:eastAsia="zh-CN"/>
        </w:rPr>
        <w:t>供应商</w:t>
      </w:r>
      <w:r>
        <w:rPr>
          <w:rFonts w:hint="eastAsia" w:ascii="宋体" w:hAnsi="宋体" w:cs="宋体"/>
          <w:bCs/>
          <w:color w:val="000000"/>
          <w:sz w:val="24"/>
        </w:rPr>
        <w:t>不履行合同，履约保证金不予退还；如果</w:t>
      </w:r>
      <w:r>
        <w:rPr>
          <w:rFonts w:hint="eastAsia" w:ascii="宋体" w:hAnsi="宋体" w:cs="宋体"/>
          <w:bCs/>
          <w:color w:val="000000"/>
          <w:sz w:val="24"/>
          <w:lang w:eastAsia="zh-CN"/>
        </w:rPr>
        <w:t>供应商</w:t>
      </w:r>
      <w:r>
        <w:rPr>
          <w:rFonts w:hint="eastAsia" w:ascii="宋体" w:hAnsi="宋体" w:cs="宋体"/>
          <w:bCs/>
          <w:color w:val="000000"/>
          <w:sz w:val="24"/>
        </w:rPr>
        <w:t>未能按合同约定全面履行义务，那么</w:t>
      </w:r>
      <w:r>
        <w:rPr>
          <w:rFonts w:hint="eastAsia" w:ascii="宋体" w:hAnsi="宋体" w:cs="宋体"/>
          <w:bCs/>
          <w:color w:val="000000"/>
          <w:sz w:val="24"/>
          <w:lang w:eastAsia="zh-CN"/>
        </w:rPr>
        <w:t>采购人</w:t>
      </w:r>
      <w:r>
        <w:rPr>
          <w:rFonts w:hint="eastAsia" w:ascii="宋体" w:hAnsi="宋体" w:cs="宋体"/>
          <w:bCs/>
          <w:color w:val="000000"/>
          <w:sz w:val="24"/>
        </w:rPr>
        <w:t>有权从履约保证金中取得补偿或赔偿，同时不影响</w:t>
      </w:r>
      <w:r>
        <w:rPr>
          <w:rFonts w:hint="eastAsia" w:ascii="宋体" w:hAnsi="宋体" w:cs="宋体"/>
          <w:bCs/>
          <w:color w:val="000000"/>
          <w:sz w:val="24"/>
          <w:lang w:eastAsia="zh-CN"/>
        </w:rPr>
        <w:t>采购人</w:t>
      </w:r>
      <w:r>
        <w:rPr>
          <w:rFonts w:hint="eastAsia" w:ascii="宋体" w:hAnsi="宋体" w:cs="宋体"/>
          <w:bCs/>
          <w:color w:val="000000"/>
          <w:sz w:val="24"/>
        </w:rPr>
        <w:t>要求</w:t>
      </w:r>
      <w:r>
        <w:rPr>
          <w:rFonts w:hint="eastAsia" w:ascii="宋体" w:hAnsi="宋体" w:cs="宋体"/>
          <w:bCs/>
          <w:color w:val="000000"/>
          <w:sz w:val="24"/>
          <w:lang w:eastAsia="zh-CN"/>
        </w:rPr>
        <w:t>供应商</w:t>
      </w:r>
      <w:r>
        <w:rPr>
          <w:rFonts w:hint="eastAsia" w:ascii="宋体" w:hAnsi="宋体" w:cs="宋体"/>
          <w:bCs/>
          <w:color w:val="000000"/>
          <w:sz w:val="24"/>
        </w:rPr>
        <w:t>承担合同约定的超过履约保证金的违约责任的权利。</w:t>
      </w:r>
    </w:p>
    <w:bookmarkEnd w:id="744"/>
    <w:p w14:paraId="63B9A4CD">
      <w:pPr>
        <w:spacing w:line="560" w:lineRule="exact"/>
        <w:ind w:firstLine="480" w:firstLineChars="200"/>
        <w:outlineLvl w:val="0"/>
        <w:rPr>
          <w:rFonts w:hint="eastAsia" w:ascii="宋体" w:hAnsi="宋体" w:cs="宋体"/>
          <w:bCs/>
          <w:color w:val="000000"/>
          <w:sz w:val="24"/>
        </w:rPr>
      </w:pPr>
      <w:bookmarkStart w:id="745" w:name="_Toc31424"/>
      <w:bookmarkStart w:id="746" w:name="_Toc19890"/>
      <w:bookmarkStart w:id="747" w:name="_Toc18869"/>
      <w:bookmarkStart w:id="748" w:name="_Toc6885"/>
      <w:bookmarkStart w:id="749" w:name="_Toc14001"/>
      <w:bookmarkStart w:id="750" w:name="_Toc31829"/>
      <w:r>
        <w:rPr>
          <w:rFonts w:hint="eastAsia" w:ascii="宋体" w:hAnsi="宋体" w:cs="宋体"/>
          <w:bCs/>
          <w:color w:val="000000"/>
          <w:sz w:val="24"/>
        </w:rPr>
        <w:t>2.22 合同份数</w:t>
      </w:r>
      <w:bookmarkEnd w:id="745"/>
      <w:bookmarkEnd w:id="746"/>
      <w:bookmarkEnd w:id="747"/>
      <w:bookmarkEnd w:id="748"/>
      <w:bookmarkEnd w:id="749"/>
      <w:bookmarkEnd w:id="750"/>
    </w:p>
    <w:p w14:paraId="72FA29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合同份数按</w:t>
      </w:r>
      <w:r>
        <w:rPr>
          <w:rFonts w:hint="eastAsia" w:ascii="宋体" w:hAnsi="宋体" w:cs="宋体"/>
          <w:bCs/>
          <w:i/>
          <w:color w:val="000000"/>
          <w:sz w:val="24"/>
          <w:u w:val="single"/>
        </w:rPr>
        <w:t>合同专用条款</w:t>
      </w:r>
      <w:r>
        <w:rPr>
          <w:rFonts w:hint="eastAsia" w:ascii="宋体" w:hAnsi="宋体" w:cs="宋体"/>
          <w:bCs/>
          <w:color w:val="000000"/>
          <w:sz w:val="24"/>
        </w:rPr>
        <w:t>规定，每份均具有同等法律效力。</w:t>
      </w:r>
    </w:p>
    <w:p w14:paraId="14291F9A">
      <w:pPr>
        <w:pStyle w:val="27"/>
        <w:spacing w:line="560" w:lineRule="exact"/>
        <w:ind w:firstLine="0"/>
        <w:jc w:val="center"/>
        <w:outlineLvl w:val="1"/>
        <w:rPr>
          <w:rFonts w:hint="eastAsia" w:hAnsi="宋体" w:cs="宋体"/>
          <w:bCs/>
          <w:color w:val="000000"/>
          <w:szCs w:val="24"/>
        </w:rPr>
      </w:pPr>
      <w:r>
        <w:rPr>
          <w:rFonts w:hint="eastAsia" w:hAnsi="宋体" w:cs="宋体"/>
          <w:bCs/>
          <w:color w:val="000000"/>
          <w:szCs w:val="24"/>
        </w:rPr>
        <w:br w:type="page"/>
      </w:r>
      <w:bookmarkStart w:id="751" w:name="_Toc15792"/>
      <w:bookmarkStart w:id="752" w:name="_Toc32290"/>
      <w:bookmarkStart w:id="753" w:name="_Toc331685784"/>
      <w:bookmarkStart w:id="754" w:name="_Toc21096"/>
      <w:r>
        <w:rPr>
          <w:rFonts w:hint="eastAsia" w:hAnsi="宋体" w:cs="宋体"/>
          <w:bCs/>
          <w:color w:val="000000"/>
          <w:szCs w:val="24"/>
        </w:rPr>
        <w:t>第三部分  合同专用条款</w:t>
      </w:r>
      <w:bookmarkEnd w:id="751"/>
      <w:bookmarkEnd w:id="752"/>
      <w:bookmarkEnd w:id="753"/>
      <w:bookmarkEnd w:id="754"/>
    </w:p>
    <w:p w14:paraId="230DAF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B25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94701FC">
            <w:pPr>
              <w:spacing w:line="560" w:lineRule="exact"/>
              <w:jc w:val="center"/>
              <w:rPr>
                <w:rFonts w:hint="eastAsia" w:ascii="宋体" w:hAnsi="宋体" w:cs="宋体"/>
                <w:bCs/>
                <w:color w:val="000000"/>
                <w:sz w:val="24"/>
              </w:rPr>
            </w:pPr>
            <w:r>
              <w:rPr>
                <w:rFonts w:hint="eastAsia" w:ascii="宋体" w:hAnsi="宋体" w:cs="宋体"/>
                <w:bCs/>
                <w:color w:val="000000"/>
                <w:sz w:val="24"/>
              </w:rPr>
              <w:t>条款号</w:t>
            </w:r>
          </w:p>
        </w:tc>
        <w:tc>
          <w:tcPr>
            <w:tcW w:w="7633" w:type="dxa"/>
            <w:noWrap w:val="0"/>
            <w:vAlign w:val="center"/>
          </w:tcPr>
          <w:p w14:paraId="3B9A5DD8">
            <w:pPr>
              <w:spacing w:line="560" w:lineRule="exact"/>
              <w:jc w:val="center"/>
              <w:rPr>
                <w:rFonts w:hint="eastAsia" w:ascii="宋体" w:hAnsi="宋体" w:cs="宋体"/>
                <w:bCs/>
                <w:color w:val="000000"/>
                <w:sz w:val="24"/>
              </w:rPr>
            </w:pPr>
            <w:r>
              <w:rPr>
                <w:rFonts w:hint="eastAsia" w:ascii="宋体" w:hAnsi="宋体" w:cs="宋体"/>
                <w:bCs/>
                <w:color w:val="000000"/>
                <w:sz w:val="24"/>
              </w:rPr>
              <w:t>约定内容</w:t>
            </w:r>
          </w:p>
        </w:tc>
      </w:tr>
      <w:tr w14:paraId="365B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33B26D2">
            <w:pPr>
              <w:spacing w:line="560" w:lineRule="exact"/>
              <w:rPr>
                <w:rFonts w:hint="eastAsia" w:ascii="宋体" w:hAnsi="宋体" w:cs="宋体"/>
                <w:bCs/>
                <w:color w:val="000000"/>
                <w:sz w:val="24"/>
              </w:rPr>
            </w:pPr>
          </w:p>
        </w:tc>
        <w:tc>
          <w:tcPr>
            <w:tcW w:w="7633" w:type="dxa"/>
            <w:noWrap w:val="0"/>
            <w:vAlign w:val="center"/>
          </w:tcPr>
          <w:p w14:paraId="40048195">
            <w:pPr>
              <w:spacing w:line="560" w:lineRule="exact"/>
              <w:rPr>
                <w:rFonts w:hint="eastAsia" w:ascii="宋体" w:hAnsi="宋体" w:cs="宋体"/>
                <w:bCs/>
                <w:color w:val="000000"/>
                <w:sz w:val="24"/>
              </w:rPr>
            </w:pPr>
          </w:p>
        </w:tc>
      </w:tr>
      <w:tr w14:paraId="6EA8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E5851A1">
            <w:pPr>
              <w:spacing w:line="560" w:lineRule="exact"/>
              <w:rPr>
                <w:rFonts w:hint="eastAsia" w:ascii="宋体" w:hAnsi="宋体" w:cs="宋体"/>
                <w:bCs/>
                <w:color w:val="000000"/>
                <w:sz w:val="24"/>
              </w:rPr>
            </w:pPr>
          </w:p>
        </w:tc>
        <w:tc>
          <w:tcPr>
            <w:tcW w:w="7633" w:type="dxa"/>
            <w:noWrap w:val="0"/>
            <w:vAlign w:val="center"/>
          </w:tcPr>
          <w:p w14:paraId="48C4A68C">
            <w:pPr>
              <w:spacing w:line="560" w:lineRule="exact"/>
              <w:rPr>
                <w:rFonts w:hint="eastAsia" w:ascii="宋体" w:hAnsi="宋体" w:cs="宋体"/>
                <w:bCs/>
                <w:color w:val="000000"/>
                <w:sz w:val="24"/>
              </w:rPr>
            </w:pPr>
          </w:p>
        </w:tc>
      </w:tr>
      <w:tr w14:paraId="4271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E7DA5D1">
            <w:pPr>
              <w:spacing w:line="560" w:lineRule="exact"/>
              <w:rPr>
                <w:rFonts w:hint="eastAsia" w:ascii="宋体" w:hAnsi="宋体" w:cs="宋体"/>
                <w:bCs/>
                <w:color w:val="000000"/>
                <w:sz w:val="24"/>
              </w:rPr>
            </w:pPr>
          </w:p>
        </w:tc>
        <w:tc>
          <w:tcPr>
            <w:tcW w:w="7633" w:type="dxa"/>
            <w:noWrap w:val="0"/>
            <w:vAlign w:val="center"/>
          </w:tcPr>
          <w:p w14:paraId="6E015F20">
            <w:pPr>
              <w:spacing w:line="560" w:lineRule="exact"/>
              <w:rPr>
                <w:rFonts w:hint="eastAsia" w:ascii="宋体" w:hAnsi="宋体" w:cs="宋体"/>
                <w:bCs/>
                <w:color w:val="000000"/>
                <w:sz w:val="24"/>
              </w:rPr>
            </w:pPr>
          </w:p>
        </w:tc>
      </w:tr>
      <w:tr w14:paraId="7559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EDCE10E">
            <w:pPr>
              <w:spacing w:line="560" w:lineRule="exact"/>
              <w:rPr>
                <w:rFonts w:hint="eastAsia" w:ascii="宋体" w:hAnsi="宋体" w:cs="宋体"/>
                <w:bCs/>
                <w:color w:val="000000"/>
                <w:sz w:val="24"/>
              </w:rPr>
            </w:pPr>
          </w:p>
        </w:tc>
        <w:tc>
          <w:tcPr>
            <w:tcW w:w="7633" w:type="dxa"/>
            <w:noWrap w:val="0"/>
            <w:vAlign w:val="center"/>
          </w:tcPr>
          <w:p w14:paraId="61789438">
            <w:pPr>
              <w:spacing w:line="560" w:lineRule="exact"/>
              <w:rPr>
                <w:rFonts w:hint="eastAsia" w:ascii="宋体" w:hAnsi="宋体" w:cs="宋体"/>
                <w:bCs/>
                <w:color w:val="000000"/>
                <w:sz w:val="24"/>
              </w:rPr>
            </w:pPr>
          </w:p>
        </w:tc>
      </w:tr>
      <w:tr w14:paraId="233C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CB0FA8">
            <w:pPr>
              <w:spacing w:line="560" w:lineRule="exact"/>
              <w:rPr>
                <w:rFonts w:hint="eastAsia" w:ascii="宋体" w:hAnsi="宋体" w:cs="宋体"/>
                <w:bCs/>
                <w:color w:val="000000"/>
                <w:sz w:val="24"/>
              </w:rPr>
            </w:pPr>
          </w:p>
        </w:tc>
        <w:tc>
          <w:tcPr>
            <w:tcW w:w="7633" w:type="dxa"/>
            <w:noWrap w:val="0"/>
            <w:vAlign w:val="center"/>
          </w:tcPr>
          <w:p w14:paraId="15C51BFC">
            <w:pPr>
              <w:spacing w:line="560" w:lineRule="exact"/>
              <w:rPr>
                <w:rFonts w:hint="eastAsia" w:ascii="宋体" w:hAnsi="宋体" w:cs="宋体"/>
                <w:bCs/>
                <w:color w:val="000000"/>
                <w:sz w:val="24"/>
                <w:u w:val="single"/>
              </w:rPr>
            </w:pPr>
          </w:p>
        </w:tc>
      </w:tr>
      <w:tr w14:paraId="6358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5879AB">
            <w:pPr>
              <w:spacing w:line="560" w:lineRule="exact"/>
              <w:rPr>
                <w:rFonts w:hint="eastAsia" w:ascii="宋体" w:hAnsi="宋体" w:cs="宋体"/>
                <w:bCs/>
                <w:color w:val="000000"/>
                <w:sz w:val="24"/>
              </w:rPr>
            </w:pPr>
          </w:p>
        </w:tc>
        <w:tc>
          <w:tcPr>
            <w:tcW w:w="7633" w:type="dxa"/>
            <w:noWrap w:val="0"/>
            <w:vAlign w:val="center"/>
          </w:tcPr>
          <w:p w14:paraId="22783A71">
            <w:pPr>
              <w:spacing w:line="560" w:lineRule="exact"/>
              <w:rPr>
                <w:rFonts w:hint="eastAsia" w:ascii="宋体" w:hAnsi="宋体" w:cs="宋体"/>
                <w:bCs/>
                <w:color w:val="000000"/>
                <w:sz w:val="24"/>
              </w:rPr>
            </w:pPr>
          </w:p>
        </w:tc>
      </w:tr>
      <w:tr w14:paraId="3B04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439F4FC">
            <w:pPr>
              <w:spacing w:line="560" w:lineRule="exact"/>
              <w:rPr>
                <w:rFonts w:hint="eastAsia" w:ascii="宋体" w:hAnsi="宋体" w:cs="宋体"/>
                <w:bCs/>
                <w:color w:val="000000"/>
                <w:sz w:val="24"/>
              </w:rPr>
            </w:pPr>
          </w:p>
        </w:tc>
        <w:tc>
          <w:tcPr>
            <w:tcW w:w="7633" w:type="dxa"/>
            <w:noWrap w:val="0"/>
            <w:vAlign w:val="center"/>
          </w:tcPr>
          <w:p w14:paraId="352D6738">
            <w:pPr>
              <w:spacing w:line="560" w:lineRule="exact"/>
              <w:rPr>
                <w:rFonts w:hint="eastAsia" w:ascii="宋体" w:hAnsi="宋体" w:cs="宋体"/>
                <w:bCs/>
                <w:color w:val="000000"/>
                <w:sz w:val="24"/>
                <w:u w:val="single"/>
              </w:rPr>
            </w:pPr>
          </w:p>
        </w:tc>
      </w:tr>
      <w:tr w14:paraId="7FCF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C0BCC2">
            <w:pPr>
              <w:spacing w:line="560" w:lineRule="exact"/>
              <w:rPr>
                <w:rFonts w:hint="eastAsia" w:ascii="宋体" w:hAnsi="宋体" w:cs="宋体"/>
                <w:bCs/>
                <w:color w:val="000000"/>
                <w:sz w:val="24"/>
              </w:rPr>
            </w:pPr>
          </w:p>
        </w:tc>
        <w:tc>
          <w:tcPr>
            <w:tcW w:w="7633" w:type="dxa"/>
            <w:noWrap w:val="0"/>
            <w:vAlign w:val="center"/>
          </w:tcPr>
          <w:p w14:paraId="0AC00CE4">
            <w:pPr>
              <w:spacing w:line="560" w:lineRule="exact"/>
              <w:rPr>
                <w:rFonts w:hint="eastAsia" w:ascii="宋体" w:hAnsi="宋体" w:cs="宋体"/>
                <w:bCs/>
                <w:color w:val="000000"/>
                <w:sz w:val="24"/>
              </w:rPr>
            </w:pPr>
          </w:p>
        </w:tc>
      </w:tr>
      <w:tr w14:paraId="646B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88A142B">
            <w:pPr>
              <w:spacing w:line="560" w:lineRule="exact"/>
              <w:rPr>
                <w:rFonts w:hint="eastAsia" w:ascii="宋体" w:hAnsi="宋体" w:cs="宋体"/>
                <w:bCs/>
                <w:color w:val="000000"/>
                <w:sz w:val="24"/>
              </w:rPr>
            </w:pPr>
          </w:p>
        </w:tc>
        <w:tc>
          <w:tcPr>
            <w:tcW w:w="7633" w:type="dxa"/>
            <w:noWrap w:val="0"/>
            <w:vAlign w:val="center"/>
          </w:tcPr>
          <w:p w14:paraId="4D5BB28F">
            <w:pPr>
              <w:spacing w:line="560" w:lineRule="exact"/>
              <w:rPr>
                <w:rFonts w:hint="eastAsia" w:ascii="宋体" w:hAnsi="宋体" w:cs="宋体"/>
                <w:bCs/>
                <w:color w:val="000000"/>
                <w:sz w:val="24"/>
              </w:rPr>
            </w:pPr>
          </w:p>
        </w:tc>
      </w:tr>
      <w:tr w14:paraId="007E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6FC4D5">
            <w:pPr>
              <w:spacing w:line="560" w:lineRule="exact"/>
              <w:rPr>
                <w:rFonts w:hint="eastAsia" w:ascii="宋体" w:hAnsi="宋体" w:cs="宋体"/>
                <w:bCs/>
                <w:color w:val="000000"/>
                <w:sz w:val="24"/>
              </w:rPr>
            </w:pPr>
          </w:p>
        </w:tc>
        <w:tc>
          <w:tcPr>
            <w:tcW w:w="7633" w:type="dxa"/>
            <w:noWrap w:val="0"/>
            <w:vAlign w:val="center"/>
          </w:tcPr>
          <w:p w14:paraId="6E91CF1A">
            <w:pPr>
              <w:spacing w:line="560" w:lineRule="exact"/>
              <w:rPr>
                <w:rFonts w:hint="eastAsia" w:ascii="宋体" w:hAnsi="宋体" w:cs="宋体"/>
                <w:bCs/>
                <w:color w:val="000000"/>
                <w:sz w:val="24"/>
              </w:rPr>
            </w:pPr>
          </w:p>
        </w:tc>
      </w:tr>
      <w:tr w14:paraId="5F7F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0DC5AEA">
            <w:pPr>
              <w:spacing w:line="560" w:lineRule="exact"/>
              <w:rPr>
                <w:rFonts w:hint="eastAsia" w:ascii="宋体" w:hAnsi="宋体" w:cs="宋体"/>
                <w:bCs/>
                <w:color w:val="000000"/>
                <w:sz w:val="24"/>
              </w:rPr>
            </w:pPr>
          </w:p>
        </w:tc>
        <w:tc>
          <w:tcPr>
            <w:tcW w:w="7633" w:type="dxa"/>
            <w:noWrap w:val="0"/>
            <w:vAlign w:val="center"/>
          </w:tcPr>
          <w:p w14:paraId="6C78AF5E">
            <w:pPr>
              <w:spacing w:line="560" w:lineRule="exact"/>
              <w:rPr>
                <w:rFonts w:hint="eastAsia" w:ascii="宋体" w:hAnsi="宋体" w:cs="宋体"/>
                <w:bCs/>
                <w:color w:val="000000"/>
                <w:sz w:val="24"/>
              </w:rPr>
            </w:pPr>
          </w:p>
        </w:tc>
      </w:tr>
      <w:tr w14:paraId="0702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8CA5C8">
            <w:pPr>
              <w:spacing w:line="560" w:lineRule="exact"/>
              <w:rPr>
                <w:rFonts w:hint="eastAsia" w:ascii="宋体" w:hAnsi="宋体" w:cs="宋体"/>
                <w:bCs/>
                <w:color w:val="000000"/>
                <w:sz w:val="24"/>
              </w:rPr>
            </w:pPr>
          </w:p>
        </w:tc>
        <w:tc>
          <w:tcPr>
            <w:tcW w:w="7633" w:type="dxa"/>
            <w:noWrap w:val="0"/>
            <w:vAlign w:val="center"/>
          </w:tcPr>
          <w:p w14:paraId="742F51EE">
            <w:pPr>
              <w:spacing w:line="560" w:lineRule="exact"/>
              <w:rPr>
                <w:rFonts w:hint="eastAsia" w:ascii="宋体" w:hAnsi="宋体" w:cs="宋体"/>
                <w:bCs/>
                <w:color w:val="000000"/>
                <w:sz w:val="24"/>
              </w:rPr>
            </w:pPr>
          </w:p>
        </w:tc>
      </w:tr>
    </w:tbl>
    <w:p w14:paraId="4B5BFD7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p>
    <w:p w14:paraId="0C781B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6DFDE7-7C12-4F25-BC13-DF3897A74A3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A67DE40C-A0E9-4AE5-8458-3D6A0925806D}"/>
  </w:font>
  <w:font w:name="华文中宋">
    <w:altName w:val="宋体"/>
    <w:panose1 w:val="02010600040101010101"/>
    <w:charset w:val="86"/>
    <w:family w:val="auto"/>
    <w:pitch w:val="default"/>
    <w:sig w:usb0="00000000" w:usb1="00000000" w:usb2="00000000" w:usb3="00000000" w:csb0="0004009F" w:csb1="DFD70000"/>
    <w:embedRegular r:id="rId3" w:fontKey="{064AFC56-8D4D-4058-9F01-F1EBA9FCED88}"/>
  </w:font>
  <w:font w:name="仿宋">
    <w:panose1 w:val="02010609060101010101"/>
    <w:charset w:val="86"/>
    <w:family w:val="modern"/>
    <w:pitch w:val="default"/>
    <w:sig w:usb0="800002BF" w:usb1="38CF7CFA" w:usb2="00000016" w:usb3="00000000" w:csb0="00040001" w:csb1="00000000"/>
    <w:embedRegular r:id="rId4" w:fontKey="{017DB345-6BB4-402A-A463-41F7D0566320}"/>
  </w:font>
  <w:font w:name="方正小标宋简体">
    <w:panose1 w:val="02000000000000000000"/>
    <w:charset w:val="86"/>
    <w:family w:val="auto"/>
    <w:pitch w:val="default"/>
    <w:sig w:usb0="00000001" w:usb1="08000000" w:usb2="00000000" w:usb3="00000000" w:csb0="00040000" w:csb1="00000000"/>
    <w:embedRegular r:id="rId5" w:fontKey="{725C901F-D122-4FC7-8694-3E81E2711B51}"/>
  </w:font>
  <w:font w:name="方正仿宋_GBK">
    <w:panose1 w:val="02000000000000000000"/>
    <w:charset w:val="86"/>
    <w:family w:val="auto"/>
    <w:pitch w:val="default"/>
    <w:sig w:usb0="00000001" w:usb1="080E0000" w:usb2="00000000" w:usb3="00000000" w:csb0="00040000" w:csb1="00000000"/>
    <w:embedRegular r:id="rId6" w:fontKey="{47BFE469-4D1F-4C05-915E-6DD116AE37DF}"/>
  </w:font>
  <w:font w:name="微软雅黑 Light">
    <w:panose1 w:val="020B0502040204020203"/>
    <w:charset w:val="86"/>
    <w:family w:val="auto"/>
    <w:pitch w:val="default"/>
    <w:sig w:usb0="80000287" w:usb1="2ACF0010" w:usb2="00000016" w:usb3="00000000" w:csb0="0004001F" w:csb1="00000000"/>
    <w:embedRegular r:id="rId7" w:fontKey="{ACAF1102-99DE-4E4B-8068-2071E1E30A88}"/>
  </w:font>
  <w:font w:name="方正仿宋_GB2312">
    <w:panose1 w:val="02000000000000000000"/>
    <w:charset w:val="86"/>
    <w:family w:val="auto"/>
    <w:pitch w:val="default"/>
    <w:sig w:usb0="A00002BF" w:usb1="184F6CFA" w:usb2="00000012" w:usb3="00000000" w:csb0="00040001" w:csb1="00000000"/>
    <w:embedRegular r:id="rId8" w:fontKey="{95B42C30-00C0-45C5-9B7F-108D1DBD0C99}"/>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A17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7D673">
                          <w:pPr>
                            <w:pStyle w:val="11"/>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27D673">
                    <w:pPr>
                      <w:pStyle w:val="11"/>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10A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AA980">
                          <w:pPr>
                            <w:pStyle w:val="11"/>
                          </w:pPr>
                          <w:r>
                            <w:fldChar w:fldCharType="begin"/>
                          </w:r>
                          <w:r>
                            <w:instrText xml:space="preserve"> PAGE  \* MERGEFORMAT </w:instrText>
                          </w:r>
                          <w:r>
                            <w:fldChar w:fldCharType="separate"/>
                          </w:r>
                          <w:r>
                            <w:t>- 13 -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2AA980">
                    <w:pPr>
                      <w:pStyle w:val="11"/>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AA8D">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74B493">
                          <w:pPr>
                            <w:pStyle w:val="11"/>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674B493">
                    <w:pPr>
                      <w:pStyle w:val="11"/>
                    </w:pPr>
                    <w:r>
                      <w:fldChar w:fldCharType="begin"/>
                    </w:r>
                    <w:r>
                      <w:instrText xml:space="preserve"> PAGE  \* MERGEFORMAT </w:instrText>
                    </w:r>
                    <w:r>
                      <w:fldChar w:fldCharType="separate"/>
                    </w:r>
                    <w:r>
                      <w:t>- 22 -</w:t>
                    </w:r>
                    <w:r>
                      <w:fldChar w:fldCharType="end"/>
                    </w:r>
                  </w:p>
                </w:txbxContent>
              </v:textbox>
            </v:shape>
          </w:pict>
        </mc:Fallback>
      </mc:AlternateContent>
    </w:r>
  </w:p>
  <w:p w14:paraId="45C7B1A7">
    <w:pPr>
      <w:pStyle w:val="11"/>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DAC3">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387326">
                          <w:pPr>
                            <w:pStyle w:val="11"/>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F387326">
                    <w:pPr>
                      <w:pStyle w:val="11"/>
                    </w:pPr>
                    <w:r>
                      <w:fldChar w:fldCharType="begin"/>
                    </w:r>
                    <w:r>
                      <w:instrText xml:space="preserve"> PAGE  \* MERGEFORMAT </w:instrText>
                    </w:r>
                    <w:r>
                      <w:fldChar w:fldCharType="separate"/>
                    </w:r>
                    <w:r>
                      <w:t>- 23 -</w:t>
                    </w:r>
                    <w:r>
                      <w:fldChar w:fldCharType="end"/>
                    </w:r>
                  </w:p>
                </w:txbxContent>
              </v:textbox>
            </v:shape>
          </w:pict>
        </mc:Fallback>
      </mc:AlternateContent>
    </w:r>
  </w:p>
  <w:p w14:paraId="447E2CA4">
    <w:pPr>
      <w:pStyle w:val="1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FB4B">
    <w:pPr>
      <w:pStyle w:val="11"/>
      <w:framePr w:wrap="around" w:vAnchor="text" w:hAnchor="margin" w:xAlign="center" w:y="1"/>
      <w:rPr>
        <w:rStyle w:val="22"/>
      </w:rPr>
    </w:pPr>
    <w:r>
      <w:fldChar w:fldCharType="begin"/>
    </w:r>
    <w:r>
      <w:rPr>
        <w:rStyle w:val="22"/>
      </w:rPr>
      <w:instrText xml:space="preserve">PAGE  </w:instrText>
    </w:r>
    <w:r>
      <w:fldChar w:fldCharType="end"/>
    </w:r>
  </w:p>
  <w:p w14:paraId="0C227E56">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3C3D">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3143B">
                          <w:pPr>
                            <w:pStyle w:val="11"/>
                          </w:pPr>
                          <w:r>
                            <w:fldChar w:fldCharType="begin"/>
                          </w:r>
                          <w:r>
                            <w:instrText xml:space="preserve"> PAGE  \* MERGEFORMAT </w:instrText>
                          </w:r>
                          <w:r>
                            <w:fldChar w:fldCharType="separate"/>
                          </w:r>
                          <w:r>
                            <w:t>- 41 -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353143B">
                    <w:pPr>
                      <w:pStyle w:val="1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52A3">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22F65">
                          <w:pPr>
                            <w:pStyle w:val="11"/>
                          </w:pPr>
                          <w:r>
                            <w:fldChar w:fldCharType="begin"/>
                          </w:r>
                          <w:r>
                            <w:instrText xml:space="preserve"> PAGE  \* MERGEFORMAT </w:instrText>
                          </w:r>
                          <w:r>
                            <w:fldChar w:fldCharType="separate"/>
                          </w:r>
                          <w:r>
                            <w:t>- 46 -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AE22F65">
                    <w:pPr>
                      <w:pStyle w:val="11"/>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4289">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7736">
                          <w:pPr>
                            <w:pStyle w:val="11"/>
                          </w:pPr>
                          <w:r>
                            <w:fldChar w:fldCharType="begin"/>
                          </w:r>
                          <w:r>
                            <w:instrText xml:space="preserve"> PAGE  \* MERGEFORMAT </w:instrText>
                          </w:r>
                          <w:r>
                            <w:fldChar w:fldCharType="separate"/>
                          </w:r>
                          <w:r>
                            <w:t>- 47 -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8A07736">
                    <w:pPr>
                      <w:pStyle w:val="11"/>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08A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6D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BD5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1C1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E035"/>
    <w:multiLevelType w:val="singleLevel"/>
    <w:tmpl w:val="97A6E035"/>
    <w:lvl w:ilvl="0" w:tentative="0">
      <w:start w:val="15"/>
      <w:numFmt w:val="decimal"/>
      <w:suff w:val="space"/>
      <w:lvlText w:val="%1."/>
      <w:lvlJc w:val="left"/>
    </w:lvl>
  </w:abstractNum>
  <w:abstractNum w:abstractNumId="1">
    <w:nsid w:val="076309D6"/>
    <w:multiLevelType w:val="multilevel"/>
    <w:tmpl w:val="076309D6"/>
    <w:lvl w:ilvl="0" w:tentative="0">
      <w:start w:val="1"/>
      <w:numFmt w:val="decimal"/>
      <w:lvlText w:val="%1."/>
      <w:lvlJc w:val="left"/>
      <w:pPr>
        <w:ind w:left="425" w:hanging="425"/>
      </w:pPr>
      <w:rPr>
        <w:b/>
        <w:sz w:val="22"/>
      </w:rPr>
    </w:lvl>
    <w:lvl w:ilvl="1" w:tentative="0">
      <w:start w:val="1"/>
      <w:numFmt w:val="decimal"/>
      <w:lvlText w:val="%1.%2."/>
      <w:lvlJc w:val="left"/>
      <w:pPr>
        <w:ind w:left="567" w:hanging="567"/>
      </w:pPr>
      <w:rPr>
        <w:b/>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10CA4EA8"/>
    <w:multiLevelType w:val="multilevel"/>
    <w:tmpl w:val="10CA4EA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13BF386F"/>
    <w:multiLevelType w:val="multilevel"/>
    <w:tmpl w:val="13BF386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B772DAE"/>
    <w:multiLevelType w:val="multilevel"/>
    <w:tmpl w:val="2B772DA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4FB4368"/>
    <w:multiLevelType w:val="multilevel"/>
    <w:tmpl w:val="34FB436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377D9FDF"/>
    <w:multiLevelType w:val="singleLevel"/>
    <w:tmpl w:val="377D9FDF"/>
    <w:lvl w:ilvl="0" w:tentative="0">
      <w:start w:val="1"/>
      <w:numFmt w:val="decimal"/>
      <w:suff w:val="nothing"/>
      <w:lvlText w:val="（%1）"/>
      <w:lvlJc w:val="left"/>
    </w:lvl>
  </w:abstractNum>
  <w:abstractNum w:abstractNumId="8">
    <w:nsid w:val="39621CEE"/>
    <w:multiLevelType w:val="multilevel"/>
    <w:tmpl w:val="39621CE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41D67BB4"/>
    <w:multiLevelType w:val="multilevel"/>
    <w:tmpl w:val="41D67BB4"/>
    <w:lvl w:ilvl="0" w:tentative="0">
      <w:start w:val="1"/>
      <w:numFmt w:val="decimal"/>
      <w:lvlText w:val="%1."/>
      <w:lvlJc w:val="left"/>
      <w:pPr>
        <w:ind w:left="425" w:hanging="425"/>
      </w:pPr>
      <w:rPr>
        <w:b/>
        <w:sz w:val="22"/>
      </w:rPr>
    </w:lvl>
    <w:lvl w:ilvl="1" w:tentative="0">
      <w:start w:val="1"/>
      <w:numFmt w:val="decimal"/>
      <w:lvlText w:val="%1.%2."/>
      <w:lvlJc w:val="left"/>
      <w:pPr>
        <w:ind w:left="567" w:hanging="567"/>
      </w:pPr>
      <w:rPr>
        <w:b/>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4853683B"/>
    <w:multiLevelType w:val="multilevel"/>
    <w:tmpl w:val="4853683B"/>
    <w:lvl w:ilvl="0" w:tentative="0">
      <w:start w:val="1"/>
      <w:numFmt w:val="decimal"/>
      <w:lvlText w:val="%1."/>
      <w:lvlJc w:val="left"/>
      <w:pPr>
        <w:ind w:left="425" w:hanging="425"/>
      </w:pPr>
      <w:rPr>
        <w:b/>
        <w:sz w:val="22"/>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57E8406D"/>
    <w:multiLevelType w:val="singleLevel"/>
    <w:tmpl w:val="57E8406D"/>
    <w:lvl w:ilvl="0" w:tentative="0">
      <w:start w:val="5"/>
      <w:numFmt w:val="decimal"/>
      <w:suff w:val="space"/>
      <w:lvlText w:val="第%1章"/>
      <w:lvlJc w:val="left"/>
    </w:lvl>
  </w:abstractNum>
  <w:abstractNum w:abstractNumId="12">
    <w:nsid w:val="65C2138B"/>
    <w:multiLevelType w:val="multilevel"/>
    <w:tmpl w:val="65C2138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6E5F126F"/>
    <w:multiLevelType w:val="multilevel"/>
    <w:tmpl w:val="6E5F126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78CE62D8"/>
    <w:multiLevelType w:val="singleLevel"/>
    <w:tmpl w:val="78CE62D8"/>
    <w:lvl w:ilvl="0" w:tentative="0">
      <w:start w:val="1"/>
      <w:numFmt w:val="decimal"/>
      <w:lvlText w:val="%1."/>
      <w:lvlJc w:val="left"/>
      <w:pPr>
        <w:tabs>
          <w:tab w:val="left" w:pos="312"/>
        </w:tabs>
      </w:pPr>
    </w:lvl>
  </w:abstractNum>
  <w:abstractNum w:abstractNumId="15">
    <w:nsid w:val="7C73F65A"/>
    <w:multiLevelType w:val="singleLevel"/>
    <w:tmpl w:val="7C73F65A"/>
    <w:lvl w:ilvl="0" w:tentative="0">
      <w:start w:val="1"/>
      <w:numFmt w:val="decimal"/>
      <w:suff w:val="nothing"/>
      <w:lvlText w:val="（%1）"/>
      <w:lvlJc w:val="left"/>
    </w:lvl>
  </w:abstractNum>
  <w:num w:numId="1">
    <w:abstractNumId w:val="0"/>
  </w:num>
  <w:num w:numId="2">
    <w:abstractNumId w:val="4"/>
  </w:num>
  <w:num w:numId="3">
    <w:abstractNumId w:val="7"/>
  </w:num>
  <w:num w:numId="4">
    <w:abstractNumId w:val="15"/>
  </w:num>
  <w:num w:numId="5">
    <w:abstractNumId w:val="11"/>
  </w:num>
  <w:num w:numId="6">
    <w:abstractNumId w:val="10"/>
  </w:num>
  <w:num w:numId="7">
    <w:abstractNumId w:val="9"/>
  </w:num>
  <w:num w:numId="8">
    <w:abstractNumId w:val="6"/>
  </w:num>
  <w:num w:numId="9">
    <w:abstractNumId w:val="1"/>
  </w:num>
  <w:num w:numId="10">
    <w:abstractNumId w:val="5"/>
  </w:num>
  <w:num w:numId="11">
    <w:abstractNumId w:val="3"/>
  </w:num>
  <w:num w:numId="12">
    <w:abstractNumId w:val="13"/>
  </w:num>
  <w:num w:numId="13">
    <w:abstractNumId w:val="2"/>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WYyZjI0NmM0YTVlMzdmNWJmN2FhZjBhNDFlN2MifQ=="/>
  </w:docVars>
  <w:rsids>
    <w:rsidRoot w:val="555B6FF8"/>
    <w:rsid w:val="0863057D"/>
    <w:rsid w:val="13C75ED7"/>
    <w:rsid w:val="14804C42"/>
    <w:rsid w:val="18422DAD"/>
    <w:rsid w:val="1B954BB7"/>
    <w:rsid w:val="2115788D"/>
    <w:rsid w:val="23C469FC"/>
    <w:rsid w:val="25056050"/>
    <w:rsid w:val="27BA1AAE"/>
    <w:rsid w:val="2F516050"/>
    <w:rsid w:val="3157320D"/>
    <w:rsid w:val="35DC5352"/>
    <w:rsid w:val="391223B0"/>
    <w:rsid w:val="423D53BA"/>
    <w:rsid w:val="4BDE1232"/>
    <w:rsid w:val="4FC83665"/>
    <w:rsid w:val="4FF04F56"/>
    <w:rsid w:val="555B6FF8"/>
    <w:rsid w:val="5BC47292"/>
    <w:rsid w:val="5C1E08E3"/>
    <w:rsid w:val="5EB53EE3"/>
    <w:rsid w:val="5FF00204"/>
    <w:rsid w:val="64B82DC0"/>
    <w:rsid w:val="6CE85F8F"/>
    <w:rsid w:val="6D3864A0"/>
    <w:rsid w:val="74265B2F"/>
    <w:rsid w:val="7672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widowControl/>
      <w:spacing w:before="120"/>
      <w:ind w:firstLine="3584"/>
    </w:pPr>
  </w:style>
  <w:style w:type="paragraph" w:styleId="7">
    <w:name w:val="Body Text"/>
    <w:basedOn w:val="1"/>
    <w:next w:val="1"/>
    <w:autoRedefine/>
    <w:qFormat/>
    <w:uiPriority w:val="0"/>
    <w:pPr>
      <w:tabs>
        <w:tab w:val="left" w:pos="567"/>
      </w:tabs>
      <w:spacing w:before="120" w:line="22" w:lineRule="atLeast"/>
    </w:pPr>
    <w:rPr>
      <w:rFonts w:ascii="宋体" w:hAnsi="宋体"/>
      <w:sz w:val="24"/>
    </w:rPr>
  </w:style>
  <w:style w:type="paragraph" w:styleId="8">
    <w:name w:val="Body Text Indent"/>
    <w:basedOn w:val="1"/>
    <w:autoRedefine/>
    <w:qFormat/>
    <w:uiPriority w:val="0"/>
    <w:pPr>
      <w:spacing w:line="360" w:lineRule="auto"/>
      <w:ind w:firstLine="570"/>
    </w:pPr>
    <w:rPr>
      <w:sz w:val="24"/>
    </w:rPr>
  </w:style>
  <w:style w:type="paragraph" w:styleId="9">
    <w:name w:val="Plain Text"/>
    <w:basedOn w:val="1"/>
    <w:next w:val="10"/>
    <w:autoRedefine/>
    <w:qFormat/>
    <w:uiPriority w:val="0"/>
    <w:rPr>
      <w:rFonts w:ascii="宋体" w:hAnsi="Courier New"/>
      <w:szCs w:val="20"/>
    </w:rPr>
  </w:style>
  <w:style w:type="paragraph" w:styleId="10">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11">
    <w:name w:val="footer"/>
    <w:basedOn w:val="1"/>
    <w:next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envelope return"/>
    <w:autoRedefine/>
    <w:qFormat/>
    <w:uiPriority w:val="99"/>
    <w:pPr>
      <w:widowControl w:val="0"/>
      <w:jc w:val="both"/>
    </w:pPr>
    <w:rPr>
      <w:rFonts w:ascii="Times New Roman" w:hAnsi="Times New Roman" w:eastAsia="微软雅黑" w:cs="Times New Roman"/>
      <w:kern w:val="2"/>
      <w:sz w:val="24"/>
      <w:szCs w:val="24"/>
      <w:lang w:val="en-US" w:eastAsia="zh-CN" w:bidi="ar-SA"/>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footnote text"/>
    <w:basedOn w:val="1"/>
    <w:autoRedefine/>
    <w:qFormat/>
    <w:uiPriority w:val="0"/>
    <w:pPr>
      <w:snapToGrid w:val="0"/>
      <w:jc w:val="left"/>
    </w:pPr>
    <w:rPr>
      <w:sz w:val="18"/>
    </w:rPr>
  </w:style>
  <w:style w:type="paragraph" w:styleId="16">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7">
    <w:name w:val="toc 2"/>
    <w:basedOn w:val="1"/>
    <w:next w:val="1"/>
    <w:autoRedefine/>
    <w:qFormat/>
    <w:uiPriority w:val="39"/>
    <w:pPr>
      <w:ind w:left="420" w:leftChars="200"/>
    </w:pPr>
  </w:style>
  <w:style w:type="paragraph" w:styleId="18">
    <w:name w:val="Body Text First Indent 2"/>
    <w:basedOn w:val="8"/>
    <w:autoRedefine/>
    <w:qFormat/>
    <w:uiPriority w:val="99"/>
    <w:pPr>
      <w:ind w:firstLine="420"/>
    </w:pPr>
    <w:rPr>
      <w:rFonts w:eastAsia="仿宋_GB2312"/>
      <w:spacing w:val="15"/>
      <w:kern w:val="1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paragraph" w:styleId="23">
    <w:name w:val="List Paragraph"/>
    <w:basedOn w:val="1"/>
    <w:autoRedefine/>
    <w:qFormat/>
    <w:uiPriority w:val="34"/>
    <w:pPr>
      <w:ind w:firstLine="420" w:firstLineChars="200"/>
    </w:pPr>
    <w:rPr>
      <w:rFonts w:ascii="Calibri" w:hAnsi="Calibri" w:eastAsia="宋体" w:cs="Times New Roman"/>
      <w:szCs w:val="22"/>
    </w:rPr>
  </w:style>
  <w:style w:type="table" w:customStyle="1" w:styleId="24">
    <w:name w:val="Table Normal"/>
    <w:autoRedefine/>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kern w:val="2"/>
      <w:sz w:val="24"/>
    </w:rPr>
  </w:style>
  <w:style w:type="paragraph" w:customStyle="1" w:styleId="27">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8">
    <w:name w:val="索引 11"/>
    <w:basedOn w:val="1"/>
    <w:next w:val="1"/>
    <w:autoRedefine/>
    <w:qFormat/>
    <w:uiPriority w:val="0"/>
    <w:pPr>
      <w:spacing w:line="360" w:lineRule="auto"/>
    </w:pPr>
    <w:rPr>
      <w:rFonts w:ascii="仿宋_GB2312" w:eastAsia="仿宋_GB2312"/>
      <w:sz w:val="24"/>
      <w:szCs w:val="20"/>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正文1"/>
    <w:basedOn w:val="1"/>
    <w:qFormat/>
    <w:uiPriority w:val="0"/>
    <w:pPr>
      <w:spacing w:line="360" w:lineRule="auto"/>
      <w:ind w:firstLine="200" w:firstLineChars="200"/>
    </w:pPr>
  </w:style>
  <w:style w:type="paragraph" w:customStyle="1" w:styleId="31">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88</Pages>
  <Words>52018</Words>
  <Characters>57755</Characters>
  <Lines>0</Lines>
  <Paragraphs>0</Paragraphs>
  <TotalTime>7</TotalTime>
  <ScaleCrop>false</ScaleCrop>
  <LinksUpToDate>false</LinksUpToDate>
  <CharactersWithSpaces>62486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2024-05-15T03:23:00Z</dcterms:created>
  <dc:creator>苏贺15026328789</dc:creator>
  <cp:lastModifiedBy>苏贺15026328789</cp:lastModifiedBy>
  <cp:lastPrinted>2024-08-23T04:46:00Z</cp:lastPrinted>
  <dcterms:modified xsi:type="dcterms:W3CDTF">2024-09-03T03:04:04Z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A6321B95DF544CCAAB590FAD2246673F_11</vt:lpwstr>
  </property>
</Properties>
</file>