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C519">
      <w:pPr>
        <w:widowControl/>
        <w:autoSpaceDE w:val="0"/>
        <w:autoSpaceDN w:val="0"/>
        <w:adjustRightInd w:val="0"/>
        <w:spacing w:before="240" w:line="360" w:lineRule="auto"/>
        <w:ind w:right="120"/>
        <w:jc w:val="right"/>
        <w:textAlignment w:val="baseline"/>
        <w:rPr>
          <w:rFonts w:hint="eastAsia" w:ascii="仿宋" w:hAnsi="仿宋" w:eastAsia="仿宋" w:cs="宋体"/>
          <w:b/>
          <w:bCs w:val="0"/>
          <w:color w:val="auto"/>
          <w:kern w:val="0"/>
          <w:sz w:val="24"/>
          <w:highlight w:val="none"/>
          <w:u w:color="000000"/>
          <w:lang w:eastAsia="zh-CN"/>
        </w:rPr>
      </w:pPr>
      <w:r>
        <w:rPr>
          <w:rFonts w:hint="eastAsia" w:ascii="仿宋" w:hAnsi="仿宋" w:eastAsia="仿宋" w:cs="宋体"/>
          <w:b/>
          <w:bCs w:val="0"/>
          <w:color w:val="auto"/>
          <w:kern w:val="0"/>
          <w:sz w:val="24"/>
          <w:highlight w:val="none"/>
          <w:u w:color="000000"/>
          <w:lang w:val="en-US" w:eastAsia="zh-CN"/>
        </w:rPr>
        <w:t xml:space="preserve"> </w:t>
      </w:r>
      <w:r>
        <w:rPr>
          <w:rFonts w:hint="eastAsia" w:ascii="仿宋" w:hAnsi="仿宋" w:eastAsia="仿宋" w:cs="宋体"/>
          <w:b/>
          <w:bCs w:val="0"/>
          <w:color w:val="auto"/>
          <w:kern w:val="0"/>
          <w:sz w:val="24"/>
          <w:highlight w:val="none"/>
          <w:u w:color="000000"/>
        </w:rPr>
        <w:t>项目编号：XJXCT2025-ZB-001</w:t>
      </w:r>
    </w:p>
    <w:p w14:paraId="613F6E5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4CE737E2">
      <w:pPr>
        <w:widowControl/>
        <w:autoSpaceDE w:val="0"/>
        <w:autoSpaceDN w:val="0"/>
        <w:adjustRightInd w:val="0"/>
        <w:spacing w:line="360" w:lineRule="auto"/>
        <w:jc w:val="center"/>
        <w:textAlignment w:val="baseline"/>
        <w:rPr>
          <w:rFonts w:hint="eastAsia" w:ascii="仿宋" w:hAnsi="仿宋" w:eastAsia="仿宋" w:cs="宋体"/>
          <w:b/>
          <w:color w:val="auto"/>
          <w:kern w:val="0"/>
          <w:sz w:val="32"/>
          <w:szCs w:val="32"/>
          <w:highlight w:val="none"/>
        </w:rPr>
      </w:pPr>
    </w:p>
    <w:p w14:paraId="5476351A">
      <w:pPr>
        <w:widowControl/>
        <w:spacing w:line="360" w:lineRule="auto"/>
        <w:jc w:val="center"/>
        <w:textAlignment w:val="baseline"/>
        <w:rPr>
          <w:rFonts w:ascii="仿宋" w:hAnsi="仿宋" w:eastAsia="仿宋"/>
          <w:b/>
          <w:color w:val="auto"/>
          <w:kern w:val="0"/>
          <w:sz w:val="36"/>
          <w:szCs w:val="36"/>
          <w:highlight w:val="none"/>
          <w:u w:color="000000"/>
        </w:rPr>
      </w:pPr>
      <w:r>
        <w:rPr>
          <w:rFonts w:hint="eastAsia" w:ascii="仿宋" w:hAnsi="仿宋" w:eastAsia="仿宋" w:cs="宋体"/>
          <w:b/>
          <w:color w:val="auto"/>
          <w:kern w:val="0"/>
          <w:sz w:val="56"/>
          <w:szCs w:val="56"/>
          <w:highlight w:val="none"/>
          <w:lang w:eastAsia="zh-CN"/>
        </w:rPr>
        <w:t>乌鲁木齐市沙依巴克区第一养老服务中心建设项目工程监理</w:t>
      </w:r>
    </w:p>
    <w:p w14:paraId="0FD99FAC">
      <w:pPr>
        <w:widowControl/>
        <w:spacing w:line="360" w:lineRule="auto"/>
        <w:ind w:firstLine="720" w:firstLineChars="200"/>
        <w:jc w:val="center"/>
        <w:textAlignment w:val="baseline"/>
        <w:rPr>
          <w:rFonts w:hint="eastAsia" w:ascii="仿宋" w:hAnsi="仿宋" w:eastAsia="仿宋"/>
          <w:b/>
          <w:color w:val="auto"/>
          <w:kern w:val="0"/>
          <w:sz w:val="36"/>
          <w:szCs w:val="36"/>
          <w:highlight w:val="none"/>
          <w:u w:color="000000"/>
        </w:rPr>
      </w:pPr>
    </w:p>
    <w:p w14:paraId="55DFFBCA">
      <w:pPr>
        <w:widowControl/>
        <w:spacing w:line="360" w:lineRule="auto"/>
        <w:ind w:firstLine="720" w:firstLineChars="200"/>
        <w:textAlignment w:val="baseline"/>
        <w:rPr>
          <w:rFonts w:hint="eastAsia" w:ascii="仿宋" w:hAnsi="仿宋" w:eastAsia="仿宋"/>
          <w:b/>
          <w:color w:val="auto"/>
          <w:kern w:val="0"/>
          <w:sz w:val="36"/>
          <w:szCs w:val="36"/>
          <w:highlight w:val="none"/>
          <w:u w:color="000000"/>
        </w:rPr>
      </w:pPr>
    </w:p>
    <w:p w14:paraId="0CCB49F4">
      <w:pPr>
        <w:widowControl/>
        <w:autoSpaceDE w:val="0"/>
        <w:autoSpaceDN w:val="0"/>
        <w:adjustRightInd w:val="0"/>
        <w:spacing w:line="360" w:lineRule="auto"/>
        <w:jc w:val="center"/>
        <w:textAlignment w:val="baseline"/>
        <w:rPr>
          <w:rFonts w:hint="eastAsia" w:ascii="仿宋" w:hAnsi="仿宋" w:eastAsia="仿宋" w:cs="宋体"/>
          <w:color w:val="auto"/>
          <w:kern w:val="0"/>
          <w:sz w:val="96"/>
          <w:szCs w:val="96"/>
          <w:highlight w:val="none"/>
          <w:u w:color="000000"/>
          <w:lang w:eastAsia="zh-CN"/>
        </w:rPr>
      </w:pPr>
      <w:r>
        <w:rPr>
          <w:rFonts w:hint="eastAsia" w:ascii="仿宋" w:hAnsi="仿宋" w:eastAsia="仿宋" w:cs="宋体"/>
          <w:color w:val="auto"/>
          <w:kern w:val="0"/>
          <w:sz w:val="96"/>
          <w:szCs w:val="96"/>
          <w:highlight w:val="none"/>
          <w:u w:color="000000"/>
          <w:lang w:eastAsia="zh-CN"/>
        </w:rPr>
        <w:t>竞争性磋商文件</w:t>
      </w:r>
    </w:p>
    <w:p w14:paraId="6DE0D9BF">
      <w:pPr>
        <w:widowControl/>
        <w:autoSpaceDE w:val="0"/>
        <w:autoSpaceDN w:val="0"/>
        <w:adjustRightInd w:val="0"/>
        <w:spacing w:line="360" w:lineRule="auto"/>
        <w:jc w:val="center"/>
        <w:textAlignment w:val="baseline"/>
        <w:rPr>
          <w:rFonts w:hint="eastAsia" w:ascii="仿宋" w:hAnsi="仿宋" w:eastAsia="仿宋" w:cs="宋体"/>
          <w:b/>
          <w:color w:val="auto"/>
          <w:kern w:val="0"/>
          <w:sz w:val="84"/>
          <w:szCs w:val="84"/>
          <w:highlight w:val="none"/>
          <w:u w:color="000000"/>
        </w:rPr>
      </w:pPr>
    </w:p>
    <w:p w14:paraId="660E78DC">
      <w:pPr>
        <w:widowControl/>
        <w:autoSpaceDE w:val="0"/>
        <w:autoSpaceDN w:val="0"/>
        <w:adjustRightInd w:val="0"/>
        <w:spacing w:line="360" w:lineRule="auto"/>
        <w:ind w:left="2830" w:leftChars="337" w:hanging="2123" w:hangingChars="775"/>
        <w:jc w:val="both"/>
        <w:rPr>
          <w:rFonts w:hint="eastAsia" w:ascii="仿宋" w:hAnsi="仿宋" w:eastAsia="仿宋" w:cs="宋体"/>
          <w:color w:val="auto"/>
          <w:kern w:val="0"/>
          <w:sz w:val="32"/>
          <w:szCs w:val="32"/>
          <w:highlight w:val="none"/>
          <w:u w:val="single"/>
        </w:rPr>
      </w:pPr>
      <w:r>
        <w:rPr>
          <w:rFonts w:hint="eastAsia" w:ascii="仿宋" w:hAnsi="仿宋" w:eastAsia="仿宋" w:cs="宋体"/>
          <w:b/>
          <w:color w:val="auto"/>
          <w:spacing w:val="1"/>
          <w:w w:val="85"/>
          <w:kern w:val="0"/>
          <w:sz w:val="32"/>
          <w:szCs w:val="32"/>
          <w:highlight w:val="none"/>
          <w:u w:color="000000"/>
          <w:fitText w:val="1926" w:id="2093234939"/>
        </w:rPr>
        <w:t>采购人（盖章）</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single"/>
          <w:lang w:eastAsia="zh-CN"/>
        </w:rPr>
        <w:t>乌鲁木齐市沙依巴克区民政局</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28"/>
          <w:szCs w:val="28"/>
          <w:highlight w:val="none"/>
          <w:u w:val="single"/>
          <w:lang w:val="en-US" w:eastAsia="zh-CN"/>
        </w:rPr>
        <w:t xml:space="preserve">        </w:t>
      </w:r>
      <w:r>
        <w:rPr>
          <w:rFonts w:hint="eastAsia" w:ascii="仿宋" w:hAnsi="仿宋" w:eastAsia="仿宋" w:cs="宋体"/>
          <w:color w:val="auto"/>
          <w:kern w:val="0"/>
          <w:sz w:val="28"/>
          <w:szCs w:val="28"/>
          <w:highlight w:val="none"/>
          <w:u w:val="single"/>
        </w:rPr>
        <w:t xml:space="preserve"> </w:t>
      </w:r>
    </w:p>
    <w:p w14:paraId="543F6F28">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2145528644"/>
        </w:rPr>
        <w:t>项目联系</w:t>
      </w:r>
      <w:r>
        <w:rPr>
          <w:rFonts w:hint="eastAsia" w:ascii="仿宋" w:hAnsi="仿宋" w:eastAsia="仿宋" w:cs="宋体"/>
          <w:b/>
          <w:color w:val="auto"/>
          <w:spacing w:val="3"/>
          <w:kern w:val="0"/>
          <w:sz w:val="32"/>
          <w:szCs w:val="32"/>
          <w:highlight w:val="none"/>
          <w:u w:color="000000"/>
          <w:fitText w:val="1926" w:id="2145528644"/>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b/>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雷志平                        </w:t>
      </w:r>
    </w:p>
    <w:p w14:paraId="20982634">
      <w:pPr>
        <w:widowControl/>
        <w:spacing w:after="240"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1977642652"/>
        </w:rPr>
        <w:t>联系电</w:t>
      </w:r>
      <w:r>
        <w:rPr>
          <w:rFonts w:hint="eastAsia" w:ascii="仿宋" w:hAnsi="仿宋" w:eastAsia="仿宋" w:cs="宋体"/>
          <w:b/>
          <w:color w:val="auto"/>
          <w:spacing w:val="2"/>
          <w:kern w:val="0"/>
          <w:sz w:val="32"/>
          <w:szCs w:val="32"/>
          <w:highlight w:val="none"/>
          <w:u w:color="000000"/>
          <w:fitText w:val="1926" w:id="1977642652"/>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18999909978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 xml:space="preserve">   </w:t>
      </w:r>
      <w:r>
        <w:rPr>
          <w:rFonts w:hint="eastAsia" w:ascii="仿宋" w:hAnsi="仿宋" w:eastAsia="仿宋" w:cs="宋体"/>
          <w:color w:val="auto"/>
          <w:kern w:val="0"/>
          <w:sz w:val="32"/>
          <w:szCs w:val="32"/>
          <w:highlight w:val="none"/>
          <w:u w:val="single"/>
        </w:rPr>
        <w:t xml:space="preserve">    </w:t>
      </w:r>
    </w:p>
    <w:p w14:paraId="07FE561C">
      <w:pPr>
        <w:widowControl/>
        <w:autoSpaceDE w:val="0"/>
        <w:autoSpaceDN w:val="0"/>
        <w:adjustRightInd w:val="0"/>
        <w:spacing w:line="360" w:lineRule="auto"/>
        <w:ind w:left="2195" w:leftChars="337" w:hanging="148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0"/>
          <w:w w:val="60"/>
          <w:kern w:val="0"/>
          <w:sz w:val="32"/>
          <w:szCs w:val="32"/>
          <w:highlight w:val="none"/>
          <w:u w:color="000000"/>
          <w:fitText w:val="1926" w:id="564877869"/>
        </w:rPr>
        <w:t>采购代理机构（盖章</w:t>
      </w:r>
      <w:r>
        <w:rPr>
          <w:rFonts w:hint="eastAsia" w:ascii="仿宋" w:hAnsi="仿宋" w:eastAsia="仿宋" w:cs="宋体"/>
          <w:b/>
          <w:color w:val="auto"/>
          <w:spacing w:val="-1"/>
          <w:w w:val="60"/>
          <w:kern w:val="0"/>
          <w:sz w:val="32"/>
          <w:szCs w:val="32"/>
          <w:highlight w:val="none"/>
          <w:u w:color="000000"/>
          <w:fitText w:val="1926" w:id="564877869"/>
        </w:rPr>
        <w:t>）</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新疆新诚泰工程咨询有限公司        </w:t>
      </w:r>
    </w:p>
    <w:p w14:paraId="433A3302">
      <w:pPr>
        <w:widowControl/>
        <w:autoSpaceDE w:val="0"/>
        <w:autoSpaceDN w:val="0"/>
        <w:adjustRightInd w:val="0"/>
        <w:spacing w:line="360" w:lineRule="auto"/>
        <w:ind w:left="3807" w:leftChars="337" w:hanging="3100"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40"/>
          <w:kern w:val="0"/>
          <w:sz w:val="32"/>
          <w:szCs w:val="32"/>
          <w:highlight w:val="none"/>
          <w:u w:color="000000"/>
          <w:fitText w:val="1926" w:id="554632689"/>
        </w:rPr>
        <w:t>项目联系</w:t>
      </w:r>
      <w:r>
        <w:rPr>
          <w:rFonts w:hint="eastAsia" w:ascii="仿宋" w:hAnsi="仿宋" w:eastAsia="仿宋" w:cs="宋体"/>
          <w:b/>
          <w:color w:val="auto"/>
          <w:spacing w:val="3"/>
          <w:kern w:val="0"/>
          <w:sz w:val="32"/>
          <w:szCs w:val="32"/>
          <w:highlight w:val="none"/>
          <w:u w:color="000000"/>
          <w:fitText w:val="1926" w:id="554632689"/>
        </w:rPr>
        <w:t>人</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陈梅</w:t>
      </w:r>
      <w:r>
        <w:rPr>
          <w:rFonts w:hint="eastAsia" w:ascii="仿宋" w:hAnsi="仿宋" w:eastAsia="仿宋" w:cs="宋体"/>
          <w:color w:val="auto"/>
          <w:kern w:val="0"/>
          <w:sz w:val="32"/>
          <w:szCs w:val="32"/>
          <w:highlight w:val="none"/>
          <w:u w:val="single"/>
        </w:rPr>
        <w:t xml:space="preserve">                            </w:t>
      </w:r>
    </w:p>
    <w:p w14:paraId="2AC3AE77">
      <w:pPr>
        <w:widowControl/>
        <w:autoSpaceDE w:val="0"/>
        <w:autoSpaceDN w:val="0"/>
        <w:adjustRightInd w:val="0"/>
        <w:spacing w:line="360" w:lineRule="auto"/>
        <w:ind w:left="4845" w:leftChars="337" w:hanging="4138" w:hangingChars="775"/>
        <w:jc w:val="both"/>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107"/>
          <w:kern w:val="0"/>
          <w:sz w:val="32"/>
          <w:szCs w:val="32"/>
          <w:highlight w:val="none"/>
          <w:u w:color="000000"/>
          <w:fitText w:val="1926" w:id="2135445335"/>
        </w:rPr>
        <w:t>联系电</w:t>
      </w:r>
      <w:r>
        <w:rPr>
          <w:rFonts w:hint="eastAsia" w:ascii="仿宋" w:hAnsi="仿宋" w:eastAsia="仿宋" w:cs="宋体"/>
          <w:b/>
          <w:color w:val="auto"/>
          <w:spacing w:val="2"/>
          <w:kern w:val="0"/>
          <w:sz w:val="32"/>
          <w:szCs w:val="32"/>
          <w:highlight w:val="none"/>
          <w:u w:color="000000"/>
          <w:fitText w:val="1926" w:id="2135445335"/>
        </w:rPr>
        <w:t>话</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lang w:val="en-US" w:eastAsia="zh-CN"/>
        </w:rPr>
        <w:t>15099525728</w:t>
      </w:r>
      <w:r>
        <w:rPr>
          <w:rFonts w:hint="eastAsia" w:ascii="仿宋" w:hAnsi="仿宋" w:eastAsia="仿宋" w:cs="宋体"/>
          <w:color w:val="auto"/>
          <w:kern w:val="0"/>
          <w:sz w:val="32"/>
          <w:szCs w:val="32"/>
          <w:highlight w:val="none"/>
          <w:u w:val="single"/>
        </w:rPr>
        <w:t xml:space="preserve">                     </w:t>
      </w:r>
    </w:p>
    <w:p w14:paraId="3008E3CC">
      <w:pPr>
        <w:widowControl/>
        <w:spacing w:line="360" w:lineRule="auto"/>
        <w:ind w:left="4179" w:leftChars="337" w:hanging="3472" w:hangingChars="775"/>
        <w:jc w:val="both"/>
        <w:textAlignment w:val="baseline"/>
        <w:rPr>
          <w:rFonts w:hint="eastAsia" w:ascii="仿宋" w:hAnsi="仿宋" w:eastAsia="仿宋" w:cs="宋体"/>
          <w:color w:val="auto"/>
          <w:kern w:val="0"/>
          <w:sz w:val="32"/>
          <w:szCs w:val="32"/>
          <w:highlight w:val="none"/>
          <w:u w:val="thick" w:color="000000"/>
        </w:rPr>
      </w:pPr>
      <w:r>
        <w:rPr>
          <w:rFonts w:hint="eastAsia" w:ascii="仿宋" w:hAnsi="仿宋" w:eastAsia="仿宋" w:cs="宋体"/>
          <w:b/>
          <w:color w:val="auto"/>
          <w:spacing w:val="64"/>
          <w:kern w:val="0"/>
          <w:sz w:val="32"/>
          <w:szCs w:val="32"/>
          <w:highlight w:val="none"/>
          <w:u w:color="000000"/>
          <w:fitText w:val="1926" w:id="958681613"/>
        </w:rPr>
        <w:t xml:space="preserve">日    </w:t>
      </w:r>
      <w:r>
        <w:rPr>
          <w:rFonts w:hint="eastAsia" w:ascii="仿宋" w:hAnsi="仿宋" w:eastAsia="仿宋" w:cs="宋体"/>
          <w:b/>
          <w:color w:val="auto"/>
          <w:spacing w:val="3"/>
          <w:kern w:val="0"/>
          <w:sz w:val="32"/>
          <w:szCs w:val="32"/>
          <w:highlight w:val="none"/>
          <w:u w:color="000000"/>
          <w:fitText w:val="1926" w:id="958681613"/>
        </w:rPr>
        <w:t>期</w:t>
      </w:r>
      <w:r>
        <w:rPr>
          <w:rFonts w:hint="eastAsia" w:ascii="仿宋" w:hAnsi="仿宋" w:eastAsia="仿宋" w:cs="宋体"/>
          <w:b/>
          <w:color w:val="auto"/>
          <w:kern w:val="0"/>
          <w:sz w:val="32"/>
          <w:szCs w:val="32"/>
          <w:highlight w:val="none"/>
          <w:u w:color="000000"/>
        </w:rPr>
        <w:t>：</w:t>
      </w:r>
      <w:r>
        <w:rPr>
          <w:rFonts w:hint="eastAsia" w:ascii="仿宋" w:hAnsi="仿宋" w:eastAsia="仿宋" w:cs="宋体"/>
          <w:color w:val="auto"/>
          <w:kern w:val="0"/>
          <w:sz w:val="32"/>
          <w:szCs w:val="32"/>
          <w:highlight w:val="none"/>
          <w:u w:val="single"/>
        </w:rPr>
        <w:t xml:space="preserve">  202</w:t>
      </w:r>
      <w:r>
        <w:rPr>
          <w:rFonts w:hint="eastAsia" w:ascii="仿宋" w:hAnsi="仿宋" w:eastAsia="仿宋" w:cs="宋体"/>
          <w:color w:val="auto"/>
          <w:kern w:val="0"/>
          <w:sz w:val="32"/>
          <w:szCs w:val="32"/>
          <w:highlight w:val="none"/>
          <w:u w:val="single"/>
          <w:lang w:val="en-US" w:eastAsia="zh-CN"/>
        </w:rPr>
        <w:t>5</w:t>
      </w:r>
      <w:r>
        <w:rPr>
          <w:rFonts w:hint="eastAsia" w:ascii="仿宋" w:hAnsi="仿宋" w:eastAsia="仿宋" w:cs="宋体"/>
          <w:color w:val="auto"/>
          <w:kern w:val="0"/>
          <w:sz w:val="32"/>
          <w:szCs w:val="32"/>
          <w:highlight w:val="none"/>
          <w:u w:val="single"/>
        </w:rPr>
        <w:t>年</w:t>
      </w:r>
      <w:r>
        <w:rPr>
          <w:rFonts w:hint="eastAsia" w:ascii="仿宋" w:hAnsi="仿宋" w:eastAsia="仿宋" w:cs="宋体"/>
          <w:color w:val="auto"/>
          <w:kern w:val="0"/>
          <w:sz w:val="32"/>
          <w:szCs w:val="32"/>
          <w:highlight w:val="none"/>
          <w:u w:val="single"/>
          <w:lang w:val="en-US" w:eastAsia="zh-CN"/>
        </w:rPr>
        <w:t>01</w:t>
      </w:r>
      <w:r>
        <w:rPr>
          <w:rFonts w:hint="eastAsia" w:ascii="仿宋" w:hAnsi="仿宋" w:eastAsia="仿宋" w:cs="宋体"/>
          <w:color w:val="auto"/>
          <w:kern w:val="0"/>
          <w:sz w:val="32"/>
          <w:szCs w:val="32"/>
          <w:highlight w:val="none"/>
          <w:u w:val="single"/>
        </w:rPr>
        <w:t xml:space="preserve">月                    </w:t>
      </w:r>
    </w:p>
    <w:p w14:paraId="0B6DDA4C">
      <w:pPr>
        <w:spacing w:line="240" w:lineRule="atLeast"/>
        <w:ind w:left="1361" w:leftChars="257" w:hanging="822" w:hangingChars="257"/>
        <w:jc w:val="center"/>
        <w:rPr>
          <w:rFonts w:hint="eastAsia" w:ascii="仿宋" w:hAnsi="仿宋" w:eastAsia="仿宋"/>
          <w:b/>
          <w:color w:val="auto"/>
          <w:sz w:val="32"/>
          <w:highlight w:val="none"/>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27147182">
      <w:pPr>
        <w:spacing w:line="240" w:lineRule="atLeast"/>
        <w:ind w:left="1361" w:leftChars="257" w:hanging="822" w:hangingChars="257"/>
        <w:jc w:val="center"/>
        <w:rPr>
          <w:rFonts w:hint="eastAsia" w:ascii="仿宋" w:hAnsi="仿宋" w:eastAsia="仿宋"/>
          <w:b/>
          <w:color w:val="auto"/>
          <w:sz w:val="32"/>
          <w:highlight w:val="none"/>
        </w:rPr>
      </w:pPr>
      <w:r>
        <w:rPr>
          <w:rFonts w:hint="eastAsia" w:ascii="仿宋" w:hAnsi="仿宋" w:eastAsia="仿宋"/>
          <w:b/>
          <w:color w:val="auto"/>
          <w:sz w:val="32"/>
          <w:highlight w:val="none"/>
        </w:rPr>
        <w:t>目  录</w:t>
      </w:r>
    </w:p>
    <w:p w14:paraId="5653431F">
      <w:pPr>
        <w:spacing w:line="240" w:lineRule="atLeast"/>
        <w:ind w:left="1079" w:leftChars="257" w:hanging="540"/>
        <w:jc w:val="center"/>
        <w:rPr>
          <w:rFonts w:hint="eastAsia" w:ascii="仿宋" w:hAnsi="仿宋" w:eastAsia="仿宋"/>
          <w:b/>
          <w:color w:val="auto"/>
          <w:sz w:val="32"/>
          <w:highlight w:val="none"/>
        </w:rPr>
      </w:pPr>
    </w:p>
    <w:p w14:paraId="5342CD42">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rFonts w:ascii="仿宋" w:hAnsi="仿宋" w:eastAsia="仿宋" w:cs="宋体"/>
          <w:color w:val="auto"/>
          <w:kern w:val="0"/>
          <w:sz w:val="24"/>
          <w:highlight w:val="none"/>
        </w:rPr>
        <w:fldChar w:fldCharType="begin"/>
      </w:r>
      <w:r>
        <w:rPr>
          <w:rFonts w:ascii="仿宋" w:hAnsi="仿宋" w:eastAsia="仿宋" w:cs="宋体"/>
          <w:color w:val="auto"/>
          <w:kern w:val="0"/>
          <w:sz w:val="24"/>
          <w:highlight w:val="none"/>
        </w:rPr>
        <w:instrText xml:space="preserve"> TOC \o "1-3" \h \z \u </w:instrText>
      </w:r>
      <w:r>
        <w:rPr>
          <w:rFonts w:ascii="仿宋" w:hAnsi="仿宋" w:eastAsia="仿宋" w:cs="宋体"/>
          <w:color w:val="auto"/>
          <w:kern w:val="0"/>
          <w:sz w:val="24"/>
          <w:highlight w:val="none"/>
        </w:rPr>
        <w:fldChar w:fldCharType="separate"/>
      </w:r>
      <w:r>
        <w:rPr>
          <w:color w:val="auto"/>
          <w:sz w:val="22"/>
          <w:szCs w:val="28"/>
          <w:highlight w:val="none"/>
        </w:rPr>
        <w:fldChar w:fldCharType="begin"/>
      </w:r>
      <w:r>
        <w:rPr>
          <w:color w:val="auto"/>
          <w:sz w:val="22"/>
          <w:szCs w:val="28"/>
          <w:highlight w:val="none"/>
        </w:rPr>
        <w:instrText xml:space="preserve"> HYPERLINK \l "_Toc133261367" </w:instrText>
      </w:r>
      <w:r>
        <w:rPr>
          <w:color w:val="auto"/>
          <w:sz w:val="22"/>
          <w:szCs w:val="28"/>
          <w:highlight w:val="none"/>
        </w:rPr>
        <w:fldChar w:fldCharType="separate"/>
      </w:r>
      <w:r>
        <w:rPr>
          <w:rStyle w:val="23"/>
          <w:rFonts w:hint="eastAsia" w:ascii="仿宋" w:hAnsi="仿宋" w:eastAsia="仿宋"/>
          <w:color w:val="auto"/>
          <w:sz w:val="28"/>
          <w:szCs w:val="28"/>
          <w:highlight w:val="none"/>
        </w:rPr>
        <w:t>第1章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_Toc133261367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4C94461">
      <w:pPr>
        <w:pStyle w:val="12"/>
        <w:tabs>
          <w:tab w:val="left" w:pos="1260"/>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"_Toc133261413" </w:instrText>
      </w:r>
      <w:r>
        <w:rPr>
          <w:color w:val="auto"/>
          <w:sz w:val="22"/>
          <w:szCs w:val="28"/>
          <w:highlight w:val="none"/>
        </w:rPr>
        <w:fldChar w:fldCharType="separate"/>
      </w:r>
      <w:r>
        <w:rPr>
          <w:rStyle w:val="23"/>
          <w:rFonts w:hint="eastAsia" w:ascii="仿宋" w:hAnsi="仿宋" w:eastAsia="仿宋"/>
          <w:color w:val="auto"/>
          <w:sz w:val="28"/>
          <w:szCs w:val="28"/>
          <w:highlight w:val="none"/>
        </w:rPr>
        <w:t>第2章</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响应文件格式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_Toc133261413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- 1</w:t>
      </w:r>
      <w:r>
        <w:rPr>
          <w:rFonts w:hint="eastAsia" w:ascii="仿宋" w:hAnsi="仿宋" w:eastAsia="仿宋"/>
          <w:color w:val="auto"/>
          <w:sz w:val="28"/>
          <w:szCs w:val="28"/>
          <w:highlight w:val="none"/>
          <w:lang w:val="en-US" w:eastAsia="zh-CN"/>
        </w:rPr>
        <w:t>5</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8510A30">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"_Toc133261441"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3</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竞争性磋商公告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51</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5800C22E">
      <w:pPr>
        <w:pStyle w:val="12"/>
        <w:tabs>
          <w:tab w:val="right" w:leader="dot" w:pos="8302"/>
        </w:tabs>
        <w:spacing w:line="480" w:lineRule="auto"/>
        <w:rPr>
          <w:rFonts w:hint="default" w:ascii="仿宋" w:hAnsi="仿宋" w:eastAsia="仿宋" w:cstheme="minorBidi"/>
          <w:color w:val="auto"/>
          <w:sz w:val="28"/>
          <w:szCs w:val="28"/>
          <w:highlight w:val="none"/>
          <w:lang w:val="en-US" w:eastAsia="zh-CN"/>
        </w:rPr>
      </w:pPr>
      <w:r>
        <w:rPr>
          <w:color w:val="auto"/>
          <w:sz w:val="22"/>
          <w:szCs w:val="28"/>
          <w:highlight w:val="none"/>
        </w:rPr>
        <w:fldChar w:fldCharType="begin"/>
      </w:r>
      <w:r>
        <w:rPr>
          <w:color w:val="auto"/>
          <w:sz w:val="22"/>
          <w:szCs w:val="28"/>
          <w:highlight w:val="none"/>
        </w:rPr>
        <w:instrText xml:space="preserve"> HYPERLINK \l "_Toc133261442"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4</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lang w:val="en-US" w:eastAsia="zh-CN"/>
        </w:rPr>
        <w:t xml:space="preserve"> </w:t>
      </w:r>
      <w:r>
        <w:rPr>
          <w:rStyle w:val="23"/>
          <w:rFonts w:hint="eastAsia" w:ascii="仿宋" w:hAnsi="仿宋" w:eastAsia="仿宋"/>
          <w:color w:val="auto"/>
          <w:sz w:val="28"/>
          <w:szCs w:val="28"/>
          <w:highlight w:val="none"/>
        </w:rPr>
        <w:t>供应商须知前附表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54</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0264A89">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"_Toc133261443"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5</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采购需求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_Toc133261443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- 5</w:t>
      </w:r>
      <w:r>
        <w:rPr>
          <w:rFonts w:hint="eastAsia" w:ascii="仿宋" w:hAnsi="仿宋" w:eastAsia="仿宋"/>
          <w:color w:val="auto"/>
          <w:sz w:val="28"/>
          <w:szCs w:val="28"/>
          <w:highlight w:val="none"/>
          <w:lang w:val="en-US" w:eastAsia="zh-CN"/>
        </w:rPr>
        <w:t>9</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48062BDB">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"_Toc133261478"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6</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评审方法和标准</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60</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FCD5257">
      <w:pPr>
        <w:pStyle w:val="12"/>
        <w:tabs>
          <w:tab w:val="right" w:leader="dot" w:pos="8302"/>
        </w:tabs>
        <w:spacing w:line="480" w:lineRule="auto"/>
        <w:rPr>
          <w:rFonts w:hint="eastAsia" w:ascii="仿宋" w:hAnsi="仿宋" w:eastAsia="仿宋" w:cstheme="minorBidi"/>
          <w:color w:val="auto"/>
          <w:sz w:val="28"/>
          <w:szCs w:val="28"/>
          <w:highlight w:val="none"/>
        </w:rPr>
      </w:pPr>
      <w:r>
        <w:rPr>
          <w:color w:val="auto"/>
          <w:sz w:val="22"/>
          <w:szCs w:val="28"/>
          <w:highlight w:val="none"/>
        </w:rPr>
        <w:fldChar w:fldCharType="begin"/>
      </w:r>
      <w:r>
        <w:rPr>
          <w:color w:val="auto"/>
          <w:sz w:val="22"/>
          <w:szCs w:val="28"/>
          <w:highlight w:val="none"/>
        </w:rPr>
        <w:instrText xml:space="preserve"> HYPERLINK \l "_Toc133261479" </w:instrText>
      </w:r>
      <w:r>
        <w:rPr>
          <w:color w:val="auto"/>
          <w:sz w:val="22"/>
          <w:szCs w:val="28"/>
          <w:highlight w:val="none"/>
        </w:rPr>
        <w:fldChar w:fldCharType="separate"/>
      </w:r>
      <w:r>
        <w:rPr>
          <w:rStyle w:val="23"/>
          <w:rFonts w:hint="eastAsia" w:ascii="仿宋" w:hAnsi="仿宋" w:eastAsia="仿宋"/>
          <w:color w:val="auto"/>
          <w:sz w:val="28"/>
          <w:szCs w:val="28"/>
          <w:highlight w:val="none"/>
        </w:rPr>
        <w:t>第</w:t>
      </w:r>
      <w:r>
        <w:rPr>
          <w:rStyle w:val="23"/>
          <w:rFonts w:ascii="仿宋" w:hAnsi="仿宋" w:eastAsia="仿宋"/>
          <w:color w:val="auto"/>
          <w:sz w:val="28"/>
          <w:szCs w:val="28"/>
          <w:highlight w:val="none"/>
        </w:rPr>
        <w:t>7</w:t>
      </w:r>
      <w:r>
        <w:rPr>
          <w:rStyle w:val="23"/>
          <w:rFonts w:hint="eastAsia" w:ascii="仿宋" w:hAnsi="仿宋" w:eastAsia="仿宋"/>
          <w:color w:val="auto"/>
          <w:sz w:val="28"/>
          <w:szCs w:val="28"/>
          <w:highlight w:val="none"/>
        </w:rPr>
        <w:t>章</w:t>
      </w:r>
      <w:r>
        <w:rPr>
          <w:rStyle w:val="23"/>
          <w:rFonts w:ascii="仿宋" w:hAnsi="仿宋" w:eastAsia="仿宋"/>
          <w:color w:val="auto"/>
          <w:sz w:val="28"/>
          <w:szCs w:val="28"/>
          <w:highlight w:val="none"/>
        </w:rPr>
        <w:t xml:space="preserve">  </w:t>
      </w:r>
      <w:r>
        <w:rPr>
          <w:rStyle w:val="23"/>
          <w:rFonts w:hint="eastAsia" w:ascii="仿宋" w:hAnsi="仿宋" w:eastAsia="仿宋"/>
          <w:color w:val="auto"/>
          <w:sz w:val="28"/>
          <w:szCs w:val="28"/>
          <w:highlight w:val="none"/>
        </w:rPr>
        <w:t>建设工程监理合同</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_Toc133261479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- 6</w:t>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t xml:space="preserve"> -</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65A5D516">
      <w:pPr>
        <w:pStyle w:val="2"/>
        <w:pageBreakBefore/>
        <w:numPr>
          <w:ilvl w:val="0"/>
          <w:numId w:val="1"/>
        </w:numPr>
        <w:tabs>
          <w:tab w:val="left" w:pos="0"/>
          <w:tab w:val="right" w:leader="dot" w:pos="142"/>
          <w:tab w:val="clear" w:pos="3134"/>
        </w:tabs>
        <w:spacing w:before="0" w:after="0" w:line="480" w:lineRule="auto"/>
        <w:ind w:left="5" w:leftChars="1" w:hanging="3" w:hangingChars="1"/>
        <w:rPr>
          <w:rFonts w:hint="eastAsia" w:ascii="仿宋" w:hAnsi="仿宋" w:eastAsia="仿宋"/>
          <w:color w:val="auto"/>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14:paraId="72DCAF04">
      <w:pPr>
        <w:pStyle w:val="2"/>
        <w:pageBreakBefore/>
        <w:numPr>
          <w:ilvl w:val="0"/>
          <w:numId w:val="1"/>
        </w:numPr>
        <w:tabs>
          <w:tab w:val="left" w:pos="0"/>
          <w:tab w:val="right" w:leader="dot" w:pos="142"/>
          <w:tab w:val="clear" w:pos="3134"/>
        </w:tabs>
        <w:spacing w:before="0" w:after="0" w:line="480" w:lineRule="auto"/>
        <w:ind w:left="4" w:leftChars="1" w:hanging="2" w:hangingChars="1"/>
        <w:rPr>
          <w:rFonts w:hint="eastAsia" w:ascii="仿宋" w:hAnsi="仿宋" w:eastAsia="仿宋"/>
          <w:color w:val="auto"/>
          <w:highlight w:val="none"/>
        </w:rPr>
      </w:pPr>
      <w:r>
        <w:rPr>
          <w:rFonts w:ascii="仿宋" w:hAnsi="仿宋" w:eastAsia="仿宋" w:cs="宋体"/>
          <w:color w:val="auto"/>
          <w:kern w:val="0"/>
          <w:sz w:val="24"/>
          <w:szCs w:val="24"/>
          <w:highlight w:val="none"/>
        </w:rPr>
        <w:fldChar w:fldCharType="end"/>
      </w:r>
      <w:bookmarkStart w:id="0" w:name="_Toc22782"/>
      <w:bookmarkStart w:id="1" w:name="_Toc17230"/>
      <w:bookmarkStart w:id="2" w:name="_Toc216582804"/>
      <w:r>
        <w:rPr>
          <w:rFonts w:ascii="仿宋" w:hAnsi="仿宋" w:eastAsia="仿宋"/>
          <w:color w:val="auto"/>
          <w:highlight w:val="none"/>
        </w:rPr>
        <w:t xml:space="preserve"> </w:t>
      </w:r>
      <w:r>
        <w:rPr>
          <w:rFonts w:hint="eastAsia" w:ascii="仿宋" w:hAnsi="仿宋" w:eastAsia="仿宋"/>
          <w:color w:val="auto"/>
          <w:highlight w:val="none"/>
        </w:rPr>
        <w:t xml:space="preserve"> </w:t>
      </w:r>
      <w:bookmarkStart w:id="3" w:name="_Toc532473448"/>
      <w:bookmarkStart w:id="4" w:name="_Toc515647756"/>
      <w:bookmarkStart w:id="5" w:name="_Toc133261367"/>
      <w:r>
        <w:rPr>
          <w:rFonts w:hint="eastAsia" w:ascii="仿宋" w:hAnsi="仿宋" w:eastAsia="仿宋"/>
          <w:color w:val="auto"/>
          <w:highlight w:val="none"/>
        </w:rPr>
        <w:t>供应商须知</w:t>
      </w:r>
      <w:bookmarkEnd w:id="0"/>
      <w:bookmarkEnd w:id="1"/>
      <w:bookmarkEnd w:id="2"/>
      <w:bookmarkEnd w:id="3"/>
      <w:bookmarkEnd w:id="4"/>
      <w:bookmarkEnd w:id="5"/>
    </w:p>
    <w:p w14:paraId="17331D5F">
      <w:pPr>
        <w:pStyle w:val="3"/>
        <w:spacing w:before="0" w:line="360" w:lineRule="auto"/>
        <w:ind w:left="1079" w:leftChars="257" w:hanging="540"/>
        <w:rPr>
          <w:rFonts w:hint="eastAsia" w:ascii="仿宋" w:hAnsi="仿宋" w:eastAsia="仿宋"/>
          <w:color w:val="auto"/>
          <w:sz w:val="28"/>
          <w:highlight w:val="none"/>
        </w:rPr>
      </w:pPr>
      <w:bookmarkStart w:id="6" w:name="_Toc515647757"/>
      <w:bookmarkStart w:id="7" w:name="_Toc216582805"/>
      <w:bookmarkStart w:id="8" w:name="_Toc520356143"/>
      <w:bookmarkStart w:id="9" w:name="_Toc532473449"/>
      <w:bookmarkStart w:id="10" w:name="_Toc21015"/>
      <w:bookmarkStart w:id="11" w:name="_Toc133261368"/>
      <w:bookmarkStart w:id="12" w:name="_Toc21215"/>
      <w:r>
        <w:rPr>
          <w:rFonts w:hint="eastAsia" w:ascii="仿宋" w:hAnsi="仿宋" w:eastAsia="仿宋"/>
          <w:color w:val="auto"/>
          <w:sz w:val="28"/>
          <w:highlight w:val="none"/>
        </w:rPr>
        <w:t xml:space="preserve">一   </w:t>
      </w:r>
      <w:bookmarkEnd w:id="6"/>
      <w:bookmarkEnd w:id="7"/>
      <w:bookmarkEnd w:id="8"/>
      <w:r>
        <w:rPr>
          <w:rFonts w:hint="eastAsia" w:ascii="仿宋" w:hAnsi="仿宋" w:eastAsia="仿宋"/>
          <w:color w:val="auto"/>
          <w:sz w:val="28"/>
          <w:highlight w:val="none"/>
        </w:rPr>
        <w:t>总 则</w:t>
      </w:r>
      <w:bookmarkEnd w:id="9"/>
      <w:bookmarkEnd w:id="10"/>
      <w:bookmarkEnd w:id="11"/>
      <w:bookmarkEnd w:id="12"/>
    </w:p>
    <w:p w14:paraId="1EFA952A">
      <w:pPr>
        <w:pStyle w:val="4"/>
        <w:spacing w:before="0" w:after="0" w:line="360" w:lineRule="auto"/>
        <w:rPr>
          <w:rFonts w:hint="eastAsia" w:ascii="仿宋" w:hAnsi="仿宋" w:eastAsia="仿宋"/>
          <w:color w:val="auto"/>
          <w:highlight w:val="none"/>
          <w:u w:val="none"/>
        </w:rPr>
      </w:pPr>
      <w:bookmarkStart w:id="13" w:name="_Toc520356144"/>
      <w:bookmarkStart w:id="14" w:name="_Toc515647758"/>
      <w:bookmarkStart w:id="15" w:name="_Toc32623"/>
      <w:bookmarkStart w:id="16" w:name="_Toc23783502"/>
      <w:bookmarkStart w:id="17" w:name="_Toc133261369"/>
      <w:bookmarkStart w:id="18" w:name="_Toc32189"/>
      <w:bookmarkStart w:id="19" w:name="_Toc532473450"/>
      <w:r>
        <w:rPr>
          <w:rFonts w:hint="eastAsia" w:ascii="仿宋" w:hAnsi="仿宋" w:eastAsia="仿宋"/>
          <w:color w:val="auto"/>
          <w:highlight w:val="none"/>
          <w:u w:val="none"/>
        </w:rPr>
        <w:t>1.采购人、采购</w:t>
      </w:r>
      <w:r>
        <w:rPr>
          <w:rFonts w:ascii="仿宋" w:hAnsi="仿宋" w:eastAsia="仿宋"/>
          <w:color w:val="auto"/>
          <w:highlight w:val="none"/>
          <w:u w:val="none"/>
        </w:rPr>
        <w:t>代理机构</w:t>
      </w:r>
      <w:r>
        <w:rPr>
          <w:rFonts w:hint="eastAsia" w:ascii="仿宋" w:hAnsi="仿宋" w:eastAsia="仿宋"/>
          <w:color w:val="auto"/>
          <w:highlight w:val="none"/>
          <w:u w:val="none"/>
        </w:rPr>
        <w:t>及</w:t>
      </w:r>
      <w:bookmarkEnd w:id="13"/>
      <w:r>
        <w:rPr>
          <w:rFonts w:hint="eastAsia" w:ascii="仿宋" w:hAnsi="仿宋" w:eastAsia="仿宋"/>
          <w:color w:val="auto"/>
          <w:highlight w:val="none"/>
          <w:u w:val="none"/>
        </w:rPr>
        <w:t>供应商</w:t>
      </w:r>
      <w:bookmarkEnd w:id="14"/>
      <w:bookmarkEnd w:id="15"/>
      <w:bookmarkEnd w:id="16"/>
      <w:bookmarkEnd w:id="17"/>
      <w:bookmarkEnd w:id="18"/>
      <w:bookmarkEnd w:id="19"/>
    </w:p>
    <w:p w14:paraId="0E3922F5">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1.1   </w:t>
      </w:r>
      <w:r>
        <w:rPr>
          <w:rFonts w:hint="eastAsia" w:ascii="仿宋" w:hAnsi="仿宋" w:eastAsia="仿宋"/>
          <w:color w:val="auto"/>
          <w:sz w:val="24"/>
          <w:highlight w:val="none"/>
        </w:rPr>
        <w:t>采购人：是指依法进行政府采购的国家机关、事业单位、团体组织。</w:t>
      </w:r>
    </w:p>
    <w:p w14:paraId="40FEDB68">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本项目的采购人见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0C340CC9">
      <w:pPr>
        <w:tabs>
          <w:tab w:val="left" w:pos="0"/>
        </w:tabs>
        <w:spacing w:line="360" w:lineRule="auto"/>
        <w:rPr>
          <w:rFonts w:hint="eastAsia" w:ascii="仿宋" w:hAnsi="仿宋" w:eastAsia="仿宋"/>
          <w:color w:val="auto"/>
          <w:sz w:val="24"/>
          <w:highlight w:val="none"/>
        </w:rPr>
      </w:pPr>
      <w:r>
        <w:rPr>
          <w:rFonts w:ascii="仿宋" w:hAnsi="仿宋" w:eastAsia="仿宋"/>
          <w:color w:val="auto"/>
          <w:sz w:val="24"/>
          <w:highlight w:val="none"/>
        </w:rPr>
        <w:t xml:space="preserve">1.2   </w:t>
      </w:r>
      <w:r>
        <w:rPr>
          <w:rFonts w:hint="eastAsia" w:ascii="仿宋" w:hAnsi="仿宋" w:eastAsia="仿宋"/>
          <w:color w:val="auto"/>
          <w:sz w:val="24"/>
          <w:highlight w:val="none"/>
        </w:rPr>
        <w:t>采购代理机构：是指集中采购机构或从事采购代理业务的社会中介机构。</w:t>
      </w:r>
    </w:p>
    <w:p w14:paraId="43DB32FE">
      <w:pPr>
        <w:tabs>
          <w:tab w:val="left" w:pos="0"/>
        </w:tabs>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本项目的采购代理机构见</w:t>
      </w:r>
      <w:r>
        <w:rPr>
          <w:rFonts w:hint="eastAsia" w:ascii="仿宋" w:hAnsi="仿宋" w:eastAsia="仿宋"/>
          <w:color w:val="auto"/>
          <w:sz w:val="24"/>
          <w:highlight w:val="none"/>
          <w:u w:val="single"/>
        </w:rPr>
        <w:t>供应商须知前</w:t>
      </w:r>
      <w:r>
        <w:rPr>
          <w:rFonts w:ascii="仿宋" w:hAnsi="仿宋" w:eastAsia="仿宋"/>
          <w:color w:val="auto"/>
          <w:sz w:val="24"/>
          <w:highlight w:val="none"/>
          <w:u w:val="single"/>
        </w:rPr>
        <w:t>附</w:t>
      </w:r>
      <w:r>
        <w:rPr>
          <w:rFonts w:hint="eastAsia" w:ascii="仿宋" w:hAnsi="仿宋" w:eastAsia="仿宋"/>
          <w:color w:val="auto"/>
          <w:sz w:val="24"/>
          <w:highlight w:val="none"/>
          <w:u w:val="single"/>
        </w:rPr>
        <w:t>表</w:t>
      </w:r>
      <w:r>
        <w:rPr>
          <w:rFonts w:hint="eastAsia" w:ascii="仿宋" w:hAnsi="仿宋" w:eastAsia="仿宋"/>
          <w:color w:val="auto"/>
          <w:sz w:val="24"/>
          <w:highlight w:val="none"/>
        </w:rPr>
        <w:t>。</w:t>
      </w:r>
    </w:p>
    <w:p w14:paraId="4B40080C">
      <w:pPr>
        <w:tabs>
          <w:tab w:val="left" w:pos="142"/>
        </w:tabs>
        <w:spacing w:line="360" w:lineRule="auto"/>
        <w:ind w:left="70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供应商</w:t>
      </w:r>
      <w:r>
        <w:rPr>
          <w:rFonts w:ascii="仿宋" w:hAnsi="仿宋" w:eastAsia="仿宋"/>
          <w:color w:val="auto"/>
          <w:sz w:val="24"/>
          <w:highlight w:val="none"/>
        </w:rPr>
        <w:t>：是指</w:t>
      </w:r>
      <w:r>
        <w:rPr>
          <w:rFonts w:hint="eastAsia" w:ascii="仿宋" w:hAnsi="仿宋" w:eastAsia="仿宋"/>
          <w:color w:val="auto"/>
          <w:sz w:val="24"/>
          <w:highlight w:val="none"/>
        </w:rPr>
        <w:t>响应竞标</w:t>
      </w:r>
      <w:r>
        <w:rPr>
          <w:rFonts w:ascii="仿宋" w:hAnsi="仿宋" w:eastAsia="仿宋"/>
          <w:color w:val="auto"/>
          <w:sz w:val="24"/>
          <w:highlight w:val="none"/>
        </w:rPr>
        <w:t>的法人、非法人组织或者自然人。</w:t>
      </w:r>
      <w:r>
        <w:rPr>
          <w:rFonts w:hint="eastAsia" w:ascii="仿宋" w:hAnsi="仿宋" w:eastAsia="仿宋"/>
          <w:color w:val="auto"/>
          <w:sz w:val="24"/>
          <w:highlight w:val="none"/>
        </w:rPr>
        <w:t>潜在供应商</w:t>
      </w:r>
      <w:r>
        <w:rPr>
          <w:rFonts w:ascii="仿宋" w:hAnsi="仿宋" w:eastAsia="仿宋"/>
          <w:color w:val="auto"/>
          <w:sz w:val="24"/>
          <w:highlight w:val="none"/>
        </w:rPr>
        <w:t>：</w:t>
      </w:r>
      <w:r>
        <w:rPr>
          <w:rFonts w:hint="eastAsia" w:ascii="仿宋" w:hAnsi="仿宋" w:eastAsia="仿宋"/>
          <w:color w:val="auto"/>
          <w:sz w:val="24"/>
          <w:highlight w:val="none"/>
        </w:rPr>
        <w:t>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获取本项目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的法人、非法人组织或者自然人。</w:t>
      </w:r>
    </w:p>
    <w:p w14:paraId="7281A307">
      <w:pPr>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t>的合格</w:t>
      </w:r>
      <w:r>
        <w:rPr>
          <w:rFonts w:hint="eastAsia" w:ascii="仿宋" w:hAnsi="仿宋" w:eastAsia="仿宋"/>
          <w:color w:val="auto"/>
          <w:sz w:val="24"/>
          <w:highlight w:val="none"/>
        </w:rPr>
        <w:t>供应商须满足以下条件：</w:t>
      </w:r>
    </w:p>
    <w:p w14:paraId="427B3A9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3.1</w:t>
      </w:r>
      <w:r>
        <w:rPr>
          <w:rFonts w:hint="eastAsia" w:ascii="仿宋" w:hAnsi="仿宋" w:eastAsia="仿宋"/>
          <w:color w:val="auto"/>
          <w:sz w:val="24"/>
          <w:highlight w:val="none"/>
        </w:rPr>
        <w:tab/>
      </w:r>
      <w:r>
        <w:rPr>
          <w:rFonts w:hint="eastAsia" w:ascii="仿宋" w:hAnsi="仿宋" w:eastAsia="仿宋"/>
          <w:color w:val="auto"/>
          <w:sz w:val="24"/>
          <w:highlight w:val="none"/>
        </w:rPr>
        <w:t>在中华人民共和国境内注册，能够独立承担民事责任，有能力承接服务的本国供应商。</w:t>
      </w:r>
    </w:p>
    <w:p w14:paraId="3B0CD786">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1.3.2  </w:t>
      </w:r>
      <w:r>
        <w:rPr>
          <w:rFonts w:hint="eastAsia" w:ascii="仿宋" w:hAnsi="仿宋" w:eastAsia="仿宋"/>
          <w:color w:val="auto"/>
          <w:sz w:val="24"/>
          <w:highlight w:val="none"/>
        </w:rPr>
        <w:t>具备《中华人民共和国政府采购法》第二十二条关于供应商条件的规定，遵守本项目采购人本级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政府采购的有关规定。</w:t>
      </w:r>
    </w:p>
    <w:p w14:paraId="76B4F30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.3  以</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w:t>
      </w:r>
      <w:r>
        <w:rPr>
          <w:rFonts w:ascii="仿宋" w:hAnsi="仿宋" w:eastAsia="仿宋"/>
          <w:color w:val="auto"/>
          <w:sz w:val="24"/>
          <w:highlight w:val="none"/>
        </w:rPr>
        <w:t>的方式</w:t>
      </w:r>
      <w:r>
        <w:rPr>
          <w:rFonts w:hint="eastAsia" w:ascii="仿宋" w:hAnsi="仿宋" w:eastAsia="仿宋"/>
          <w:color w:val="auto"/>
          <w:sz w:val="24"/>
          <w:highlight w:val="none"/>
        </w:rPr>
        <w:t>获得了本项目的</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w:t>
      </w:r>
    </w:p>
    <w:p w14:paraId="16DCABCA">
      <w:pPr>
        <w:spacing w:line="360" w:lineRule="auto"/>
        <w:ind w:left="900" w:hanging="900" w:hangingChars="375"/>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.4  符合</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中规定的合格供应商的其他资格要求</w:t>
      </w:r>
      <w:r>
        <w:rPr>
          <w:rFonts w:hint="eastAsia" w:ascii="仿宋" w:hAnsi="仿宋" w:eastAsia="仿宋"/>
          <w:color w:val="auto"/>
          <w:sz w:val="24"/>
          <w:highlight w:val="none"/>
          <w:lang w:eastAsia="zh-CN"/>
        </w:rPr>
        <w:t>。</w:t>
      </w:r>
    </w:p>
    <w:p w14:paraId="6426085C">
      <w:pPr>
        <w:spacing w:line="360" w:lineRule="auto"/>
        <w:ind w:left="840" w:hanging="840" w:hangingChars="35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 xml:space="preserve">  若</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中写明</w:t>
      </w:r>
      <w:r>
        <w:rPr>
          <w:rFonts w:ascii="仿宋" w:hAnsi="仿宋" w:eastAsia="仿宋"/>
          <w:color w:val="auto"/>
          <w:sz w:val="24"/>
          <w:highlight w:val="none"/>
        </w:rPr>
        <w:t>专门面向中小企业采购</w:t>
      </w:r>
      <w:r>
        <w:rPr>
          <w:rFonts w:hint="eastAsia" w:ascii="仿宋" w:hAnsi="仿宋" w:eastAsia="仿宋"/>
          <w:color w:val="auto"/>
          <w:sz w:val="24"/>
          <w:highlight w:val="none"/>
        </w:rPr>
        <w:t>的，如供应商为</w:t>
      </w:r>
      <w:r>
        <w:rPr>
          <w:rFonts w:ascii="仿宋" w:hAnsi="仿宋" w:eastAsia="仿宋"/>
          <w:color w:val="auto"/>
          <w:sz w:val="24"/>
          <w:highlight w:val="none"/>
        </w:rPr>
        <w:t>非中小企业</w:t>
      </w:r>
      <w:r>
        <w:rPr>
          <w:rFonts w:hint="eastAsia" w:ascii="仿宋" w:hAnsi="仿宋" w:eastAsia="仿宋"/>
          <w:color w:val="auto"/>
          <w:sz w:val="24"/>
          <w:highlight w:val="none"/>
        </w:rPr>
        <w:t>或承接服务全部内容为非中小企业，其竞标将被认定为</w:t>
      </w:r>
      <w:r>
        <w:rPr>
          <w:rFonts w:hint="eastAsia" w:ascii="仿宋" w:hAnsi="仿宋" w:eastAsia="仿宋"/>
          <w:b/>
          <w:bCs w:val="0"/>
          <w:color w:val="auto"/>
          <w:sz w:val="24"/>
          <w:highlight w:val="none"/>
        </w:rPr>
        <w:t>竞标无效</w:t>
      </w:r>
      <w:r>
        <w:rPr>
          <w:rFonts w:hint="eastAsia" w:ascii="仿宋" w:hAnsi="仿宋" w:eastAsia="仿宋"/>
          <w:color w:val="auto"/>
          <w:sz w:val="24"/>
          <w:highlight w:val="none"/>
        </w:rPr>
        <w:t>。</w:t>
      </w:r>
    </w:p>
    <w:p w14:paraId="221BA99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r>
        <w:rPr>
          <w:rFonts w:hint="eastAsia" w:ascii="仿宋" w:hAnsi="仿宋" w:eastAsia="仿宋"/>
          <w:color w:val="auto"/>
          <w:sz w:val="24"/>
          <w:highlight w:val="none"/>
        </w:rPr>
        <w:t xml:space="preserve">    本项目</w:t>
      </w:r>
      <w:r>
        <w:rPr>
          <w:rFonts w:hint="eastAsia" w:ascii="仿宋" w:hAnsi="仿宋" w:eastAsia="仿宋"/>
          <w:color w:val="auto"/>
          <w:sz w:val="24"/>
          <w:highlight w:val="none"/>
          <w:u w:val="single"/>
          <w:lang w:val="en-US" w:eastAsia="zh-CN"/>
        </w:rPr>
        <w:t>不</w:t>
      </w:r>
      <w:r>
        <w:rPr>
          <w:rFonts w:hint="eastAsia" w:ascii="仿宋" w:hAnsi="仿宋" w:eastAsia="仿宋"/>
          <w:color w:val="auto"/>
          <w:sz w:val="24"/>
          <w:highlight w:val="none"/>
          <w:u w:val="single"/>
        </w:rPr>
        <w:t>允许</w:t>
      </w:r>
      <w:r>
        <w:rPr>
          <w:rFonts w:hint="eastAsia" w:ascii="仿宋" w:hAnsi="仿宋" w:eastAsia="仿宋"/>
          <w:color w:val="auto"/>
          <w:sz w:val="24"/>
          <w:highlight w:val="none"/>
        </w:rPr>
        <w:t>联合体竞标。</w:t>
      </w:r>
    </w:p>
    <w:p w14:paraId="1A4686A3">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1.5    单位负责人为同一人或者存在直接控股、管理关系的不同供应商参与本项目同一合同项下的竞标的，其竞标将被认定为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29772E08">
      <w:pPr>
        <w:pStyle w:val="4"/>
        <w:spacing w:before="0" w:after="0" w:line="360" w:lineRule="auto"/>
        <w:rPr>
          <w:rFonts w:hint="eastAsia" w:ascii="仿宋" w:hAnsi="仿宋" w:eastAsia="仿宋"/>
          <w:color w:val="auto"/>
          <w:highlight w:val="none"/>
          <w:u w:val="none"/>
        </w:rPr>
      </w:pPr>
      <w:bookmarkStart w:id="20" w:name="_Toc23783503"/>
      <w:bookmarkStart w:id="21" w:name="_Toc5286"/>
      <w:bookmarkStart w:id="22" w:name="_Toc515647759"/>
      <w:bookmarkStart w:id="23" w:name="_Toc133261370"/>
      <w:bookmarkStart w:id="24" w:name="_Toc532473451"/>
      <w:bookmarkStart w:id="25" w:name="_Toc12139"/>
      <w:r>
        <w:rPr>
          <w:rFonts w:hint="eastAsia" w:ascii="仿宋" w:hAnsi="仿宋" w:eastAsia="仿宋"/>
          <w:color w:val="auto"/>
          <w:highlight w:val="none"/>
          <w:u w:val="none"/>
        </w:rPr>
        <w:t>2.资金来源</w:t>
      </w:r>
      <w:bookmarkEnd w:id="20"/>
      <w:bookmarkEnd w:id="21"/>
      <w:bookmarkEnd w:id="22"/>
      <w:bookmarkEnd w:id="23"/>
      <w:bookmarkEnd w:id="24"/>
      <w:bookmarkEnd w:id="25"/>
    </w:p>
    <w:p w14:paraId="5C2DAD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ab/>
      </w:r>
      <w:r>
        <w:rPr>
          <w:rFonts w:hint="eastAsia" w:ascii="仿宋" w:hAnsi="仿宋" w:eastAsia="仿宋"/>
          <w:color w:val="auto"/>
          <w:sz w:val="24"/>
          <w:highlight w:val="none"/>
        </w:rPr>
        <w:t>本项目的采购人已获得足以支付本次采购后所签订的合同项下的资金（包括财政性资金和本项目采购</w:t>
      </w:r>
      <w:r>
        <w:rPr>
          <w:rFonts w:ascii="仿宋" w:hAnsi="仿宋" w:eastAsia="仿宋"/>
          <w:color w:val="auto"/>
          <w:sz w:val="24"/>
          <w:highlight w:val="none"/>
        </w:rPr>
        <w:t>中无法</w:t>
      </w:r>
      <w:r>
        <w:rPr>
          <w:rFonts w:hint="eastAsia" w:ascii="仿宋" w:hAnsi="仿宋" w:eastAsia="仿宋"/>
          <w:color w:val="auto"/>
          <w:sz w:val="24"/>
          <w:highlight w:val="none"/>
        </w:rPr>
        <w:t>与</w:t>
      </w:r>
      <w:r>
        <w:rPr>
          <w:rFonts w:ascii="仿宋" w:hAnsi="仿宋" w:eastAsia="仿宋"/>
          <w:color w:val="auto"/>
          <w:sz w:val="24"/>
          <w:highlight w:val="none"/>
        </w:rPr>
        <w:t>财政性资金分割的非财政性资金</w:t>
      </w:r>
      <w:r>
        <w:rPr>
          <w:rFonts w:hint="eastAsia" w:ascii="仿宋" w:hAnsi="仿宋" w:eastAsia="仿宋"/>
          <w:color w:val="auto"/>
          <w:sz w:val="24"/>
          <w:highlight w:val="none"/>
        </w:rPr>
        <w:t>）。</w:t>
      </w:r>
    </w:p>
    <w:p w14:paraId="5F72EF2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    项目预算金额和最高限价见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574D1058">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2.3    供应商报价超过</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规定的预算金额或者最高限价的，其竞标将被认定为</w:t>
      </w:r>
      <w:r>
        <w:rPr>
          <w:rFonts w:hint="eastAsia" w:ascii="仿宋" w:hAnsi="仿宋" w:eastAsia="仿宋"/>
          <w:b/>
          <w:bCs/>
          <w:color w:val="auto"/>
          <w:sz w:val="24"/>
          <w:highlight w:val="none"/>
        </w:rPr>
        <w:t>竞标无效</w:t>
      </w:r>
      <w:r>
        <w:rPr>
          <w:rFonts w:ascii="仿宋" w:hAnsi="仿宋" w:eastAsia="仿宋"/>
          <w:color w:val="auto"/>
          <w:sz w:val="24"/>
          <w:highlight w:val="none"/>
        </w:rPr>
        <w:t>。</w:t>
      </w:r>
    </w:p>
    <w:p w14:paraId="4278D8C2">
      <w:pPr>
        <w:pStyle w:val="4"/>
        <w:spacing w:before="0" w:after="0" w:line="360" w:lineRule="auto"/>
        <w:rPr>
          <w:rFonts w:hint="eastAsia" w:ascii="仿宋" w:hAnsi="仿宋" w:eastAsia="仿宋"/>
          <w:color w:val="auto"/>
          <w:highlight w:val="none"/>
          <w:u w:val="none"/>
        </w:rPr>
      </w:pPr>
      <w:bookmarkStart w:id="26" w:name="_Toc23783504"/>
      <w:bookmarkStart w:id="27" w:name="_Toc532473452"/>
      <w:bookmarkStart w:id="28" w:name="_Toc20526"/>
      <w:bookmarkStart w:id="29" w:name="_Toc515647760"/>
      <w:bookmarkStart w:id="30" w:name="_Toc520356145"/>
      <w:bookmarkStart w:id="31" w:name="_Toc15936"/>
      <w:bookmarkStart w:id="32" w:name="_Toc133261371"/>
      <w:r>
        <w:rPr>
          <w:rFonts w:hint="eastAsia" w:ascii="仿宋" w:hAnsi="仿宋" w:eastAsia="仿宋"/>
          <w:color w:val="auto"/>
          <w:highlight w:val="none"/>
          <w:u w:val="none"/>
        </w:rPr>
        <w:t>3.竞标费用</w:t>
      </w:r>
      <w:bookmarkEnd w:id="26"/>
      <w:bookmarkEnd w:id="27"/>
      <w:bookmarkEnd w:id="28"/>
      <w:bookmarkEnd w:id="29"/>
      <w:bookmarkEnd w:id="30"/>
      <w:bookmarkEnd w:id="31"/>
      <w:bookmarkEnd w:id="32"/>
    </w:p>
    <w:p w14:paraId="31206DA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不论竞标的结果如何，供应商应承担所有与竞标有关的费用。</w:t>
      </w:r>
    </w:p>
    <w:p w14:paraId="441C98EF">
      <w:pPr>
        <w:pStyle w:val="4"/>
        <w:spacing w:before="0" w:after="0" w:line="360" w:lineRule="auto"/>
        <w:rPr>
          <w:rFonts w:hint="eastAsia" w:ascii="仿宋" w:hAnsi="仿宋" w:eastAsia="仿宋"/>
          <w:color w:val="auto"/>
          <w:highlight w:val="none"/>
          <w:u w:val="none"/>
        </w:rPr>
      </w:pPr>
      <w:bookmarkStart w:id="33" w:name="_Toc515647761"/>
      <w:bookmarkStart w:id="34" w:name="_Toc23783505"/>
      <w:bookmarkStart w:id="35" w:name="_Toc6116"/>
      <w:bookmarkStart w:id="36" w:name="_Toc133261372"/>
      <w:bookmarkStart w:id="37" w:name="_Toc4463"/>
      <w:bookmarkStart w:id="38" w:name="_Toc532473453"/>
      <w:r>
        <w:rPr>
          <w:rFonts w:hint="eastAsia" w:ascii="仿宋" w:hAnsi="仿宋" w:eastAsia="仿宋"/>
          <w:color w:val="auto"/>
          <w:highlight w:val="none"/>
          <w:u w:val="none"/>
        </w:rPr>
        <w:t>4.适用法律</w:t>
      </w:r>
      <w:bookmarkEnd w:id="33"/>
      <w:bookmarkEnd w:id="34"/>
      <w:bookmarkEnd w:id="35"/>
      <w:bookmarkEnd w:id="36"/>
      <w:bookmarkEnd w:id="37"/>
      <w:bookmarkEnd w:id="38"/>
    </w:p>
    <w:p w14:paraId="1823D1CF">
      <w:pPr>
        <w:spacing w:line="360" w:lineRule="auto"/>
        <w:ind w:left="850" w:leftChars="-1" w:hanging="852" w:hangingChars="35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本项目采购人、</w:t>
      </w:r>
      <w:r>
        <w:rPr>
          <w:rFonts w:ascii="仿宋" w:hAnsi="仿宋" w:eastAsia="仿宋"/>
          <w:color w:val="auto"/>
          <w:sz w:val="24"/>
          <w:highlight w:val="none"/>
        </w:rPr>
        <w:t>采购代理机构</w:t>
      </w:r>
      <w:r>
        <w:rPr>
          <w:rFonts w:hint="eastAsia" w:ascii="仿宋" w:hAnsi="仿宋" w:eastAsia="仿宋"/>
          <w:color w:val="auto"/>
          <w:sz w:val="24"/>
          <w:highlight w:val="none"/>
        </w:rPr>
        <w:t>、供应商、评标委员会的相关行为均受《中华人民共和国政府采购法》、《</w:t>
      </w:r>
      <w:r>
        <w:rPr>
          <w:rFonts w:ascii="仿宋" w:hAnsi="仿宋" w:eastAsia="仿宋"/>
          <w:color w:val="auto"/>
          <w:sz w:val="24"/>
          <w:highlight w:val="none"/>
        </w:rPr>
        <w:t>中华人民共和国政府采购法实施条例》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政府采购有关规定的约束和保护。</w:t>
      </w:r>
    </w:p>
    <w:p w14:paraId="3134A287">
      <w:pPr>
        <w:spacing w:line="360" w:lineRule="auto"/>
        <w:rPr>
          <w:rFonts w:hint="eastAsia" w:ascii="仿宋" w:hAnsi="仿宋" w:eastAsia="仿宋"/>
          <w:color w:val="auto"/>
          <w:sz w:val="24"/>
          <w:highlight w:val="none"/>
        </w:rPr>
      </w:pPr>
    </w:p>
    <w:p w14:paraId="4B4BF4F3">
      <w:pPr>
        <w:pStyle w:val="3"/>
        <w:spacing w:before="0" w:line="360" w:lineRule="auto"/>
        <w:ind w:left="1079" w:leftChars="257" w:hanging="540"/>
        <w:rPr>
          <w:rFonts w:hint="eastAsia" w:ascii="仿宋" w:hAnsi="仿宋" w:eastAsia="仿宋"/>
          <w:color w:val="auto"/>
          <w:sz w:val="28"/>
          <w:highlight w:val="none"/>
          <w:lang w:eastAsia="zh-CN"/>
        </w:rPr>
      </w:pPr>
      <w:bookmarkStart w:id="39" w:name="_Toc216582806"/>
      <w:bookmarkStart w:id="40" w:name="_Toc515647762"/>
      <w:bookmarkStart w:id="41" w:name="_Toc4365"/>
      <w:bookmarkStart w:id="42" w:name="_Toc21566"/>
      <w:bookmarkStart w:id="43" w:name="_Toc520356146"/>
      <w:bookmarkStart w:id="44" w:name="_Toc532473454"/>
      <w:bookmarkStart w:id="45" w:name="_Toc133261373"/>
      <w:r>
        <w:rPr>
          <w:rFonts w:hint="eastAsia" w:ascii="仿宋" w:hAnsi="仿宋" w:eastAsia="仿宋"/>
          <w:color w:val="auto"/>
          <w:sz w:val="28"/>
          <w:highlight w:val="none"/>
        </w:rPr>
        <w:t xml:space="preserve">二   </w:t>
      </w:r>
      <w:bookmarkEnd w:id="39"/>
      <w:bookmarkEnd w:id="40"/>
      <w:bookmarkEnd w:id="41"/>
      <w:bookmarkEnd w:id="42"/>
      <w:bookmarkEnd w:id="43"/>
      <w:bookmarkEnd w:id="44"/>
      <w:bookmarkEnd w:id="45"/>
      <w:r>
        <w:rPr>
          <w:rFonts w:hint="eastAsia" w:ascii="仿宋" w:hAnsi="仿宋" w:eastAsia="仿宋"/>
          <w:color w:val="auto"/>
          <w:sz w:val="28"/>
          <w:highlight w:val="none"/>
          <w:lang w:eastAsia="zh-CN"/>
        </w:rPr>
        <w:t>竞争性磋商文件</w:t>
      </w:r>
    </w:p>
    <w:p w14:paraId="3C00FB4C">
      <w:pPr>
        <w:pStyle w:val="5"/>
        <w:spacing w:line="360" w:lineRule="auto"/>
        <w:rPr>
          <w:rFonts w:hint="eastAsia" w:ascii="仿宋" w:hAnsi="仿宋" w:eastAsia="仿宋"/>
          <w:color w:val="auto"/>
          <w:highlight w:val="none"/>
        </w:rPr>
      </w:pPr>
    </w:p>
    <w:p w14:paraId="0CB57777">
      <w:pPr>
        <w:pStyle w:val="4"/>
        <w:spacing w:before="0" w:after="0" w:line="360" w:lineRule="auto"/>
        <w:rPr>
          <w:rFonts w:hint="eastAsia" w:ascii="仿宋" w:hAnsi="仿宋" w:eastAsia="仿宋"/>
          <w:color w:val="auto"/>
          <w:highlight w:val="none"/>
          <w:u w:val="none"/>
        </w:rPr>
      </w:pPr>
      <w:bookmarkStart w:id="46" w:name="_Toc515647763"/>
      <w:bookmarkStart w:id="47" w:name="_Toc532473455"/>
      <w:bookmarkStart w:id="48" w:name="_Toc23783507"/>
      <w:bookmarkStart w:id="49" w:name="_Toc25743"/>
      <w:bookmarkStart w:id="50" w:name="_Toc14084"/>
      <w:bookmarkStart w:id="51" w:name="_Toc133261374"/>
      <w:bookmarkStart w:id="52" w:name="_Toc520356147"/>
      <w:r>
        <w:rPr>
          <w:rFonts w:hint="eastAsia" w:ascii="仿宋" w:hAnsi="仿宋" w:eastAsia="仿宋"/>
          <w:color w:val="auto"/>
          <w:highlight w:val="none"/>
          <w:u w:val="none"/>
        </w:rPr>
        <w:t>5.</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构成</w:t>
      </w:r>
      <w:bookmarkEnd w:id="46"/>
      <w:bookmarkEnd w:id="47"/>
      <w:bookmarkEnd w:id="48"/>
      <w:bookmarkEnd w:id="49"/>
      <w:bookmarkEnd w:id="50"/>
      <w:bookmarkEnd w:id="51"/>
      <w:bookmarkEnd w:id="52"/>
    </w:p>
    <w:p w14:paraId="28B4D67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5.1</w:t>
      </w:r>
      <w:r>
        <w:rPr>
          <w:rFonts w:hint="eastAsia"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共分为7章，构成如下：</w:t>
      </w:r>
    </w:p>
    <w:p w14:paraId="3C936818">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w:t>
      </w:r>
    </w:p>
    <w:p w14:paraId="7E0D3FA6">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响应文件格式</w:t>
      </w:r>
    </w:p>
    <w:p w14:paraId="5D4FC8D3">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竞争性磋商公告</w:t>
      </w:r>
    </w:p>
    <w:p w14:paraId="58D83ADD">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供应商须知前附表</w:t>
      </w:r>
    </w:p>
    <w:p w14:paraId="7A5725EB">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采购需求</w:t>
      </w:r>
    </w:p>
    <w:p w14:paraId="7C56AF50">
      <w:pPr>
        <w:numPr>
          <w:ilvl w:val="0"/>
          <w:numId w:val="2"/>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评审方法和标准</w:t>
      </w:r>
    </w:p>
    <w:p w14:paraId="7A422872">
      <w:pPr>
        <w:numPr>
          <w:ilvl w:val="0"/>
          <w:numId w:val="0"/>
        </w:numPr>
        <w:spacing w:line="360" w:lineRule="auto"/>
        <w:ind w:leftChars="429"/>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第7章 </w:t>
      </w:r>
      <w:r>
        <w:rPr>
          <w:rFonts w:hint="eastAsia" w:ascii="仿宋" w:hAnsi="仿宋" w:eastAsia="仿宋"/>
          <w:color w:val="auto"/>
          <w:sz w:val="24"/>
          <w:highlight w:val="none"/>
          <w:lang w:eastAsia="zh-CN"/>
        </w:rPr>
        <w:t>建设工程监理合同</w:t>
      </w:r>
    </w:p>
    <w:p w14:paraId="59C4896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中有不一致的，有澄清的部分</w:t>
      </w:r>
      <w:r>
        <w:rPr>
          <w:rFonts w:hint="eastAsia" w:ascii="仿宋" w:hAnsi="仿宋" w:eastAsia="仿宋"/>
          <w:color w:val="auto"/>
          <w:sz w:val="24"/>
          <w:highlight w:val="none"/>
        </w:rPr>
        <w:t>以</w:t>
      </w:r>
      <w:r>
        <w:rPr>
          <w:rFonts w:ascii="仿宋" w:hAnsi="仿宋" w:eastAsia="仿宋"/>
          <w:color w:val="auto"/>
          <w:sz w:val="24"/>
          <w:highlight w:val="none"/>
        </w:rPr>
        <w:t>最终的澄清更正内容为准</w:t>
      </w:r>
      <w:r>
        <w:rPr>
          <w:rFonts w:hint="eastAsia" w:ascii="仿宋" w:hAnsi="仿宋" w:eastAsia="仿宋"/>
          <w:color w:val="auto"/>
          <w:sz w:val="24"/>
          <w:highlight w:val="none"/>
        </w:rPr>
        <w:t>；未澄清的，</w:t>
      </w:r>
      <w:r>
        <w:rPr>
          <w:rFonts w:ascii="仿宋" w:hAnsi="仿宋" w:eastAsia="仿宋"/>
          <w:color w:val="auto"/>
          <w:sz w:val="24"/>
          <w:highlight w:val="none"/>
        </w:rPr>
        <w:t>以供应商须知</w:t>
      </w:r>
      <w:r>
        <w:rPr>
          <w:rFonts w:hint="eastAsia" w:ascii="仿宋" w:hAnsi="仿宋" w:eastAsia="仿宋"/>
          <w:color w:val="auto"/>
          <w:sz w:val="24"/>
          <w:highlight w:val="none"/>
        </w:rPr>
        <w:t>前附表</w:t>
      </w:r>
      <w:r>
        <w:rPr>
          <w:rFonts w:ascii="仿宋" w:hAnsi="仿宋" w:eastAsia="仿宋"/>
          <w:color w:val="auto"/>
          <w:sz w:val="24"/>
          <w:highlight w:val="none"/>
        </w:rPr>
        <w:t>为准</w:t>
      </w:r>
      <w:r>
        <w:rPr>
          <w:rFonts w:hint="eastAsia" w:ascii="仿宋" w:hAnsi="仿宋" w:eastAsia="仿宋"/>
          <w:color w:val="auto"/>
          <w:sz w:val="24"/>
          <w:highlight w:val="none"/>
        </w:rPr>
        <w:t>；</w:t>
      </w:r>
      <w:r>
        <w:rPr>
          <w:rFonts w:ascii="仿宋" w:hAnsi="仿宋" w:eastAsia="仿宋"/>
          <w:color w:val="auto"/>
          <w:sz w:val="24"/>
          <w:highlight w:val="none"/>
        </w:rPr>
        <w:t>供应商须知</w:t>
      </w:r>
      <w:r>
        <w:rPr>
          <w:rFonts w:hint="eastAsia" w:ascii="仿宋" w:hAnsi="仿宋" w:eastAsia="仿宋"/>
          <w:color w:val="auto"/>
          <w:sz w:val="24"/>
          <w:highlight w:val="none"/>
        </w:rPr>
        <w:t>前附表不涉及的内容，以编排在后的最后描述为准。</w:t>
      </w:r>
    </w:p>
    <w:p w14:paraId="63D7DA7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5.3    供应商应认真阅读</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所有的事项、格式、条款和技术规范等。如供应商没有按照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要求提交全部资料，或者响应文件没有对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6AE5850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5.4    </w:t>
      </w:r>
      <w:r>
        <w:rPr>
          <w:rFonts w:ascii="仿宋" w:hAnsi="仿宋" w:eastAsia="仿宋"/>
          <w:color w:val="auto"/>
          <w:sz w:val="24"/>
          <w:highlight w:val="none"/>
        </w:rPr>
        <w:t>现场考察或者答疑会</w:t>
      </w:r>
      <w:r>
        <w:rPr>
          <w:rFonts w:hint="eastAsia" w:ascii="仿宋" w:hAnsi="仿宋" w:eastAsia="仿宋"/>
          <w:color w:val="auto"/>
          <w:sz w:val="24"/>
          <w:highlight w:val="none"/>
        </w:rPr>
        <w:t>及相关</w:t>
      </w:r>
      <w:r>
        <w:rPr>
          <w:rFonts w:ascii="仿宋" w:hAnsi="仿宋" w:eastAsia="仿宋"/>
          <w:color w:val="auto"/>
          <w:sz w:val="24"/>
          <w:highlight w:val="none"/>
        </w:rPr>
        <w:t>事项</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4694EC59">
      <w:pPr>
        <w:pStyle w:val="4"/>
        <w:spacing w:before="0" w:after="0" w:line="360" w:lineRule="auto"/>
        <w:rPr>
          <w:rFonts w:hint="eastAsia" w:ascii="仿宋" w:hAnsi="仿宋" w:eastAsia="仿宋"/>
          <w:color w:val="auto"/>
          <w:highlight w:val="none"/>
          <w:u w:val="none"/>
        </w:rPr>
      </w:pPr>
      <w:bookmarkStart w:id="53" w:name="_Toc520356148"/>
      <w:bookmarkStart w:id="54" w:name="_Toc515904805"/>
      <w:bookmarkStart w:id="55" w:name="_Toc532473456"/>
      <w:bookmarkStart w:id="56" w:name="_Toc23783508"/>
      <w:bookmarkStart w:id="57" w:name="_Toc26044"/>
      <w:bookmarkStart w:id="58" w:name="_Toc9232"/>
      <w:bookmarkStart w:id="59" w:name="_Toc133261375"/>
      <w:r>
        <w:rPr>
          <w:rFonts w:hint="eastAsia" w:ascii="仿宋" w:hAnsi="仿宋" w:eastAsia="仿宋"/>
          <w:color w:val="auto"/>
          <w:highlight w:val="none"/>
          <w:u w:val="none"/>
        </w:rPr>
        <w:t xml:space="preserve">6. </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的澄清</w:t>
      </w:r>
      <w:bookmarkEnd w:id="53"/>
      <w:bookmarkEnd w:id="54"/>
      <w:r>
        <w:rPr>
          <w:rFonts w:hint="eastAsia" w:ascii="仿宋" w:hAnsi="仿宋" w:eastAsia="仿宋"/>
          <w:color w:val="auto"/>
          <w:highlight w:val="none"/>
          <w:u w:val="none"/>
        </w:rPr>
        <w:t>与</w:t>
      </w:r>
      <w:r>
        <w:rPr>
          <w:rFonts w:ascii="仿宋" w:hAnsi="仿宋" w:eastAsia="仿宋"/>
          <w:color w:val="auto"/>
          <w:highlight w:val="none"/>
          <w:u w:val="none"/>
        </w:rPr>
        <w:t>修改</w:t>
      </w:r>
      <w:bookmarkEnd w:id="55"/>
      <w:bookmarkEnd w:id="56"/>
      <w:bookmarkEnd w:id="57"/>
      <w:bookmarkEnd w:id="58"/>
      <w:bookmarkEnd w:id="59"/>
    </w:p>
    <w:p w14:paraId="5A3BF288">
      <w:pPr>
        <w:pStyle w:val="5"/>
        <w:spacing w:line="360" w:lineRule="auto"/>
        <w:ind w:left="840" w:hanging="840" w:hangingChars="350"/>
        <w:rPr>
          <w:rFonts w:hint="eastAsia" w:ascii="仿宋" w:hAnsi="仿宋" w:eastAsia="仿宋" w:cs="仿宋_GB2312"/>
          <w:color w:val="auto"/>
          <w:szCs w:val="24"/>
          <w:highlight w:val="none"/>
        </w:rPr>
      </w:pPr>
      <w:bookmarkStart w:id="60" w:name="_Ref467378678"/>
      <w:bookmarkStart w:id="61" w:name="_Toc515904806"/>
      <w:bookmarkStart w:id="62" w:name="_Toc520356149"/>
      <w:r>
        <w:rPr>
          <w:rFonts w:hint="eastAsia" w:ascii="仿宋" w:hAnsi="仿宋" w:eastAsia="仿宋" w:cs="仿宋_GB2312"/>
          <w:color w:val="auto"/>
          <w:szCs w:val="24"/>
          <w:highlight w:val="none"/>
        </w:rPr>
        <w:t>6.1</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采购人可主动地或在解答供应商提出的澄清问题时对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进行澄清或修改。采购代理机构将以发布澄清（更正）公告的方式，澄清或修改</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，澄清或修改内容作为</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的组成部分。</w:t>
      </w:r>
    </w:p>
    <w:p w14:paraId="0CA8BEF1">
      <w:pPr>
        <w:pStyle w:val="5"/>
        <w:spacing w:line="360" w:lineRule="auto"/>
        <w:ind w:left="840" w:hanging="840" w:hangingChars="35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6.2</w:t>
      </w:r>
      <w:r>
        <w:rPr>
          <w:rFonts w:hint="eastAsia" w:ascii="仿宋" w:hAnsi="仿宋" w:eastAsia="仿宋" w:cs="仿宋_GB2312"/>
          <w:color w:val="auto"/>
          <w:szCs w:val="24"/>
          <w:highlight w:val="none"/>
        </w:rPr>
        <w:tab/>
      </w:r>
      <w:r>
        <w:rPr>
          <w:rFonts w:hint="eastAsia" w:ascii="仿宋" w:hAnsi="仿宋" w:eastAsia="仿宋" w:cs="仿宋_GB2312"/>
          <w:color w:val="auto"/>
          <w:szCs w:val="24"/>
          <w:highlight w:val="none"/>
        </w:rPr>
        <w:t>澄清或者修改的内容可能影响响应文件编制的，采购代理机构将以书面形式通知所有获取</w:t>
      </w:r>
      <w:r>
        <w:rPr>
          <w:rFonts w:hint="eastAsia" w:ascii="仿宋" w:hAnsi="仿宋" w:eastAsia="仿宋" w:cs="仿宋_GB2312"/>
          <w:color w:val="auto"/>
          <w:szCs w:val="24"/>
          <w:highlight w:val="none"/>
          <w:lang w:eastAsia="zh-CN"/>
        </w:rPr>
        <w:t>竞争性磋商文件</w:t>
      </w:r>
      <w:r>
        <w:rPr>
          <w:rFonts w:hint="eastAsia" w:ascii="仿宋" w:hAnsi="仿宋" w:eastAsia="仿宋" w:cs="仿宋_GB2312"/>
          <w:color w:val="auto"/>
          <w:szCs w:val="24"/>
          <w:highlight w:val="none"/>
        </w:rPr>
        <w:t>的潜在供应商，并对其具有约束力。供应商在收到上述通知后，应及时向采购代理机构确认。供应商未回复的，视同已知晓澄清或者修改的内容。</w:t>
      </w:r>
    </w:p>
    <w:p w14:paraId="40B1E7F6">
      <w:pPr>
        <w:pStyle w:val="4"/>
        <w:tabs>
          <w:tab w:val="left" w:pos="900"/>
        </w:tabs>
        <w:spacing w:before="0" w:after="0" w:line="360" w:lineRule="auto"/>
        <w:rPr>
          <w:rFonts w:hint="eastAsia" w:ascii="仿宋" w:hAnsi="仿宋" w:eastAsia="仿宋"/>
          <w:color w:val="auto"/>
          <w:highlight w:val="none"/>
          <w:u w:val="none"/>
        </w:rPr>
      </w:pPr>
      <w:bookmarkStart w:id="63" w:name="_Toc133261376"/>
      <w:bookmarkStart w:id="64" w:name="_Toc23783509"/>
      <w:bookmarkStart w:id="65" w:name="_Toc14569"/>
      <w:bookmarkStart w:id="66" w:name="_Toc25635"/>
      <w:bookmarkStart w:id="67" w:name="_Toc532473457"/>
      <w:r>
        <w:rPr>
          <w:rFonts w:hint="eastAsia" w:ascii="仿宋" w:hAnsi="仿宋" w:eastAsia="仿宋"/>
          <w:color w:val="auto"/>
          <w:highlight w:val="none"/>
          <w:u w:val="none"/>
        </w:rPr>
        <w:t>7</w:t>
      </w:r>
      <w:bookmarkEnd w:id="60"/>
      <w:bookmarkEnd w:id="61"/>
      <w:bookmarkEnd w:id="62"/>
      <w:r>
        <w:rPr>
          <w:rFonts w:hint="eastAsia" w:ascii="仿宋" w:hAnsi="仿宋" w:eastAsia="仿宋"/>
          <w:color w:val="auto"/>
          <w:highlight w:val="none"/>
          <w:u w:val="none"/>
        </w:rPr>
        <w:t>. 响应文件提交截止时间</w:t>
      </w:r>
      <w:r>
        <w:rPr>
          <w:rFonts w:ascii="仿宋" w:hAnsi="仿宋" w:eastAsia="仿宋"/>
          <w:color w:val="auto"/>
          <w:highlight w:val="none"/>
          <w:u w:val="none"/>
        </w:rPr>
        <w:t>的顺延</w:t>
      </w:r>
      <w:bookmarkEnd w:id="63"/>
      <w:bookmarkEnd w:id="64"/>
      <w:bookmarkEnd w:id="65"/>
      <w:bookmarkEnd w:id="66"/>
      <w:bookmarkEnd w:id="67"/>
    </w:p>
    <w:p w14:paraId="041C9BF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ab/>
      </w:r>
      <w:r>
        <w:rPr>
          <w:rFonts w:hint="eastAsia" w:ascii="仿宋" w:hAnsi="仿宋" w:eastAsia="仿宋"/>
          <w:color w:val="auto"/>
          <w:sz w:val="24"/>
          <w:highlight w:val="none"/>
        </w:rPr>
        <w:t>为使供应商有足够的时间对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的澄清或者修改部分进行研究而准备磋商或因其他原因，采购人将依法决定是否顺延响应文件提交截止时间。</w:t>
      </w:r>
    </w:p>
    <w:p w14:paraId="589907A9">
      <w:pPr>
        <w:spacing w:line="360" w:lineRule="auto"/>
        <w:ind w:left="900" w:hanging="900" w:hangingChars="375"/>
        <w:rPr>
          <w:rFonts w:hint="eastAsia" w:ascii="仿宋" w:hAnsi="仿宋" w:eastAsia="仿宋"/>
          <w:color w:val="auto"/>
          <w:sz w:val="24"/>
          <w:highlight w:val="none"/>
        </w:rPr>
      </w:pPr>
    </w:p>
    <w:p w14:paraId="01C7B491">
      <w:pPr>
        <w:pStyle w:val="3"/>
        <w:tabs>
          <w:tab w:val="left" w:pos="900"/>
        </w:tabs>
        <w:spacing w:before="0" w:line="360" w:lineRule="auto"/>
        <w:ind w:left="1079" w:leftChars="257" w:hanging="540"/>
        <w:rPr>
          <w:rFonts w:hint="eastAsia" w:ascii="仿宋" w:hAnsi="仿宋" w:eastAsia="仿宋"/>
          <w:color w:val="auto"/>
          <w:sz w:val="28"/>
          <w:highlight w:val="none"/>
        </w:rPr>
      </w:pPr>
      <w:bookmarkStart w:id="68" w:name="_Toc516367020"/>
      <w:bookmarkStart w:id="69" w:name="_Toc520356150"/>
      <w:bookmarkStart w:id="70" w:name="_Toc133261377"/>
      <w:bookmarkStart w:id="71" w:name="_Toc30808"/>
      <w:bookmarkStart w:id="72" w:name="_Toc515647766"/>
      <w:bookmarkStart w:id="73" w:name="_Toc7636"/>
      <w:bookmarkStart w:id="74" w:name="_Toc532473458"/>
      <w:bookmarkStart w:id="75" w:name="_Toc216582807"/>
      <w:r>
        <w:rPr>
          <w:rFonts w:hint="eastAsia" w:ascii="仿宋" w:hAnsi="仿宋" w:eastAsia="仿宋"/>
          <w:color w:val="auto"/>
          <w:sz w:val="28"/>
          <w:highlight w:val="none"/>
        </w:rPr>
        <w:t>三   响应文件</w:t>
      </w:r>
      <w:bookmarkEnd w:id="68"/>
      <w:r>
        <w:rPr>
          <w:rFonts w:hint="eastAsia" w:ascii="仿宋" w:hAnsi="仿宋" w:eastAsia="仿宋"/>
          <w:color w:val="auto"/>
          <w:sz w:val="28"/>
          <w:highlight w:val="none"/>
        </w:rPr>
        <w:t>的编制</w:t>
      </w:r>
      <w:bookmarkEnd w:id="69"/>
      <w:bookmarkEnd w:id="70"/>
      <w:bookmarkEnd w:id="71"/>
      <w:bookmarkEnd w:id="72"/>
      <w:bookmarkEnd w:id="73"/>
      <w:bookmarkEnd w:id="74"/>
      <w:bookmarkEnd w:id="75"/>
    </w:p>
    <w:p w14:paraId="6566CDCE">
      <w:pPr>
        <w:pStyle w:val="5"/>
        <w:spacing w:line="360" w:lineRule="auto"/>
        <w:rPr>
          <w:rFonts w:hint="eastAsia" w:ascii="仿宋" w:hAnsi="仿宋" w:eastAsia="仿宋"/>
          <w:color w:val="auto"/>
          <w:highlight w:val="none"/>
        </w:rPr>
      </w:pPr>
    </w:p>
    <w:p w14:paraId="33F23B58">
      <w:pPr>
        <w:pStyle w:val="4"/>
        <w:tabs>
          <w:tab w:val="left" w:pos="900"/>
        </w:tabs>
        <w:spacing w:before="0" w:after="0" w:line="360" w:lineRule="auto"/>
        <w:rPr>
          <w:rFonts w:hint="eastAsia" w:ascii="仿宋" w:hAnsi="仿宋" w:eastAsia="仿宋"/>
          <w:color w:val="auto"/>
          <w:highlight w:val="none"/>
          <w:u w:val="none"/>
        </w:rPr>
      </w:pPr>
      <w:bookmarkStart w:id="76" w:name="_Toc516367021"/>
      <w:bookmarkStart w:id="77" w:name="_Toc7786"/>
      <w:bookmarkStart w:id="78" w:name="_Toc515647767"/>
      <w:bookmarkStart w:id="79" w:name="_Toc532473459"/>
      <w:bookmarkStart w:id="80" w:name="_Toc23783511"/>
      <w:bookmarkStart w:id="81" w:name="_Toc3553"/>
      <w:bookmarkStart w:id="82" w:name="_Toc520356151"/>
      <w:bookmarkStart w:id="83" w:name="_Toc133261378"/>
      <w:r>
        <w:rPr>
          <w:rFonts w:hint="eastAsia" w:ascii="仿宋" w:hAnsi="仿宋" w:eastAsia="仿宋"/>
          <w:color w:val="auto"/>
          <w:highlight w:val="none"/>
          <w:u w:val="none"/>
        </w:rPr>
        <w:t>8</w:t>
      </w:r>
      <w:r>
        <w:rPr>
          <w:rFonts w:ascii="仿宋" w:hAnsi="仿宋" w:eastAsia="仿宋"/>
          <w:color w:val="auto"/>
          <w:highlight w:val="none"/>
          <w:u w:val="none"/>
        </w:rPr>
        <w:t>.</w:t>
      </w:r>
      <w:r>
        <w:rPr>
          <w:rFonts w:hint="eastAsia" w:ascii="仿宋" w:hAnsi="仿宋" w:eastAsia="仿宋"/>
          <w:color w:val="auto"/>
          <w:highlight w:val="none"/>
          <w:u w:val="none"/>
        </w:rPr>
        <w:t>竞标范围及响应文件中标准和计量单位的使用</w:t>
      </w:r>
      <w:bookmarkEnd w:id="76"/>
      <w:bookmarkEnd w:id="77"/>
      <w:bookmarkEnd w:id="78"/>
      <w:bookmarkEnd w:id="79"/>
      <w:bookmarkEnd w:id="80"/>
      <w:bookmarkEnd w:id="81"/>
      <w:bookmarkEnd w:id="82"/>
      <w:bookmarkEnd w:id="83"/>
    </w:p>
    <w:p w14:paraId="6EDB71D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供应商可对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中一个或几个分包货物进行竞标，除非在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中另有规定。</w:t>
      </w:r>
    </w:p>
    <w:p w14:paraId="73AB1AE5">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8.2    供应商应当</w:t>
      </w:r>
      <w:r>
        <w:rPr>
          <w:rFonts w:ascii="仿宋" w:hAnsi="仿宋" w:eastAsia="仿宋"/>
          <w:color w:val="auto"/>
          <w:sz w:val="24"/>
          <w:highlight w:val="none"/>
        </w:rPr>
        <w:t>对所投分包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中“采购需求”所列的所有内容进行竞标，</w:t>
      </w:r>
      <w:r>
        <w:rPr>
          <w:rFonts w:ascii="仿宋" w:hAnsi="仿宋" w:eastAsia="仿宋"/>
          <w:color w:val="auto"/>
          <w:sz w:val="24"/>
          <w:highlight w:val="none"/>
        </w:rPr>
        <w:t>如</w:t>
      </w:r>
      <w:r>
        <w:rPr>
          <w:rFonts w:hint="eastAsia" w:ascii="仿宋" w:hAnsi="仿宋" w:eastAsia="仿宋"/>
          <w:color w:val="auto"/>
          <w:sz w:val="24"/>
          <w:highlight w:val="none"/>
        </w:rPr>
        <w:t>仅</w:t>
      </w:r>
      <w:r>
        <w:rPr>
          <w:rFonts w:ascii="仿宋" w:hAnsi="仿宋" w:eastAsia="仿宋"/>
          <w:color w:val="auto"/>
          <w:sz w:val="24"/>
          <w:highlight w:val="none"/>
        </w:rPr>
        <w:t>响应</w:t>
      </w:r>
      <w:r>
        <w:rPr>
          <w:rFonts w:hint="eastAsia" w:ascii="仿宋" w:hAnsi="仿宋" w:eastAsia="仿宋"/>
          <w:color w:val="auto"/>
          <w:sz w:val="24"/>
          <w:highlight w:val="none"/>
        </w:rPr>
        <w:t>分包中的部分内容</w:t>
      </w:r>
      <w:r>
        <w:rPr>
          <w:rFonts w:ascii="仿宋" w:hAnsi="仿宋" w:eastAsia="仿宋"/>
          <w:color w:val="auto"/>
          <w:sz w:val="24"/>
          <w:highlight w:val="none"/>
        </w:rPr>
        <w:t>，其</w:t>
      </w:r>
      <w:r>
        <w:rPr>
          <w:rFonts w:hint="eastAsia" w:ascii="仿宋" w:hAnsi="仿宋" w:eastAsia="仿宋"/>
          <w:color w:val="auto"/>
          <w:sz w:val="24"/>
          <w:highlight w:val="none"/>
        </w:rPr>
        <w:t>该包</w:t>
      </w:r>
      <w:r>
        <w:rPr>
          <w:rFonts w:ascii="仿宋" w:hAnsi="仿宋" w:eastAsia="仿宋"/>
          <w:color w:val="auto"/>
          <w:sz w:val="24"/>
          <w:highlight w:val="none"/>
        </w:rPr>
        <w:t>竞标</w:t>
      </w:r>
      <w:r>
        <w:rPr>
          <w:rFonts w:hint="eastAsia" w:ascii="仿宋" w:hAnsi="仿宋" w:eastAsia="仿宋"/>
          <w:color w:val="auto"/>
          <w:sz w:val="24"/>
          <w:highlight w:val="none"/>
        </w:rPr>
        <w:t>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0ABF0CB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除</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中有特殊要求外，响应文件中所使用的计量单位，应采用中华人民共和国法定计量单位。</w:t>
      </w:r>
    </w:p>
    <w:p w14:paraId="5E584523">
      <w:pPr>
        <w:pStyle w:val="4"/>
        <w:tabs>
          <w:tab w:val="left" w:pos="900"/>
        </w:tabs>
        <w:spacing w:before="0" w:after="0" w:line="360" w:lineRule="auto"/>
        <w:rPr>
          <w:rFonts w:hint="eastAsia" w:ascii="仿宋" w:hAnsi="仿宋" w:eastAsia="仿宋"/>
          <w:color w:val="auto"/>
          <w:highlight w:val="none"/>
          <w:u w:val="none"/>
        </w:rPr>
      </w:pPr>
      <w:bookmarkStart w:id="84" w:name="_Toc516367022"/>
      <w:bookmarkStart w:id="85" w:name="_Ref467306676"/>
      <w:bookmarkStart w:id="86" w:name="_Ref467306195"/>
      <w:bookmarkStart w:id="87" w:name="_Toc28307"/>
      <w:bookmarkStart w:id="88" w:name="_Toc133261379"/>
      <w:bookmarkStart w:id="89" w:name="_Toc10364"/>
      <w:bookmarkStart w:id="90" w:name="_Toc532473460"/>
      <w:bookmarkStart w:id="91" w:name="_Toc23783512"/>
      <w:bookmarkStart w:id="92" w:name="_Toc515647768"/>
      <w:bookmarkStart w:id="93" w:name="_Toc520356152"/>
      <w:r>
        <w:rPr>
          <w:rFonts w:hint="eastAsia" w:ascii="仿宋" w:hAnsi="仿宋" w:eastAsia="仿宋"/>
          <w:color w:val="auto"/>
          <w:highlight w:val="none"/>
          <w:u w:val="none"/>
        </w:rPr>
        <w:t>9</w:t>
      </w:r>
      <w:r>
        <w:rPr>
          <w:rFonts w:ascii="仿宋" w:hAnsi="仿宋" w:eastAsia="仿宋"/>
          <w:color w:val="auto"/>
          <w:highlight w:val="none"/>
          <w:u w:val="none"/>
        </w:rPr>
        <w:t>.</w:t>
      </w:r>
      <w:r>
        <w:rPr>
          <w:rFonts w:hint="eastAsia" w:ascii="仿宋" w:hAnsi="仿宋" w:eastAsia="仿宋"/>
          <w:color w:val="auto"/>
          <w:highlight w:val="none"/>
          <w:u w:val="none"/>
        </w:rPr>
        <w:t xml:space="preserve"> 响应文件</w:t>
      </w:r>
      <w:bookmarkEnd w:id="84"/>
      <w:bookmarkEnd w:id="85"/>
      <w:bookmarkEnd w:id="86"/>
      <w:r>
        <w:rPr>
          <w:rFonts w:hint="eastAsia" w:ascii="仿宋" w:hAnsi="仿宋" w:eastAsia="仿宋"/>
          <w:color w:val="auto"/>
          <w:highlight w:val="none"/>
          <w:u w:val="none"/>
        </w:rPr>
        <w:t>组成</w:t>
      </w:r>
      <w:bookmarkEnd w:id="87"/>
      <w:bookmarkEnd w:id="88"/>
      <w:bookmarkEnd w:id="89"/>
      <w:bookmarkEnd w:id="90"/>
      <w:bookmarkEnd w:id="91"/>
      <w:bookmarkEnd w:id="92"/>
      <w:bookmarkEnd w:id="93"/>
    </w:p>
    <w:p w14:paraId="7B613C6F">
      <w:pPr>
        <w:tabs>
          <w:tab w:val="left" w:pos="851"/>
          <w:tab w:val="left" w:pos="5580"/>
        </w:tabs>
        <w:spacing w:line="360" w:lineRule="auto"/>
        <w:ind w:left="850" w:hanging="849" w:hangingChars="354"/>
        <w:rPr>
          <w:rFonts w:hint="eastAsia" w:ascii="仿宋" w:hAnsi="仿宋" w:eastAsia="仿宋"/>
          <w:color w:val="auto"/>
          <w:sz w:val="24"/>
          <w:highlight w:val="none"/>
        </w:rPr>
      </w:pPr>
      <w:bookmarkStart w:id="94" w:name="_Ref467052588"/>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 xml:space="preserve">    响应文件由</w:t>
      </w:r>
      <w:r>
        <w:rPr>
          <w:rFonts w:hint="eastAsia" w:ascii="仿宋" w:hAnsi="仿宋" w:eastAsia="仿宋"/>
          <w:color w:val="auto"/>
          <w:sz w:val="24"/>
          <w:highlight w:val="none"/>
        </w:rPr>
        <w:t>“第一部分报价一览表及资格证明文件”和“第二部分商务及技术文件”组成。供应商应完整地按照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提供的响应文件格式及要求编写响应文件。响应文件中资格审查和符合性审查涉及的事项不满足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要求的，其竞标将被认定为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5C585D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9.</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上述文件应按照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的规定签署</w:t>
      </w:r>
      <w:bookmarkStart w:id="95" w:name="_Hlk1734277"/>
      <w:r>
        <w:rPr>
          <w:rFonts w:hint="eastAsia" w:ascii="仿宋" w:hAnsi="仿宋" w:eastAsia="仿宋"/>
          <w:color w:val="auto"/>
          <w:sz w:val="24"/>
          <w:highlight w:val="none"/>
        </w:rPr>
        <w:t>和盖公章或</w:t>
      </w:r>
      <w:r>
        <w:rPr>
          <w:rFonts w:ascii="仿宋" w:hAnsi="仿宋" w:eastAsia="仿宋"/>
          <w:color w:val="auto"/>
          <w:sz w:val="24"/>
          <w:highlight w:val="none"/>
        </w:rPr>
        <w:t>经公章授权的</w:t>
      </w:r>
      <w:r>
        <w:rPr>
          <w:rFonts w:hint="eastAsia" w:ascii="仿宋" w:hAnsi="仿宋" w:eastAsia="仿宋"/>
          <w:color w:val="auto"/>
          <w:sz w:val="24"/>
          <w:highlight w:val="none"/>
        </w:rPr>
        <w:t>其他</w:t>
      </w:r>
      <w:r>
        <w:rPr>
          <w:rFonts w:ascii="仿宋" w:hAnsi="仿宋" w:eastAsia="仿宋"/>
          <w:color w:val="auto"/>
          <w:sz w:val="24"/>
          <w:highlight w:val="none"/>
        </w:rPr>
        <w:t>单位章</w:t>
      </w:r>
      <w:r>
        <w:rPr>
          <w:rFonts w:hint="eastAsia" w:ascii="仿宋" w:hAnsi="仿宋" w:eastAsia="仿宋"/>
          <w:color w:val="auto"/>
          <w:sz w:val="24"/>
          <w:highlight w:val="none"/>
        </w:rPr>
        <w:t>（以下统称公章）</w:t>
      </w:r>
      <w:bookmarkEnd w:id="95"/>
      <w:r>
        <w:rPr>
          <w:rFonts w:hint="eastAsia" w:ascii="仿宋" w:hAnsi="仿宋" w:eastAsia="仿宋"/>
          <w:color w:val="auto"/>
          <w:sz w:val="24"/>
          <w:highlight w:val="none"/>
        </w:rPr>
        <w:t>。采用公章授权方式的，应当在响应文件第一部分附公章授权书（格式自定）。</w:t>
      </w:r>
    </w:p>
    <w:bookmarkEnd w:id="94"/>
    <w:p w14:paraId="450E3FF7">
      <w:pPr>
        <w:pStyle w:val="4"/>
        <w:tabs>
          <w:tab w:val="left" w:pos="900"/>
        </w:tabs>
        <w:spacing w:before="0" w:after="0" w:line="360" w:lineRule="auto"/>
        <w:rPr>
          <w:rFonts w:hint="eastAsia" w:ascii="仿宋" w:hAnsi="仿宋" w:eastAsia="仿宋"/>
          <w:color w:val="auto"/>
          <w:highlight w:val="none"/>
          <w:u w:val="none"/>
        </w:rPr>
      </w:pPr>
      <w:bookmarkStart w:id="96" w:name="_Toc4601"/>
      <w:bookmarkStart w:id="97" w:name="_Toc516367023"/>
      <w:bookmarkStart w:id="98" w:name="_Toc23783513"/>
      <w:bookmarkStart w:id="99" w:name="_Toc520356153"/>
      <w:bookmarkStart w:id="100" w:name="_Toc532473461"/>
      <w:bookmarkStart w:id="101" w:name="_Toc133261380"/>
      <w:bookmarkStart w:id="102" w:name="_Toc10379"/>
      <w:bookmarkStart w:id="103" w:name="_Toc515647769"/>
      <w:r>
        <w:rPr>
          <w:rFonts w:hint="eastAsia" w:ascii="仿宋" w:hAnsi="仿宋" w:eastAsia="仿宋"/>
          <w:color w:val="auto"/>
          <w:highlight w:val="none"/>
          <w:u w:val="none"/>
        </w:rPr>
        <w:t>10</w:t>
      </w:r>
      <w:r>
        <w:rPr>
          <w:rFonts w:ascii="仿宋" w:hAnsi="仿宋" w:eastAsia="仿宋"/>
          <w:color w:val="auto"/>
          <w:highlight w:val="none"/>
          <w:u w:val="none"/>
        </w:rPr>
        <w:t>.</w:t>
      </w:r>
      <w:r>
        <w:rPr>
          <w:rFonts w:hint="eastAsia" w:ascii="仿宋" w:hAnsi="仿宋" w:eastAsia="仿宋"/>
          <w:color w:val="auto"/>
          <w:highlight w:val="none"/>
          <w:u w:val="none"/>
        </w:rPr>
        <w:t xml:space="preserve"> 证明竞标标的的合格性和符合</w:t>
      </w:r>
      <w:r>
        <w:rPr>
          <w:rFonts w:hint="eastAsia" w:ascii="仿宋" w:hAnsi="仿宋" w:eastAsia="仿宋"/>
          <w:color w:val="auto"/>
          <w:highlight w:val="none"/>
          <w:u w:val="none"/>
          <w:lang w:eastAsia="zh-CN"/>
        </w:rPr>
        <w:t>竞争性磋商文件</w:t>
      </w:r>
      <w:r>
        <w:rPr>
          <w:rFonts w:hint="eastAsia" w:ascii="仿宋" w:hAnsi="仿宋" w:eastAsia="仿宋"/>
          <w:color w:val="auto"/>
          <w:highlight w:val="none"/>
          <w:u w:val="none"/>
        </w:rPr>
        <w:t>规定的技术文件</w:t>
      </w:r>
      <w:bookmarkEnd w:id="96"/>
      <w:bookmarkEnd w:id="97"/>
      <w:bookmarkEnd w:id="98"/>
      <w:bookmarkEnd w:id="99"/>
      <w:bookmarkEnd w:id="100"/>
      <w:bookmarkEnd w:id="101"/>
      <w:bookmarkEnd w:id="102"/>
      <w:bookmarkEnd w:id="103"/>
    </w:p>
    <w:p w14:paraId="6C5F8415">
      <w:pPr>
        <w:spacing w:line="360" w:lineRule="auto"/>
        <w:ind w:left="900" w:hanging="900" w:hangingChars="375"/>
        <w:rPr>
          <w:rFonts w:hint="eastAsia" w:ascii="仿宋" w:hAnsi="仿宋" w:eastAsia="仿宋"/>
          <w:color w:val="auto"/>
          <w:sz w:val="24"/>
          <w:highlight w:val="none"/>
        </w:rPr>
      </w:pPr>
      <w:bookmarkStart w:id="104" w:name="_Toc520356155"/>
      <w:bookmarkStart w:id="105" w:name="_Toc23783514"/>
      <w:bookmarkStart w:id="106" w:name="_Toc515647770"/>
      <w:bookmarkStart w:id="107" w:name="_Toc2248"/>
      <w:bookmarkStart w:id="108" w:name="_Toc532473462"/>
      <w:bookmarkStart w:id="109" w:name="_Toc23231"/>
      <w:bookmarkStart w:id="110" w:name="_Toc133261381"/>
      <w:r>
        <w:rPr>
          <w:rFonts w:hint="eastAsia" w:ascii="仿宋" w:hAnsi="仿宋" w:eastAsia="仿宋"/>
          <w:color w:val="auto"/>
          <w:sz w:val="24"/>
          <w:highlight w:val="none"/>
        </w:rPr>
        <w:t>10</w:t>
      </w:r>
      <w:r>
        <w:rPr>
          <w:rFonts w:ascii="仿宋" w:hAnsi="仿宋" w:eastAsia="仿宋"/>
          <w:color w:val="auto"/>
          <w:sz w:val="24"/>
          <w:highlight w:val="none"/>
        </w:rPr>
        <w:t>.1</w:t>
      </w:r>
      <w:r>
        <w:rPr>
          <w:rFonts w:ascii="仿宋" w:hAnsi="仿宋" w:eastAsia="仿宋"/>
          <w:color w:val="auto"/>
          <w:sz w:val="24"/>
          <w:highlight w:val="none"/>
        </w:rPr>
        <w:tab/>
      </w:r>
      <w:r>
        <w:rPr>
          <w:rFonts w:hint="eastAsia" w:ascii="仿宋" w:hAnsi="仿宋" w:eastAsia="仿宋"/>
          <w:color w:val="auto"/>
          <w:sz w:val="24"/>
          <w:highlight w:val="none"/>
        </w:rPr>
        <w:t>供应商应提交证明文件，证明其竞标标的符合</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规定。该证明文件是磋商响应文件的技术文件。</w:t>
      </w:r>
    </w:p>
    <w:p w14:paraId="275B012F">
      <w:pPr>
        <w:spacing w:line="360" w:lineRule="auto"/>
        <w:ind w:left="900" w:hanging="900" w:hangingChars="375"/>
        <w:rPr>
          <w:rFonts w:hint="eastAsia" w:ascii="仿宋" w:hAnsi="仿宋" w:eastAsia="仿宋"/>
          <w:color w:val="auto"/>
          <w:sz w:val="24"/>
          <w:highlight w:val="none"/>
        </w:rPr>
      </w:pPr>
      <w:bookmarkStart w:id="111" w:name="_Ref467306244"/>
      <w:r>
        <w:rPr>
          <w:rFonts w:hint="eastAsia" w:ascii="仿宋" w:hAnsi="仿宋" w:eastAsia="仿宋"/>
          <w:color w:val="auto"/>
          <w:sz w:val="24"/>
          <w:highlight w:val="none"/>
        </w:rPr>
        <w:t>10</w:t>
      </w:r>
      <w:r>
        <w:rPr>
          <w:rFonts w:ascii="仿宋" w:hAnsi="仿宋" w:eastAsia="仿宋"/>
          <w:color w:val="auto"/>
          <w:sz w:val="24"/>
          <w:highlight w:val="none"/>
        </w:rPr>
        <w:t>.2</w:t>
      </w:r>
      <w:r>
        <w:rPr>
          <w:rFonts w:ascii="仿宋" w:hAnsi="仿宋" w:eastAsia="仿宋"/>
          <w:color w:val="auto"/>
          <w:sz w:val="24"/>
          <w:highlight w:val="none"/>
        </w:rPr>
        <w:tab/>
      </w:r>
      <w:r>
        <w:rPr>
          <w:rFonts w:hint="eastAsia" w:ascii="仿宋" w:hAnsi="仿宋" w:eastAsia="仿宋"/>
          <w:color w:val="auto"/>
          <w:sz w:val="24"/>
          <w:highlight w:val="none"/>
        </w:rPr>
        <w:t>上款所述的证明文件，可以是文字资料、图纸和数据</w:t>
      </w:r>
      <w:bookmarkEnd w:id="111"/>
      <w:r>
        <w:rPr>
          <w:rFonts w:hint="eastAsia" w:ascii="仿宋" w:hAnsi="仿宋" w:eastAsia="仿宋"/>
          <w:color w:val="auto"/>
          <w:sz w:val="24"/>
          <w:highlight w:val="none"/>
        </w:rPr>
        <w:t>等。</w:t>
      </w:r>
    </w:p>
    <w:p w14:paraId="5946FDB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10.3   本条所指证明文件不包括对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相关部分的文字、图标的复制。</w:t>
      </w:r>
    </w:p>
    <w:p w14:paraId="27876918">
      <w:pPr>
        <w:pStyle w:val="4"/>
        <w:spacing w:before="0" w:after="0" w:line="360" w:lineRule="auto"/>
        <w:rPr>
          <w:rFonts w:hint="eastAsia" w:ascii="仿宋" w:hAnsi="仿宋" w:eastAsia="仿宋"/>
          <w:color w:val="auto"/>
          <w:highlight w:val="none"/>
          <w:u w:val="none"/>
        </w:rPr>
      </w:pPr>
      <w:r>
        <w:rPr>
          <w:rFonts w:ascii="仿宋" w:hAnsi="仿宋" w:eastAsia="仿宋"/>
          <w:color w:val="auto"/>
          <w:highlight w:val="none"/>
          <w:u w:val="none"/>
        </w:rPr>
        <w:t>1</w:t>
      </w:r>
      <w:r>
        <w:rPr>
          <w:rFonts w:hint="eastAsia" w:ascii="仿宋" w:hAnsi="仿宋" w:eastAsia="仿宋"/>
          <w:color w:val="auto"/>
          <w:highlight w:val="none"/>
          <w:u w:val="none"/>
        </w:rPr>
        <w:t>1.竞标报价</w:t>
      </w:r>
      <w:bookmarkEnd w:id="104"/>
      <w:bookmarkEnd w:id="105"/>
      <w:bookmarkEnd w:id="106"/>
      <w:bookmarkEnd w:id="107"/>
      <w:bookmarkEnd w:id="108"/>
      <w:bookmarkEnd w:id="109"/>
      <w:bookmarkEnd w:id="110"/>
    </w:p>
    <w:p w14:paraId="37E64B7D">
      <w:pPr>
        <w:spacing w:line="360" w:lineRule="auto"/>
        <w:ind w:left="900" w:hanging="900" w:hangingChars="375"/>
        <w:rPr>
          <w:rFonts w:hint="eastAsia" w:ascii="仿宋_GB2312" w:hAnsi="宋体" w:eastAsia="仿宋_GB2312"/>
          <w:color w:val="auto"/>
          <w:sz w:val="24"/>
          <w:highlight w:val="none"/>
        </w:rPr>
      </w:pPr>
      <w:bookmarkStart w:id="112" w:name="_Toc532473463"/>
      <w:bookmarkStart w:id="113" w:name="_Toc23783515"/>
      <w:bookmarkStart w:id="114" w:name="_Toc11514"/>
      <w:bookmarkStart w:id="115" w:name="_Toc17788"/>
      <w:bookmarkStart w:id="116" w:name="_Toc515647771"/>
      <w:bookmarkStart w:id="117" w:name="_Ref467306513"/>
      <w:bookmarkStart w:id="118" w:name="_Toc520356156"/>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.1</w:t>
      </w:r>
      <w:r>
        <w:rPr>
          <w:rFonts w:ascii="仿宋_GB2312" w:hAnsi="宋体" w:eastAsia="仿宋_GB2312"/>
          <w:color w:val="auto"/>
          <w:sz w:val="24"/>
          <w:highlight w:val="none"/>
        </w:rPr>
        <w:tab/>
      </w:r>
      <w:r>
        <w:rPr>
          <w:rFonts w:ascii="仿宋_GB2312" w:hAnsi="宋体" w:eastAsia="仿宋_GB2312"/>
          <w:color w:val="auto"/>
          <w:sz w:val="24"/>
          <w:highlight w:val="none"/>
        </w:rPr>
        <w:t>供应商的报价应当包括满足本次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w:t>
      </w:r>
      <w:r>
        <w:rPr>
          <w:rFonts w:hint="eastAsia" w:ascii="仿宋_GB2312" w:hAnsi="宋体" w:eastAsia="仿宋_GB2312"/>
          <w:color w:val="auto"/>
          <w:sz w:val="24"/>
          <w:highlight w:val="none"/>
          <w:lang w:eastAsia="zh-CN"/>
        </w:rPr>
        <w:t>采购需求</w:t>
      </w:r>
      <w:r>
        <w:rPr>
          <w:rFonts w:ascii="仿宋_GB2312" w:hAnsi="宋体" w:eastAsia="仿宋_GB2312"/>
          <w:color w:val="auto"/>
          <w:sz w:val="24"/>
          <w:highlight w:val="none"/>
        </w:rPr>
        <w:t>所应提供的</w:t>
      </w:r>
      <w:r>
        <w:rPr>
          <w:rFonts w:hint="eastAsia" w:ascii="仿宋_GB2312" w:hAnsi="宋体" w:eastAsia="仿宋_GB2312"/>
          <w:color w:val="auto"/>
          <w:sz w:val="24"/>
          <w:highlight w:val="none"/>
        </w:rPr>
        <w:t>服务。所有竞标均应以人民币报价。</w:t>
      </w:r>
    </w:p>
    <w:p w14:paraId="18EAC1B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.2</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供应商应根据本企业的成本自行决定报价，但不得以低于其企业成本的报价竞标。</w:t>
      </w:r>
    </w:p>
    <w:p w14:paraId="01176CDF">
      <w:pPr>
        <w:spacing w:line="360" w:lineRule="auto"/>
        <w:ind w:left="900" w:hanging="900" w:hangingChars="375"/>
        <w:rPr>
          <w:rFonts w:hint="eastAsia"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1</w:t>
      </w:r>
      <w:r>
        <w:rPr>
          <w:rFonts w:ascii="仿宋_GB2312" w:hAnsi="宋体" w:eastAsia="仿宋_GB2312"/>
          <w:color w:val="auto"/>
          <w:sz w:val="24"/>
          <w:highlight w:val="none"/>
        </w:rPr>
        <w:t>.3</w:t>
      </w:r>
      <w:r>
        <w:rPr>
          <w:rFonts w:ascii="仿宋_GB2312" w:hAnsi="宋体" w:eastAsia="仿宋_GB2312"/>
          <w:color w:val="auto"/>
          <w:sz w:val="24"/>
          <w:highlight w:val="none"/>
        </w:rPr>
        <w:tab/>
      </w:r>
      <w:r>
        <w:rPr>
          <w:rFonts w:hint="eastAsia" w:ascii="仿宋_GB2312" w:hAnsi="宋体" w:eastAsia="仿宋_GB2312"/>
          <w:color w:val="auto"/>
          <w:sz w:val="24"/>
          <w:highlight w:val="none"/>
        </w:rPr>
        <w:t>供应商</w:t>
      </w:r>
      <w:r>
        <w:rPr>
          <w:rFonts w:ascii="仿宋_GB2312" w:hAnsi="宋体" w:eastAsia="仿宋_GB2312"/>
          <w:color w:val="auto"/>
          <w:sz w:val="24"/>
          <w:highlight w:val="none"/>
        </w:rPr>
        <w:t>的报价不得超过预算金额</w:t>
      </w:r>
      <w:r>
        <w:rPr>
          <w:rFonts w:hint="eastAsia" w:ascii="仿宋_GB2312" w:hAnsi="宋体" w:eastAsia="仿宋_GB2312"/>
          <w:color w:val="auto"/>
          <w:sz w:val="24"/>
          <w:highlight w:val="none"/>
        </w:rPr>
        <w:t>。</w:t>
      </w:r>
    </w:p>
    <w:p w14:paraId="7AB84820">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.4</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供应商的报价，应是本项目采购范围和</w:t>
      </w:r>
      <w:r>
        <w:rPr>
          <w:rFonts w:hint="eastAsia" w:ascii="仿宋_GB2312" w:hAnsi="宋体" w:eastAsia="仿宋_GB2312"/>
          <w:color w:val="auto"/>
          <w:sz w:val="24"/>
          <w:highlight w:val="none"/>
          <w:lang w:eastAsia="zh-CN"/>
        </w:rPr>
        <w:t>竞争性磋商文件</w:t>
      </w:r>
      <w:r>
        <w:rPr>
          <w:rFonts w:hint="eastAsia" w:ascii="仿宋_GB2312" w:hAnsi="宋体" w:eastAsia="仿宋_GB2312"/>
          <w:color w:val="auto"/>
          <w:sz w:val="24"/>
          <w:highlight w:val="none"/>
        </w:rPr>
        <w:t>及合同条款上所列的各项内容中所述的全部，不得以任何理由予以重复，并以供应商在响应文件中提出的综合单价或总价为依据。</w:t>
      </w:r>
    </w:p>
    <w:p w14:paraId="54C286BC">
      <w:pPr>
        <w:spacing w:line="360" w:lineRule="auto"/>
        <w:ind w:left="900" w:hanging="900" w:hangingChars="37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5</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rPr>
        <w:t>采购人不接受具有附加条件的报价或多个方案的报价。</w:t>
      </w:r>
    </w:p>
    <w:p w14:paraId="45B7C8BE">
      <w:pPr>
        <w:pStyle w:val="4"/>
        <w:spacing w:before="0" w:after="0" w:line="360" w:lineRule="auto"/>
        <w:rPr>
          <w:rFonts w:hint="eastAsia" w:ascii="仿宋" w:hAnsi="仿宋" w:eastAsia="仿宋"/>
          <w:color w:val="auto"/>
          <w:highlight w:val="none"/>
          <w:u w:val="none"/>
        </w:rPr>
      </w:pPr>
      <w:bookmarkStart w:id="119" w:name="_Toc133261382"/>
      <w:r>
        <w:rPr>
          <w:rFonts w:ascii="仿宋" w:hAnsi="仿宋" w:eastAsia="仿宋"/>
          <w:color w:val="auto"/>
          <w:highlight w:val="none"/>
          <w:u w:val="none"/>
        </w:rPr>
        <w:t>1</w:t>
      </w:r>
      <w:r>
        <w:rPr>
          <w:rFonts w:hint="eastAsia" w:ascii="仿宋" w:hAnsi="仿宋" w:eastAsia="仿宋"/>
          <w:color w:val="auto"/>
          <w:highlight w:val="none"/>
          <w:u w:val="none"/>
        </w:rPr>
        <w:t>2. 磋商保证金</w:t>
      </w:r>
      <w:bookmarkEnd w:id="112"/>
      <w:bookmarkEnd w:id="113"/>
      <w:bookmarkEnd w:id="114"/>
      <w:bookmarkEnd w:id="115"/>
      <w:bookmarkEnd w:id="116"/>
      <w:bookmarkEnd w:id="117"/>
      <w:bookmarkEnd w:id="118"/>
      <w:bookmarkEnd w:id="119"/>
    </w:p>
    <w:p w14:paraId="369CF0D3">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12.1   供应商应按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规定的金额、形式和时间缴纳磋商保证金，具体</w:t>
      </w:r>
      <w:r>
        <w:rPr>
          <w:rFonts w:ascii="仿宋" w:hAnsi="仿宋" w:eastAsia="仿宋"/>
          <w:color w:val="auto"/>
          <w:sz w:val="24"/>
          <w:highlight w:val="none"/>
        </w:rPr>
        <w:t>详</w:t>
      </w:r>
      <w:r>
        <w:rPr>
          <w:rFonts w:hint="eastAsia" w:ascii="仿宋" w:hAnsi="仿宋" w:eastAsia="仿宋"/>
          <w:color w:val="auto"/>
          <w:sz w:val="24"/>
          <w:highlight w:val="none"/>
        </w:rPr>
        <w:t>见</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w:t>
      </w:r>
    </w:p>
    <w:p w14:paraId="3DCF93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12.2   供应商应就所投包号分别递交磋商保证金，并作为响应文件的组成部分。</w:t>
      </w:r>
    </w:p>
    <w:p w14:paraId="5F52400B">
      <w:pPr>
        <w:spacing w:line="360" w:lineRule="auto"/>
        <w:ind w:left="821" w:hanging="820" w:hangingChars="342"/>
        <w:rPr>
          <w:rFonts w:hint="eastAsia" w:ascii="仿宋" w:hAnsi="仿宋" w:eastAsia="仿宋"/>
          <w:color w:val="auto"/>
          <w:sz w:val="24"/>
          <w:highlight w:val="none"/>
        </w:rPr>
      </w:pPr>
      <w:r>
        <w:rPr>
          <w:rFonts w:hint="eastAsia" w:ascii="仿宋" w:hAnsi="仿宋" w:eastAsia="仿宋"/>
          <w:color w:val="auto"/>
          <w:sz w:val="24"/>
          <w:highlight w:val="none"/>
        </w:rPr>
        <w:t>12.3   磋商保证金以</w:t>
      </w:r>
      <w:r>
        <w:rPr>
          <w:rFonts w:hint="eastAsia" w:ascii="仿宋" w:hAnsi="仿宋" w:eastAsia="仿宋"/>
          <w:color w:val="auto"/>
          <w:sz w:val="24"/>
          <w:highlight w:val="none"/>
          <w:u w:val="single"/>
        </w:rPr>
        <w:t>银行转账、支票、汇票、本票或者金融机构、担保机构出具的保函等非现金形式交纳</w:t>
      </w:r>
      <w:r>
        <w:rPr>
          <w:rFonts w:hint="eastAsia" w:ascii="仿宋" w:hAnsi="仿宋" w:eastAsia="仿宋"/>
          <w:color w:val="auto"/>
          <w:sz w:val="24"/>
          <w:highlight w:val="none"/>
        </w:rPr>
        <w:t>，在响应截止时间前到达</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指定账号。</w:t>
      </w:r>
    </w:p>
    <w:p w14:paraId="716FCEB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12.4   凡未按规定缴纳磋商保证金的竞标，为无效竞标。</w:t>
      </w:r>
    </w:p>
    <w:p w14:paraId="695B4CAD">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12.5   未成交供应商的磋商保证金，在成交通知书发出后五个工作日内原账户退还；成交人的磋商保证金,在成交人与采购人签订建设工程监理合同后五个工作日内原账户退还（成交人应在签订建设工程监理合同后两个工作日内交采购代理机构备案）。</w:t>
      </w:r>
    </w:p>
    <w:p w14:paraId="6E997A3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12.6   有下列情形之一的，磋商保证金将不予退还：</w:t>
      </w:r>
    </w:p>
    <w:p w14:paraId="10F26301">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（1）供应商在提交响应文件截止时间后撤回响应文件的；</w:t>
      </w:r>
    </w:p>
    <w:p w14:paraId="3DCCDABB">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（2）</w:t>
      </w:r>
      <w:bookmarkStart w:id="120" w:name="_Toc23783516"/>
      <w:bookmarkStart w:id="121" w:name="_Toc32569"/>
      <w:bookmarkStart w:id="122" w:name="_Toc515647772"/>
      <w:bookmarkStart w:id="123" w:name="_Toc520356157"/>
      <w:bookmarkStart w:id="124" w:name="_Toc23590"/>
      <w:bookmarkStart w:id="125" w:name="_Toc532473464"/>
      <w:r>
        <w:rPr>
          <w:rFonts w:hint="eastAsia" w:ascii="仿宋" w:hAnsi="仿宋" w:eastAsia="仿宋"/>
          <w:color w:val="auto"/>
          <w:sz w:val="24"/>
          <w:highlight w:val="none"/>
        </w:rPr>
        <w:t>供应商在响应文件中提供虚假材料的；</w:t>
      </w:r>
    </w:p>
    <w:p w14:paraId="76F008B4">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（3）除因不可抗力或</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认可的情形以外，成交供应商不与采购人签订合同的；</w:t>
      </w:r>
    </w:p>
    <w:p w14:paraId="718ADA3F">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（4）供应商与采购人、其他供应商或者采购代理机构恶意串通的；</w:t>
      </w:r>
    </w:p>
    <w:p w14:paraId="76E3A2A3">
      <w:pPr>
        <w:spacing w:line="360" w:lineRule="auto"/>
        <w:ind w:left="850" w:leftChars="405"/>
        <w:rPr>
          <w:rFonts w:hint="eastAsia" w:ascii="仿宋" w:hAnsi="仿宋" w:eastAsia="仿宋"/>
          <w:color w:val="auto"/>
          <w:sz w:val="24"/>
          <w:highlight w:val="none"/>
        </w:rPr>
      </w:pPr>
      <w:r>
        <w:rPr>
          <w:rFonts w:hint="eastAsia" w:ascii="仿宋" w:hAnsi="仿宋" w:eastAsia="仿宋"/>
          <w:color w:val="auto"/>
          <w:sz w:val="24"/>
          <w:highlight w:val="none"/>
        </w:rPr>
        <w:t>（5）</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规定的其他情形。</w:t>
      </w:r>
    </w:p>
    <w:p w14:paraId="15E33BE2">
      <w:pPr>
        <w:pStyle w:val="4"/>
        <w:spacing w:before="0" w:after="0" w:line="360" w:lineRule="auto"/>
        <w:rPr>
          <w:rFonts w:hint="eastAsia" w:ascii="仿宋" w:hAnsi="仿宋" w:eastAsia="仿宋"/>
          <w:color w:val="auto"/>
          <w:highlight w:val="none"/>
          <w:u w:val="none"/>
        </w:rPr>
      </w:pPr>
      <w:bookmarkStart w:id="126" w:name="_Toc133261383"/>
      <w:r>
        <w:rPr>
          <w:rFonts w:hint="eastAsia" w:ascii="仿宋" w:hAnsi="仿宋" w:eastAsia="仿宋"/>
          <w:color w:val="auto"/>
          <w:highlight w:val="none"/>
          <w:u w:val="none"/>
        </w:rPr>
        <w:t>13.磋商有效期</w:t>
      </w:r>
      <w:bookmarkEnd w:id="120"/>
      <w:bookmarkEnd w:id="121"/>
      <w:bookmarkEnd w:id="122"/>
      <w:bookmarkEnd w:id="123"/>
      <w:bookmarkEnd w:id="124"/>
      <w:bookmarkEnd w:id="125"/>
      <w:bookmarkEnd w:id="126"/>
    </w:p>
    <w:p w14:paraId="497CF98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rPr>
        <w:tab/>
      </w:r>
      <w:r>
        <w:rPr>
          <w:rFonts w:hint="eastAsia" w:ascii="仿宋" w:hAnsi="仿宋" w:eastAsia="仿宋"/>
          <w:color w:val="auto"/>
          <w:sz w:val="24"/>
          <w:highlight w:val="none"/>
        </w:rPr>
        <w:t>磋商应在</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中规定时间内保持有效。磋商有效期不满足要求的竞标将被认定为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A7DCB9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13.2</w:t>
      </w:r>
      <w:r>
        <w:rPr>
          <w:rFonts w:hint="eastAsia" w:ascii="仿宋" w:hAnsi="仿宋" w:eastAsia="仿宋"/>
          <w:color w:val="auto"/>
          <w:sz w:val="24"/>
          <w:highlight w:val="none"/>
        </w:rPr>
        <w:tab/>
      </w:r>
      <w:r>
        <w:rPr>
          <w:rFonts w:hint="eastAsia" w:ascii="仿宋" w:hAnsi="仿宋" w:eastAsia="仿宋"/>
          <w:color w:val="auto"/>
          <w:sz w:val="24"/>
          <w:highlight w:val="none"/>
        </w:rPr>
        <w:t>因特殊原因，采购人或采购代理机构可在原磋商有效期截止之前，要求供应商延长响应文件的有效期。接受该要求的供应商将不会被要求和允许修正其响应文件。供应商也可以拒绝延长磋商</w:t>
      </w:r>
      <w:r>
        <w:rPr>
          <w:rFonts w:ascii="仿宋" w:hAnsi="仿宋" w:eastAsia="仿宋"/>
          <w:color w:val="auto"/>
          <w:sz w:val="24"/>
          <w:highlight w:val="none"/>
        </w:rPr>
        <w:t>有效期的</w:t>
      </w:r>
      <w:r>
        <w:rPr>
          <w:rFonts w:hint="eastAsia" w:ascii="仿宋" w:hAnsi="仿宋" w:eastAsia="仿宋"/>
          <w:color w:val="auto"/>
          <w:sz w:val="24"/>
          <w:highlight w:val="none"/>
        </w:rPr>
        <w:t>要求，且不承担任何责任。上述要求和答复都应以书面形式提交。</w:t>
      </w:r>
    </w:p>
    <w:p w14:paraId="26F863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 xml:space="preserve">3.3   </w:t>
      </w:r>
      <w:r>
        <w:rPr>
          <w:rFonts w:hint="eastAsia" w:ascii="仿宋" w:hAnsi="仿宋" w:eastAsia="仿宋"/>
          <w:color w:val="auto"/>
          <w:sz w:val="24"/>
          <w:highlight w:val="none"/>
        </w:rPr>
        <w:t>响应文件提交截止时间至本项目发布成交公告为止撤销竞标,</w:t>
      </w:r>
      <w:r>
        <w:rPr>
          <w:rFonts w:hint="eastAsia" w:ascii="仿宋" w:hAnsi="仿宋" w:eastAsia="仿宋"/>
          <w:color w:val="auto"/>
          <w:highlight w:val="none"/>
        </w:rPr>
        <w:t xml:space="preserve"> </w:t>
      </w:r>
      <w:r>
        <w:rPr>
          <w:rFonts w:hint="eastAsia" w:ascii="仿宋" w:hAnsi="仿宋" w:eastAsia="仿宋"/>
          <w:color w:val="auto"/>
          <w:sz w:val="24"/>
          <w:highlight w:val="none"/>
        </w:rPr>
        <w:t>应当</w:t>
      </w:r>
      <w:r>
        <w:rPr>
          <w:rFonts w:ascii="仿宋" w:hAnsi="仿宋" w:eastAsia="仿宋"/>
          <w:color w:val="auto"/>
          <w:sz w:val="24"/>
          <w:highlight w:val="none"/>
        </w:rPr>
        <w:t>向采购代理机构</w:t>
      </w:r>
      <w:r>
        <w:rPr>
          <w:rFonts w:hint="eastAsia" w:ascii="仿宋" w:hAnsi="仿宋" w:eastAsia="仿宋"/>
          <w:color w:val="auto"/>
          <w:sz w:val="24"/>
          <w:highlight w:val="none"/>
        </w:rPr>
        <w:t>或采购人支付本项目预算金额（或最高限价）的2%的违约赔偿金。</w:t>
      </w:r>
    </w:p>
    <w:p w14:paraId="22086B6F">
      <w:pPr>
        <w:pStyle w:val="4"/>
        <w:spacing w:before="0" w:after="0" w:line="360" w:lineRule="auto"/>
        <w:rPr>
          <w:rFonts w:hint="eastAsia" w:ascii="仿宋" w:hAnsi="仿宋" w:eastAsia="仿宋"/>
          <w:color w:val="auto"/>
          <w:highlight w:val="none"/>
          <w:u w:val="none"/>
        </w:rPr>
      </w:pPr>
      <w:bookmarkStart w:id="127" w:name="_Toc493"/>
      <w:bookmarkStart w:id="128" w:name="_Toc532473465"/>
      <w:bookmarkStart w:id="129" w:name="_Toc515647773"/>
      <w:bookmarkStart w:id="130" w:name="_Toc17074"/>
      <w:bookmarkStart w:id="131" w:name="_Toc520356158"/>
      <w:bookmarkStart w:id="132" w:name="_Toc133261384"/>
      <w:bookmarkStart w:id="133" w:name="_Toc23783517"/>
      <w:r>
        <w:rPr>
          <w:rFonts w:hint="eastAsia" w:ascii="仿宋" w:hAnsi="仿宋" w:eastAsia="仿宋"/>
          <w:color w:val="auto"/>
          <w:highlight w:val="none"/>
          <w:u w:val="none"/>
        </w:rPr>
        <w:t>14.响应文件的</w:t>
      </w:r>
      <w:bookmarkEnd w:id="127"/>
      <w:bookmarkEnd w:id="128"/>
      <w:bookmarkEnd w:id="129"/>
      <w:bookmarkEnd w:id="130"/>
      <w:bookmarkEnd w:id="131"/>
      <w:r>
        <w:rPr>
          <w:rFonts w:hint="eastAsia" w:ascii="仿宋" w:hAnsi="仿宋" w:eastAsia="仿宋"/>
          <w:color w:val="auto"/>
          <w:highlight w:val="none"/>
          <w:u w:val="none"/>
        </w:rPr>
        <w:t>制作</w:t>
      </w:r>
      <w:bookmarkEnd w:id="132"/>
      <w:bookmarkEnd w:id="133"/>
    </w:p>
    <w:p w14:paraId="380E3ED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14.1</w:t>
      </w:r>
      <w:r>
        <w:rPr>
          <w:rFonts w:hint="eastAsia" w:ascii="仿宋" w:hAnsi="仿宋" w:eastAsia="仿宋"/>
          <w:color w:val="auto"/>
          <w:sz w:val="24"/>
          <w:highlight w:val="none"/>
        </w:rPr>
        <w:tab/>
      </w:r>
      <w:r>
        <w:rPr>
          <w:rFonts w:hint="eastAsia" w:ascii="仿宋" w:hAnsi="仿宋" w:eastAsia="仿宋"/>
          <w:color w:val="auto"/>
          <w:sz w:val="24"/>
          <w:highlight w:val="none"/>
        </w:rPr>
        <w:t>供应商应按</w:t>
      </w:r>
      <w:r>
        <w:rPr>
          <w:rFonts w:hint="eastAsia" w:ascii="仿宋" w:hAnsi="仿宋" w:eastAsia="仿宋"/>
          <w:color w:val="auto"/>
          <w:sz w:val="24"/>
          <w:highlight w:val="none"/>
          <w:u w:val="single"/>
        </w:rPr>
        <w:t>投标须知前附表</w:t>
      </w:r>
      <w:r>
        <w:rPr>
          <w:rFonts w:hint="eastAsia" w:ascii="仿宋" w:hAnsi="仿宋" w:eastAsia="仿宋"/>
          <w:color w:val="auto"/>
          <w:sz w:val="24"/>
          <w:highlight w:val="none"/>
        </w:rPr>
        <w:t>中的规定，采用加密电子投标响应文件(供应商须使用CA加密设备通过政采云电子投标客户端制作投标响应文件)。若供应商参与竞标，自行承担竞标一切费用。</w:t>
      </w:r>
    </w:p>
    <w:p w14:paraId="158D9CD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14.2</w:t>
      </w:r>
      <w:r>
        <w:rPr>
          <w:rFonts w:hint="eastAsia" w:ascii="仿宋" w:hAnsi="仿宋" w:eastAsia="仿宋"/>
          <w:color w:val="auto"/>
          <w:sz w:val="24"/>
          <w:highlight w:val="none"/>
        </w:rPr>
        <w:tab/>
      </w:r>
      <w:r>
        <w:rPr>
          <w:rFonts w:hint="eastAsia" w:ascii="仿宋" w:hAnsi="仿宋" w:eastAsia="仿宋"/>
          <w:color w:val="auto"/>
          <w:sz w:val="24"/>
          <w:highlight w:val="none"/>
        </w:rPr>
        <w:t>上传电子投标响应文件需要在规定签章处签字和盖章。</w:t>
      </w:r>
    </w:p>
    <w:p w14:paraId="74C5C82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14.3   </w:t>
      </w:r>
      <w:r>
        <w:rPr>
          <w:rFonts w:hint="eastAsia" w:ascii="仿宋" w:hAnsi="仿宋" w:eastAsia="仿宋"/>
          <w:color w:val="auto"/>
          <w:sz w:val="24"/>
          <w:highlight w:val="none"/>
        </w:rPr>
        <w:t>上传电子投标响应文件需要逐页编目编码，投标响应文件应根据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的要求制作，签署、盖章、上传。</w:t>
      </w:r>
    </w:p>
    <w:p w14:paraId="629D66C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w:t>
      </w:r>
      <w:r>
        <w:rPr>
          <w:rFonts w:ascii="仿宋" w:hAnsi="仿宋" w:eastAsia="仿宋"/>
          <w:color w:val="auto"/>
          <w:sz w:val="24"/>
          <w:highlight w:val="none"/>
        </w:rPr>
        <w:t>4</w:t>
      </w:r>
      <w:r>
        <w:rPr>
          <w:rFonts w:hint="eastAsia" w:ascii="仿宋" w:hAnsi="仿宋" w:eastAsia="仿宋"/>
          <w:color w:val="auto"/>
          <w:sz w:val="24"/>
          <w:highlight w:val="none"/>
        </w:rPr>
        <w:tab/>
      </w:r>
      <w:r>
        <w:rPr>
          <w:rFonts w:hint="eastAsia" w:ascii="仿宋" w:hAnsi="仿宋" w:eastAsia="仿宋"/>
          <w:color w:val="auto"/>
          <w:sz w:val="24"/>
          <w:highlight w:val="none"/>
        </w:rPr>
        <w:t>供应商因自身原因导致电子投标响应文件无法导入电子评标系统的，该电子投标响应文件视为无效。</w:t>
      </w:r>
    </w:p>
    <w:p w14:paraId="4B7CA0A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14.5   投标响应文件</w:t>
      </w:r>
      <w:r>
        <w:rPr>
          <w:rFonts w:hint="eastAsia" w:ascii="仿宋" w:hAnsi="仿宋" w:eastAsia="仿宋"/>
          <w:bCs/>
          <w:color w:val="auto"/>
          <w:sz w:val="24"/>
          <w:highlight w:val="none"/>
        </w:rPr>
        <w:t>应清楚工整，任何行间插字、涂改或增删，必须由供应商的法定代表人或其授权代表签字并盖供应商单位公章。</w:t>
      </w:r>
    </w:p>
    <w:p w14:paraId="072C27F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14.6</w:t>
      </w:r>
      <w:r>
        <w:rPr>
          <w:rFonts w:hint="eastAsia" w:ascii="仿宋" w:hAnsi="仿宋" w:eastAsia="仿宋"/>
          <w:color w:val="auto"/>
          <w:sz w:val="24"/>
          <w:highlight w:val="none"/>
        </w:rPr>
        <w:tab/>
      </w:r>
      <w:r>
        <w:rPr>
          <w:rFonts w:hint="eastAsia" w:ascii="仿宋" w:hAnsi="仿宋" w:eastAsia="仿宋"/>
          <w:color w:val="auto"/>
          <w:sz w:val="24"/>
          <w:highlight w:val="none"/>
        </w:rPr>
        <w:t>投标响应文件因字迹潦草或不清楚</w:t>
      </w:r>
      <w:r>
        <w:rPr>
          <w:rFonts w:ascii="仿宋" w:hAnsi="仿宋" w:eastAsia="仿宋"/>
          <w:color w:val="auto"/>
          <w:sz w:val="24"/>
          <w:highlight w:val="none"/>
        </w:rPr>
        <w:t>不当</w:t>
      </w:r>
      <w:r>
        <w:rPr>
          <w:rFonts w:hint="eastAsia" w:ascii="仿宋" w:hAnsi="仿宋" w:eastAsia="仿宋"/>
          <w:color w:val="auto"/>
          <w:sz w:val="24"/>
          <w:highlight w:val="none"/>
        </w:rPr>
        <w:t>所引起的后果由</w:t>
      </w:r>
      <w:r>
        <w:rPr>
          <w:rFonts w:hint="eastAsia" w:ascii="仿宋" w:hAnsi="仿宋" w:eastAsia="仿宋"/>
          <w:bCs/>
          <w:color w:val="auto"/>
          <w:sz w:val="24"/>
          <w:highlight w:val="none"/>
        </w:rPr>
        <w:t>供应商</w:t>
      </w:r>
      <w:r>
        <w:rPr>
          <w:rFonts w:hint="eastAsia" w:ascii="仿宋" w:hAnsi="仿宋" w:eastAsia="仿宋"/>
          <w:color w:val="auto"/>
          <w:sz w:val="24"/>
          <w:highlight w:val="none"/>
        </w:rPr>
        <w:t>负责。</w:t>
      </w:r>
    </w:p>
    <w:p w14:paraId="440728BE">
      <w:pPr>
        <w:pStyle w:val="3"/>
        <w:spacing w:before="0" w:line="360" w:lineRule="auto"/>
        <w:ind w:left="1079" w:leftChars="257" w:hanging="540"/>
        <w:rPr>
          <w:rFonts w:hint="eastAsia" w:ascii="仿宋" w:hAnsi="仿宋" w:eastAsia="仿宋"/>
          <w:color w:val="auto"/>
          <w:sz w:val="24"/>
          <w:highlight w:val="none"/>
        </w:rPr>
      </w:pPr>
      <w:bookmarkStart w:id="134" w:name="_Toc133261385"/>
      <w:bookmarkStart w:id="135" w:name="_Toc532473466"/>
      <w:bookmarkStart w:id="136" w:name="_Toc16865"/>
      <w:bookmarkStart w:id="137" w:name="_Toc515647774"/>
      <w:bookmarkStart w:id="138" w:name="_Toc11179"/>
      <w:bookmarkStart w:id="139" w:name="_Toc216582808"/>
      <w:bookmarkStart w:id="140" w:name="_Toc520356159"/>
      <w:r>
        <w:rPr>
          <w:rFonts w:hint="eastAsia" w:ascii="仿宋" w:hAnsi="仿宋" w:eastAsia="仿宋"/>
          <w:color w:val="auto"/>
          <w:sz w:val="24"/>
          <w:highlight w:val="none"/>
        </w:rPr>
        <w:t>四   响应文件的递交</w:t>
      </w:r>
      <w:bookmarkEnd w:id="134"/>
      <w:bookmarkEnd w:id="135"/>
      <w:bookmarkEnd w:id="136"/>
      <w:bookmarkEnd w:id="137"/>
      <w:bookmarkEnd w:id="138"/>
      <w:bookmarkEnd w:id="139"/>
      <w:bookmarkEnd w:id="140"/>
    </w:p>
    <w:p w14:paraId="61B2E952">
      <w:pPr>
        <w:pStyle w:val="5"/>
        <w:spacing w:line="360" w:lineRule="auto"/>
        <w:rPr>
          <w:rFonts w:hint="eastAsia" w:ascii="仿宋" w:hAnsi="仿宋" w:eastAsia="仿宋"/>
          <w:color w:val="auto"/>
          <w:highlight w:val="none"/>
        </w:rPr>
      </w:pPr>
    </w:p>
    <w:p w14:paraId="27ADE900">
      <w:pPr>
        <w:pStyle w:val="4"/>
        <w:spacing w:before="0" w:after="0" w:line="360" w:lineRule="auto"/>
        <w:rPr>
          <w:rFonts w:hint="eastAsia" w:ascii="仿宋" w:hAnsi="仿宋" w:eastAsia="仿宋"/>
          <w:color w:val="auto"/>
          <w:highlight w:val="none"/>
          <w:u w:val="none"/>
        </w:rPr>
      </w:pPr>
      <w:bookmarkStart w:id="141" w:name="_Toc21645"/>
      <w:bookmarkStart w:id="142" w:name="_Toc532473467"/>
      <w:bookmarkStart w:id="143" w:name="_Toc32337"/>
      <w:bookmarkStart w:id="144" w:name="_Toc23783519"/>
      <w:bookmarkStart w:id="145" w:name="_Toc515647775"/>
      <w:bookmarkStart w:id="146" w:name="_Toc520356160"/>
      <w:bookmarkStart w:id="147" w:name="_Toc133261386"/>
      <w:r>
        <w:rPr>
          <w:rFonts w:hint="eastAsia" w:ascii="仿宋" w:hAnsi="仿宋" w:eastAsia="仿宋"/>
          <w:color w:val="auto"/>
          <w:highlight w:val="none"/>
          <w:u w:val="none"/>
        </w:rPr>
        <w:t>15.响应文件的标记</w:t>
      </w:r>
      <w:bookmarkEnd w:id="141"/>
      <w:bookmarkEnd w:id="142"/>
      <w:bookmarkEnd w:id="143"/>
      <w:bookmarkEnd w:id="144"/>
      <w:bookmarkEnd w:id="145"/>
      <w:bookmarkEnd w:id="146"/>
      <w:bookmarkEnd w:id="147"/>
    </w:p>
    <w:p w14:paraId="55D0624A">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15.1   上传电子投标响应文件时应注明项目名称、项目编号、标项名称（若有）、及供应商名称。</w:t>
      </w:r>
    </w:p>
    <w:p w14:paraId="3657A10D">
      <w:pPr>
        <w:pStyle w:val="4"/>
        <w:spacing w:before="0" w:after="0" w:line="360" w:lineRule="auto"/>
        <w:rPr>
          <w:rFonts w:hint="eastAsia" w:ascii="仿宋" w:hAnsi="仿宋" w:eastAsia="仿宋"/>
          <w:color w:val="auto"/>
          <w:highlight w:val="none"/>
          <w:u w:val="none"/>
        </w:rPr>
      </w:pPr>
      <w:bookmarkStart w:id="148" w:name="_Toc532473468"/>
      <w:bookmarkStart w:id="149" w:name="_Toc133261387"/>
      <w:bookmarkStart w:id="150" w:name="_Toc12751"/>
      <w:bookmarkStart w:id="151" w:name="_Toc515647776"/>
      <w:bookmarkStart w:id="152" w:name="_Toc520356161"/>
      <w:bookmarkStart w:id="153" w:name="_Toc9840"/>
      <w:bookmarkStart w:id="154" w:name="_Toc23783520"/>
      <w:r>
        <w:rPr>
          <w:rFonts w:hint="eastAsia" w:ascii="仿宋" w:hAnsi="仿宋" w:eastAsia="仿宋"/>
          <w:color w:val="auto"/>
          <w:highlight w:val="none"/>
          <w:u w:val="none"/>
        </w:rPr>
        <w:t>16.投标（</w:t>
      </w:r>
      <w:r>
        <w:rPr>
          <w:rFonts w:ascii="仿宋" w:hAnsi="仿宋" w:eastAsia="仿宋"/>
          <w:color w:val="auto"/>
          <w:highlight w:val="none"/>
          <w:u w:val="none"/>
        </w:rPr>
        <w:t>响应）</w:t>
      </w:r>
      <w:r>
        <w:rPr>
          <w:rFonts w:hint="eastAsia" w:ascii="仿宋" w:hAnsi="仿宋" w:eastAsia="仿宋"/>
          <w:color w:val="auto"/>
          <w:highlight w:val="none"/>
          <w:u w:val="none"/>
        </w:rPr>
        <w:t>截止</w:t>
      </w:r>
      <w:bookmarkEnd w:id="148"/>
      <w:bookmarkEnd w:id="149"/>
      <w:bookmarkEnd w:id="150"/>
      <w:bookmarkEnd w:id="151"/>
      <w:bookmarkEnd w:id="152"/>
      <w:bookmarkEnd w:id="153"/>
      <w:bookmarkEnd w:id="154"/>
    </w:p>
    <w:p w14:paraId="5ACA4657">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16.1</w:t>
      </w:r>
      <w:r>
        <w:rPr>
          <w:rFonts w:hint="eastAsia" w:ascii="仿宋" w:hAnsi="仿宋" w:eastAsia="仿宋"/>
          <w:color w:val="auto"/>
          <w:sz w:val="24"/>
          <w:highlight w:val="none"/>
        </w:rPr>
        <w:tab/>
      </w:r>
      <w:r>
        <w:rPr>
          <w:rFonts w:hint="eastAsia" w:ascii="仿宋" w:hAnsi="仿宋" w:eastAsia="仿宋"/>
          <w:color w:val="auto"/>
          <w:sz w:val="24"/>
          <w:highlight w:val="none"/>
        </w:rPr>
        <w:t>供应商应在</w:t>
      </w:r>
      <w:r>
        <w:rPr>
          <w:rFonts w:hint="eastAsia" w:ascii="仿宋" w:hAnsi="仿宋" w:eastAsia="仿宋"/>
          <w:color w:val="auto"/>
          <w:sz w:val="24"/>
          <w:highlight w:val="none"/>
          <w:u w:val="single"/>
        </w:rPr>
        <w:t>供应商须知前附表中</w:t>
      </w:r>
      <w:r>
        <w:rPr>
          <w:rFonts w:hint="eastAsia" w:ascii="仿宋" w:hAnsi="仿宋" w:eastAsia="仿宋"/>
          <w:color w:val="auto"/>
          <w:sz w:val="24"/>
          <w:highlight w:val="none"/>
        </w:rPr>
        <w:t>规定的截止时间前，将</w:t>
      </w:r>
      <w:r>
        <w:rPr>
          <w:rFonts w:ascii="仿宋" w:hAnsi="仿宋" w:eastAsia="仿宋"/>
          <w:color w:val="auto"/>
          <w:sz w:val="24"/>
          <w:highlight w:val="none"/>
        </w:rPr>
        <w:t>加密的电子投标（响应）文件前通过政采云平台上传完成</w:t>
      </w:r>
      <w:r>
        <w:rPr>
          <w:rFonts w:hint="eastAsia" w:ascii="仿宋" w:hAnsi="仿宋" w:eastAsia="仿宋"/>
          <w:color w:val="auto"/>
          <w:sz w:val="24"/>
          <w:highlight w:val="none"/>
        </w:rPr>
        <w:t>。</w:t>
      </w:r>
    </w:p>
    <w:p w14:paraId="1CF9508C">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16.2   供应商登录政采云平台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3"/>
          <w:rFonts w:hint="eastAsia" w:ascii="仿宋" w:hAnsi="仿宋" w:eastAsia="仿宋"/>
          <w:color w:val="auto"/>
          <w:sz w:val="24"/>
          <w:highlight w:val="none"/>
        </w:rPr>
        <w:t>https://www.zcygov.cn/</w:t>
      </w:r>
      <w:r>
        <w:rPr>
          <w:rStyle w:val="23"/>
          <w:rFonts w:hint="eastAsia" w:ascii="仿宋" w:hAnsi="仿宋" w:eastAsia="仿宋"/>
          <w:color w:val="auto"/>
          <w:sz w:val="24"/>
          <w:highlight w:val="none"/>
        </w:rPr>
        <w:fldChar w:fldCharType="end"/>
      </w:r>
      <w:r>
        <w:rPr>
          <w:rFonts w:hint="eastAsia" w:ascii="仿宋" w:hAnsi="仿宋" w:eastAsia="仿宋"/>
          <w:color w:val="auto"/>
          <w:sz w:val="24"/>
          <w:highlight w:val="none"/>
        </w:rPr>
        <w:t>在约定的解密时间内在线进行解密。</w:t>
      </w:r>
    </w:p>
    <w:p w14:paraId="2393D5A4">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16.3   电子投标（响应）文件如果未按上述规定加密和解密，将导致代理机构无法接收响应文件。</w:t>
      </w:r>
    </w:p>
    <w:p w14:paraId="7977B2B1">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16.4</w:t>
      </w:r>
      <w:r>
        <w:rPr>
          <w:rFonts w:hint="eastAsia" w:ascii="仿宋" w:hAnsi="仿宋" w:eastAsia="仿宋"/>
          <w:color w:val="auto"/>
          <w:sz w:val="24"/>
          <w:highlight w:val="none"/>
        </w:rPr>
        <w:tab/>
      </w: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将拒绝接收在截止时间后上传的投电子投标响应文件。</w:t>
      </w:r>
    </w:p>
    <w:p w14:paraId="000F2066">
      <w:pPr>
        <w:pStyle w:val="4"/>
        <w:spacing w:before="0" w:after="0" w:line="360" w:lineRule="auto"/>
        <w:rPr>
          <w:rFonts w:hint="eastAsia" w:ascii="仿宋" w:hAnsi="仿宋" w:eastAsia="仿宋"/>
          <w:color w:val="auto"/>
          <w:highlight w:val="none"/>
          <w:u w:val="none"/>
        </w:rPr>
      </w:pPr>
      <w:bookmarkStart w:id="155" w:name="_Toc520356162"/>
      <w:bookmarkStart w:id="156" w:name="_Toc23783521"/>
      <w:bookmarkStart w:id="157" w:name="_Toc24275"/>
      <w:bookmarkStart w:id="158" w:name="_Toc18537"/>
      <w:bookmarkStart w:id="159" w:name="_Toc133261388"/>
      <w:bookmarkStart w:id="160" w:name="_Toc515647777"/>
      <w:bookmarkStart w:id="161" w:name="_Toc532473469"/>
      <w:r>
        <w:rPr>
          <w:rFonts w:hint="eastAsia" w:ascii="仿宋" w:hAnsi="仿宋" w:eastAsia="仿宋"/>
          <w:color w:val="auto"/>
          <w:highlight w:val="none"/>
          <w:u w:val="none"/>
        </w:rPr>
        <w:t>17.响应文件的签收、修改与撤回</w:t>
      </w:r>
      <w:bookmarkEnd w:id="155"/>
      <w:bookmarkEnd w:id="156"/>
      <w:bookmarkEnd w:id="157"/>
      <w:bookmarkEnd w:id="158"/>
      <w:bookmarkEnd w:id="159"/>
      <w:bookmarkEnd w:id="160"/>
      <w:bookmarkEnd w:id="161"/>
    </w:p>
    <w:p w14:paraId="5F5A9257">
      <w:pPr>
        <w:spacing w:line="360" w:lineRule="auto"/>
        <w:ind w:left="900" w:hanging="900" w:hangingChars="375"/>
        <w:rPr>
          <w:rFonts w:hint="eastAsia" w:ascii="仿宋" w:hAnsi="仿宋" w:eastAsia="仿宋"/>
          <w:color w:val="auto"/>
          <w:highlight w:val="none"/>
        </w:rPr>
      </w:pPr>
      <w:r>
        <w:rPr>
          <w:rFonts w:hint="eastAsia" w:ascii="仿宋" w:hAnsi="仿宋" w:eastAsia="仿宋"/>
          <w:color w:val="auto"/>
          <w:sz w:val="24"/>
          <w:highlight w:val="none"/>
        </w:rPr>
        <w:t>17.1</w:t>
      </w:r>
      <w:r>
        <w:rPr>
          <w:rFonts w:hint="eastAsia" w:ascii="仿宋" w:hAnsi="仿宋" w:eastAsia="仿宋"/>
          <w:color w:val="auto"/>
          <w:sz w:val="24"/>
          <w:highlight w:val="none"/>
        </w:rPr>
        <w:tab/>
      </w:r>
      <w:r>
        <w:rPr>
          <w:rFonts w:hint="eastAsia" w:ascii="仿宋" w:hAnsi="仿宋" w:eastAsia="仿宋"/>
          <w:color w:val="auto"/>
          <w:sz w:val="24"/>
          <w:highlight w:val="none"/>
        </w:rPr>
        <w:t>采购人和采购代理机构将按</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规定的时间和地点接收</w:t>
      </w:r>
      <w:r>
        <w:rPr>
          <w:rFonts w:ascii="仿宋" w:hAnsi="仿宋" w:eastAsia="仿宋"/>
          <w:color w:val="auto"/>
          <w:sz w:val="24"/>
          <w:highlight w:val="none"/>
        </w:rPr>
        <w:t>响应</w:t>
      </w:r>
      <w:r>
        <w:rPr>
          <w:rFonts w:hint="eastAsia" w:ascii="仿宋" w:hAnsi="仿宋" w:eastAsia="仿宋"/>
          <w:color w:val="auto"/>
          <w:sz w:val="24"/>
          <w:highlight w:val="none"/>
        </w:rPr>
        <w:t>文件。</w:t>
      </w:r>
    </w:p>
    <w:p w14:paraId="30ACF0A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17.2</w:t>
      </w:r>
      <w:r>
        <w:rPr>
          <w:rFonts w:hint="eastAsia" w:ascii="仿宋" w:hAnsi="仿宋" w:eastAsia="仿宋"/>
          <w:color w:val="auto"/>
          <w:sz w:val="24"/>
          <w:highlight w:val="none"/>
        </w:rPr>
        <w:tab/>
      </w:r>
      <w:r>
        <w:rPr>
          <w:rFonts w:hint="eastAsia" w:ascii="仿宋" w:hAnsi="仿宋" w:eastAsia="仿宋"/>
          <w:color w:val="auto"/>
          <w:sz w:val="24"/>
          <w:highlight w:val="none"/>
        </w:rPr>
        <w:t>采购人</w:t>
      </w:r>
      <w:r>
        <w:rPr>
          <w:rFonts w:ascii="仿宋" w:hAnsi="仿宋" w:eastAsia="仿宋"/>
          <w:color w:val="auto"/>
          <w:sz w:val="24"/>
          <w:highlight w:val="none"/>
        </w:rPr>
        <w:t>或者采购代理机构收到响应文件后，</w:t>
      </w:r>
      <w:r>
        <w:rPr>
          <w:rFonts w:hint="eastAsia" w:ascii="仿宋" w:hAnsi="仿宋" w:eastAsia="仿宋"/>
          <w:color w:val="auto"/>
          <w:sz w:val="24"/>
          <w:highlight w:val="none"/>
        </w:rPr>
        <w:t>将</w:t>
      </w:r>
      <w:r>
        <w:rPr>
          <w:rFonts w:ascii="仿宋" w:hAnsi="仿宋" w:eastAsia="仿宋"/>
          <w:color w:val="auto"/>
          <w:sz w:val="24"/>
          <w:highlight w:val="none"/>
        </w:rPr>
        <w:t>记载</w:t>
      </w:r>
      <w:r>
        <w:rPr>
          <w:rFonts w:hint="eastAsia" w:ascii="仿宋" w:hAnsi="仿宋" w:eastAsia="仿宋"/>
          <w:color w:val="auto"/>
          <w:sz w:val="24"/>
          <w:highlight w:val="none"/>
        </w:rPr>
        <w:t>响应</w:t>
      </w:r>
      <w:r>
        <w:rPr>
          <w:rFonts w:ascii="仿宋" w:hAnsi="仿宋" w:eastAsia="仿宋"/>
          <w:color w:val="auto"/>
          <w:sz w:val="24"/>
          <w:highlight w:val="none"/>
        </w:rPr>
        <w:t>文件的签收时间。</w:t>
      </w:r>
    </w:p>
    <w:p w14:paraId="7599A82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17.3</w:t>
      </w:r>
      <w:r>
        <w:rPr>
          <w:rFonts w:hint="eastAsia" w:ascii="仿宋" w:hAnsi="仿宋" w:eastAsia="仿宋"/>
          <w:color w:val="auto"/>
          <w:sz w:val="24"/>
          <w:highlight w:val="none"/>
        </w:rPr>
        <w:tab/>
      </w:r>
      <w:r>
        <w:rPr>
          <w:rFonts w:ascii="仿宋" w:hAnsi="仿宋" w:eastAsia="仿宋"/>
          <w:color w:val="auto"/>
          <w:sz w:val="24"/>
          <w:highlight w:val="none"/>
        </w:rPr>
        <w:t>供应商在</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规定的响应文件递交截止时间前，可以撤回已上传的响应文件。如要修改，必须在规定的响应文件递交截止时间之前将修改后的响应文件重新上传。</w:t>
      </w:r>
    </w:p>
    <w:p w14:paraId="22D5172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17.4</w:t>
      </w:r>
      <w:r>
        <w:rPr>
          <w:rFonts w:hint="eastAsia" w:ascii="仿宋" w:hAnsi="仿宋" w:eastAsia="仿宋"/>
          <w:color w:val="auto"/>
          <w:sz w:val="24"/>
          <w:highlight w:val="none"/>
        </w:rPr>
        <w:tab/>
      </w:r>
      <w:r>
        <w:rPr>
          <w:rFonts w:ascii="仿宋" w:hAnsi="仿宋" w:eastAsia="仿宋"/>
          <w:color w:val="auto"/>
          <w:sz w:val="24"/>
          <w:highlight w:val="none"/>
        </w:rPr>
        <w:t>在响应文件递交截止时间之后，供应商不得对上传的响应文件撤销或修改。</w:t>
      </w:r>
    </w:p>
    <w:p w14:paraId="63E5AFCB">
      <w:pPr>
        <w:pStyle w:val="3"/>
        <w:spacing w:before="0" w:line="360" w:lineRule="auto"/>
        <w:ind w:left="1079" w:leftChars="257" w:hanging="540"/>
        <w:rPr>
          <w:rFonts w:hint="eastAsia" w:ascii="仿宋" w:hAnsi="仿宋" w:eastAsia="仿宋"/>
          <w:color w:val="auto"/>
          <w:sz w:val="24"/>
          <w:highlight w:val="none"/>
        </w:rPr>
      </w:pPr>
      <w:bookmarkStart w:id="162" w:name="_Toc216582809"/>
      <w:bookmarkStart w:id="163" w:name="_Toc515647778"/>
      <w:bookmarkStart w:id="164" w:name="_Toc12436"/>
      <w:bookmarkStart w:id="165" w:name="_Toc532473470"/>
      <w:bookmarkStart w:id="166" w:name="_Toc28398"/>
      <w:bookmarkStart w:id="167" w:name="_Toc520356163"/>
      <w:bookmarkStart w:id="168" w:name="_Toc133261389"/>
      <w:r>
        <w:rPr>
          <w:rFonts w:hint="eastAsia" w:ascii="仿宋" w:hAnsi="仿宋" w:eastAsia="仿宋"/>
          <w:color w:val="auto"/>
          <w:sz w:val="24"/>
          <w:highlight w:val="none"/>
        </w:rPr>
        <w:t>五   响应文件开启及评</w:t>
      </w:r>
      <w:bookmarkEnd w:id="162"/>
      <w:bookmarkEnd w:id="163"/>
      <w:bookmarkEnd w:id="164"/>
      <w:bookmarkEnd w:id="165"/>
      <w:bookmarkEnd w:id="166"/>
      <w:bookmarkEnd w:id="167"/>
      <w:r>
        <w:rPr>
          <w:rFonts w:hint="eastAsia" w:ascii="仿宋" w:hAnsi="仿宋" w:eastAsia="仿宋"/>
          <w:color w:val="auto"/>
          <w:sz w:val="24"/>
          <w:highlight w:val="none"/>
        </w:rPr>
        <w:t>审</w:t>
      </w:r>
      <w:bookmarkEnd w:id="168"/>
    </w:p>
    <w:p w14:paraId="7D95F847">
      <w:pPr>
        <w:pStyle w:val="4"/>
        <w:numPr>
          <w:ilvl w:val="0"/>
          <w:numId w:val="3"/>
        </w:numPr>
        <w:spacing w:line="360" w:lineRule="auto"/>
        <w:rPr>
          <w:rFonts w:hint="eastAsia" w:ascii="仿宋" w:hAnsi="仿宋" w:eastAsia="仿宋"/>
          <w:color w:val="auto"/>
          <w:highlight w:val="none"/>
        </w:rPr>
      </w:pPr>
      <w:bookmarkStart w:id="169" w:name="_Toc520356164"/>
      <w:bookmarkStart w:id="170" w:name="_Toc133261390"/>
      <w:bookmarkStart w:id="171" w:name="_Toc515647779"/>
      <w:bookmarkStart w:id="172" w:name="_Toc25345"/>
      <w:bookmarkStart w:id="173" w:name="_Toc23783523"/>
      <w:bookmarkStart w:id="174" w:name="_Toc532473471"/>
      <w:bookmarkStart w:id="175" w:name="_Toc7186"/>
      <w:r>
        <w:rPr>
          <w:rFonts w:hint="eastAsia" w:ascii="仿宋" w:hAnsi="仿宋" w:eastAsia="仿宋" w:cs="Times New Roman"/>
          <w:color w:val="auto"/>
          <w:highlight w:val="none"/>
          <w:u w:val="none"/>
          <w:lang w:val="en-US" w:eastAsia="zh-CN"/>
        </w:rPr>
        <w:t>磋商会</w:t>
      </w:r>
      <w:bookmarkEnd w:id="169"/>
      <w:bookmarkEnd w:id="170"/>
      <w:bookmarkEnd w:id="171"/>
      <w:bookmarkEnd w:id="172"/>
      <w:bookmarkEnd w:id="173"/>
      <w:bookmarkEnd w:id="174"/>
      <w:bookmarkEnd w:id="175"/>
    </w:p>
    <w:p w14:paraId="7D62AD75">
      <w:pPr>
        <w:numPr>
          <w:ilvl w:val="1"/>
          <w:numId w:val="3"/>
        </w:num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采购人和</w:t>
      </w:r>
      <w:r>
        <w:rPr>
          <w:rFonts w:ascii="仿宋" w:hAnsi="仿宋" w:eastAsia="仿宋"/>
          <w:color w:val="auto"/>
          <w:sz w:val="24"/>
          <w:highlight w:val="none"/>
        </w:rPr>
        <w:t>采购代理机构</w:t>
      </w:r>
      <w:r>
        <w:rPr>
          <w:rFonts w:hint="eastAsia" w:ascii="仿宋" w:hAnsi="仿宋" w:eastAsia="仿宋"/>
          <w:color w:val="auto"/>
          <w:sz w:val="24"/>
          <w:highlight w:val="none"/>
        </w:rPr>
        <w:t>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中规定的时间和地点组织</w:t>
      </w:r>
      <w:r>
        <w:rPr>
          <w:rFonts w:ascii="仿宋" w:hAnsi="仿宋" w:eastAsia="仿宋"/>
          <w:color w:val="auto"/>
          <w:sz w:val="24"/>
          <w:highlight w:val="none"/>
        </w:rPr>
        <w:t>磋商活动</w:t>
      </w:r>
      <w:r>
        <w:rPr>
          <w:rFonts w:hint="eastAsia" w:ascii="仿宋" w:hAnsi="仿宋" w:eastAsia="仿宋"/>
          <w:color w:val="auto"/>
          <w:sz w:val="24"/>
          <w:highlight w:val="none"/>
        </w:rPr>
        <w:t>，并邀请所有供应商代表参加。</w:t>
      </w:r>
    </w:p>
    <w:p w14:paraId="4DA55079">
      <w:pPr>
        <w:spacing w:line="360" w:lineRule="auto"/>
        <w:ind w:left="735" w:leftChars="350" w:firstLine="120" w:firstLineChars="50"/>
        <w:rPr>
          <w:rFonts w:hint="eastAsia" w:ascii="仿宋" w:hAnsi="仿宋" w:eastAsia="仿宋"/>
          <w:color w:val="auto"/>
          <w:sz w:val="24"/>
          <w:highlight w:val="none"/>
        </w:rPr>
      </w:pPr>
      <w:r>
        <w:rPr>
          <w:rFonts w:ascii="仿宋" w:hAnsi="仿宋" w:eastAsia="仿宋"/>
          <w:color w:val="auto"/>
          <w:sz w:val="24"/>
          <w:highlight w:val="none"/>
        </w:rPr>
        <w:t>供应商不足</w:t>
      </w:r>
      <w:r>
        <w:rPr>
          <w:rFonts w:hint="eastAsia" w:ascii="仿宋" w:hAnsi="仿宋" w:eastAsia="仿宋"/>
          <w:color w:val="auto"/>
          <w:sz w:val="24"/>
          <w:highlight w:val="none"/>
        </w:rPr>
        <w:t>3家的，不</w:t>
      </w:r>
      <w:r>
        <w:rPr>
          <w:rFonts w:ascii="仿宋" w:hAnsi="仿宋" w:eastAsia="仿宋"/>
          <w:color w:val="auto"/>
          <w:sz w:val="24"/>
          <w:highlight w:val="none"/>
        </w:rPr>
        <w:t>予开启响应文件</w:t>
      </w:r>
      <w:r>
        <w:rPr>
          <w:rFonts w:hint="eastAsia" w:ascii="仿宋" w:hAnsi="仿宋" w:eastAsia="仿宋"/>
          <w:color w:val="auto"/>
          <w:sz w:val="24"/>
          <w:highlight w:val="none"/>
        </w:rPr>
        <w:t>。</w:t>
      </w:r>
    </w:p>
    <w:p w14:paraId="5A0D0C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18.2   本项目采用远程不见面交易的模式。磋商当日，供应商需在政采云网上完成远程解密、提疑澄清、磋商、最终报价环节等交互环节。</w:t>
      </w:r>
    </w:p>
    <w:p w14:paraId="419BA201">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18.3   </w:t>
      </w:r>
      <w:bookmarkStart w:id="176" w:name="_Toc520356165"/>
      <w:r>
        <w:rPr>
          <w:rFonts w:hint="eastAsia" w:ascii="仿宋" w:hAnsi="仿宋" w:eastAsia="仿宋"/>
          <w:color w:val="auto"/>
          <w:sz w:val="24"/>
          <w:highlight w:val="none"/>
        </w:rPr>
        <w:t>供应商必须使用能正确解密响应文件的“政采云数字证书（CA）”在规定的时间内完成远程解密，因供应商原因未能解密、解密失败或解密超时，视为供应商撤销其响应文件，系统内响应文件将被退回；因采购人原因或网上政采云平台发生故障，导致无法按时完成响应文件解密或磋商、评审工作无法进行的，可根据实际情况相应延迟解密时间或调整磋商、评审时间（友情提示：若供应商已领取副锁（含多把副锁）请注意正副锁的使用差别，务必使用生成响应文件的那把锁解密）。</w:t>
      </w:r>
    </w:p>
    <w:p w14:paraId="0AA2E765">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4</w:t>
      </w:r>
      <w:r>
        <w:rPr>
          <w:rFonts w:hint="eastAsia" w:ascii="仿宋" w:hAnsi="仿宋" w:eastAsia="仿宋"/>
          <w:color w:val="auto"/>
          <w:sz w:val="24"/>
          <w:highlight w:val="none"/>
        </w:rPr>
        <w:t xml:space="preserve">   不见面开标默认解密时长：30分钟    </w:t>
      </w:r>
    </w:p>
    <w:p w14:paraId="2693B7CE">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rPr>
        <w:t>关于能否延长解密时间的约定：磋商现场若发现默认解密时长不足，由采购人决定是否延长解密时长。</w:t>
      </w:r>
    </w:p>
    <w:p w14:paraId="0BFF1076">
      <w:pPr>
        <w:pStyle w:val="4"/>
        <w:spacing w:before="0" w:after="0" w:line="360" w:lineRule="auto"/>
        <w:rPr>
          <w:rFonts w:hint="eastAsia" w:ascii="仿宋" w:hAnsi="仿宋" w:eastAsia="仿宋"/>
          <w:color w:val="auto"/>
          <w:highlight w:val="none"/>
          <w:u w:val="none"/>
        </w:rPr>
      </w:pPr>
      <w:bookmarkStart w:id="177" w:name="_Toc21372"/>
      <w:bookmarkStart w:id="178" w:name="_Toc515647780"/>
      <w:bookmarkStart w:id="179" w:name="_Toc532473472"/>
      <w:bookmarkStart w:id="180" w:name="_Toc19296"/>
      <w:bookmarkStart w:id="181" w:name="_Toc23783524"/>
      <w:bookmarkStart w:id="182" w:name="_Toc133261391"/>
      <w:r>
        <w:rPr>
          <w:rFonts w:hint="eastAsia" w:ascii="仿宋" w:hAnsi="仿宋" w:eastAsia="仿宋"/>
          <w:color w:val="auto"/>
          <w:highlight w:val="none"/>
          <w:u w:val="none"/>
        </w:rPr>
        <w:t>19.</w:t>
      </w:r>
      <w:bookmarkEnd w:id="176"/>
      <w:r>
        <w:rPr>
          <w:rFonts w:hint="eastAsia" w:ascii="仿宋" w:hAnsi="仿宋" w:eastAsia="仿宋"/>
          <w:color w:val="auto"/>
          <w:highlight w:val="none"/>
          <w:u w:val="none"/>
        </w:rPr>
        <w:t>资格审查及组建评标委员会</w:t>
      </w:r>
      <w:bookmarkEnd w:id="177"/>
      <w:bookmarkEnd w:id="178"/>
      <w:bookmarkEnd w:id="179"/>
      <w:bookmarkEnd w:id="180"/>
      <w:bookmarkEnd w:id="181"/>
      <w:bookmarkEnd w:id="182"/>
    </w:p>
    <w:p w14:paraId="5327424D">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19.1   采购人或采购代理机构依据法律法规和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中规定的内</w:t>
      </w:r>
      <w:r>
        <w:rPr>
          <w:rFonts w:ascii="仿宋" w:hAnsi="仿宋" w:eastAsia="仿宋"/>
          <w:color w:val="auto"/>
          <w:sz w:val="24"/>
          <w:highlight w:val="none"/>
        </w:rPr>
        <w:t>容</w:t>
      </w:r>
      <w:r>
        <w:rPr>
          <w:rFonts w:hint="eastAsia" w:ascii="仿宋" w:hAnsi="仿宋" w:eastAsia="仿宋"/>
          <w:color w:val="auto"/>
          <w:sz w:val="24"/>
          <w:highlight w:val="none"/>
        </w:rPr>
        <w:t>，对供应商及其竞标标的资格进行审查，未</w:t>
      </w:r>
      <w:r>
        <w:rPr>
          <w:rFonts w:ascii="仿宋" w:hAnsi="仿宋" w:eastAsia="仿宋"/>
          <w:color w:val="auto"/>
          <w:sz w:val="24"/>
          <w:highlight w:val="none"/>
        </w:rPr>
        <w:t>通过资格审查的供应商</w:t>
      </w:r>
      <w:r>
        <w:rPr>
          <w:rFonts w:hint="eastAsia" w:ascii="仿宋" w:hAnsi="仿宋" w:eastAsia="仿宋"/>
          <w:color w:val="auto"/>
          <w:sz w:val="24"/>
          <w:highlight w:val="none"/>
        </w:rPr>
        <w:t>不</w:t>
      </w:r>
      <w:r>
        <w:rPr>
          <w:rFonts w:ascii="仿宋" w:hAnsi="仿宋" w:eastAsia="仿宋"/>
          <w:color w:val="auto"/>
          <w:sz w:val="24"/>
          <w:highlight w:val="none"/>
        </w:rPr>
        <w:t xml:space="preserve">进入评审； </w:t>
      </w:r>
    </w:p>
    <w:p w14:paraId="24277019">
      <w:pPr>
        <w:spacing w:line="360" w:lineRule="auto"/>
        <w:ind w:left="840" w:leftChars="400"/>
        <w:rPr>
          <w:rFonts w:hint="eastAsia" w:ascii="仿宋" w:hAnsi="仿宋" w:eastAsia="仿宋"/>
          <w:color w:val="auto"/>
          <w:sz w:val="24"/>
          <w:highlight w:val="none"/>
        </w:rPr>
      </w:pPr>
      <w:r>
        <w:rPr>
          <w:rFonts w:ascii="仿宋" w:hAnsi="仿宋" w:eastAsia="仿宋"/>
          <w:color w:val="auto"/>
          <w:sz w:val="24"/>
          <w:highlight w:val="none"/>
        </w:rPr>
        <w:t>通过资格审查的供应商</w:t>
      </w:r>
      <w:r>
        <w:rPr>
          <w:rFonts w:hint="eastAsia" w:ascii="仿宋" w:hAnsi="仿宋" w:eastAsia="仿宋"/>
          <w:color w:val="auto"/>
          <w:sz w:val="24"/>
          <w:highlight w:val="none"/>
        </w:rPr>
        <w:t>不足</w:t>
      </w:r>
      <w:r>
        <w:rPr>
          <w:rFonts w:ascii="仿宋" w:hAnsi="仿宋" w:eastAsia="仿宋"/>
          <w:color w:val="auto"/>
          <w:sz w:val="24"/>
          <w:highlight w:val="none"/>
        </w:rPr>
        <w:t>三家的，不</w:t>
      </w:r>
      <w:r>
        <w:rPr>
          <w:rFonts w:hint="eastAsia" w:ascii="仿宋" w:hAnsi="仿宋" w:eastAsia="仿宋"/>
          <w:color w:val="auto"/>
          <w:sz w:val="24"/>
          <w:highlight w:val="none"/>
        </w:rPr>
        <w:t>得评审。</w:t>
      </w:r>
    </w:p>
    <w:p w14:paraId="180426AE">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 xml:space="preserve">19.2   </w:t>
      </w:r>
      <w:r>
        <w:rPr>
          <w:rFonts w:hint="eastAsia" w:ascii="仿宋" w:hAnsi="仿宋" w:eastAsia="仿宋"/>
          <w:color w:val="auto"/>
          <w:sz w:val="24"/>
          <w:highlight w:val="none"/>
        </w:rPr>
        <w:t>采购人或采购代理机构将按供应商须知前附表中规定的时间查询供应商的信用记录。</w:t>
      </w:r>
    </w:p>
    <w:p w14:paraId="724CB281">
      <w:pPr>
        <w:spacing w:line="360" w:lineRule="auto"/>
        <w:ind w:left="857" w:leftChars="2" w:hanging="853"/>
        <w:rPr>
          <w:rFonts w:hint="eastAsia" w:ascii="仿宋" w:hAnsi="仿宋" w:eastAsia="仿宋"/>
          <w:color w:val="auto"/>
          <w:sz w:val="24"/>
          <w:highlight w:val="none"/>
        </w:rPr>
      </w:pPr>
      <w:r>
        <w:rPr>
          <w:rFonts w:ascii="仿宋" w:hAnsi="仿宋" w:eastAsia="仿宋"/>
          <w:color w:val="auto"/>
          <w:sz w:val="24"/>
          <w:highlight w:val="none"/>
        </w:rPr>
        <w:t>19.2</w:t>
      </w:r>
      <w:r>
        <w:rPr>
          <w:rFonts w:hint="eastAsia" w:ascii="仿宋" w:hAnsi="仿宋" w:eastAsia="仿宋"/>
          <w:color w:val="auto"/>
          <w:sz w:val="24"/>
          <w:highlight w:val="none"/>
        </w:rPr>
        <w:t>.1供应商在 “信用中国”（www.creditchina.gov.cn）、中国政府采购网（www.ccgp.gov.cn）列入失信被执行人、重大税收违法案件当事人名单、政府采购严重违法失信行为记录名单（尚在处罚期内的），竞标将被认定为</w:t>
      </w:r>
      <w:r>
        <w:rPr>
          <w:rFonts w:hint="eastAsia" w:ascii="仿宋" w:hAnsi="仿宋" w:eastAsia="仿宋"/>
          <w:b/>
          <w:color w:val="auto"/>
          <w:sz w:val="24"/>
          <w:highlight w:val="none"/>
        </w:rPr>
        <w:t>竞标无效</w:t>
      </w:r>
      <w:r>
        <w:rPr>
          <w:rFonts w:hint="eastAsia" w:ascii="仿宋" w:hAnsi="仿宋" w:eastAsia="仿宋"/>
          <w:color w:val="auto"/>
          <w:sz w:val="24"/>
          <w:highlight w:val="none"/>
        </w:rPr>
        <w:t>。</w:t>
      </w:r>
    </w:p>
    <w:p w14:paraId="03690224">
      <w:pPr>
        <w:spacing w:line="360" w:lineRule="auto"/>
        <w:ind w:left="849" w:leftChars="401" w:hanging="7" w:hangingChars="3"/>
        <w:rPr>
          <w:rFonts w:hint="eastAsia" w:ascii="仿宋" w:hAnsi="仿宋" w:eastAsia="仿宋"/>
          <w:color w:val="auto"/>
          <w:sz w:val="24"/>
          <w:highlight w:val="none"/>
        </w:rPr>
      </w:pPr>
      <w:r>
        <w:rPr>
          <w:rFonts w:hint="eastAsia" w:ascii="仿宋" w:hAnsi="仿宋" w:eastAsia="仿宋"/>
          <w:color w:val="auto"/>
          <w:sz w:val="24"/>
          <w:highlight w:val="none"/>
        </w:rPr>
        <w:t>以联合体形式参加竞标的，联合体任何成员存在以上不良信用记录的，联合体竞标将被认定为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7CBB5764">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19.3   按照《</w:t>
      </w:r>
      <w:r>
        <w:rPr>
          <w:rFonts w:ascii="仿宋" w:hAnsi="仿宋" w:eastAsia="仿宋"/>
          <w:color w:val="auto"/>
          <w:sz w:val="24"/>
          <w:highlight w:val="none"/>
        </w:rPr>
        <w:t>中华人民共和国政府采购法》</w:t>
      </w:r>
      <w:r>
        <w:rPr>
          <w:rFonts w:hint="eastAsia" w:ascii="仿宋" w:hAnsi="仿宋" w:eastAsia="仿宋"/>
          <w:color w:val="auto"/>
          <w:sz w:val="24"/>
          <w:highlight w:val="none"/>
        </w:rPr>
        <w:t>、</w:t>
      </w:r>
      <w:r>
        <w:rPr>
          <w:rFonts w:ascii="仿宋" w:hAnsi="仿宋" w:eastAsia="仿宋"/>
          <w:color w:val="auto"/>
          <w:sz w:val="24"/>
          <w:highlight w:val="none"/>
        </w:rPr>
        <w:t>《中华人民共和国政府采购</w:t>
      </w:r>
      <w:r>
        <w:rPr>
          <w:rFonts w:hint="eastAsia" w:ascii="仿宋" w:hAnsi="仿宋" w:eastAsia="仿宋"/>
          <w:color w:val="auto"/>
          <w:sz w:val="24"/>
          <w:highlight w:val="none"/>
        </w:rPr>
        <w:t>法</w:t>
      </w:r>
      <w:r>
        <w:rPr>
          <w:rFonts w:ascii="仿宋" w:hAnsi="仿宋" w:eastAsia="仿宋"/>
          <w:color w:val="auto"/>
          <w:sz w:val="24"/>
          <w:highlight w:val="none"/>
        </w:rPr>
        <w:t>实施条例》</w:t>
      </w:r>
      <w:r>
        <w:rPr>
          <w:rFonts w:hint="eastAsia" w:ascii="仿宋" w:hAnsi="仿宋" w:eastAsia="仿宋"/>
          <w:color w:val="auto"/>
          <w:sz w:val="24"/>
          <w:highlight w:val="none"/>
        </w:rPr>
        <w:t>及本项目本级</w:t>
      </w:r>
      <w:r>
        <w:rPr>
          <w:rFonts w:ascii="仿宋" w:hAnsi="仿宋" w:eastAsia="仿宋"/>
          <w:color w:val="auto"/>
          <w:sz w:val="24"/>
          <w:highlight w:val="none"/>
        </w:rPr>
        <w:t>和上级财政部门</w:t>
      </w:r>
      <w:r>
        <w:rPr>
          <w:rFonts w:hint="eastAsia" w:ascii="仿宋" w:hAnsi="仿宋" w:eastAsia="仿宋"/>
          <w:color w:val="auto"/>
          <w:sz w:val="24"/>
          <w:highlight w:val="none"/>
        </w:rPr>
        <w:t>的有关规定依法组建的磋商</w:t>
      </w:r>
      <w:r>
        <w:rPr>
          <w:rFonts w:ascii="仿宋" w:hAnsi="仿宋" w:eastAsia="仿宋"/>
          <w:color w:val="auto"/>
          <w:sz w:val="24"/>
          <w:highlight w:val="none"/>
        </w:rPr>
        <w:t>小组</w:t>
      </w:r>
      <w:r>
        <w:rPr>
          <w:rFonts w:hint="eastAsia" w:ascii="仿宋" w:hAnsi="仿宋" w:eastAsia="仿宋"/>
          <w:color w:val="auto"/>
          <w:sz w:val="24"/>
          <w:highlight w:val="none"/>
        </w:rPr>
        <w:t>，负责</w:t>
      </w:r>
      <w:r>
        <w:rPr>
          <w:rFonts w:ascii="仿宋" w:hAnsi="仿宋" w:eastAsia="仿宋"/>
          <w:color w:val="auto"/>
          <w:sz w:val="24"/>
          <w:highlight w:val="none"/>
        </w:rPr>
        <w:t>评审</w:t>
      </w:r>
      <w:r>
        <w:rPr>
          <w:rFonts w:hint="eastAsia" w:ascii="仿宋" w:hAnsi="仿宋" w:eastAsia="仿宋"/>
          <w:color w:val="auto"/>
          <w:sz w:val="24"/>
          <w:highlight w:val="none"/>
        </w:rPr>
        <w:t>工作。</w:t>
      </w:r>
      <w:bookmarkStart w:id="183" w:name="_Toc520356166"/>
    </w:p>
    <w:p w14:paraId="3A14A073">
      <w:pPr>
        <w:pStyle w:val="4"/>
        <w:spacing w:before="0" w:after="0" w:line="360" w:lineRule="auto"/>
        <w:rPr>
          <w:rFonts w:hint="eastAsia" w:ascii="仿宋" w:hAnsi="仿宋" w:eastAsia="仿宋"/>
          <w:b w:val="0"/>
          <w:bCs/>
          <w:color w:val="auto"/>
          <w:highlight w:val="none"/>
          <w:bdr w:val="single" w:color="auto" w:sz="4" w:space="0"/>
        </w:rPr>
      </w:pPr>
      <w:bookmarkStart w:id="184" w:name="_Toc133261392"/>
      <w:bookmarkStart w:id="185" w:name="_Toc19949"/>
      <w:bookmarkStart w:id="186" w:name="_Toc515647781"/>
      <w:bookmarkStart w:id="187" w:name="_Toc28479"/>
      <w:bookmarkStart w:id="188" w:name="_Toc23783525"/>
      <w:bookmarkStart w:id="189" w:name="_Toc532473473"/>
      <w:r>
        <w:rPr>
          <w:rFonts w:ascii="仿宋" w:hAnsi="仿宋" w:eastAsia="仿宋"/>
          <w:color w:val="auto"/>
          <w:highlight w:val="none"/>
          <w:u w:val="none"/>
        </w:rPr>
        <w:t>20.</w:t>
      </w:r>
      <w:r>
        <w:rPr>
          <w:rFonts w:hint="eastAsia" w:ascii="仿宋" w:hAnsi="仿宋" w:eastAsia="仿宋"/>
          <w:color w:val="auto"/>
          <w:highlight w:val="none"/>
          <w:u w:val="none"/>
        </w:rPr>
        <w:t>响应文件</w:t>
      </w:r>
      <w:bookmarkEnd w:id="183"/>
      <w:r>
        <w:rPr>
          <w:rFonts w:hint="eastAsia" w:ascii="仿宋" w:hAnsi="仿宋" w:eastAsia="仿宋"/>
          <w:color w:val="auto"/>
          <w:highlight w:val="none"/>
          <w:u w:val="none"/>
        </w:rPr>
        <w:t>符合性审查与澄清</w:t>
      </w:r>
      <w:bookmarkEnd w:id="184"/>
      <w:bookmarkEnd w:id="185"/>
      <w:bookmarkEnd w:id="186"/>
      <w:bookmarkEnd w:id="187"/>
      <w:bookmarkEnd w:id="188"/>
      <w:bookmarkEnd w:id="189"/>
    </w:p>
    <w:p w14:paraId="445C1ED7">
      <w:pPr>
        <w:spacing w:line="360" w:lineRule="auto"/>
        <w:ind w:left="850" w:hanging="849" w:hangingChars="354"/>
        <w:rPr>
          <w:rFonts w:hint="eastAsia" w:ascii="仿宋" w:hAnsi="仿宋" w:eastAsia="仿宋"/>
          <w:color w:val="auto"/>
          <w:sz w:val="24"/>
          <w:highlight w:val="none"/>
        </w:rPr>
      </w:pPr>
      <w:r>
        <w:rPr>
          <w:rFonts w:ascii="仿宋" w:hAnsi="仿宋" w:eastAsia="仿宋"/>
          <w:color w:val="auto"/>
          <w:sz w:val="24"/>
          <w:highlight w:val="none"/>
        </w:rPr>
        <w:t>20</w:t>
      </w:r>
      <w:r>
        <w:rPr>
          <w:rFonts w:hint="eastAsia" w:ascii="仿宋" w:hAnsi="仿宋" w:eastAsia="仿宋"/>
          <w:color w:val="auto"/>
          <w:sz w:val="24"/>
          <w:highlight w:val="none"/>
        </w:rPr>
        <w:t xml:space="preserve">.1 </w:t>
      </w:r>
      <w:r>
        <w:rPr>
          <w:rFonts w:ascii="仿宋" w:hAnsi="仿宋" w:eastAsia="仿宋"/>
          <w:color w:val="auto"/>
          <w:sz w:val="24"/>
          <w:highlight w:val="none"/>
        </w:rPr>
        <w:t xml:space="preserve">  </w:t>
      </w:r>
      <w:bookmarkStart w:id="190" w:name="_Hlt522424701"/>
      <w:bookmarkEnd w:id="190"/>
      <w:bookmarkStart w:id="191" w:name="_Toc520356167"/>
      <w:r>
        <w:rPr>
          <w:rFonts w:hint="eastAsia" w:ascii="仿宋" w:hAnsi="仿宋" w:eastAsia="仿宋"/>
          <w:color w:val="auto"/>
          <w:sz w:val="24"/>
          <w:highlight w:val="none"/>
        </w:rPr>
        <w:t>符合性审查是指依据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的规定，从商务和技术角度对响应文件的有效性和完整性进行审查，以确定是否对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的实质性要求做出响应。</w:t>
      </w:r>
    </w:p>
    <w:p w14:paraId="1D17E76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响应文件的澄清</w:t>
      </w:r>
    </w:p>
    <w:p w14:paraId="39148D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.2.1 </w:t>
      </w:r>
      <w:r>
        <w:rPr>
          <w:rFonts w:ascii="仿宋" w:hAnsi="仿宋" w:eastAsia="仿宋"/>
          <w:color w:val="auto"/>
          <w:sz w:val="24"/>
          <w:highlight w:val="none"/>
        </w:rPr>
        <w:t xml:space="preserve"> </w:t>
      </w:r>
      <w:r>
        <w:rPr>
          <w:rFonts w:hint="eastAsia" w:ascii="仿宋" w:hAnsi="仿宋" w:eastAsia="仿宋"/>
          <w:color w:val="auto"/>
          <w:sz w:val="24"/>
          <w:highlight w:val="none"/>
        </w:rPr>
        <w:t>在磋商期间，磋商小组将以书面方式要求供应商对其响应文件中含义不明确、对同类问题表述不一致或者有明显文字和计算错误的内容，以及磋商小组认为供应商的报价明显低于其他通过符合性审查供应商的报价，有可能影响履约的</w:t>
      </w:r>
      <w:r>
        <w:rPr>
          <w:rFonts w:ascii="仿宋" w:hAnsi="仿宋" w:eastAsia="仿宋"/>
          <w:color w:val="auto"/>
          <w:sz w:val="24"/>
          <w:highlight w:val="none"/>
        </w:rPr>
        <w:t>情况</w:t>
      </w:r>
      <w:r>
        <w:rPr>
          <w:rFonts w:hint="eastAsia" w:ascii="仿宋" w:hAnsi="仿宋" w:eastAsia="仿宋"/>
          <w:color w:val="auto"/>
          <w:sz w:val="24"/>
          <w:highlight w:val="none"/>
        </w:rPr>
        <w:t>作必要的澄清、说明或补正。供应商的澄清、说明或补正应在评标委员会规定的时间内以书面方式进行，并不得超出响应文件范围或者改变响应文件的实质性内容。</w:t>
      </w:r>
    </w:p>
    <w:p w14:paraId="64787A0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.2.2 供应商的澄清、说明或补正将作为响应文件的一部分。</w:t>
      </w:r>
    </w:p>
    <w:p w14:paraId="7CEEE68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 xml:space="preserve">.3  </w:t>
      </w:r>
      <w:r>
        <w:rPr>
          <w:rFonts w:ascii="仿宋" w:hAnsi="仿宋" w:eastAsia="仿宋"/>
          <w:color w:val="auto"/>
          <w:sz w:val="24"/>
          <w:highlight w:val="none"/>
        </w:rPr>
        <w:t xml:space="preserve"> </w:t>
      </w:r>
      <w:r>
        <w:rPr>
          <w:rFonts w:hint="eastAsia" w:ascii="仿宋" w:hAnsi="仿宋" w:eastAsia="仿宋"/>
          <w:color w:val="auto"/>
          <w:sz w:val="24"/>
          <w:highlight w:val="none"/>
        </w:rPr>
        <w:t>响应文件报价出现前后不一致的，按照下列规定修正：</w:t>
      </w:r>
    </w:p>
    <w:p w14:paraId="740E2CB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（1）响应文件中报价一览表内容与响应文件中相应内容不一致的，以报价一览表为准；</w:t>
      </w:r>
    </w:p>
    <w:p w14:paraId="5ED675DE">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（2）大写金额和小写金额不一致的，以大写金额为准；</w:t>
      </w:r>
    </w:p>
    <w:p w14:paraId="6474BC8F">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（3）单价金额小数点或者百分比有明显错位的，以报价一览表的总价为准，并修改单价；</w:t>
      </w:r>
    </w:p>
    <w:p w14:paraId="6D729DE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（4）总价金额与按单价汇总金额不一致的，以单价金额计算结果为准。</w:t>
      </w:r>
    </w:p>
    <w:p w14:paraId="61208C98">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　　   同时出现两种以上不一致的，按照前款规定的顺序修正。修正后的报价按照第2</w:t>
      </w:r>
      <w:r>
        <w:rPr>
          <w:rFonts w:ascii="仿宋" w:hAnsi="仿宋" w:eastAsia="仿宋"/>
          <w:color w:val="auto"/>
          <w:sz w:val="24"/>
          <w:highlight w:val="none"/>
        </w:rPr>
        <w:t>0.2</w:t>
      </w:r>
      <w:r>
        <w:rPr>
          <w:rFonts w:hint="eastAsia" w:ascii="仿宋" w:hAnsi="仿宋" w:eastAsia="仿宋"/>
          <w:color w:val="auto"/>
          <w:sz w:val="24"/>
          <w:highlight w:val="none"/>
        </w:rPr>
        <w:t>条的规定经供应商确认后产生约束力，供应商不确认的，其竞标将被认定为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38BE8FCA">
      <w:pPr>
        <w:spacing w:line="360" w:lineRule="auto"/>
        <w:ind w:left="735" w:leftChars="350"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对不同文字文本响应文件的解释发生异议的，以中文文本为准。</w:t>
      </w:r>
    </w:p>
    <w:p w14:paraId="7E92DE6F">
      <w:pPr>
        <w:pStyle w:val="4"/>
        <w:spacing w:before="0" w:after="0" w:line="360" w:lineRule="auto"/>
        <w:rPr>
          <w:rFonts w:hint="eastAsia" w:ascii="仿宋" w:hAnsi="仿宋" w:eastAsia="仿宋"/>
          <w:color w:val="auto"/>
          <w:highlight w:val="none"/>
          <w:u w:val="none"/>
        </w:rPr>
      </w:pPr>
      <w:bookmarkStart w:id="192" w:name="_Toc9469"/>
      <w:bookmarkStart w:id="193" w:name="_Toc23783526"/>
      <w:bookmarkStart w:id="194" w:name="_Toc515647782"/>
      <w:bookmarkStart w:id="195" w:name="_Toc6364"/>
      <w:bookmarkStart w:id="196" w:name="_Toc532473474"/>
      <w:bookmarkStart w:id="197" w:name="_Toc133261393"/>
      <w:r>
        <w:rPr>
          <w:rFonts w:hint="eastAsia" w:ascii="仿宋" w:hAnsi="仿宋" w:eastAsia="仿宋"/>
          <w:color w:val="auto"/>
          <w:highlight w:val="none"/>
          <w:u w:val="none"/>
        </w:rPr>
        <w:t>21.竞标偏离</w:t>
      </w:r>
      <w:bookmarkEnd w:id="192"/>
      <w:bookmarkEnd w:id="193"/>
      <w:bookmarkEnd w:id="194"/>
      <w:bookmarkEnd w:id="195"/>
      <w:bookmarkEnd w:id="196"/>
      <w:bookmarkEnd w:id="197"/>
    </w:p>
    <w:p w14:paraId="636C33C6">
      <w:pPr>
        <w:spacing w:line="360" w:lineRule="auto"/>
        <w:ind w:left="847" w:leftChars="99" w:hanging="640" w:hangingChars="267"/>
        <w:rPr>
          <w:rFonts w:hint="eastAsia" w:ascii="仿宋" w:hAnsi="仿宋" w:eastAsia="仿宋"/>
          <w:color w:val="auto"/>
          <w:sz w:val="24"/>
          <w:highlight w:val="none"/>
          <w:u w:val="singl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响应文件中存在对</w:t>
      </w:r>
      <w:r>
        <w:rPr>
          <w:rFonts w:hint="eastAsia" w:ascii="仿宋" w:hAnsi="仿宋" w:eastAsia="仿宋"/>
          <w:color w:val="auto"/>
          <w:sz w:val="24"/>
          <w:highlight w:val="none"/>
          <w:u w:val="single"/>
          <w:lang w:eastAsia="zh-CN"/>
        </w:rPr>
        <w:t>竞争性磋商文件</w:t>
      </w:r>
      <w:r>
        <w:rPr>
          <w:rFonts w:ascii="仿宋" w:hAnsi="仿宋" w:eastAsia="仿宋"/>
          <w:color w:val="auto"/>
          <w:sz w:val="24"/>
          <w:highlight w:val="none"/>
          <w:u w:val="single"/>
        </w:rPr>
        <w:t>的</w:t>
      </w:r>
      <w:r>
        <w:rPr>
          <w:rFonts w:hint="eastAsia" w:ascii="仿宋" w:hAnsi="仿宋" w:eastAsia="仿宋"/>
          <w:b/>
          <w:color w:val="auto"/>
          <w:sz w:val="24"/>
          <w:highlight w:val="none"/>
          <w:u w:val="single"/>
        </w:rPr>
        <w:t>实质性</w:t>
      </w:r>
      <w:r>
        <w:rPr>
          <w:rFonts w:ascii="仿宋" w:hAnsi="仿宋" w:eastAsia="仿宋"/>
          <w:b/>
          <w:color w:val="auto"/>
          <w:sz w:val="24"/>
          <w:highlight w:val="none"/>
          <w:u w:val="single"/>
        </w:rPr>
        <w:t>要求</w:t>
      </w:r>
      <w:r>
        <w:rPr>
          <w:rFonts w:hint="eastAsia" w:ascii="仿宋" w:hAnsi="仿宋" w:eastAsia="仿宋"/>
          <w:b/>
          <w:color w:val="auto"/>
          <w:sz w:val="24"/>
          <w:highlight w:val="none"/>
          <w:u w:val="single"/>
        </w:rPr>
        <w:t>（资格审查及评标办法初步审查内容）</w:t>
      </w:r>
      <w:r>
        <w:rPr>
          <w:rFonts w:hint="eastAsia" w:ascii="仿宋" w:hAnsi="仿宋" w:eastAsia="仿宋"/>
          <w:color w:val="auto"/>
          <w:sz w:val="24"/>
          <w:highlight w:val="none"/>
          <w:u w:val="single"/>
        </w:rPr>
        <w:t>的负偏离，其竞标将被认定为竞标无效。</w:t>
      </w:r>
    </w:p>
    <w:p w14:paraId="490B0F9E">
      <w:pPr>
        <w:pStyle w:val="4"/>
        <w:spacing w:before="0" w:after="0" w:line="360" w:lineRule="auto"/>
        <w:rPr>
          <w:rFonts w:hint="eastAsia" w:ascii="仿宋" w:hAnsi="仿宋" w:eastAsia="仿宋"/>
          <w:color w:val="auto"/>
          <w:highlight w:val="none"/>
          <w:u w:val="none"/>
        </w:rPr>
      </w:pPr>
      <w:bookmarkStart w:id="198" w:name="_Toc133261394"/>
      <w:r>
        <w:rPr>
          <w:rFonts w:hint="eastAsia" w:ascii="仿宋" w:hAnsi="仿宋" w:eastAsia="仿宋"/>
          <w:color w:val="auto"/>
          <w:highlight w:val="none"/>
          <w:u w:val="none"/>
        </w:rPr>
        <w:t>22.磋商</w:t>
      </w:r>
      <w:bookmarkEnd w:id="198"/>
    </w:p>
    <w:p w14:paraId="4862EE53">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22.1   采购人按照供应商签到时间顺序通知有效供应商磋商。参与二次及多次报价及服务承诺的人员须是供应商法定代表人或其授权代表人。供应商未及时参与磋商或多次报价的，视为自动放弃参与磋商的资格。</w:t>
      </w:r>
    </w:p>
    <w:p w14:paraId="165DBC6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22.2   第一轮磋商：磋商小组所有成员集中按已确定的磋商顺序，与单一供应商分别就符合采购需求、质量、服务等进行磋商，磋商结束后，磋商小组进行合议。</w:t>
      </w:r>
    </w:p>
    <w:p w14:paraId="25114B28">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22.3  </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修正：根据磋商掌握的情况，磋商小组可以根据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和磋商情况实质性变动采购需求中的技术、服务要求以及合同草案条款，但不得变动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中的其他内容。实质性变动的内容，须经磋商小组及采购人代表确认。</w:t>
      </w:r>
    </w:p>
    <w:p w14:paraId="237CF68E">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22.4  第二轮磋商：磋商小组就修正后的磋商响应文件与磋商响应供应商分别进行磋商。如未实质性提高采购需求中的技术、服务要求以及合同草案条款情况下，采购代理机构对磋商过程和磋商内容进行记录。</w:t>
      </w:r>
    </w:p>
    <w:p w14:paraId="4EE73DAE">
      <w:pPr>
        <w:spacing w:line="360" w:lineRule="auto"/>
        <w:ind w:left="840" w:leftChars="400"/>
        <w:rPr>
          <w:rFonts w:hint="eastAsia" w:ascii="仿宋" w:hAnsi="仿宋" w:eastAsia="仿宋"/>
          <w:b/>
          <w:color w:val="auto"/>
          <w:sz w:val="24"/>
          <w:highlight w:val="none"/>
        </w:rPr>
      </w:pPr>
      <w:r>
        <w:rPr>
          <w:rFonts w:hint="eastAsia" w:ascii="仿宋" w:hAnsi="仿宋" w:eastAsia="仿宋"/>
          <w:b/>
          <w:color w:val="auto"/>
          <w:sz w:val="24"/>
          <w:highlight w:val="none"/>
        </w:rPr>
        <w:t>若磋商小组根据磋商掌握的情况，未变动实质性的内容，</w:t>
      </w:r>
      <w:r>
        <w:rPr>
          <w:rFonts w:hint="eastAsia" w:ascii="仿宋" w:hAnsi="仿宋" w:eastAsia="仿宋"/>
          <w:b/>
          <w:color w:val="auto"/>
          <w:sz w:val="24"/>
          <w:highlight w:val="none"/>
          <w:lang w:eastAsia="zh-CN"/>
        </w:rPr>
        <w:t>竞争性磋商文件</w:t>
      </w:r>
      <w:r>
        <w:rPr>
          <w:rFonts w:hint="eastAsia" w:ascii="仿宋" w:hAnsi="仿宋" w:eastAsia="仿宋"/>
          <w:b/>
          <w:color w:val="auto"/>
          <w:sz w:val="24"/>
          <w:highlight w:val="none"/>
        </w:rPr>
        <w:t>未修正，只需进行第一轮磋商。</w:t>
      </w:r>
    </w:p>
    <w:p w14:paraId="2BB4DD5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22.5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最终报价：最终的磋商结束后，所有供应商作最终报价，在约定时间内，供应商须登录政采云平台https://www.zcygov.cn/在线进行最终报价并上传附件，最终报价是供应商磋商响应文件的有效组成部分。由磋商小组采用综合评分法对提交最后报价的供应商的响应文件和最后报价进行综合评分。</w:t>
      </w:r>
    </w:p>
    <w:p w14:paraId="2F37C7B9">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22.6 </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竞争性磋商文件</w:t>
      </w:r>
      <w:r>
        <w:rPr>
          <w:rFonts w:hint="eastAsia" w:ascii="仿宋" w:hAnsi="仿宋" w:eastAsia="仿宋"/>
          <w:color w:val="auto"/>
          <w:sz w:val="24"/>
          <w:highlight w:val="none"/>
        </w:rPr>
        <w:t>能够详细列明采购标的的技术、服务要求的，磋商结束后，磋商小组应当要求所有实质性响应的供应商在规定时间内提交最后报价，提交最后报价的供应商不得少于3家。</w:t>
      </w:r>
    </w:p>
    <w:p w14:paraId="09F5E192">
      <w:pPr>
        <w:spacing w:line="360" w:lineRule="auto"/>
        <w:ind w:left="840" w:leftChars="400"/>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 xml:space="preserve">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    </w:t>
      </w:r>
    </w:p>
    <w:p w14:paraId="4481D7C7">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443FBA8B">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22.8 </w:t>
      </w:r>
      <w:r>
        <w:rPr>
          <w:rFonts w:hint="eastAsia" w:ascii="仿宋" w:hAnsi="仿宋" w:eastAsia="仿宋"/>
          <w:color w:val="auto"/>
          <w:sz w:val="24"/>
          <w:highlight w:val="none"/>
        </w:rPr>
        <w:t xml:space="preserve">  已提交响应文件的供应商，在提交最后报价之前，可以根据磋商情况退出磋商。采购人、采购代理机构应当退还退出磋商的供应商的磋商保证金。</w:t>
      </w:r>
    </w:p>
    <w:p w14:paraId="5BE44AC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22.9 </w:t>
      </w:r>
      <w:r>
        <w:rPr>
          <w:rFonts w:hint="eastAsia" w:ascii="仿宋" w:hAnsi="仿宋" w:eastAsia="仿宋"/>
          <w:color w:val="auto"/>
          <w:sz w:val="24"/>
          <w:highlight w:val="none"/>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竞标处理。</w:t>
      </w:r>
    </w:p>
    <w:p w14:paraId="00019B1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22.10</w:t>
      </w:r>
      <w:r>
        <w:rPr>
          <w:rFonts w:hint="eastAsia" w:ascii="仿宋" w:hAnsi="仿宋" w:eastAsia="仿宋"/>
          <w:color w:val="auto"/>
          <w:sz w:val="24"/>
          <w:highlight w:val="none"/>
        </w:rPr>
        <w:t xml:space="preserve">  磋商小组发现</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存在歧义、重大缺陷导致评标工作无法进行，或者</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内容违反国家有关强制性规定的，应当停止评标工作，与采购人或者采购代理机构沟通并作书面记录。采购人或者采购代理机构确认后，应当修改</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，重新组织采购活动。</w:t>
      </w:r>
    </w:p>
    <w:p w14:paraId="549CAFA5">
      <w:pPr>
        <w:pStyle w:val="4"/>
        <w:spacing w:before="0" w:after="0" w:line="360" w:lineRule="auto"/>
        <w:rPr>
          <w:rFonts w:hint="eastAsia" w:ascii="仿宋" w:hAnsi="仿宋" w:eastAsia="仿宋"/>
          <w:color w:val="auto"/>
          <w:highlight w:val="none"/>
          <w:u w:val="none"/>
        </w:rPr>
      </w:pPr>
      <w:bookmarkStart w:id="199" w:name="_Toc515647783"/>
      <w:bookmarkStart w:id="200" w:name="_Toc133261395"/>
      <w:bookmarkStart w:id="201" w:name="_Toc532473475"/>
      <w:bookmarkStart w:id="202" w:name="_Toc6092"/>
      <w:bookmarkStart w:id="203" w:name="_Toc4950"/>
      <w:bookmarkStart w:id="204" w:name="_Toc23783527"/>
      <w:r>
        <w:rPr>
          <w:rFonts w:hint="eastAsia" w:ascii="仿宋" w:hAnsi="仿宋" w:eastAsia="仿宋"/>
          <w:color w:val="auto"/>
          <w:highlight w:val="none"/>
          <w:u w:val="none"/>
        </w:rPr>
        <w:t>23.竞标</w:t>
      </w:r>
      <w:bookmarkEnd w:id="199"/>
      <w:r>
        <w:rPr>
          <w:rFonts w:hint="eastAsia" w:ascii="仿宋" w:hAnsi="仿宋" w:eastAsia="仿宋"/>
          <w:color w:val="auto"/>
          <w:highlight w:val="none"/>
          <w:u w:val="none"/>
        </w:rPr>
        <w:t>无效</w:t>
      </w:r>
      <w:bookmarkEnd w:id="200"/>
      <w:bookmarkEnd w:id="201"/>
      <w:bookmarkEnd w:id="202"/>
      <w:bookmarkEnd w:id="203"/>
      <w:bookmarkEnd w:id="204"/>
    </w:p>
    <w:p w14:paraId="1A0B20A4">
      <w:pPr>
        <w:spacing w:line="360" w:lineRule="auto"/>
        <w:ind w:left="852" w:leftChars="-23"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在比较与评价之前，根据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的规定，磋商</w:t>
      </w:r>
      <w:r>
        <w:rPr>
          <w:rFonts w:ascii="仿宋" w:hAnsi="仿宋" w:eastAsia="仿宋"/>
          <w:color w:val="auto"/>
          <w:sz w:val="24"/>
          <w:highlight w:val="none"/>
        </w:rPr>
        <w:t>小组</w:t>
      </w:r>
      <w:r>
        <w:rPr>
          <w:rFonts w:hint="eastAsia" w:ascii="仿宋" w:hAnsi="仿宋" w:eastAsia="仿宋"/>
          <w:color w:val="auto"/>
          <w:sz w:val="24"/>
          <w:highlight w:val="none"/>
        </w:rPr>
        <w:t>要审查每份响应文件是否响应了</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的要求。供应商不得通过修正或撤销不符合要求的偏离，从而使其竞标成为实质上响应的竞标。</w:t>
      </w:r>
    </w:p>
    <w:p w14:paraId="37EFE2EF">
      <w:pPr>
        <w:spacing w:line="360" w:lineRule="auto"/>
        <w:ind w:left="791" w:leftChars="377"/>
        <w:rPr>
          <w:rFonts w:hint="eastAsia" w:ascii="仿宋" w:hAnsi="仿宋" w:eastAsia="仿宋"/>
          <w:color w:val="auto"/>
          <w:sz w:val="24"/>
          <w:highlight w:val="none"/>
        </w:rPr>
      </w:pPr>
      <w:r>
        <w:rPr>
          <w:rFonts w:hint="eastAsia" w:ascii="仿宋" w:hAnsi="仿宋" w:eastAsia="仿宋"/>
          <w:color w:val="auto"/>
          <w:sz w:val="24"/>
          <w:highlight w:val="none"/>
        </w:rPr>
        <w:t>磋商</w:t>
      </w:r>
      <w:r>
        <w:rPr>
          <w:rFonts w:ascii="仿宋" w:hAnsi="仿宋" w:eastAsia="仿宋"/>
          <w:color w:val="auto"/>
          <w:sz w:val="24"/>
          <w:highlight w:val="none"/>
        </w:rPr>
        <w:t>小组</w:t>
      </w:r>
      <w:r>
        <w:rPr>
          <w:rFonts w:hint="eastAsia" w:ascii="仿宋" w:hAnsi="仿宋" w:eastAsia="仿宋"/>
          <w:color w:val="auto"/>
          <w:sz w:val="24"/>
          <w:highlight w:val="none"/>
        </w:rPr>
        <w:t>决定竞标的响应性只根据</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要求</w:t>
      </w:r>
      <w:r>
        <w:rPr>
          <w:rFonts w:hint="eastAsia" w:ascii="仿宋" w:hAnsi="仿宋" w:eastAsia="仿宋"/>
          <w:color w:val="auto"/>
          <w:sz w:val="24"/>
          <w:highlight w:val="none"/>
        </w:rPr>
        <w:t>和响应文件内容。</w:t>
      </w:r>
    </w:p>
    <w:p w14:paraId="08E1BCE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ab/>
      </w:r>
      <w:r>
        <w:rPr>
          <w:rFonts w:hint="eastAsia" w:ascii="仿宋" w:hAnsi="仿宋" w:eastAsia="仿宋"/>
          <w:color w:val="auto"/>
          <w:sz w:val="24"/>
          <w:highlight w:val="none"/>
        </w:rPr>
        <w:t>如发现下列情况之一的，其竞标将被认定为</w:t>
      </w:r>
      <w:r>
        <w:rPr>
          <w:rFonts w:hint="eastAsia" w:ascii="仿宋" w:hAnsi="仿宋" w:eastAsia="仿宋"/>
          <w:b/>
          <w:bCs/>
          <w:color w:val="auto"/>
          <w:sz w:val="24"/>
          <w:highlight w:val="none"/>
        </w:rPr>
        <w:t>竞标无效</w:t>
      </w:r>
      <w:r>
        <w:rPr>
          <w:rFonts w:hint="eastAsia" w:ascii="仿宋" w:hAnsi="仿宋" w:eastAsia="仿宋"/>
          <w:color w:val="auto"/>
          <w:sz w:val="24"/>
          <w:highlight w:val="none"/>
        </w:rPr>
        <w:t>：</w:t>
      </w:r>
    </w:p>
    <w:p w14:paraId="57178CE1">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规定要求签署、盖章的；</w:t>
      </w:r>
    </w:p>
    <w:p w14:paraId="3D8473B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未满足</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中商务</w:t>
      </w:r>
      <w:r>
        <w:rPr>
          <w:rFonts w:ascii="仿宋" w:hAnsi="仿宋" w:eastAsia="仿宋"/>
          <w:color w:val="auto"/>
          <w:sz w:val="24"/>
          <w:highlight w:val="none"/>
        </w:rPr>
        <w:t>和</w:t>
      </w:r>
      <w:r>
        <w:rPr>
          <w:rFonts w:hint="eastAsia" w:ascii="仿宋" w:hAnsi="仿宋" w:eastAsia="仿宋"/>
          <w:color w:val="auto"/>
          <w:sz w:val="24"/>
          <w:highlight w:val="none"/>
        </w:rPr>
        <w:t>技术</w:t>
      </w:r>
      <w:r>
        <w:rPr>
          <w:rFonts w:ascii="仿宋" w:hAnsi="仿宋" w:eastAsia="仿宋"/>
          <w:color w:val="auto"/>
          <w:sz w:val="24"/>
          <w:highlight w:val="none"/>
        </w:rPr>
        <w:t>条款</w:t>
      </w:r>
      <w:r>
        <w:rPr>
          <w:rFonts w:hint="eastAsia" w:ascii="仿宋" w:hAnsi="仿宋" w:eastAsia="仿宋"/>
          <w:color w:val="auto"/>
          <w:sz w:val="24"/>
          <w:highlight w:val="none"/>
        </w:rPr>
        <w:t>的实质性要求；</w:t>
      </w:r>
    </w:p>
    <w:p w14:paraId="1D584DD6">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属于串通</w:t>
      </w:r>
      <w:r>
        <w:rPr>
          <w:rFonts w:ascii="仿宋" w:hAnsi="仿宋" w:eastAsia="仿宋"/>
          <w:color w:val="auto"/>
          <w:sz w:val="24"/>
          <w:highlight w:val="none"/>
        </w:rPr>
        <w:t>投标，或者</w:t>
      </w:r>
      <w:r>
        <w:rPr>
          <w:rFonts w:hint="eastAsia" w:ascii="仿宋" w:hAnsi="仿宋" w:eastAsia="仿宋"/>
          <w:color w:val="auto"/>
          <w:sz w:val="24"/>
          <w:highlight w:val="none"/>
        </w:rPr>
        <w:t>依法</w:t>
      </w:r>
      <w:r>
        <w:rPr>
          <w:rFonts w:ascii="仿宋" w:hAnsi="仿宋" w:eastAsia="仿宋"/>
          <w:color w:val="auto"/>
          <w:sz w:val="24"/>
          <w:highlight w:val="none"/>
        </w:rPr>
        <w:t>被视为串通投标</w:t>
      </w:r>
      <w:r>
        <w:rPr>
          <w:rFonts w:hint="eastAsia" w:ascii="仿宋" w:hAnsi="仿宋" w:eastAsia="仿宋"/>
          <w:color w:val="auto"/>
          <w:sz w:val="24"/>
          <w:highlight w:val="none"/>
        </w:rPr>
        <w:t>；</w:t>
      </w:r>
    </w:p>
    <w:p w14:paraId="5FAEC51C">
      <w:pPr>
        <w:numPr>
          <w:ilvl w:val="0"/>
          <w:numId w:val="4"/>
        </w:numPr>
        <w:spacing w:line="360" w:lineRule="auto"/>
        <w:ind w:left="1080" w:leftChars="429" w:hanging="180"/>
        <w:rPr>
          <w:rFonts w:hint="eastAsia" w:ascii="仿宋" w:hAnsi="仿宋" w:eastAsia="仿宋"/>
          <w:color w:val="auto"/>
          <w:sz w:val="24"/>
          <w:highlight w:val="none"/>
        </w:rPr>
      </w:pPr>
      <w:r>
        <w:rPr>
          <w:rFonts w:ascii="仿宋" w:hAnsi="仿宋" w:eastAsia="仿宋"/>
          <w:color w:val="auto"/>
          <w:sz w:val="24"/>
          <w:highlight w:val="none"/>
        </w:rPr>
        <w:t>磋商小组认为供应商的报价明显低于其他通过符合性</w:t>
      </w:r>
      <w:r>
        <w:rPr>
          <w:rFonts w:hint="eastAsia" w:ascii="仿宋" w:hAnsi="仿宋" w:eastAsia="仿宋"/>
          <w:color w:val="auto"/>
          <w:sz w:val="24"/>
          <w:highlight w:val="none"/>
        </w:rPr>
        <w:t>审</w:t>
      </w:r>
      <w:r>
        <w:rPr>
          <w:rFonts w:ascii="仿宋" w:hAnsi="仿宋" w:eastAsia="仿宋"/>
          <w:color w:val="auto"/>
          <w:sz w:val="24"/>
          <w:highlight w:val="none"/>
        </w:rPr>
        <w:t>查供应商的报价</w:t>
      </w:r>
      <w:r>
        <w:rPr>
          <w:rFonts w:hint="eastAsia" w:ascii="仿宋" w:hAnsi="仿宋" w:eastAsia="仿宋"/>
          <w:color w:val="auto"/>
          <w:sz w:val="24"/>
          <w:highlight w:val="none"/>
        </w:rPr>
        <w:t>，</w:t>
      </w:r>
      <w:r>
        <w:rPr>
          <w:rFonts w:ascii="仿宋" w:hAnsi="仿宋" w:eastAsia="仿宋"/>
          <w:color w:val="auto"/>
          <w:sz w:val="24"/>
          <w:highlight w:val="none"/>
        </w:rPr>
        <w:t>有可能影响履约的</w:t>
      </w:r>
      <w:r>
        <w:rPr>
          <w:rFonts w:hint="eastAsia" w:ascii="仿宋" w:hAnsi="仿宋" w:eastAsia="仿宋"/>
          <w:color w:val="auto"/>
          <w:sz w:val="24"/>
          <w:highlight w:val="none"/>
        </w:rPr>
        <w:t>，且</w:t>
      </w:r>
      <w:r>
        <w:rPr>
          <w:rFonts w:ascii="仿宋" w:hAnsi="仿宋" w:eastAsia="仿宋"/>
          <w:color w:val="auto"/>
          <w:sz w:val="24"/>
          <w:highlight w:val="none"/>
        </w:rPr>
        <w:t>供应商未按照规定证明其报价合理性的</w:t>
      </w:r>
      <w:r>
        <w:rPr>
          <w:rFonts w:hint="eastAsia" w:ascii="仿宋" w:hAnsi="仿宋" w:eastAsia="仿宋"/>
          <w:color w:val="auto"/>
          <w:sz w:val="24"/>
          <w:highlight w:val="none"/>
        </w:rPr>
        <w:t>；</w:t>
      </w:r>
    </w:p>
    <w:p w14:paraId="4ECCB01E">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响应文件含有采购人不能接受的附加条件的；</w:t>
      </w:r>
    </w:p>
    <w:p w14:paraId="1D8D4CC9">
      <w:pPr>
        <w:numPr>
          <w:ilvl w:val="0"/>
          <w:numId w:val="4"/>
        </w:numPr>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属于</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规定的其他</w:t>
      </w:r>
      <w:r>
        <w:rPr>
          <w:rFonts w:hint="eastAsia" w:ascii="仿宋" w:hAnsi="仿宋" w:eastAsia="仿宋"/>
          <w:bCs/>
          <w:color w:val="auto"/>
          <w:sz w:val="24"/>
          <w:highlight w:val="none"/>
        </w:rPr>
        <w:t>竞标无效</w:t>
      </w:r>
      <w:r>
        <w:rPr>
          <w:rFonts w:hint="eastAsia" w:ascii="仿宋" w:hAnsi="仿宋" w:eastAsia="仿宋"/>
          <w:color w:val="auto"/>
          <w:sz w:val="24"/>
          <w:highlight w:val="none"/>
        </w:rPr>
        <w:t>情形；</w:t>
      </w:r>
    </w:p>
    <w:p w14:paraId="50C78559">
      <w:pPr>
        <w:numPr>
          <w:ilvl w:val="0"/>
          <w:numId w:val="4"/>
        </w:numPr>
        <w:tabs>
          <w:tab w:val="left" w:pos="0"/>
        </w:tabs>
        <w:spacing w:line="360" w:lineRule="auto"/>
        <w:ind w:left="1080" w:leftChars="429" w:hanging="180"/>
        <w:rPr>
          <w:rFonts w:hint="eastAsia" w:ascii="仿宋" w:hAnsi="仿宋" w:eastAsia="仿宋"/>
          <w:color w:val="auto"/>
          <w:sz w:val="24"/>
          <w:highlight w:val="none"/>
        </w:rPr>
      </w:pPr>
      <w:r>
        <w:rPr>
          <w:rFonts w:hint="eastAsia" w:ascii="仿宋" w:hAnsi="仿宋" w:eastAsia="仿宋"/>
          <w:color w:val="auto"/>
          <w:sz w:val="24"/>
          <w:highlight w:val="none"/>
        </w:rPr>
        <w:t>不符合法规和</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中规定的其他实质性要求的。</w:t>
      </w:r>
    </w:p>
    <w:p w14:paraId="1153885E">
      <w:pPr>
        <w:pStyle w:val="4"/>
        <w:spacing w:before="0" w:after="0" w:line="360" w:lineRule="auto"/>
        <w:rPr>
          <w:rFonts w:hint="eastAsia" w:ascii="仿宋" w:hAnsi="仿宋" w:eastAsia="仿宋"/>
          <w:color w:val="auto"/>
          <w:highlight w:val="none"/>
          <w:u w:val="none"/>
        </w:rPr>
      </w:pPr>
      <w:bookmarkStart w:id="205" w:name="_Toc13652"/>
      <w:bookmarkStart w:id="206" w:name="_Toc133261396"/>
      <w:bookmarkStart w:id="207" w:name="_Toc515647784"/>
      <w:bookmarkStart w:id="208" w:name="_Toc532473476"/>
      <w:bookmarkStart w:id="209" w:name="_Toc22941"/>
      <w:bookmarkStart w:id="210" w:name="_Toc23783528"/>
      <w:r>
        <w:rPr>
          <w:rFonts w:ascii="仿宋" w:hAnsi="仿宋" w:eastAsia="仿宋"/>
          <w:color w:val="auto"/>
          <w:highlight w:val="none"/>
          <w:u w:val="none"/>
        </w:rPr>
        <w:t>2</w:t>
      </w:r>
      <w:r>
        <w:rPr>
          <w:rFonts w:hint="eastAsia" w:ascii="仿宋" w:hAnsi="仿宋" w:eastAsia="仿宋"/>
          <w:color w:val="auto"/>
          <w:highlight w:val="none"/>
          <w:u w:val="none"/>
        </w:rPr>
        <w:t>4.</w:t>
      </w:r>
      <w:bookmarkEnd w:id="191"/>
      <w:r>
        <w:rPr>
          <w:rFonts w:hint="eastAsia" w:ascii="仿宋" w:hAnsi="仿宋" w:eastAsia="仿宋"/>
          <w:color w:val="auto"/>
          <w:highlight w:val="none"/>
          <w:u w:val="none"/>
        </w:rPr>
        <w:t>比较与评价</w:t>
      </w:r>
      <w:bookmarkEnd w:id="205"/>
      <w:bookmarkEnd w:id="206"/>
      <w:bookmarkEnd w:id="207"/>
      <w:bookmarkEnd w:id="208"/>
      <w:bookmarkEnd w:id="209"/>
      <w:bookmarkEnd w:id="210"/>
    </w:p>
    <w:p w14:paraId="4CA33A3E">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4.1</w:t>
      </w:r>
      <w:r>
        <w:rPr>
          <w:rFonts w:hint="eastAsia" w:ascii="仿宋" w:hAnsi="仿宋" w:eastAsia="仿宋"/>
          <w:color w:val="auto"/>
          <w:sz w:val="24"/>
          <w:highlight w:val="none"/>
        </w:rPr>
        <w:tab/>
      </w:r>
      <w:r>
        <w:rPr>
          <w:rFonts w:hint="eastAsia" w:ascii="仿宋" w:hAnsi="仿宋" w:eastAsia="仿宋"/>
          <w:color w:val="auto"/>
          <w:sz w:val="24"/>
          <w:highlight w:val="none"/>
        </w:rPr>
        <w:t>经符合性审查合格的响应文件，磋商</w:t>
      </w:r>
      <w:r>
        <w:rPr>
          <w:rFonts w:ascii="仿宋" w:hAnsi="仿宋" w:eastAsia="仿宋"/>
          <w:color w:val="auto"/>
          <w:sz w:val="24"/>
          <w:highlight w:val="none"/>
        </w:rPr>
        <w:t>小组</w:t>
      </w:r>
      <w:r>
        <w:rPr>
          <w:rFonts w:hint="eastAsia" w:ascii="仿宋" w:hAnsi="仿宋" w:eastAsia="仿宋"/>
          <w:color w:val="auto"/>
          <w:sz w:val="24"/>
          <w:highlight w:val="none"/>
        </w:rPr>
        <w:t>将根据</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确定的</w:t>
      </w:r>
      <w:r>
        <w:rPr>
          <w:rFonts w:ascii="仿宋" w:hAnsi="仿宋" w:eastAsia="仿宋"/>
          <w:color w:val="auto"/>
          <w:sz w:val="24"/>
          <w:highlight w:val="none"/>
        </w:rPr>
        <w:t>评审</w:t>
      </w:r>
      <w:r>
        <w:rPr>
          <w:rFonts w:hint="eastAsia" w:ascii="仿宋" w:hAnsi="仿宋" w:eastAsia="仿宋"/>
          <w:color w:val="auto"/>
          <w:sz w:val="24"/>
          <w:highlight w:val="none"/>
        </w:rPr>
        <w:t>方法和标准，对其技术部分和商务部分作进一步的比较和评价。</w:t>
      </w:r>
    </w:p>
    <w:p w14:paraId="2CFE29E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 xml:space="preserve">4.2  </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严格按照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的要求和条件进行，详细</w:t>
      </w:r>
      <w:r>
        <w:rPr>
          <w:rFonts w:ascii="仿宋" w:hAnsi="仿宋" w:eastAsia="仿宋"/>
          <w:color w:val="auto"/>
          <w:sz w:val="24"/>
          <w:highlight w:val="none"/>
        </w:rPr>
        <w:t>评审</w:t>
      </w:r>
      <w:r>
        <w:rPr>
          <w:rFonts w:hint="eastAsia" w:ascii="仿宋" w:hAnsi="仿宋" w:eastAsia="仿宋"/>
          <w:color w:val="auto"/>
          <w:sz w:val="24"/>
          <w:highlight w:val="none"/>
        </w:rPr>
        <w:t>标准见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第6章，本项目采用综合评分法。</w:t>
      </w:r>
    </w:p>
    <w:p w14:paraId="2D9B34ED">
      <w:pPr>
        <w:pStyle w:val="9"/>
        <w:spacing w:line="360" w:lineRule="auto"/>
        <w:ind w:left="928" w:leftChars="442"/>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综合评分法，是</w:t>
      </w:r>
      <w:r>
        <w:rPr>
          <w:rFonts w:ascii="仿宋" w:hAnsi="仿宋" w:eastAsia="仿宋"/>
          <w:color w:val="auto"/>
          <w:sz w:val="24"/>
          <w:szCs w:val="24"/>
          <w:highlight w:val="none"/>
        </w:rPr>
        <w:t>指响应文件满足</w:t>
      </w:r>
      <w:r>
        <w:rPr>
          <w:rFonts w:hint="eastAsia" w:ascii="仿宋" w:hAnsi="仿宋" w:eastAsia="仿宋"/>
          <w:color w:val="auto"/>
          <w:sz w:val="24"/>
          <w:szCs w:val="24"/>
          <w:highlight w:val="none"/>
          <w:lang w:eastAsia="zh-CN"/>
        </w:rPr>
        <w:t>竞争性磋商文件</w:t>
      </w:r>
      <w:r>
        <w:rPr>
          <w:rFonts w:ascii="仿宋" w:hAnsi="仿宋" w:eastAsia="仿宋"/>
          <w:color w:val="auto"/>
          <w:sz w:val="24"/>
          <w:szCs w:val="24"/>
          <w:highlight w:val="none"/>
        </w:rPr>
        <w:t>全部要求</w:t>
      </w:r>
      <w:r>
        <w:rPr>
          <w:rFonts w:hint="eastAsia" w:ascii="仿宋" w:hAnsi="仿宋" w:eastAsia="仿宋"/>
          <w:color w:val="auto"/>
          <w:sz w:val="24"/>
          <w:szCs w:val="24"/>
          <w:highlight w:val="none"/>
        </w:rPr>
        <w:t>，</w:t>
      </w:r>
      <w:r>
        <w:rPr>
          <w:rFonts w:ascii="仿宋" w:hAnsi="仿宋" w:eastAsia="仿宋"/>
          <w:color w:val="auto"/>
          <w:sz w:val="24"/>
          <w:szCs w:val="24"/>
          <w:highlight w:val="none"/>
        </w:rPr>
        <w:t>且按照评审因素的</w:t>
      </w:r>
      <w:r>
        <w:rPr>
          <w:rFonts w:hint="eastAsia" w:ascii="仿宋" w:hAnsi="仿宋" w:eastAsia="仿宋"/>
          <w:color w:val="auto"/>
          <w:sz w:val="24"/>
          <w:szCs w:val="24"/>
          <w:highlight w:val="none"/>
        </w:rPr>
        <w:t>量化</w:t>
      </w:r>
      <w:r>
        <w:rPr>
          <w:rFonts w:ascii="仿宋" w:hAnsi="仿宋" w:eastAsia="仿宋"/>
          <w:color w:val="auto"/>
          <w:sz w:val="24"/>
          <w:szCs w:val="24"/>
          <w:highlight w:val="none"/>
        </w:rPr>
        <w:t>指标评审得分最高的</w:t>
      </w:r>
      <w:r>
        <w:rPr>
          <w:rFonts w:hint="eastAsia" w:ascii="仿宋" w:hAnsi="仿宋" w:eastAsia="仿宋"/>
          <w:color w:val="auto"/>
          <w:sz w:val="24"/>
          <w:szCs w:val="24"/>
          <w:highlight w:val="none"/>
        </w:rPr>
        <w:t>供应商</w:t>
      </w:r>
      <w:r>
        <w:rPr>
          <w:rFonts w:ascii="仿宋" w:hAnsi="仿宋" w:eastAsia="仿宋"/>
          <w:color w:val="auto"/>
          <w:sz w:val="24"/>
          <w:szCs w:val="24"/>
          <w:highlight w:val="none"/>
        </w:rPr>
        <w:t>为成交候选人的评标方法。</w:t>
      </w:r>
    </w:p>
    <w:p w14:paraId="364A3B0B">
      <w:pPr>
        <w:pStyle w:val="9"/>
        <w:spacing w:line="360" w:lineRule="auto"/>
        <w:ind w:left="900" w:hanging="900" w:hangingChars="375"/>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4.3   根据《政府采购促进中小企业发展管理办法》（财库〔2020〕46号）、《</w:t>
      </w:r>
      <w:r>
        <w:rPr>
          <w:rFonts w:ascii="仿宋" w:hAnsi="仿宋" w:eastAsia="仿宋"/>
          <w:color w:val="auto"/>
          <w:sz w:val="24"/>
          <w:szCs w:val="24"/>
          <w:highlight w:val="none"/>
        </w:rPr>
        <w:t>财政部 司法部关于政府采购支持监狱企业发展有关问题的通知</w:t>
      </w:r>
      <w:r>
        <w:rPr>
          <w:rFonts w:hint="eastAsia" w:ascii="仿宋" w:hAnsi="仿宋" w:eastAsia="仿宋"/>
          <w:color w:val="auto"/>
          <w:sz w:val="24"/>
          <w:szCs w:val="24"/>
          <w:highlight w:val="none"/>
        </w:rPr>
        <w:t>》（财库〔2014〕68号）和《三部门联合发布关于促进残疾人就业政府采购政策的通知》（</w:t>
      </w:r>
      <w:bookmarkStart w:id="211" w:name="sendNo"/>
      <w:r>
        <w:rPr>
          <w:rFonts w:hint="eastAsia" w:ascii="仿宋" w:hAnsi="仿宋" w:eastAsia="仿宋"/>
          <w:bCs/>
          <w:color w:val="auto"/>
          <w:sz w:val="24"/>
          <w:szCs w:val="24"/>
          <w:highlight w:val="none"/>
        </w:rPr>
        <w:t>财库〔</w:t>
      </w:r>
      <w:bookmarkEnd w:id="211"/>
      <w:r>
        <w:rPr>
          <w:rFonts w:hint="eastAsia" w:ascii="仿宋" w:hAnsi="仿宋" w:eastAsia="仿宋"/>
          <w:bCs/>
          <w:color w:val="auto"/>
          <w:sz w:val="24"/>
          <w:szCs w:val="24"/>
          <w:highlight w:val="none"/>
        </w:rPr>
        <w:t>2017〕141号</w:t>
      </w:r>
      <w:r>
        <w:rPr>
          <w:rFonts w:hint="eastAsia" w:ascii="仿宋" w:hAnsi="仿宋" w:eastAsia="仿宋"/>
          <w:color w:val="auto"/>
          <w:sz w:val="24"/>
          <w:szCs w:val="24"/>
          <w:highlight w:val="none"/>
        </w:rPr>
        <w:t>）的规定，对满足价格扣除条件且在响应文件中提交了《中小企业声明函》、《残疾人福利性单位声明函》或省级以上监狱管理局、戒毒管理局（含新疆生产建设兵团）出具的属于监狱企业的证明文件的供应商，其磋商报价扣除10-20%后参与评审。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58C7F1C2">
      <w:pPr>
        <w:pStyle w:val="9"/>
        <w:spacing w:line="360" w:lineRule="auto"/>
        <w:ind w:left="900" w:hanging="900" w:hangingChars="375"/>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24.4   落实其他政府采购政策条款。具体办法详见</w:t>
      </w:r>
      <w:r>
        <w:rPr>
          <w:rFonts w:hint="eastAsia" w:ascii="仿宋" w:hAnsi="仿宋" w:eastAsia="仿宋"/>
          <w:color w:val="auto"/>
          <w:sz w:val="24"/>
          <w:szCs w:val="24"/>
          <w:highlight w:val="none"/>
          <w:lang w:eastAsia="zh-CN"/>
        </w:rPr>
        <w:t>竞争性磋商文件</w:t>
      </w:r>
      <w:r>
        <w:rPr>
          <w:rFonts w:hint="eastAsia" w:ascii="仿宋" w:hAnsi="仿宋" w:eastAsia="仿宋"/>
          <w:color w:val="auto"/>
          <w:sz w:val="24"/>
          <w:szCs w:val="24"/>
          <w:highlight w:val="none"/>
        </w:rPr>
        <w:t>第6章。</w:t>
      </w:r>
    </w:p>
    <w:p w14:paraId="37B2C0AF">
      <w:pPr>
        <w:pStyle w:val="4"/>
        <w:spacing w:before="0" w:after="0" w:line="360" w:lineRule="auto"/>
        <w:rPr>
          <w:rFonts w:hint="eastAsia" w:ascii="仿宋" w:hAnsi="仿宋" w:eastAsia="仿宋"/>
          <w:color w:val="auto"/>
          <w:highlight w:val="none"/>
          <w:u w:val="none"/>
        </w:rPr>
      </w:pPr>
      <w:bookmarkStart w:id="212" w:name="_Toc520356168"/>
      <w:bookmarkStart w:id="213" w:name="_Toc532473477"/>
      <w:bookmarkStart w:id="214" w:name="_Toc82708739"/>
      <w:bookmarkStart w:id="215" w:name="_Toc86754004"/>
      <w:bookmarkStart w:id="216" w:name="_Toc9378"/>
      <w:bookmarkStart w:id="217" w:name="_Toc23783529"/>
      <w:bookmarkStart w:id="218" w:name="_Toc20227"/>
      <w:bookmarkStart w:id="219" w:name="_Toc515647785"/>
      <w:r>
        <w:rPr>
          <w:rFonts w:ascii="仿宋" w:hAnsi="仿宋" w:eastAsia="仿宋"/>
          <w:color w:val="auto"/>
          <w:highlight w:val="none"/>
          <w:u w:val="none"/>
        </w:rPr>
        <w:t>24</w:t>
      </w:r>
      <w:bookmarkEnd w:id="212"/>
      <w:r>
        <w:rPr>
          <w:rFonts w:hint="eastAsia" w:ascii="仿宋" w:hAnsi="仿宋" w:eastAsia="仿宋"/>
          <w:color w:val="auto"/>
          <w:highlight w:val="none"/>
          <w:u w:val="none"/>
        </w:rPr>
        <w:t>.</w:t>
      </w:r>
      <w:bookmarkEnd w:id="213"/>
      <w:bookmarkEnd w:id="214"/>
      <w:bookmarkEnd w:id="215"/>
      <w:bookmarkEnd w:id="216"/>
      <w:bookmarkEnd w:id="217"/>
      <w:bookmarkEnd w:id="218"/>
      <w:bookmarkEnd w:id="219"/>
      <w:r>
        <w:rPr>
          <w:rFonts w:hint="eastAsia" w:ascii="仿宋" w:hAnsi="仿宋" w:eastAsia="仿宋"/>
          <w:color w:val="auto"/>
          <w:highlight w:val="none"/>
          <w:u w:val="none"/>
        </w:rPr>
        <w:t>终止</w:t>
      </w:r>
    </w:p>
    <w:p w14:paraId="5F96DAE8">
      <w:pPr>
        <w:spacing w:line="360" w:lineRule="auto"/>
        <w:ind w:left="897" w:leftChars="399" w:hanging="60" w:hangingChars="25"/>
        <w:rPr>
          <w:rFonts w:hint="eastAsia" w:ascii="仿宋" w:hAnsi="仿宋" w:eastAsia="仿宋"/>
          <w:color w:val="auto"/>
          <w:sz w:val="24"/>
          <w:highlight w:val="none"/>
        </w:rPr>
      </w:pPr>
      <w:r>
        <w:rPr>
          <w:rFonts w:hint="eastAsia" w:ascii="仿宋" w:hAnsi="仿宋" w:eastAsia="仿宋"/>
          <w:color w:val="auto"/>
          <w:sz w:val="24"/>
          <w:highlight w:val="none"/>
        </w:rPr>
        <w:t xml:space="preserve">出现下列情形之一，将导致项目终止： </w:t>
      </w:r>
    </w:p>
    <w:p w14:paraId="3958CE3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（1）符合专业条件的供应商或者对竞争性磋商文件做实质性响应的供应商不足三家；</w:t>
      </w:r>
    </w:p>
    <w:p w14:paraId="1EED2A2B">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（2）出现影响采购公正的违法、违规行为的；</w:t>
      </w:r>
    </w:p>
    <w:p w14:paraId="0B7780F3">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（3）供应商的报价均超过了采购预算，采购人不能支付的；</w:t>
      </w:r>
    </w:p>
    <w:p w14:paraId="26BE812B">
      <w:pPr>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 xml:space="preserve">（4）因重大变故，采购任务取消的。   </w:t>
      </w:r>
    </w:p>
    <w:p w14:paraId="756E26F5">
      <w:pPr>
        <w:pStyle w:val="4"/>
        <w:spacing w:before="0" w:after="0" w:line="360" w:lineRule="auto"/>
        <w:rPr>
          <w:rFonts w:hint="eastAsia" w:ascii="仿宋" w:hAnsi="仿宋" w:eastAsia="仿宋"/>
          <w:color w:val="auto"/>
          <w:highlight w:val="none"/>
          <w:u w:val="none"/>
        </w:rPr>
      </w:pPr>
      <w:bookmarkStart w:id="220" w:name="_Toc515647786"/>
      <w:bookmarkStart w:id="221" w:name="_Toc24972"/>
      <w:bookmarkStart w:id="222" w:name="_Toc31289"/>
      <w:bookmarkStart w:id="223" w:name="_Toc532473478"/>
      <w:bookmarkStart w:id="224" w:name="_Toc133261398"/>
      <w:bookmarkStart w:id="225" w:name="_Toc23783530"/>
      <w:bookmarkStart w:id="226" w:name="_Toc520356169"/>
      <w:r>
        <w:rPr>
          <w:rFonts w:ascii="仿宋" w:hAnsi="仿宋" w:eastAsia="仿宋"/>
          <w:color w:val="auto"/>
          <w:highlight w:val="none"/>
          <w:u w:val="none"/>
        </w:rPr>
        <w:t>2</w:t>
      </w:r>
      <w:r>
        <w:rPr>
          <w:rFonts w:hint="eastAsia" w:ascii="仿宋" w:hAnsi="仿宋" w:eastAsia="仿宋"/>
          <w:color w:val="auto"/>
          <w:highlight w:val="none"/>
          <w:u w:val="none"/>
        </w:rPr>
        <w:t>6.保密</w:t>
      </w:r>
      <w:bookmarkEnd w:id="220"/>
      <w:bookmarkEnd w:id="221"/>
      <w:bookmarkEnd w:id="222"/>
      <w:r>
        <w:rPr>
          <w:rFonts w:hint="eastAsia" w:ascii="仿宋" w:hAnsi="仿宋" w:eastAsia="仿宋"/>
          <w:color w:val="auto"/>
          <w:highlight w:val="none"/>
          <w:u w:val="none"/>
        </w:rPr>
        <w:t>要求</w:t>
      </w:r>
      <w:bookmarkEnd w:id="223"/>
      <w:bookmarkEnd w:id="224"/>
      <w:bookmarkEnd w:id="225"/>
    </w:p>
    <w:p w14:paraId="1DD98B21">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6.1</w:t>
      </w:r>
      <w:r>
        <w:rPr>
          <w:rFonts w:hint="eastAsia" w:ascii="仿宋" w:hAnsi="仿宋" w:eastAsia="仿宋"/>
          <w:color w:val="auto"/>
          <w:sz w:val="24"/>
          <w:highlight w:val="none"/>
        </w:rPr>
        <w:tab/>
      </w:r>
      <w:r>
        <w:rPr>
          <w:rFonts w:ascii="仿宋" w:hAnsi="仿宋" w:eastAsia="仿宋"/>
          <w:color w:val="auto"/>
          <w:sz w:val="24"/>
          <w:highlight w:val="none"/>
        </w:rPr>
        <w:t>评审</w:t>
      </w:r>
      <w:r>
        <w:rPr>
          <w:rFonts w:hint="eastAsia" w:ascii="仿宋" w:hAnsi="仿宋" w:eastAsia="仿宋"/>
          <w:color w:val="auto"/>
          <w:sz w:val="24"/>
          <w:highlight w:val="none"/>
        </w:rPr>
        <w:t>将在严格保密的情况下进行。</w:t>
      </w:r>
    </w:p>
    <w:p w14:paraId="3DBB29DC">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6.2</w:t>
      </w:r>
      <w:r>
        <w:rPr>
          <w:rFonts w:hint="eastAsia" w:ascii="仿宋" w:hAnsi="仿宋" w:eastAsia="仿宋"/>
          <w:color w:val="auto"/>
          <w:sz w:val="24"/>
          <w:highlight w:val="none"/>
        </w:rPr>
        <w:tab/>
      </w:r>
      <w:r>
        <w:rPr>
          <w:rFonts w:hint="eastAsia" w:ascii="仿宋" w:hAnsi="仿宋" w:eastAsia="仿宋"/>
          <w:color w:val="auto"/>
          <w:sz w:val="24"/>
          <w:highlight w:val="none"/>
        </w:rPr>
        <w:t>有关人员</w:t>
      </w:r>
      <w:r>
        <w:rPr>
          <w:rFonts w:ascii="仿宋" w:hAnsi="仿宋" w:eastAsia="仿宋"/>
          <w:color w:val="auto"/>
          <w:sz w:val="24"/>
          <w:highlight w:val="none"/>
        </w:rPr>
        <w:t>应当</w:t>
      </w:r>
      <w:r>
        <w:rPr>
          <w:rFonts w:hint="eastAsia" w:ascii="仿宋" w:hAnsi="仿宋" w:eastAsia="仿宋"/>
          <w:color w:val="auto"/>
          <w:sz w:val="24"/>
          <w:highlight w:val="none"/>
        </w:rPr>
        <w:t>遵</w:t>
      </w:r>
      <w:r>
        <w:rPr>
          <w:rFonts w:ascii="仿宋" w:hAnsi="仿宋" w:eastAsia="仿宋"/>
          <w:color w:val="auto"/>
          <w:sz w:val="24"/>
          <w:highlight w:val="none"/>
        </w:rPr>
        <w:t>守评审工作纪律，不得</w:t>
      </w:r>
      <w:r>
        <w:rPr>
          <w:rFonts w:hint="eastAsia" w:ascii="仿宋" w:hAnsi="仿宋" w:eastAsia="仿宋"/>
          <w:color w:val="auto"/>
          <w:sz w:val="24"/>
          <w:highlight w:val="none"/>
        </w:rPr>
        <w:t>泄露</w:t>
      </w:r>
      <w:r>
        <w:rPr>
          <w:rFonts w:ascii="仿宋" w:hAnsi="仿宋" w:eastAsia="仿宋"/>
          <w:color w:val="auto"/>
          <w:sz w:val="24"/>
          <w:highlight w:val="none"/>
        </w:rPr>
        <w:t>评审</w:t>
      </w:r>
      <w:r>
        <w:rPr>
          <w:rFonts w:hint="eastAsia" w:ascii="仿宋" w:hAnsi="仿宋" w:eastAsia="仿宋"/>
          <w:color w:val="auto"/>
          <w:sz w:val="24"/>
          <w:highlight w:val="none"/>
        </w:rPr>
        <w:t>文件</w:t>
      </w:r>
      <w:r>
        <w:rPr>
          <w:rFonts w:ascii="仿宋" w:hAnsi="仿宋" w:eastAsia="仿宋"/>
          <w:color w:val="auto"/>
          <w:sz w:val="24"/>
          <w:highlight w:val="none"/>
        </w:rPr>
        <w:t>、评审情况和评审中获悉的</w:t>
      </w:r>
      <w:r>
        <w:rPr>
          <w:rFonts w:hint="eastAsia" w:ascii="仿宋" w:hAnsi="仿宋" w:eastAsia="仿宋"/>
          <w:color w:val="auto"/>
          <w:sz w:val="24"/>
          <w:highlight w:val="none"/>
        </w:rPr>
        <w:t>国家秘密、</w:t>
      </w:r>
      <w:r>
        <w:rPr>
          <w:rFonts w:ascii="仿宋" w:hAnsi="仿宋" w:eastAsia="仿宋"/>
          <w:color w:val="auto"/>
          <w:sz w:val="24"/>
          <w:highlight w:val="none"/>
        </w:rPr>
        <w:t>商业秘密。</w:t>
      </w:r>
    </w:p>
    <w:p w14:paraId="5041B197">
      <w:pPr>
        <w:spacing w:line="360" w:lineRule="auto"/>
        <w:ind w:left="1079" w:leftChars="257" w:hanging="540"/>
        <w:rPr>
          <w:rFonts w:hint="eastAsia" w:ascii="仿宋" w:hAnsi="仿宋" w:eastAsia="仿宋"/>
          <w:color w:val="auto"/>
          <w:sz w:val="24"/>
          <w:highlight w:val="none"/>
        </w:rPr>
      </w:pPr>
    </w:p>
    <w:p w14:paraId="0346D170">
      <w:pPr>
        <w:pStyle w:val="3"/>
        <w:spacing w:before="0" w:line="360" w:lineRule="auto"/>
        <w:ind w:left="1079" w:leftChars="257" w:hanging="540"/>
        <w:rPr>
          <w:rFonts w:hint="eastAsia" w:ascii="仿宋" w:hAnsi="仿宋" w:eastAsia="仿宋"/>
          <w:color w:val="auto"/>
          <w:sz w:val="24"/>
          <w:highlight w:val="none"/>
        </w:rPr>
      </w:pPr>
      <w:bookmarkStart w:id="227" w:name="_Toc515647787"/>
      <w:bookmarkStart w:id="228" w:name="_Toc12143"/>
      <w:bookmarkStart w:id="229" w:name="_Toc133261399"/>
      <w:bookmarkStart w:id="230" w:name="_Toc23904"/>
      <w:bookmarkStart w:id="231" w:name="_Toc216582810"/>
      <w:bookmarkStart w:id="232" w:name="_Toc532473479"/>
      <w:r>
        <w:rPr>
          <w:rFonts w:hint="eastAsia" w:ascii="仿宋" w:hAnsi="仿宋" w:eastAsia="仿宋"/>
          <w:color w:val="auto"/>
          <w:sz w:val="24"/>
          <w:highlight w:val="none"/>
        </w:rPr>
        <w:t xml:space="preserve">六   </w:t>
      </w:r>
      <w:bookmarkEnd w:id="226"/>
      <w:r>
        <w:rPr>
          <w:rFonts w:hint="eastAsia" w:ascii="仿宋" w:hAnsi="仿宋" w:eastAsia="仿宋"/>
          <w:color w:val="auto"/>
          <w:sz w:val="24"/>
          <w:highlight w:val="none"/>
        </w:rPr>
        <w:t>确定成交</w:t>
      </w:r>
      <w:bookmarkEnd w:id="227"/>
      <w:bookmarkEnd w:id="228"/>
      <w:bookmarkEnd w:id="229"/>
      <w:bookmarkEnd w:id="230"/>
      <w:bookmarkEnd w:id="231"/>
      <w:bookmarkEnd w:id="232"/>
    </w:p>
    <w:p w14:paraId="4EDD7886">
      <w:pPr>
        <w:pStyle w:val="5"/>
        <w:spacing w:line="360" w:lineRule="auto"/>
        <w:rPr>
          <w:rFonts w:hint="eastAsia" w:ascii="仿宋" w:hAnsi="仿宋" w:eastAsia="仿宋"/>
          <w:color w:val="auto"/>
          <w:highlight w:val="none"/>
        </w:rPr>
      </w:pPr>
    </w:p>
    <w:p w14:paraId="2165876C">
      <w:pPr>
        <w:pStyle w:val="4"/>
        <w:spacing w:before="0" w:after="0" w:line="360" w:lineRule="auto"/>
        <w:rPr>
          <w:rFonts w:hint="eastAsia" w:ascii="仿宋" w:hAnsi="仿宋" w:eastAsia="仿宋"/>
          <w:color w:val="auto"/>
          <w:highlight w:val="none"/>
          <w:u w:val="none"/>
        </w:rPr>
      </w:pPr>
      <w:bookmarkStart w:id="233" w:name="_Toc532473480"/>
      <w:bookmarkStart w:id="234" w:name="_Toc23762"/>
      <w:bookmarkStart w:id="235" w:name="_Toc515647788"/>
      <w:bookmarkStart w:id="236" w:name="_Toc23783532"/>
      <w:bookmarkStart w:id="237" w:name="_Toc520356170"/>
      <w:bookmarkStart w:id="238" w:name="_Toc133261400"/>
      <w:bookmarkStart w:id="239" w:name="_Ref467307010"/>
      <w:bookmarkStart w:id="240" w:name="_Toc23617"/>
      <w:r>
        <w:rPr>
          <w:rFonts w:ascii="仿宋" w:hAnsi="仿宋" w:eastAsia="仿宋"/>
          <w:color w:val="auto"/>
          <w:highlight w:val="none"/>
          <w:u w:val="none"/>
        </w:rPr>
        <w:t>2</w:t>
      </w:r>
      <w:r>
        <w:rPr>
          <w:rFonts w:hint="eastAsia" w:ascii="仿宋" w:hAnsi="仿宋" w:eastAsia="仿宋"/>
          <w:color w:val="auto"/>
          <w:highlight w:val="none"/>
          <w:u w:val="none"/>
        </w:rPr>
        <w:t>7.成交候选人的确定原则及标准</w:t>
      </w:r>
      <w:bookmarkEnd w:id="233"/>
      <w:bookmarkEnd w:id="234"/>
      <w:bookmarkEnd w:id="235"/>
      <w:bookmarkEnd w:id="236"/>
      <w:bookmarkEnd w:id="237"/>
      <w:bookmarkEnd w:id="238"/>
      <w:bookmarkEnd w:id="239"/>
      <w:bookmarkEnd w:id="240"/>
    </w:p>
    <w:p w14:paraId="4F090370">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除磋商</w:t>
      </w:r>
      <w:r>
        <w:rPr>
          <w:rFonts w:ascii="仿宋" w:hAnsi="仿宋" w:eastAsia="仿宋"/>
          <w:color w:val="auto"/>
          <w:sz w:val="24"/>
          <w:highlight w:val="none"/>
        </w:rPr>
        <w:t>小组</w:t>
      </w:r>
      <w:r>
        <w:rPr>
          <w:rFonts w:hint="eastAsia" w:ascii="仿宋" w:hAnsi="仿宋" w:eastAsia="仿宋"/>
          <w:color w:val="auto"/>
          <w:sz w:val="24"/>
          <w:highlight w:val="none"/>
        </w:rPr>
        <w:t>受采购人委托直接确定成交供应商的情形外，对实质上响应</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的供应商按下列方法</w:t>
      </w:r>
      <w:r>
        <w:rPr>
          <w:rFonts w:ascii="仿宋" w:hAnsi="仿宋" w:eastAsia="仿宋"/>
          <w:color w:val="auto"/>
          <w:sz w:val="24"/>
          <w:highlight w:val="none"/>
        </w:rPr>
        <w:t>进行排序</w:t>
      </w:r>
      <w:r>
        <w:rPr>
          <w:rFonts w:hint="eastAsia" w:ascii="仿宋" w:hAnsi="仿宋" w:eastAsia="仿宋"/>
          <w:color w:val="auto"/>
          <w:sz w:val="24"/>
          <w:highlight w:val="none"/>
        </w:rPr>
        <w:t>，确定成交候选人：</w:t>
      </w:r>
    </w:p>
    <w:p w14:paraId="27D5CB49">
      <w:pPr>
        <w:spacing w:line="360" w:lineRule="auto"/>
        <w:ind w:left="901"/>
        <w:rPr>
          <w:rFonts w:hint="eastAsia" w:ascii="仿宋" w:hAnsi="仿宋" w:eastAsia="仿宋"/>
          <w:color w:val="auto"/>
          <w:sz w:val="24"/>
          <w:highlight w:val="none"/>
        </w:rPr>
      </w:pPr>
      <w:bookmarkStart w:id="241" w:name="_Toc520356171"/>
      <w:bookmarkStart w:id="242" w:name="_Toc515647789"/>
      <w:r>
        <w:rPr>
          <w:rFonts w:hint="eastAsia" w:ascii="仿宋" w:hAnsi="仿宋" w:eastAsia="仿宋"/>
          <w:color w:val="auto"/>
          <w:sz w:val="24"/>
          <w:highlight w:val="none"/>
        </w:rPr>
        <w:t>本项目采用综合评分法，</w:t>
      </w:r>
      <w:r>
        <w:rPr>
          <w:rFonts w:ascii="仿宋" w:hAnsi="仿宋" w:eastAsia="仿宋"/>
          <w:color w:val="auto"/>
          <w:sz w:val="24"/>
          <w:highlight w:val="none"/>
        </w:rPr>
        <w:t>评审结果</w:t>
      </w:r>
      <w:r>
        <w:rPr>
          <w:rFonts w:hint="eastAsia" w:ascii="仿宋" w:hAnsi="仿宋" w:eastAsia="仿宋"/>
          <w:color w:val="auto"/>
          <w:sz w:val="24"/>
          <w:highlight w:val="none"/>
        </w:rPr>
        <w:t>按评审后得分由高到低顺序排列。得分相同的，按修正</w:t>
      </w:r>
      <w:r>
        <w:rPr>
          <w:rFonts w:ascii="仿宋" w:hAnsi="仿宋" w:eastAsia="仿宋"/>
          <w:color w:val="auto"/>
          <w:sz w:val="24"/>
          <w:highlight w:val="none"/>
        </w:rPr>
        <w:t>和扣除后的</w:t>
      </w:r>
      <w:r>
        <w:rPr>
          <w:rFonts w:hint="eastAsia" w:ascii="仿宋" w:hAnsi="仿宋" w:eastAsia="仿宋"/>
          <w:color w:val="auto"/>
          <w:sz w:val="24"/>
          <w:highlight w:val="none"/>
        </w:rPr>
        <w:t>竞标报价由低到高顺序排列。得分与报价均相同的处理</w:t>
      </w:r>
      <w:r>
        <w:rPr>
          <w:rFonts w:ascii="仿宋" w:hAnsi="仿宋" w:eastAsia="仿宋"/>
          <w:color w:val="auto"/>
          <w:sz w:val="24"/>
          <w:highlight w:val="none"/>
        </w:rPr>
        <w:t>方式</w:t>
      </w:r>
      <w:r>
        <w:rPr>
          <w:rFonts w:hint="eastAsia" w:ascii="仿宋" w:hAnsi="仿宋" w:eastAsia="仿宋"/>
          <w:color w:val="auto"/>
          <w:sz w:val="24"/>
          <w:highlight w:val="none"/>
        </w:rPr>
        <w:t>详见</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第6章。</w:t>
      </w:r>
    </w:p>
    <w:p w14:paraId="4FE48310">
      <w:pPr>
        <w:pStyle w:val="4"/>
        <w:tabs>
          <w:tab w:val="left" w:pos="900"/>
        </w:tabs>
        <w:spacing w:before="0" w:after="0" w:line="360" w:lineRule="auto"/>
        <w:rPr>
          <w:rFonts w:hint="eastAsia" w:ascii="仿宋" w:hAnsi="仿宋" w:eastAsia="仿宋"/>
          <w:color w:val="auto"/>
          <w:highlight w:val="none"/>
          <w:u w:val="none"/>
        </w:rPr>
      </w:pPr>
      <w:bookmarkStart w:id="243" w:name="_Toc23951"/>
      <w:bookmarkStart w:id="244" w:name="_Toc9653"/>
      <w:bookmarkStart w:id="245" w:name="_Toc532473481"/>
      <w:bookmarkStart w:id="246" w:name="_Toc23783533"/>
      <w:bookmarkStart w:id="247" w:name="_Toc133261401"/>
      <w:r>
        <w:rPr>
          <w:rFonts w:ascii="仿宋" w:hAnsi="仿宋" w:eastAsia="仿宋"/>
          <w:color w:val="auto"/>
          <w:highlight w:val="none"/>
          <w:u w:val="none"/>
        </w:rPr>
        <w:t>2</w:t>
      </w:r>
      <w:bookmarkEnd w:id="241"/>
      <w:r>
        <w:rPr>
          <w:rFonts w:hint="eastAsia" w:ascii="仿宋" w:hAnsi="仿宋" w:eastAsia="仿宋"/>
          <w:color w:val="auto"/>
          <w:highlight w:val="none"/>
          <w:u w:val="none"/>
        </w:rPr>
        <w:t>8.确定成交候选人和</w:t>
      </w:r>
      <w:bookmarkEnd w:id="242"/>
      <w:bookmarkEnd w:id="243"/>
      <w:bookmarkEnd w:id="244"/>
      <w:bookmarkEnd w:id="245"/>
      <w:r>
        <w:rPr>
          <w:rFonts w:hint="eastAsia" w:ascii="仿宋" w:hAnsi="仿宋" w:eastAsia="仿宋"/>
          <w:color w:val="auto"/>
          <w:highlight w:val="none"/>
          <w:u w:val="none"/>
        </w:rPr>
        <w:t>成交供应商</w:t>
      </w:r>
      <w:bookmarkEnd w:id="246"/>
      <w:bookmarkEnd w:id="247"/>
    </w:p>
    <w:p w14:paraId="0C84EAF6">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28.1   磋商</w:t>
      </w:r>
      <w:r>
        <w:rPr>
          <w:rFonts w:ascii="仿宋" w:hAnsi="仿宋" w:eastAsia="仿宋"/>
          <w:color w:val="auto"/>
          <w:sz w:val="24"/>
          <w:highlight w:val="none"/>
        </w:rPr>
        <w:t>小组</w:t>
      </w:r>
      <w:r>
        <w:rPr>
          <w:rFonts w:hint="eastAsia" w:ascii="仿宋" w:hAnsi="仿宋" w:eastAsia="仿宋"/>
          <w:color w:val="auto"/>
          <w:sz w:val="24"/>
          <w:highlight w:val="none"/>
        </w:rPr>
        <w:t>将根据评标标准，按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w:t>
      </w:r>
      <w:r>
        <w:rPr>
          <w:rFonts w:ascii="仿宋" w:hAnsi="仿宋" w:eastAsia="仿宋"/>
          <w:color w:val="auto"/>
          <w:sz w:val="24"/>
          <w:highlight w:val="none"/>
        </w:rPr>
        <w:t>数量</w:t>
      </w:r>
      <w:r>
        <w:rPr>
          <w:rFonts w:hint="eastAsia" w:ascii="仿宋" w:hAnsi="仿宋" w:eastAsia="仿宋"/>
          <w:color w:val="auto"/>
          <w:sz w:val="24"/>
          <w:highlight w:val="none"/>
        </w:rPr>
        <w:t>推荐成交候选人。</w:t>
      </w:r>
    </w:p>
    <w:p w14:paraId="623693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28.2   按</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中规定，由磋商</w:t>
      </w:r>
      <w:r>
        <w:rPr>
          <w:rFonts w:ascii="仿宋" w:hAnsi="仿宋" w:eastAsia="仿宋"/>
          <w:color w:val="auto"/>
          <w:sz w:val="24"/>
          <w:highlight w:val="none"/>
        </w:rPr>
        <w:t>小组</w:t>
      </w:r>
      <w:r>
        <w:rPr>
          <w:rFonts w:hint="eastAsia" w:ascii="仿宋" w:hAnsi="仿宋" w:eastAsia="仿宋"/>
          <w:color w:val="auto"/>
          <w:sz w:val="24"/>
          <w:highlight w:val="none"/>
        </w:rPr>
        <w:t>直接确定成交供应商。</w:t>
      </w:r>
    </w:p>
    <w:p w14:paraId="62BD795D">
      <w:pPr>
        <w:pStyle w:val="4"/>
        <w:tabs>
          <w:tab w:val="left" w:pos="900"/>
        </w:tabs>
        <w:spacing w:before="0" w:after="0" w:line="360" w:lineRule="auto"/>
        <w:rPr>
          <w:rFonts w:hint="eastAsia" w:ascii="仿宋" w:hAnsi="仿宋" w:eastAsia="仿宋"/>
          <w:color w:val="auto"/>
          <w:highlight w:val="none"/>
          <w:u w:val="none"/>
        </w:rPr>
      </w:pPr>
      <w:bookmarkStart w:id="248" w:name="_Toc23783534"/>
      <w:bookmarkStart w:id="249" w:name="_Toc133261402"/>
      <w:bookmarkStart w:id="250" w:name="_Toc30170"/>
      <w:bookmarkStart w:id="251" w:name="_Toc532473483"/>
      <w:bookmarkStart w:id="252" w:name="_Toc520356174"/>
      <w:bookmarkStart w:id="253" w:name="_Toc515647791"/>
      <w:bookmarkStart w:id="254" w:name="_Toc31099"/>
      <w:r>
        <w:rPr>
          <w:rFonts w:ascii="仿宋" w:hAnsi="仿宋" w:eastAsia="仿宋"/>
          <w:color w:val="auto"/>
          <w:highlight w:val="none"/>
          <w:u w:val="none"/>
        </w:rPr>
        <w:t>2</w:t>
      </w:r>
      <w:r>
        <w:rPr>
          <w:rFonts w:hint="eastAsia" w:ascii="仿宋" w:hAnsi="仿宋" w:eastAsia="仿宋"/>
          <w:color w:val="auto"/>
          <w:highlight w:val="none"/>
          <w:u w:val="none"/>
        </w:rPr>
        <w:t>9.发出成交通知书</w:t>
      </w:r>
      <w:bookmarkEnd w:id="248"/>
      <w:bookmarkEnd w:id="249"/>
    </w:p>
    <w:p w14:paraId="19E5CBD0">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在磋商有效期内，成交供应商确定后，采购人或者</w:t>
      </w:r>
      <w:r>
        <w:rPr>
          <w:rFonts w:ascii="仿宋" w:hAnsi="仿宋" w:eastAsia="仿宋"/>
          <w:color w:val="auto"/>
          <w:sz w:val="24"/>
          <w:highlight w:val="none"/>
        </w:rPr>
        <w:t>采购代理机构</w:t>
      </w:r>
      <w:r>
        <w:rPr>
          <w:rFonts w:hint="eastAsia" w:ascii="仿宋" w:hAnsi="仿宋" w:eastAsia="仿宋"/>
          <w:color w:val="auto"/>
          <w:sz w:val="24"/>
          <w:highlight w:val="none"/>
        </w:rPr>
        <w:t>发布</w:t>
      </w:r>
      <w:r>
        <w:rPr>
          <w:rFonts w:ascii="仿宋" w:hAnsi="仿宋" w:eastAsia="仿宋"/>
          <w:color w:val="auto"/>
          <w:sz w:val="24"/>
          <w:highlight w:val="none"/>
        </w:rPr>
        <w:t>成交公告</w:t>
      </w:r>
      <w:r>
        <w:rPr>
          <w:rFonts w:hint="eastAsia" w:ascii="仿宋" w:hAnsi="仿宋" w:eastAsia="仿宋"/>
          <w:color w:val="auto"/>
          <w:sz w:val="24"/>
          <w:highlight w:val="none"/>
        </w:rPr>
        <w:t>。在公告</w:t>
      </w:r>
      <w:r>
        <w:rPr>
          <w:rFonts w:ascii="仿宋" w:hAnsi="仿宋" w:eastAsia="仿宋"/>
          <w:color w:val="auto"/>
          <w:sz w:val="24"/>
          <w:highlight w:val="none"/>
        </w:rPr>
        <w:t>成交结果的同时</w:t>
      </w:r>
      <w:r>
        <w:rPr>
          <w:rFonts w:hint="eastAsia" w:ascii="仿宋" w:hAnsi="仿宋" w:eastAsia="仿宋"/>
          <w:color w:val="auto"/>
          <w:sz w:val="24"/>
          <w:highlight w:val="none"/>
        </w:rPr>
        <w:t>，向成交供应商发出成交通知书，成交通知书是合同的组成部分。</w:t>
      </w:r>
    </w:p>
    <w:p w14:paraId="1FC8BB0A">
      <w:pPr>
        <w:pStyle w:val="4"/>
        <w:spacing w:before="0" w:after="0" w:line="360" w:lineRule="auto"/>
        <w:rPr>
          <w:rFonts w:hint="eastAsia" w:ascii="仿宋" w:hAnsi="仿宋" w:eastAsia="仿宋"/>
          <w:color w:val="auto"/>
          <w:highlight w:val="none"/>
        </w:rPr>
      </w:pPr>
      <w:bookmarkStart w:id="255" w:name="_Toc133261403"/>
      <w:bookmarkStart w:id="256" w:name="_Toc23783535"/>
      <w:r>
        <w:rPr>
          <w:rFonts w:hint="eastAsia" w:ascii="仿宋" w:hAnsi="仿宋" w:eastAsia="仿宋"/>
          <w:color w:val="auto"/>
          <w:highlight w:val="none"/>
          <w:u w:val="none"/>
        </w:rPr>
        <w:t>30. 告知采购结果</w:t>
      </w:r>
      <w:bookmarkEnd w:id="255"/>
      <w:bookmarkEnd w:id="256"/>
    </w:p>
    <w:p w14:paraId="72BC2541">
      <w:pPr>
        <w:spacing w:line="360" w:lineRule="auto"/>
        <w:ind w:left="735" w:leftChars="350"/>
        <w:rPr>
          <w:rFonts w:hint="eastAsia" w:ascii="仿宋" w:hAnsi="仿宋" w:eastAsia="仿宋"/>
          <w:color w:val="auto"/>
          <w:sz w:val="24"/>
          <w:highlight w:val="none"/>
        </w:rPr>
      </w:pPr>
      <w:r>
        <w:rPr>
          <w:rFonts w:hint="eastAsia" w:ascii="仿宋" w:hAnsi="仿宋" w:eastAsia="仿宋"/>
          <w:color w:val="auto"/>
          <w:sz w:val="24"/>
          <w:highlight w:val="none"/>
        </w:rPr>
        <w:t>在公告</w:t>
      </w:r>
      <w:r>
        <w:rPr>
          <w:rFonts w:hint="eastAsia" w:ascii="仿宋" w:hAnsi="仿宋" w:eastAsia="仿宋"/>
          <w:color w:val="auto"/>
          <w:sz w:val="24"/>
          <w:highlight w:val="none"/>
          <w:lang w:val="en-US" w:eastAsia="zh-CN"/>
        </w:rPr>
        <w:t>中标（</w:t>
      </w:r>
      <w:r>
        <w:rPr>
          <w:rFonts w:ascii="仿宋" w:hAnsi="仿宋" w:eastAsia="仿宋"/>
          <w:color w:val="auto"/>
          <w:sz w:val="24"/>
          <w:highlight w:val="none"/>
        </w:rPr>
        <w:t>成交</w:t>
      </w:r>
      <w:r>
        <w:rPr>
          <w:rFonts w:hint="eastAsia" w:ascii="仿宋" w:hAnsi="仿宋" w:eastAsia="仿宋"/>
          <w:color w:val="auto"/>
          <w:sz w:val="24"/>
          <w:highlight w:val="none"/>
          <w:lang w:eastAsia="zh-CN"/>
        </w:rPr>
        <w:t>）</w:t>
      </w:r>
      <w:r>
        <w:rPr>
          <w:rFonts w:ascii="仿宋" w:hAnsi="仿宋" w:eastAsia="仿宋"/>
          <w:color w:val="auto"/>
          <w:sz w:val="24"/>
          <w:highlight w:val="none"/>
        </w:rPr>
        <w:t>结果的同时，</w:t>
      </w:r>
      <w:r>
        <w:rPr>
          <w:rFonts w:hint="eastAsia" w:ascii="仿宋" w:hAnsi="仿宋" w:eastAsia="仿宋"/>
          <w:color w:val="auto"/>
          <w:sz w:val="24"/>
          <w:highlight w:val="none"/>
        </w:rPr>
        <w:t>告知未通过资格审查供应商未通过的原因；采用综合评分法评审的，还将告知未成交供应商本人的评审得分和排序。</w:t>
      </w:r>
      <w:bookmarkEnd w:id="250"/>
      <w:bookmarkEnd w:id="251"/>
      <w:bookmarkEnd w:id="252"/>
      <w:bookmarkEnd w:id="253"/>
      <w:bookmarkEnd w:id="254"/>
    </w:p>
    <w:p w14:paraId="36EE186A">
      <w:pPr>
        <w:pStyle w:val="4"/>
        <w:spacing w:before="0" w:after="0" w:line="360" w:lineRule="auto"/>
        <w:rPr>
          <w:rFonts w:hint="eastAsia" w:ascii="仿宋" w:hAnsi="仿宋" w:eastAsia="仿宋"/>
          <w:color w:val="auto"/>
          <w:highlight w:val="none"/>
          <w:u w:val="none"/>
        </w:rPr>
      </w:pPr>
      <w:bookmarkStart w:id="257" w:name="_Toc515647792"/>
      <w:bookmarkStart w:id="258" w:name="_Toc7779"/>
      <w:bookmarkStart w:id="259" w:name="_Ref467306377"/>
      <w:bookmarkStart w:id="260" w:name="_Toc520356175"/>
      <w:bookmarkStart w:id="261" w:name="_Toc790"/>
      <w:bookmarkStart w:id="262" w:name="_Toc532473484"/>
      <w:bookmarkStart w:id="263" w:name="_Ref467306978"/>
      <w:bookmarkStart w:id="264" w:name="_Toc133261404"/>
      <w:bookmarkStart w:id="265" w:name="_Ref467307062"/>
      <w:bookmarkStart w:id="266" w:name="_Toc23783536"/>
      <w:bookmarkStart w:id="267" w:name="_Ref467307204"/>
      <w:r>
        <w:rPr>
          <w:rFonts w:ascii="仿宋" w:hAnsi="仿宋" w:eastAsia="仿宋"/>
          <w:color w:val="auto"/>
          <w:highlight w:val="none"/>
          <w:u w:val="none"/>
        </w:rPr>
        <w:t>3</w:t>
      </w:r>
      <w:r>
        <w:rPr>
          <w:rFonts w:hint="eastAsia" w:ascii="仿宋" w:hAnsi="仿宋" w:eastAsia="仿宋"/>
          <w:color w:val="auto"/>
          <w:highlight w:val="none"/>
          <w:u w:val="none"/>
        </w:rPr>
        <w:t>1.签订合同</w:t>
      </w:r>
      <w:bookmarkEnd w:id="257"/>
      <w:bookmarkEnd w:id="258"/>
      <w:bookmarkEnd w:id="259"/>
      <w:bookmarkEnd w:id="260"/>
      <w:bookmarkEnd w:id="261"/>
      <w:bookmarkEnd w:id="262"/>
      <w:bookmarkEnd w:id="263"/>
      <w:bookmarkEnd w:id="264"/>
      <w:bookmarkEnd w:id="265"/>
      <w:bookmarkEnd w:id="266"/>
      <w:bookmarkEnd w:id="267"/>
    </w:p>
    <w:p w14:paraId="672B6044">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1.1</w:t>
      </w:r>
      <w:r>
        <w:rPr>
          <w:rFonts w:hint="eastAsia" w:ascii="仿宋" w:hAnsi="仿宋" w:eastAsia="仿宋"/>
          <w:color w:val="auto"/>
          <w:sz w:val="24"/>
          <w:highlight w:val="none"/>
        </w:rPr>
        <w:tab/>
      </w:r>
      <w:r>
        <w:rPr>
          <w:rFonts w:hint="eastAsia" w:ascii="仿宋" w:hAnsi="仿宋" w:eastAsia="仿宋"/>
          <w:color w:val="auto"/>
          <w:sz w:val="24"/>
          <w:highlight w:val="none"/>
        </w:rPr>
        <w:t>成交供应商应当自发出成交通知书之日起30日内，与采购人签订合同。</w:t>
      </w:r>
    </w:p>
    <w:p w14:paraId="0618EEAB">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1.2</w:t>
      </w:r>
      <w:r>
        <w:rPr>
          <w:rFonts w:hint="eastAsia" w:ascii="仿宋" w:hAnsi="仿宋" w:eastAsia="仿宋"/>
          <w:color w:val="auto"/>
          <w:sz w:val="24"/>
          <w:highlight w:val="none"/>
        </w:rPr>
        <w:tab/>
      </w:r>
      <w:bookmarkStart w:id="268" w:name="_Toc520356176"/>
      <w:bookmarkStart w:id="269" w:name="_Ref467307090"/>
      <w:bookmarkStart w:id="270" w:name="_Ref467306425"/>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、成交供应商的响应文件及其澄清文件等，均为签订合同的依据。</w:t>
      </w:r>
    </w:p>
    <w:p w14:paraId="0588C10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1.3   如成交供应商</w:t>
      </w:r>
      <w:r>
        <w:rPr>
          <w:rFonts w:ascii="仿宋" w:hAnsi="仿宋" w:eastAsia="仿宋"/>
          <w:color w:val="auto"/>
          <w:sz w:val="24"/>
          <w:highlight w:val="none"/>
        </w:rPr>
        <w:t>拒绝与采购人签订合同的，</w:t>
      </w:r>
      <w:r>
        <w:rPr>
          <w:rFonts w:hint="eastAsia" w:ascii="仿宋" w:hAnsi="仿宋" w:eastAsia="仿宋"/>
          <w:color w:val="auto"/>
          <w:sz w:val="24"/>
          <w:highlight w:val="none"/>
        </w:rPr>
        <w:t>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w:t>
      </w:r>
      <w:r>
        <w:rPr>
          <w:rFonts w:ascii="仿宋" w:hAnsi="仿宋" w:eastAsia="仿宋"/>
          <w:color w:val="auto"/>
          <w:sz w:val="24"/>
          <w:highlight w:val="none"/>
        </w:rPr>
        <w:t>内容向采购人和采购代理机构支付</w:t>
      </w:r>
      <w:r>
        <w:rPr>
          <w:rFonts w:hint="eastAsia" w:ascii="仿宋" w:hAnsi="仿宋" w:eastAsia="仿宋"/>
          <w:color w:val="auto"/>
          <w:sz w:val="24"/>
          <w:highlight w:val="none"/>
        </w:rPr>
        <w:t>赔偿；</w:t>
      </w:r>
      <w:r>
        <w:rPr>
          <w:rFonts w:ascii="仿宋" w:hAnsi="仿宋" w:eastAsia="仿宋"/>
          <w:color w:val="auto"/>
          <w:sz w:val="24"/>
          <w:highlight w:val="none"/>
        </w:rPr>
        <w:t>采购人可以按照评审报告推荐的成交候选人排序</w:t>
      </w:r>
      <w:r>
        <w:rPr>
          <w:rFonts w:hint="eastAsia" w:ascii="仿宋" w:hAnsi="仿宋" w:eastAsia="仿宋"/>
          <w:color w:val="auto"/>
          <w:sz w:val="24"/>
          <w:highlight w:val="none"/>
        </w:rPr>
        <w:t>，</w:t>
      </w:r>
      <w:r>
        <w:rPr>
          <w:rFonts w:ascii="仿宋" w:hAnsi="仿宋" w:eastAsia="仿宋"/>
          <w:color w:val="auto"/>
          <w:sz w:val="24"/>
          <w:highlight w:val="none"/>
        </w:rPr>
        <w:t>确定下一</w:t>
      </w:r>
      <w:r>
        <w:rPr>
          <w:rFonts w:hint="eastAsia" w:ascii="仿宋" w:hAnsi="仿宋" w:eastAsia="仿宋"/>
          <w:color w:val="auto"/>
          <w:sz w:val="24"/>
          <w:highlight w:val="none"/>
        </w:rPr>
        <w:t>成交候选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6A6312FF">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1.4   当出现法规规定的成交无效或成交结果无效情形时，采购人可与排名下一位的成交候选人另行签订合同，或依法重新开展采购活动。</w:t>
      </w:r>
    </w:p>
    <w:p w14:paraId="75DCA377">
      <w:pPr>
        <w:pStyle w:val="4"/>
        <w:spacing w:before="0" w:after="0" w:line="360" w:lineRule="auto"/>
        <w:rPr>
          <w:rFonts w:hint="eastAsia" w:ascii="仿宋" w:hAnsi="仿宋" w:eastAsia="仿宋"/>
          <w:color w:val="auto"/>
          <w:highlight w:val="none"/>
          <w:u w:val="none"/>
        </w:rPr>
      </w:pPr>
      <w:bookmarkStart w:id="271" w:name="_Toc515647793"/>
      <w:bookmarkStart w:id="272" w:name="_Toc22555"/>
      <w:bookmarkStart w:id="273" w:name="_Toc23783537"/>
      <w:bookmarkStart w:id="274" w:name="_Toc14080"/>
      <w:bookmarkStart w:id="275" w:name="_Toc532473485"/>
      <w:bookmarkStart w:id="276" w:name="_Toc133261405"/>
      <w:r>
        <w:rPr>
          <w:rFonts w:ascii="仿宋" w:hAnsi="仿宋" w:eastAsia="仿宋"/>
          <w:color w:val="auto"/>
          <w:highlight w:val="none"/>
          <w:u w:val="none"/>
        </w:rPr>
        <w:t>3</w:t>
      </w:r>
      <w:r>
        <w:rPr>
          <w:rFonts w:hint="eastAsia" w:ascii="仿宋" w:hAnsi="仿宋" w:eastAsia="仿宋"/>
          <w:color w:val="auto"/>
          <w:highlight w:val="none"/>
          <w:u w:val="none"/>
        </w:rPr>
        <w:t>2.履约保证金</w:t>
      </w:r>
      <w:bookmarkEnd w:id="268"/>
      <w:bookmarkEnd w:id="269"/>
      <w:bookmarkEnd w:id="270"/>
      <w:bookmarkEnd w:id="271"/>
      <w:bookmarkEnd w:id="272"/>
      <w:bookmarkEnd w:id="273"/>
      <w:bookmarkEnd w:id="274"/>
      <w:bookmarkEnd w:id="275"/>
      <w:bookmarkEnd w:id="276"/>
    </w:p>
    <w:p w14:paraId="2C77FC7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2.1</w:t>
      </w:r>
      <w:r>
        <w:rPr>
          <w:rFonts w:hint="eastAsia" w:ascii="仿宋" w:hAnsi="仿宋" w:eastAsia="仿宋"/>
          <w:color w:val="auto"/>
          <w:sz w:val="24"/>
          <w:highlight w:val="none"/>
        </w:rPr>
        <w:tab/>
      </w:r>
      <w:r>
        <w:rPr>
          <w:rFonts w:hint="eastAsia" w:ascii="仿宋" w:hAnsi="仿宋" w:eastAsia="仿宋"/>
          <w:color w:val="auto"/>
          <w:sz w:val="24"/>
          <w:highlight w:val="none"/>
        </w:rPr>
        <w:t>如果</w:t>
      </w:r>
      <w:r>
        <w:rPr>
          <w:rFonts w:ascii="仿宋" w:hAnsi="仿宋" w:eastAsia="仿宋"/>
          <w:color w:val="auto"/>
          <w:sz w:val="24"/>
          <w:highlight w:val="none"/>
        </w:rPr>
        <w:t>需要履约保证金，</w:t>
      </w:r>
      <w:r>
        <w:rPr>
          <w:rFonts w:hint="eastAsia" w:ascii="仿宋" w:hAnsi="仿宋" w:eastAsia="仿宋"/>
          <w:color w:val="auto"/>
          <w:sz w:val="24"/>
          <w:highlight w:val="none"/>
        </w:rPr>
        <w:t>成交供应商应按照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规定向采购人履约保证金保函。</w:t>
      </w:r>
      <w:r>
        <w:rPr>
          <w:rFonts w:ascii="仿宋" w:hAnsi="仿宋" w:eastAsia="仿宋"/>
          <w:color w:val="auto"/>
          <w:sz w:val="24"/>
          <w:highlight w:val="none"/>
        </w:rPr>
        <w:t>经</w:t>
      </w:r>
      <w:r>
        <w:rPr>
          <w:rFonts w:hint="eastAsia" w:ascii="仿宋" w:hAnsi="仿宋" w:eastAsia="仿宋"/>
          <w:color w:val="auto"/>
          <w:sz w:val="24"/>
          <w:highlight w:val="none"/>
        </w:rPr>
        <w:t>采购人</w:t>
      </w:r>
      <w:r>
        <w:rPr>
          <w:rFonts w:ascii="仿宋" w:hAnsi="仿宋" w:eastAsia="仿宋"/>
          <w:color w:val="auto"/>
          <w:sz w:val="24"/>
          <w:highlight w:val="none"/>
        </w:rPr>
        <w:t>同意，</w:t>
      </w:r>
      <w:r>
        <w:rPr>
          <w:rFonts w:hint="eastAsia" w:ascii="仿宋" w:hAnsi="仿宋" w:eastAsia="仿宋"/>
          <w:color w:val="auto"/>
          <w:sz w:val="24"/>
          <w:highlight w:val="none"/>
        </w:rPr>
        <w:t>成交供应商</w:t>
      </w:r>
      <w:r>
        <w:rPr>
          <w:rFonts w:ascii="仿宋" w:hAnsi="仿宋" w:eastAsia="仿宋"/>
          <w:color w:val="auto"/>
          <w:sz w:val="24"/>
          <w:highlight w:val="none"/>
        </w:rPr>
        <w:t>也可以自愿</w:t>
      </w:r>
      <w:r>
        <w:rPr>
          <w:rFonts w:hint="eastAsia" w:ascii="仿宋" w:hAnsi="仿宋" w:eastAsia="仿宋"/>
          <w:color w:val="auto"/>
          <w:sz w:val="24"/>
          <w:highlight w:val="none"/>
        </w:rPr>
        <w:t>采用</w:t>
      </w:r>
      <w:r>
        <w:rPr>
          <w:rFonts w:ascii="仿宋" w:hAnsi="仿宋" w:eastAsia="仿宋"/>
          <w:color w:val="auto"/>
          <w:sz w:val="24"/>
          <w:highlight w:val="none"/>
        </w:rPr>
        <w:t>其他</w:t>
      </w:r>
      <w:r>
        <w:rPr>
          <w:rFonts w:hint="eastAsia" w:ascii="仿宋" w:hAnsi="仿宋" w:eastAsia="仿宋"/>
          <w:color w:val="auto"/>
          <w:sz w:val="24"/>
          <w:highlight w:val="none"/>
        </w:rPr>
        <w:t>履约保证金的提供</w:t>
      </w:r>
      <w:r>
        <w:rPr>
          <w:rFonts w:ascii="仿宋" w:hAnsi="仿宋" w:eastAsia="仿宋"/>
          <w:color w:val="auto"/>
          <w:sz w:val="24"/>
          <w:highlight w:val="none"/>
        </w:rPr>
        <w:t>方式。</w:t>
      </w:r>
    </w:p>
    <w:p w14:paraId="121D8BB2">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2.2   如果成交供应商没有按照上述履约保证金的规定执行，将被视为放弃成交资格，成交供应商须</w:t>
      </w:r>
      <w:r>
        <w:rPr>
          <w:rFonts w:ascii="仿宋" w:hAnsi="仿宋" w:eastAsia="仿宋"/>
          <w:color w:val="auto"/>
          <w:sz w:val="24"/>
          <w:highlight w:val="none"/>
        </w:rPr>
        <w:t>按</w:t>
      </w:r>
      <w:r>
        <w:rPr>
          <w:rFonts w:hint="eastAsia" w:ascii="仿宋" w:hAnsi="仿宋" w:eastAsia="仿宋"/>
          <w:color w:val="auto"/>
          <w:sz w:val="24"/>
          <w:highlight w:val="none"/>
        </w:rPr>
        <w:t>竞标保证承诺书的承诺</w:t>
      </w:r>
      <w:r>
        <w:rPr>
          <w:rFonts w:ascii="仿宋" w:hAnsi="仿宋" w:eastAsia="仿宋"/>
          <w:color w:val="auto"/>
          <w:sz w:val="24"/>
          <w:highlight w:val="none"/>
        </w:rPr>
        <w:t>向采购人和采购代理机构支付</w:t>
      </w:r>
      <w:r>
        <w:rPr>
          <w:rFonts w:hint="eastAsia" w:ascii="仿宋" w:hAnsi="仿宋" w:eastAsia="仿宋"/>
          <w:color w:val="auto"/>
          <w:sz w:val="24"/>
          <w:highlight w:val="none"/>
        </w:rPr>
        <w:t>赔偿。在此情况下，采购人可</w:t>
      </w:r>
      <w:r>
        <w:rPr>
          <w:rFonts w:ascii="仿宋" w:hAnsi="仿宋" w:eastAsia="仿宋"/>
          <w:color w:val="auto"/>
          <w:sz w:val="24"/>
          <w:highlight w:val="none"/>
        </w:rPr>
        <w:t>确定下一</w:t>
      </w:r>
      <w:r>
        <w:rPr>
          <w:rFonts w:hint="eastAsia" w:ascii="仿宋" w:hAnsi="仿宋" w:eastAsia="仿宋"/>
          <w:color w:val="auto"/>
          <w:sz w:val="24"/>
          <w:highlight w:val="none"/>
        </w:rPr>
        <w:t>候选</w:t>
      </w:r>
      <w:r>
        <w:rPr>
          <w:rFonts w:ascii="仿宋" w:hAnsi="仿宋" w:eastAsia="仿宋"/>
          <w:color w:val="auto"/>
          <w:sz w:val="24"/>
          <w:highlight w:val="none"/>
        </w:rPr>
        <w:t>人为</w:t>
      </w:r>
      <w:r>
        <w:rPr>
          <w:rFonts w:hint="eastAsia" w:ascii="仿宋" w:hAnsi="仿宋" w:eastAsia="仿宋"/>
          <w:color w:val="auto"/>
          <w:sz w:val="24"/>
          <w:highlight w:val="none"/>
        </w:rPr>
        <w:t>成交供应商</w:t>
      </w:r>
      <w:r>
        <w:rPr>
          <w:rFonts w:ascii="仿宋" w:hAnsi="仿宋" w:eastAsia="仿宋"/>
          <w:color w:val="auto"/>
          <w:sz w:val="24"/>
          <w:highlight w:val="none"/>
        </w:rPr>
        <w:t>，也可以重新开展采购活动。</w:t>
      </w:r>
    </w:p>
    <w:p w14:paraId="1284E80F">
      <w:pPr>
        <w:pStyle w:val="4"/>
        <w:spacing w:before="0" w:after="0" w:line="360" w:lineRule="auto"/>
        <w:rPr>
          <w:rFonts w:hint="eastAsia" w:ascii="仿宋" w:hAnsi="仿宋" w:eastAsia="仿宋"/>
          <w:color w:val="auto"/>
          <w:highlight w:val="none"/>
          <w:u w:val="none"/>
        </w:rPr>
      </w:pPr>
      <w:bookmarkStart w:id="277" w:name="_Toc518923098"/>
      <w:bookmarkStart w:id="278" w:name="_Toc23783538"/>
      <w:bookmarkStart w:id="279" w:name="_Toc133261406"/>
      <w:bookmarkStart w:id="280" w:name="_Toc2583659"/>
      <w:bookmarkStart w:id="281" w:name="_Toc29408"/>
      <w:bookmarkStart w:id="282" w:name="_Toc2582300"/>
      <w:bookmarkStart w:id="283" w:name="_Toc532473486"/>
      <w:bookmarkStart w:id="284" w:name="_Toc515647794"/>
      <w:bookmarkStart w:id="285" w:name="_Toc3090"/>
      <w:r>
        <w:rPr>
          <w:rFonts w:hint="eastAsia" w:ascii="仿宋" w:hAnsi="仿宋" w:eastAsia="仿宋"/>
          <w:color w:val="auto"/>
          <w:highlight w:val="none"/>
          <w:u w:val="none"/>
        </w:rPr>
        <w:t>33.</w:t>
      </w:r>
      <w:bookmarkEnd w:id="277"/>
      <w:r>
        <w:rPr>
          <w:rFonts w:hint="eastAsia" w:ascii="仿宋" w:hAnsi="仿宋" w:eastAsia="仿宋"/>
          <w:color w:val="auto"/>
          <w:highlight w:val="none"/>
          <w:u w:val="none"/>
        </w:rPr>
        <w:t>预付款</w:t>
      </w:r>
      <w:bookmarkEnd w:id="278"/>
      <w:bookmarkEnd w:id="279"/>
    </w:p>
    <w:p w14:paraId="0FC74A5D">
      <w:pPr>
        <w:spacing w:line="360" w:lineRule="auto"/>
        <w:ind w:left="847" w:hanging="847" w:hangingChars="353"/>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.1   </w:t>
      </w:r>
      <w:r>
        <w:rPr>
          <w:rFonts w:hint="eastAsia" w:ascii="仿宋" w:hAnsi="仿宋" w:eastAsia="仿宋"/>
          <w:color w:val="auto"/>
          <w:sz w:val="24"/>
          <w:highlight w:val="none"/>
        </w:rPr>
        <w:t>预付款是在指</w:t>
      </w:r>
      <w:r>
        <w:rPr>
          <w:rFonts w:hint="eastAsia" w:ascii="仿宋" w:hAnsi="仿宋" w:eastAsia="仿宋"/>
          <w:color w:val="auto"/>
          <w:sz w:val="24"/>
          <w:highlight w:val="none"/>
          <w:lang w:eastAsia="zh-CN"/>
        </w:rPr>
        <w:t>建设工程监理</w:t>
      </w:r>
      <w:r>
        <w:rPr>
          <w:rFonts w:ascii="仿宋" w:hAnsi="仿宋" w:eastAsia="仿宋"/>
          <w:color w:val="auto"/>
          <w:sz w:val="24"/>
          <w:highlight w:val="none"/>
        </w:rPr>
        <w:t>合同签订后</w:t>
      </w:r>
      <w:r>
        <w:rPr>
          <w:rFonts w:hint="eastAsia" w:ascii="仿宋" w:hAnsi="仿宋" w:eastAsia="仿宋"/>
          <w:color w:val="auto"/>
          <w:sz w:val="24"/>
          <w:highlight w:val="none"/>
        </w:rPr>
        <w:t>、履行前，</w:t>
      </w:r>
      <w:r>
        <w:rPr>
          <w:rFonts w:ascii="仿宋" w:hAnsi="仿宋" w:eastAsia="仿宋"/>
          <w:color w:val="auto"/>
          <w:sz w:val="24"/>
          <w:highlight w:val="none"/>
        </w:rPr>
        <w:t>采购人向</w:t>
      </w:r>
      <w:r>
        <w:rPr>
          <w:rFonts w:hint="eastAsia" w:ascii="仿宋" w:hAnsi="仿宋" w:eastAsia="仿宋"/>
          <w:color w:val="auto"/>
          <w:sz w:val="24"/>
          <w:highlight w:val="none"/>
        </w:rPr>
        <w:t>成交供应商</w:t>
      </w:r>
      <w:r>
        <w:rPr>
          <w:rFonts w:ascii="仿宋" w:hAnsi="仿宋" w:eastAsia="仿宋"/>
          <w:color w:val="auto"/>
          <w:sz w:val="24"/>
          <w:highlight w:val="none"/>
        </w:rPr>
        <w:t>预先支付部分合同款项</w:t>
      </w:r>
      <w:r>
        <w:rPr>
          <w:rFonts w:hint="eastAsia" w:ascii="仿宋" w:hAnsi="仿宋" w:eastAsia="仿宋"/>
          <w:color w:val="auto"/>
          <w:sz w:val="24"/>
          <w:highlight w:val="none"/>
        </w:rPr>
        <w:t>，</w:t>
      </w:r>
      <w:r>
        <w:rPr>
          <w:rFonts w:ascii="仿宋" w:hAnsi="仿宋" w:eastAsia="仿宋"/>
          <w:color w:val="auto"/>
          <w:sz w:val="24"/>
          <w:highlight w:val="none"/>
        </w:rPr>
        <w:t>预付款</w:t>
      </w:r>
      <w:r>
        <w:rPr>
          <w:rFonts w:hint="eastAsia" w:ascii="仿宋" w:hAnsi="仿宋" w:eastAsia="仿宋"/>
          <w:color w:val="auto"/>
          <w:sz w:val="24"/>
          <w:highlight w:val="none"/>
        </w:rPr>
        <w:t>比例按照供应商须知前附表规定执行。</w:t>
      </w:r>
    </w:p>
    <w:p w14:paraId="6B7C8D20">
      <w:pPr>
        <w:spacing w:line="360" w:lineRule="auto"/>
        <w:ind w:left="850" w:hanging="849" w:hangingChars="354"/>
        <w:rPr>
          <w:rFonts w:hint="eastAsia"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 xml:space="preserve">.2   </w:t>
      </w:r>
      <w:r>
        <w:rPr>
          <w:rFonts w:hint="eastAsia" w:ascii="仿宋" w:hAnsi="仿宋" w:eastAsia="仿宋"/>
          <w:color w:val="auto"/>
          <w:sz w:val="24"/>
          <w:highlight w:val="none"/>
        </w:rPr>
        <w:t>如采购人要求，成交供应商</w:t>
      </w:r>
      <w:r>
        <w:rPr>
          <w:rFonts w:ascii="仿宋" w:hAnsi="仿宋" w:eastAsia="仿宋"/>
          <w:color w:val="auto"/>
          <w:sz w:val="24"/>
          <w:highlight w:val="none"/>
        </w:rPr>
        <w:t>在收到预付款前</w:t>
      </w:r>
      <w:r>
        <w:rPr>
          <w:rFonts w:hint="eastAsia" w:ascii="仿宋" w:hAnsi="仿宋" w:eastAsia="仿宋"/>
          <w:color w:val="auto"/>
          <w:sz w:val="24"/>
          <w:highlight w:val="none"/>
        </w:rPr>
        <w:t>，</w:t>
      </w:r>
      <w:r>
        <w:rPr>
          <w:rFonts w:ascii="仿宋" w:hAnsi="仿宋" w:eastAsia="仿宋"/>
          <w:color w:val="auto"/>
          <w:sz w:val="24"/>
          <w:highlight w:val="none"/>
        </w:rPr>
        <w:t>需向采购人提供预付款保函</w:t>
      </w:r>
      <w:r>
        <w:rPr>
          <w:rFonts w:hint="eastAsia" w:ascii="仿宋" w:hAnsi="仿宋" w:eastAsia="仿宋"/>
          <w:color w:val="auto"/>
          <w:sz w:val="24"/>
          <w:highlight w:val="none"/>
        </w:rPr>
        <w:t>。</w:t>
      </w:r>
      <w:r>
        <w:rPr>
          <w:rFonts w:ascii="仿宋" w:hAnsi="仿宋" w:eastAsia="仿宋"/>
          <w:color w:val="auto"/>
          <w:sz w:val="24"/>
          <w:highlight w:val="none"/>
        </w:rPr>
        <w:t>预付款保函是指</w:t>
      </w:r>
      <w:r>
        <w:rPr>
          <w:rFonts w:hint="eastAsia" w:ascii="仿宋" w:hAnsi="仿宋" w:eastAsia="仿宋"/>
          <w:color w:val="auto"/>
          <w:sz w:val="24"/>
          <w:highlight w:val="none"/>
        </w:rPr>
        <w:t>成交供应商</w:t>
      </w:r>
      <w:r>
        <w:rPr>
          <w:rFonts w:ascii="仿宋" w:hAnsi="仿宋" w:eastAsia="仿宋"/>
          <w:color w:val="auto"/>
          <w:sz w:val="24"/>
          <w:highlight w:val="none"/>
        </w:rPr>
        <w:t>向银行或者有资质的专业的担保机构申请</w:t>
      </w:r>
      <w:r>
        <w:rPr>
          <w:rFonts w:hint="eastAsia" w:ascii="仿宋" w:hAnsi="仿宋" w:eastAsia="仿宋"/>
          <w:color w:val="auto"/>
          <w:sz w:val="24"/>
          <w:highlight w:val="none"/>
        </w:rPr>
        <w:t>，</w:t>
      </w:r>
      <w:r>
        <w:rPr>
          <w:rFonts w:ascii="仿宋" w:hAnsi="仿宋" w:eastAsia="仿宋"/>
          <w:color w:val="auto"/>
          <w:sz w:val="24"/>
          <w:highlight w:val="none"/>
        </w:rPr>
        <w:t>由其向采购人出具的确保预付款直接或者间接用于</w:t>
      </w:r>
      <w:r>
        <w:rPr>
          <w:rFonts w:hint="eastAsia" w:ascii="仿宋" w:hAnsi="仿宋" w:eastAsia="仿宋"/>
          <w:color w:val="auto"/>
          <w:sz w:val="24"/>
          <w:highlight w:val="none"/>
          <w:lang w:eastAsia="zh-CN"/>
        </w:rPr>
        <w:t>建设工程监理</w:t>
      </w:r>
      <w:r>
        <w:rPr>
          <w:rFonts w:hint="eastAsia" w:ascii="仿宋" w:hAnsi="仿宋" w:eastAsia="仿宋"/>
          <w:color w:val="auto"/>
          <w:sz w:val="24"/>
          <w:highlight w:val="none"/>
          <w:lang w:val="en-US" w:eastAsia="zh-CN"/>
        </w:rPr>
        <w:t>合同</w:t>
      </w:r>
      <w:r>
        <w:rPr>
          <w:rFonts w:ascii="仿宋" w:hAnsi="仿宋" w:eastAsia="仿宋"/>
          <w:color w:val="auto"/>
          <w:sz w:val="24"/>
          <w:highlight w:val="none"/>
        </w:rPr>
        <w:t>履约或者保障政府采购履约质量的银行保函或者担保保函等</w:t>
      </w:r>
      <w:r>
        <w:rPr>
          <w:rFonts w:hint="eastAsia" w:ascii="仿宋" w:hAnsi="仿宋" w:eastAsia="仿宋"/>
          <w:color w:val="auto"/>
          <w:sz w:val="24"/>
          <w:highlight w:val="none"/>
        </w:rPr>
        <w:t>。</w:t>
      </w:r>
    </w:p>
    <w:p w14:paraId="243EFF6F">
      <w:pPr>
        <w:spacing w:line="360" w:lineRule="auto"/>
        <w:ind w:left="850" w:hanging="849" w:hangingChars="354"/>
        <w:rPr>
          <w:rFonts w:hint="eastAsia" w:ascii="仿宋" w:hAnsi="仿宋" w:eastAsia="仿宋"/>
          <w:color w:val="auto"/>
          <w:sz w:val="24"/>
          <w:highlight w:val="none"/>
          <w:u w:val="single"/>
        </w:rPr>
      </w:pPr>
      <w:r>
        <w:rPr>
          <w:rFonts w:hint="eastAsia" w:ascii="仿宋" w:hAnsi="仿宋" w:eastAsia="仿宋"/>
          <w:color w:val="auto"/>
          <w:sz w:val="24"/>
          <w:highlight w:val="none"/>
        </w:rPr>
        <w:t>33</w:t>
      </w:r>
      <w:r>
        <w:rPr>
          <w:rFonts w:ascii="仿宋" w:hAnsi="仿宋" w:eastAsia="仿宋"/>
          <w:color w:val="auto"/>
          <w:sz w:val="24"/>
          <w:highlight w:val="none"/>
        </w:rPr>
        <w:t xml:space="preserve">.3  </w:t>
      </w:r>
      <w:r>
        <w:rPr>
          <w:rFonts w:hint="eastAsia" w:ascii="仿宋" w:hAnsi="仿宋" w:eastAsia="仿宋"/>
          <w:color w:val="auto"/>
          <w:sz w:val="24"/>
          <w:highlight w:val="none"/>
        </w:rPr>
        <w:t xml:space="preserve"> </w:t>
      </w:r>
      <w:r>
        <w:rPr>
          <w:rFonts w:ascii="仿宋" w:hAnsi="仿宋" w:eastAsia="仿宋"/>
          <w:color w:val="auto"/>
          <w:sz w:val="24"/>
          <w:highlight w:val="none"/>
        </w:rPr>
        <w:t>本项目采购人不需要支付预付款的情形</w:t>
      </w:r>
      <w:r>
        <w:rPr>
          <w:rFonts w:hint="eastAsia" w:ascii="仿宋" w:hAnsi="仿宋" w:eastAsia="仿宋"/>
          <w:color w:val="auto"/>
          <w:sz w:val="24"/>
          <w:highlight w:val="none"/>
        </w:rPr>
        <w:t>，</w:t>
      </w:r>
      <w:r>
        <w:rPr>
          <w:rFonts w:ascii="仿宋" w:hAnsi="仿宋" w:eastAsia="仿宋"/>
          <w:color w:val="auto"/>
          <w:sz w:val="24"/>
          <w:highlight w:val="none"/>
        </w:rPr>
        <w:t>见</w:t>
      </w:r>
      <w:r>
        <w:rPr>
          <w:rFonts w:hint="eastAsia" w:ascii="仿宋" w:hAnsi="仿宋" w:eastAsia="仿宋"/>
          <w:color w:val="auto"/>
          <w:sz w:val="24"/>
          <w:highlight w:val="none"/>
          <w:u w:val="single"/>
        </w:rPr>
        <w:t>供应商须知前附表。</w:t>
      </w:r>
    </w:p>
    <w:p w14:paraId="1FDA1413">
      <w:pPr>
        <w:pStyle w:val="4"/>
        <w:spacing w:before="0" w:after="0" w:line="360" w:lineRule="auto"/>
        <w:rPr>
          <w:rFonts w:hint="eastAsia" w:ascii="仿宋" w:hAnsi="仿宋" w:eastAsia="仿宋"/>
          <w:color w:val="auto"/>
          <w:highlight w:val="none"/>
          <w:u w:val="none"/>
        </w:rPr>
      </w:pPr>
      <w:bookmarkStart w:id="286" w:name="_Toc23783539"/>
      <w:bookmarkStart w:id="287" w:name="_Toc133261407"/>
      <w:r>
        <w:rPr>
          <w:rFonts w:ascii="仿宋" w:hAnsi="仿宋" w:eastAsia="仿宋"/>
          <w:color w:val="auto"/>
          <w:highlight w:val="none"/>
          <w:u w:val="none"/>
        </w:rPr>
        <w:t>3</w:t>
      </w:r>
      <w:r>
        <w:rPr>
          <w:rFonts w:hint="eastAsia" w:ascii="仿宋" w:hAnsi="仿宋" w:eastAsia="仿宋"/>
          <w:color w:val="auto"/>
          <w:highlight w:val="none"/>
          <w:u w:val="none"/>
        </w:rPr>
        <w:t>4</w:t>
      </w:r>
      <w:r>
        <w:rPr>
          <w:rFonts w:ascii="仿宋" w:hAnsi="仿宋" w:eastAsia="仿宋"/>
          <w:color w:val="auto"/>
          <w:highlight w:val="none"/>
          <w:u w:val="none"/>
        </w:rPr>
        <w:t>.</w:t>
      </w:r>
      <w:r>
        <w:rPr>
          <w:rFonts w:hint="eastAsia" w:ascii="仿宋" w:hAnsi="仿宋" w:eastAsia="仿宋"/>
          <w:color w:val="auto"/>
          <w:highlight w:val="none"/>
          <w:u w:val="none"/>
        </w:rPr>
        <w:t>招标代理费</w:t>
      </w:r>
      <w:bookmarkEnd w:id="280"/>
      <w:bookmarkEnd w:id="286"/>
      <w:bookmarkEnd w:id="287"/>
    </w:p>
    <w:p w14:paraId="0C40F313">
      <w:pPr>
        <w:spacing w:line="360" w:lineRule="auto"/>
        <w:ind w:left="840" w:leftChars="200" w:hanging="420" w:hangingChars="175"/>
        <w:rPr>
          <w:rFonts w:hint="eastAsia" w:ascii="仿宋" w:hAnsi="仿宋" w:eastAsia="仿宋"/>
          <w:color w:val="auto"/>
          <w:sz w:val="24"/>
          <w:highlight w:val="none"/>
        </w:rPr>
      </w:pPr>
      <w:r>
        <w:rPr>
          <w:rFonts w:hint="eastAsia" w:ascii="仿宋" w:hAnsi="仿宋" w:eastAsia="仿宋"/>
          <w:color w:val="auto"/>
          <w:sz w:val="24"/>
          <w:highlight w:val="none"/>
        </w:rPr>
        <w:t xml:space="preserve">   本项目</w:t>
      </w:r>
      <w:r>
        <w:rPr>
          <w:rFonts w:ascii="仿宋" w:hAnsi="仿宋" w:eastAsia="仿宋"/>
          <w:color w:val="auto"/>
          <w:sz w:val="24"/>
          <w:highlight w:val="none"/>
        </w:rPr>
        <w:t>是否由</w:t>
      </w:r>
      <w:r>
        <w:rPr>
          <w:rFonts w:hint="eastAsia" w:ascii="仿宋" w:hAnsi="仿宋" w:eastAsia="仿宋"/>
          <w:color w:val="auto"/>
          <w:sz w:val="24"/>
          <w:highlight w:val="none"/>
        </w:rPr>
        <w:t>成交供应商向采购代理机构支付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代理费，按照</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规定执行。</w:t>
      </w:r>
    </w:p>
    <w:p w14:paraId="32B9CF09">
      <w:pPr>
        <w:pStyle w:val="4"/>
        <w:spacing w:before="0" w:after="0" w:line="360" w:lineRule="auto"/>
        <w:rPr>
          <w:rFonts w:hint="eastAsia" w:ascii="仿宋" w:hAnsi="仿宋" w:eastAsia="仿宋"/>
          <w:color w:val="auto"/>
          <w:highlight w:val="none"/>
          <w:u w:val="none"/>
        </w:rPr>
      </w:pPr>
      <w:bookmarkStart w:id="288" w:name="_Toc518923099"/>
      <w:bookmarkStart w:id="289" w:name="_Toc2583660"/>
      <w:bookmarkStart w:id="290" w:name="_Toc23783540"/>
      <w:bookmarkStart w:id="291" w:name="_Toc133261408"/>
      <w:r>
        <w:rPr>
          <w:rFonts w:hint="eastAsia" w:ascii="仿宋" w:hAnsi="仿宋" w:eastAsia="仿宋"/>
          <w:color w:val="auto"/>
          <w:highlight w:val="none"/>
          <w:u w:val="none"/>
        </w:rPr>
        <w:t>35.政府采购信用担保</w:t>
      </w:r>
      <w:bookmarkEnd w:id="288"/>
      <w:bookmarkEnd w:id="289"/>
      <w:r>
        <w:rPr>
          <w:rFonts w:hint="eastAsia" w:ascii="仿宋" w:hAnsi="仿宋" w:eastAsia="仿宋"/>
          <w:color w:val="auto"/>
          <w:highlight w:val="none"/>
          <w:u w:val="none"/>
        </w:rPr>
        <w:t>（本项目不适用）</w:t>
      </w:r>
      <w:bookmarkEnd w:id="290"/>
      <w:bookmarkEnd w:id="291"/>
    </w:p>
    <w:p w14:paraId="1D48496A">
      <w:pPr>
        <w:pStyle w:val="4"/>
        <w:spacing w:before="0" w:after="0" w:line="360" w:lineRule="auto"/>
        <w:rPr>
          <w:rFonts w:hint="eastAsia" w:ascii="仿宋" w:hAnsi="仿宋" w:eastAsia="仿宋"/>
          <w:color w:val="auto"/>
          <w:highlight w:val="none"/>
          <w:u w:val="none"/>
        </w:rPr>
      </w:pPr>
      <w:bookmarkStart w:id="292" w:name="_Toc2583661"/>
      <w:bookmarkStart w:id="293" w:name="_Toc23783541"/>
      <w:bookmarkStart w:id="294" w:name="_Toc518923100"/>
      <w:bookmarkStart w:id="295" w:name="_Toc133261409"/>
      <w:r>
        <w:rPr>
          <w:rFonts w:hint="eastAsia" w:ascii="仿宋" w:hAnsi="仿宋" w:eastAsia="仿宋"/>
          <w:color w:val="auto"/>
          <w:highlight w:val="none"/>
          <w:u w:val="none"/>
        </w:rPr>
        <w:t>36</w:t>
      </w:r>
      <w:r>
        <w:rPr>
          <w:rFonts w:ascii="仿宋" w:hAnsi="仿宋" w:eastAsia="仿宋"/>
          <w:color w:val="auto"/>
          <w:highlight w:val="none"/>
          <w:u w:val="none"/>
        </w:rPr>
        <w:t>.</w:t>
      </w:r>
      <w:r>
        <w:rPr>
          <w:rFonts w:hint="eastAsia" w:ascii="仿宋" w:hAnsi="仿宋" w:eastAsia="仿宋"/>
          <w:color w:val="auto"/>
          <w:highlight w:val="none"/>
          <w:u w:val="none"/>
        </w:rPr>
        <w:t>廉洁自律</w:t>
      </w:r>
      <w:r>
        <w:rPr>
          <w:rFonts w:ascii="仿宋" w:hAnsi="仿宋" w:eastAsia="仿宋"/>
          <w:color w:val="auto"/>
          <w:highlight w:val="none"/>
          <w:u w:val="none"/>
        </w:rPr>
        <w:t>规定</w:t>
      </w:r>
      <w:bookmarkEnd w:id="292"/>
      <w:bookmarkEnd w:id="293"/>
      <w:bookmarkEnd w:id="294"/>
      <w:bookmarkEnd w:id="295"/>
    </w:p>
    <w:p w14:paraId="7935235F">
      <w:pPr>
        <w:spacing w:line="360" w:lineRule="auto"/>
        <w:ind w:left="900" w:hanging="900" w:hangingChars="375"/>
        <w:rPr>
          <w:rFonts w:hint="eastAsia" w:ascii="仿宋" w:hAnsi="仿宋" w:eastAsia="仿宋"/>
          <w:color w:val="auto"/>
          <w:sz w:val="24"/>
          <w:highlight w:val="none"/>
        </w:rPr>
      </w:pPr>
      <w:r>
        <w:rPr>
          <w:rFonts w:hint="eastAsia" w:ascii="仿宋" w:hAnsi="仿宋" w:eastAsia="仿宋"/>
          <w:color w:val="auto"/>
          <w:sz w:val="24"/>
          <w:highlight w:val="none"/>
        </w:rPr>
        <w:t xml:space="preserve">36.1 </w:t>
      </w:r>
      <w:r>
        <w:rPr>
          <w:rFonts w:ascii="仿宋" w:hAnsi="仿宋" w:eastAsia="仿宋"/>
          <w:color w:val="auto"/>
          <w:sz w:val="24"/>
          <w:highlight w:val="none"/>
        </w:rPr>
        <w:t xml:space="preserve">  </w:t>
      </w:r>
      <w:r>
        <w:rPr>
          <w:rFonts w:hint="eastAsia" w:ascii="仿宋" w:hAnsi="仿宋" w:eastAsia="仿宋"/>
          <w:color w:val="auto"/>
          <w:sz w:val="24"/>
          <w:highlight w:val="none"/>
        </w:rPr>
        <w:t>采购代理机构</w:t>
      </w:r>
      <w:r>
        <w:rPr>
          <w:rFonts w:ascii="仿宋" w:hAnsi="仿宋" w:eastAsia="仿宋"/>
          <w:color w:val="auto"/>
          <w:sz w:val="24"/>
          <w:highlight w:val="none"/>
        </w:rPr>
        <w:t>工作人员</w:t>
      </w:r>
      <w:r>
        <w:rPr>
          <w:rFonts w:hint="eastAsia" w:ascii="仿宋" w:hAnsi="仿宋" w:eastAsia="仿宋"/>
          <w:color w:val="auto"/>
          <w:sz w:val="24"/>
          <w:highlight w:val="none"/>
        </w:rPr>
        <w:t>不得以不正当手段获取政府采购代理业务，不得与采购人、供应商恶意串通。</w:t>
      </w:r>
    </w:p>
    <w:p w14:paraId="069AF8BD">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 xml:space="preserve">.2   </w:t>
      </w:r>
      <w:r>
        <w:rPr>
          <w:rFonts w:hint="eastAsia" w:ascii="仿宋" w:hAnsi="仿宋" w:eastAsia="仿宋"/>
          <w:color w:val="auto"/>
          <w:sz w:val="24"/>
          <w:highlight w:val="none"/>
        </w:rPr>
        <w:t>采购代理机构工作人员不得接受采购人或者供应商组织的宴请、旅游、娱乐，不得收受礼品、现金、有价证券等，不得向采购人或者供应商报销应当由个人承担的费用。</w:t>
      </w:r>
    </w:p>
    <w:p w14:paraId="02451CA4">
      <w:pPr>
        <w:pStyle w:val="4"/>
        <w:spacing w:before="0" w:after="0" w:line="360" w:lineRule="auto"/>
        <w:rPr>
          <w:rFonts w:hint="eastAsia" w:ascii="仿宋" w:hAnsi="仿宋" w:eastAsia="仿宋"/>
          <w:color w:val="auto"/>
          <w:highlight w:val="none"/>
          <w:u w:val="none"/>
        </w:rPr>
      </w:pPr>
      <w:bookmarkStart w:id="296" w:name="_Toc23783542"/>
      <w:bookmarkStart w:id="297" w:name="_Toc518923101"/>
      <w:bookmarkStart w:id="298" w:name="_Toc2583662"/>
      <w:bookmarkStart w:id="299" w:name="_Toc133261410"/>
      <w:r>
        <w:rPr>
          <w:rFonts w:hint="eastAsia" w:ascii="仿宋" w:hAnsi="仿宋" w:eastAsia="仿宋"/>
          <w:color w:val="auto"/>
          <w:highlight w:val="none"/>
          <w:u w:val="none"/>
        </w:rPr>
        <w:t>37.人员回避</w:t>
      </w:r>
      <w:bookmarkEnd w:id="296"/>
      <w:bookmarkEnd w:id="297"/>
      <w:bookmarkEnd w:id="298"/>
      <w:bookmarkEnd w:id="299"/>
    </w:p>
    <w:p w14:paraId="306878F9">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潜在</w:t>
      </w:r>
      <w:r>
        <w:rPr>
          <w:rFonts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ascii="仿宋" w:hAnsi="仿宋" w:eastAsia="仿宋"/>
          <w:color w:val="auto"/>
          <w:sz w:val="24"/>
          <w:highlight w:val="none"/>
        </w:rPr>
        <w:t>使</w:t>
      </w:r>
      <w:r>
        <w:rPr>
          <w:rFonts w:hint="eastAsia" w:ascii="仿宋" w:hAnsi="仿宋" w:eastAsia="仿宋"/>
          <w:color w:val="auto"/>
          <w:sz w:val="24"/>
          <w:highlight w:val="none"/>
        </w:rPr>
        <w:t>自己</w:t>
      </w:r>
      <w:r>
        <w:rPr>
          <w:rFonts w:ascii="仿宋" w:hAnsi="仿宋" w:eastAsia="仿宋"/>
          <w:color w:val="auto"/>
          <w:sz w:val="24"/>
          <w:highlight w:val="none"/>
        </w:rPr>
        <w:t>的权益受到损害的，</w:t>
      </w:r>
      <w:r>
        <w:rPr>
          <w:rFonts w:hint="eastAsia" w:ascii="仿宋" w:hAnsi="仿宋" w:eastAsia="仿宋"/>
          <w:color w:val="auto"/>
          <w:sz w:val="24"/>
          <w:highlight w:val="none"/>
        </w:rPr>
        <w:t>供应商</w:t>
      </w:r>
      <w:r>
        <w:rPr>
          <w:rFonts w:ascii="仿宋" w:hAnsi="仿宋" w:eastAsia="仿宋"/>
          <w:color w:val="auto"/>
          <w:sz w:val="24"/>
          <w:highlight w:val="none"/>
        </w:rPr>
        <w:t>认为采购人员</w:t>
      </w:r>
      <w:r>
        <w:rPr>
          <w:rFonts w:hint="eastAsia" w:ascii="仿宋" w:hAnsi="仿宋" w:eastAsia="仿宋"/>
          <w:color w:val="auto"/>
          <w:sz w:val="24"/>
          <w:highlight w:val="none"/>
        </w:rPr>
        <w:t>及其</w:t>
      </w:r>
      <w:r>
        <w:rPr>
          <w:rFonts w:ascii="仿宋" w:hAnsi="仿宋" w:eastAsia="仿宋"/>
          <w:color w:val="auto"/>
          <w:sz w:val="24"/>
          <w:highlight w:val="none"/>
        </w:rPr>
        <w:t>相关人员有</w:t>
      </w:r>
      <w:r>
        <w:rPr>
          <w:rFonts w:hint="eastAsia" w:ascii="仿宋" w:hAnsi="仿宋" w:eastAsia="仿宋"/>
          <w:color w:val="auto"/>
          <w:sz w:val="24"/>
          <w:highlight w:val="none"/>
        </w:rPr>
        <w:t>法律</w:t>
      </w:r>
      <w:r>
        <w:rPr>
          <w:rFonts w:ascii="仿宋" w:hAnsi="仿宋" w:eastAsia="仿宋"/>
          <w:color w:val="auto"/>
          <w:sz w:val="24"/>
          <w:highlight w:val="none"/>
        </w:rPr>
        <w:t>法规所列与其他供应商</w:t>
      </w:r>
      <w:r>
        <w:rPr>
          <w:rFonts w:hint="eastAsia" w:ascii="仿宋" w:hAnsi="仿宋" w:eastAsia="仿宋"/>
          <w:color w:val="auto"/>
          <w:sz w:val="24"/>
          <w:highlight w:val="none"/>
        </w:rPr>
        <w:t>有</w:t>
      </w:r>
      <w:r>
        <w:rPr>
          <w:rFonts w:ascii="仿宋" w:hAnsi="仿宋" w:eastAsia="仿宋"/>
          <w:color w:val="auto"/>
          <w:sz w:val="24"/>
          <w:highlight w:val="none"/>
        </w:rPr>
        <w:t>利害关系的，均可以向</w:t>
      </w:r>
      <w:r>
        <w:rPr>
          <w:rFonts w:hint="eastAsia" w:ascii="仿宋" w:hAnsi="仿宋" w:eastAsia="仿宋"/>
          <w:color w:val="auto"/>
          <w:sz w:val="24"/>
          <w:highlight w:val="none"/>
        </w:rPr>
        <w:t>采购人或</w:t>
      </w:r>
      <w:r>
        <w:rPr>
          <w:rFonts w:ascii="仿宋" w:hAnsi="仿宋" w:eastAsia="仿宋"/>
          <w:color w:val="auto"/>
          <w:sz w:val="24"/>
          <w:highlight w:val="none"/>
        </w:rPr>
        <w:t>采购代理机构书面提出回避申请，并说明理由。</w:t>
      </w:r>
    </w:p>
    <w:p w14:paraId="32F5C78B">
      <w:pPr>
        <w:pStyle w:val="4"/>
        <w:spacing w:before="0" w:after="0" w:line="360" w:lineRule="auto"/>
        <w:rPr>
          <w:rFonts w:hint="eastAsia" w:ascii="仿宋" w:hAnsi="仿宋" w:eastAsia="仿宋"/>
          <w:color w:val="auto"/>
          <w:highlight w:val="none"/>
          <w:u w:val="none"/>
        </w:rPr>
      </w:pPr>
      <w:bookmarkStart w:id="300" w:name="_Toc518923102"/>
      <w:bookmarkStart w:id="301" w:name="_Toc23783543"/>
      <w:bookmarkStart w:id="302" w:name="_Toc2583663"/>
      <w:bookmarkStart w:id="303" w:name="_Toc133261411"/>
      <w:r>
        <w:rPr>
          <w:rFonts w:hint="eastAsia" w:ascii="仿宋" w:hAnsi="仿宋" w:eastAsia="仿宋"/>
          <w:color w:val="auto"/>
          <w:highlight w:val="none"/>
          <w:u w:val="none"/>
        </w:rPr>
        <w:t>38.质疑的</w:t>
      </w:r>
      <w:r>
        <w:rPr>
          <w:rFonts w:ascii="仿宋" w:hAnsi="仿宋" w:eastAsia="仿宋"/>
          <w:color w:val="auto"/>
          <w:highlight w:val="none"/>
          <w:u w:val="none"/>
        </w:rPr>
        <w:t>提出</w:t>
      </w:r>
      <w:r>
        <w:rPr>
          <w:rFonts w:hint="eastAsia" w:ascii="仿宋" w:hAnsi="仿宋" w:eastAsia="仿宋"/>
          <w:color w:val="auto"/>
          <w:highlight w:val="none"/>
          <w:u w:val="none"/>
        </w:rPr>
        <w:t>与接收</w:t>
      </w:r>
      <w:bookmarkEnd w:id="300"/>
      <w:bookmarkEnd w:id="301"/>
      <w:bookmarkEnd w:id="302"/>
      <w:bookmarkEnd w:id="303"/>
    </w:p>
    <w:p w14:paraId="513D7714">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38.1</w:t>
      </w:r>
      <w:r>
        <w:rPr>
          <w:rFonts w:ascii="仿宋" w:hAnsi="仿宋" w:eastAsia="仿宋"/>
          <w:color w:val="auto"/>
          <w:sz w:val="24"/>
          <w:highlight w:val="none"/>
        </w:rPr>
        <w:t xml:space="preserve">  </w:t>
      </w:r>
      <w:r>
        <w:rPr>
          <w:rFonts w:hint="eastAsia" w:ascii="仿宋" w:hAnsi="仿宋" w:eastAsia="仿宋"/>
          <w:color w:val="auto"/>
          <w:sz w:val="24"/>
          <w:highlight w:val="none"/>
        </w:rPr>
        <w:t>供应商认为</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、采购过程和成交结果使自己的权益受到损害的，可以根据</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中华人民共和国政府</w:t>
      </w:r>
      <w:r>
        <w:rPr>
          <w:rFonts w:ascii="仿宋" w:hAnsi="仿宋" w:eastAsia="仿宋"/>
          <w:color w:val="auto"/>
          <w:sz w:val="24"/>
          <w:highlight w:val="none"/>
        </w:rPr>
        <w:t>采购法实施条例》</w:t>
      </w:r>
      <w:r>
        <w:rPr>
          <w:rFonts w:hint="eastAsia" w:ascii="仿宋" w:hAnsi="仿宋" w:eastAsia="仿宋"/>
          <w:color w:val="auto"/>
          <w:sz w:val="24"/>
          <w:highlight w:val="none"/>
        </w:rPr>
        <w:t>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《政府采购竞争性磋商采购方式管理暂行办法》等</w:t>
      </w:r>
      <w:r>
        <w:rPr>
          <w:rFonts w:ascii="仿宋" w:hAnsi="仿宋" w:eastAsia="仿宋"/>
          <w:color w:val="auto"/>
          <w:sz w:val="24"/>
          <w:highlight w:val="none"/>
        </w:rPr>
        <w:t>有关规定，</w:t>
      </w:r>
      <w:r>
        <w:rPr>
          <w:rFonts w:hint="eastAsia" w:ascii="仿宋" w:hAnsi="仿宋" w:eastAsia="仿宋"/>
          <w:color w:val="auto"/>
          <w:sz w:val="24"/>
          <w:highlight w:val="none"/>
        </w:rPr>
        <w:t>依法向采购人或其委托的采购代理机构提出质疑。</w:t>
      </w:r>
    </w:p>
    <w:p w14:paraId="66A3A330">
      <w:pPr>
        <w:spacing w:line="360" w:lineRule="auto"/>
        <w:ind w:left="850" w:leftChars="68" w:hanging="708" w:hangingChars="295"/>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 xml:space="preserve">.2  </w:t>
      </w:r>
      <w:r>
        <w:rPr>
          <w:rFonts w:hint="eastAsia" w:ascii="仿宋" w:hAnsi="仿宋" w:eastAsia="仿宋"/>
          <w:color w:val="auto"/>
          <w:sz w:val="24"/>
          <w:highlight w:val="none"/>
        </w:rPr>
        <w:t>质疑供应商</w:t>
      </w:r>
      <w:r>
        <w:rPr>
          <w:rFonts w:ascii="仿宋" w:hAnsi="仿宋" w:eastAsia="仿宋"/>
          <w:color w:val="auto"/>
          <w:sz w:val="24"/>
          <w:highlight w:val="none"/>
        </w:rPr>
        <w:t>应按照财政部制定的</w:t>
      </w:r>
      <w:r>
        <w:rPr>
          <w:rFonts w:hint="eastAsia" w:ascii="仿宋" w:hAnsi="仿宋" w:eastAsia="仿宋"/>
          <w:color w:val="auto"/>
          <w:sz w:val="24"/>
          <w:highlight w:val="none"/>
        </w:rPr>
        <w:t>《政府采购质疑函范本》格式（可从财政部官方网站下载）和</w:t>
      </w:r>
      <w:r>
        <w:rPr>
          <w:rFonts w:ascii="仿宋" w:hAnsi="仿宋" w:eastAsia="仿宋"/>
          <w:color w:val="auto"/>
          <w:sz w:val="24"/>
          <w:highlight w:val="none"/>
        </w:rPr>
        <w:t>《</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采购质疑和投诉办法》的要求</w:t>
      </w:r>
      <w:r>
        <w:rPr>
          <w:rFonts w:hint="eastAsia" w:ascii="仿宋" w:hAnsi="仿宋" w:eastAsia="仿宋"/>
          <w:color w:val="auto"/>
          <w:sz w:val="24"/>
          <w:highlight w:val="none"/>
        </w:rPr>
        <w:t>，</w:t>
      </w:r>
      <w:r>
        <w:rPr>
          <w:rFonts w:ascii="仿宋" w:hAnsi="仿宋" w:eastAsia="仿宋"/>
          <w:color w:val="auto"/>
          <w:sz w:val="24"/>
          <w:highlight w:val="none"/>
        </w:rPr>
        <w:t>在法定质疑期内</w:t>
      </w:r>
      <w:r>
        <w:rPr>
          <w:rFonts w:hint="eastAsia" w:ascii="仿宋" w:hAnsi="仿宋" w:eastAsia="仿宋"/>
          <w:color w:val="auto"/>
          <w:sz w:val="24"/>
          <w:highlight w:val="none"/>
        </w:rPr>
        <w:t>以书面形式</w:t>
      </w:r>
      <w:r>
        <w:rPr>
          <w:rFonts w:ascii="仿宋" w:hAnsi="仿宋" w:eastAsia="仿宋"/>
          <w:color w:val="auto"/>
          <w:sz w:val="24"/>
          <w:highlight w:val="none"/>
        </w:rPr>
        <w:t>提出质疑</w:t>
      </w:r>
      <w:r>
        <w:rPr>
          <w:rFonts w:hint="eastAsia" w:ascii="仿宋" w:hAnsi="仿宋" w:eastAsia="仿宋"/>
          <w:color w:val="auto"/>
          <w:sz w:val="24"/>
          <w:highlight w:val="none"/>
        </w:rPr>
        <w:t>，针对同一采购程序环节的质疑次数应符合</w:t>
      </w:r>
      <w:r>
        <w:rPr>
          <w:rFonts w:hint="eastAsia" w:ascii="仿宋" w:hAnsi="仿宋" w:eastAsia="仿宋"/>
          <w:color w:val="auto"/>
          <w:sz w:val="24"/>
          <w:highlight w:val="none"/>
          <w:u w:val="single"/>
        </w:rPr>
        <w:t>供应商</w:t>
      </w:r>
      <w:r>
        <w:rPr>
          <w:rFonts w:ascii="仿宋" w:hAnsi="仿宋" w:eastAsia="仿宋"/>
          <w:color w:val="auto"/>
          <w:sz w:val="24"/>
          <w:highlight w:val="none"/>
          <w:u w:val="single"/>
        </w:rPr>
        <w:t>须知前附表</w:t>
      </w:r>
      <w:r>
        <w:rPr>
          <w:rFonts w:ascii="仿宋" w:hAnsi="仿宋" w:eastAsia="仿宋"/>
          <w:color w:val="auto"/>
          <w:sz w:val="24"/>
          <w:highlight w:val="none"/>
        </w:rPr>
        <w:t>的规定</w:t>
      </w:r>
      <w:r>
        <w:rPr>
          <w:rFonts w:hint="eastAsia" w:ascii="仿宋" w:hAnsi="仿宋" w:eastAsia="仿宋"/>
          <w:color w:val="auto"/>
          <w:sz w:val="24"/>
          <w:highlight w:val="none"/>
        </w:rPr>
        <w:t>。</w:t>
      </w:r>
    </w:p>
    <w:p w14:paraId="2EB851B7">
      <w:pPr>
        <w:spacing w:line="360" w:lineRule="auto"/>
        <w:ind w:left="850" w:leftChars="68"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 xml:space="preserve">      超出法定质疑期提交的质疑将被拒绝。</w:t>
      </w:r>
    </w:p>
    <w:p w14:paraId="702394D2">
      <w:pPr>
        <w:spacing w:line="360" w:lineRule="auto"/>
        <w:ind w:left="851" w:leftChars="405" w:hanging="1"/>
        <w:rPr>
          <w:rFonts w:hint="eastAsia" w:ascii="仿宋" w:hAnsi="仿宋" w:eastAsia="仿宋"/>
          <w:color w:val="auto"/>
          <w:sz w:val="24"/>
          <w:highlight w:val="none"/>
        </w:rPr>
      </w:pPr>
      <w:r>
        <w:rPr>
          <w:rFonts w:hint="eastAsia" w:ascii="仿宋" w:hAnsi="仿宋" w:eastAsia="仿宋"/>
          <w:color w:val="auto"/>
          <w:sz w:val="24"/>
          <w:highlight w:val="none"/>
        </w:rPr>
        <w:t>重复或分次提出的、内容或</w:t>
      </w:r>
      <w:r>
        <w:rPr>
          <w:rFonts w:ascii="仿宋" w:hAnsi="仿宋" w:eastAsia="仿宋"/>
          <w:color w:val="auto"/>
          <w:sz w:val="24"/>
          <w:highlight w:val="none"/>
        </w:rPr>
        <w:t>形式不符合《</w:t>
      </w:r>
      <w:r>
        <w:rPr>
          <w:rFonts w:hint="eastAsia" w:ascii="仿宋" w:hAnsi="仿宋" w:eastAsia="仿宋"/>
          <w:color w:val="auto"/>
          <w:sz w:val="24"/>
          <w:highlight w:val="none"/>
        </w:rPr>
        <w:t>政府</w:t>
      </w:r>
      <w:r>
        <w:rPr>
          <w:rFonts w:ascii="仿宋" w:hAnsi="仿宋" w:eastAsia="仿宋"/>
          <w:color w:val="auto"/>
          <w:sz w:val="24"/>
          <w:highlight w:val="none"/>
        </w:rPr>
        <w:t>采购质疑和投诉办法》</w:t>
      </w:r>
      <w:r>
        <w:rPr>
          <w:rFonts w:hint="eastAsia" w:ascii="仿宋" w:hAnsi="仿宋" w:eastAsia="仿宋"/>
          <w:color w:val="auto"/>
          <w:sz w:val="24"/>
          <w:highlight w:val="none"/>
        </w:rPr>
        <w:t>的，质疑供应商</w:t>
      </w:r>
      <w:r>
        <w:rPr>
          <w:rFonts w:ascii="仿宋" w:hAnsi="仿宋" w:eastAsia="仿宋"/>
          <w:color w:val="auto"/>
          <w:sz w:val="24"/>
          <w:highlight w:val="none"/>
        </w:rPr>
        <w:t>将依法承担不利后果。</w:t>
      </w:r>
    </w:p>
    <w:bookmarkEnd w:id="281"/>
    <w:bookmarkEnd w:id="282"/>
    <w:bookmarkEnd w:id="283"/>
    <w:bookmarkEnd w:id="284"/>
    <w:bookmarkEnd w:id="285"/>
    <w:p w14:paraId="4F7B88D5">
      <w:pPr>
        <w:pStyle w:val="3"/>
        <w:spacing w:before="0" w:line="360" w:lineRule="auto"/>
        <w:ind w:left="1079" w:leftChars="257" w:hanging="540"/>
        <w:rPr>
          <w:rFonts w:ascii="仿宋" w:hAnsi="仿宋" w:eastAsia="仿宋"/>
          <w:color w:val="auto"/>
          <w:highlight w:val="none"/>
        </w:rPr>
      </w:pPr>
      <w:r>
        <w:rPr>
          <w:rFonts w:ascii="仿宋" w:hAnsi="仿宋" w:eastAsia="仿宋"/>
          <w:color w:val="auto"/>
          <w:highlight w:val="none"/>
        </w:rPr>
        <w:br w:type="page"/>
      </w:r>
    </w:p>
    <w:p w14:paraId="377DADA5">
      <w:pPr>
        <w:rPr>
          <w:rFonts w:hint="eastAsia"/>
          <w:color w:val="auto"/>
          <w:highlight w:val="none"/>
        </w:rPr>
      </w:pPr>
    </w:p>
    <w:p w14:paraId="513D298C">
      <w:pPr>
        <w:pStyle w:val="2"/>
        <w:numPr>
          <w:ilvl w:val="0"/>
          <w:numId w:val="0"/>
        </w:numPr>
        <w:tabs>
          <w:tab w:val="left" w:pos="0"/>
        </w:tabs>
        <w:spacing w:before="0" w:after="0" w:line="360" w:lineRule="auto"/>
        <w:jc w:val="center"/>
        <w:rPr>
          <w:rFonts w:hint="eastAsia" w:ascii="仿宋" w:hAnsi="仿宋" w:eastAsia="仿宋"/>
          <w:color w:val="auto"/>
          <w:highlight w:val="none"/>
        </w:rPr>
      </w:pPr>
      <w:bookmarkStart w:id="304" w:name="_Toc728"/>
      <w:bookmarkStart w:id="305" w:name="_Toc532473493"/>
      <w:bookmarkStart w:id="306" w:name="_Toc216582812"/>
      <w:bookmarkStart w:id="307" w:name="_Toc133261413"/>
      <w:bookmarkStart w:id="308" w:name="_Toc515647802"/>
      <w:bookmarkStart w:id="309" w:name="_Toc702"/>
      <w:r>
        <w:rPr>
          <w:rFonts w:hint="eastAsia" w:ascii="仿宋" w:hAnsi="仿宋" w:eastAsia="仿宋"/>
          <w:color w:val="auto"/>
          <w:highlight w:val="none"/>
          <w:lang w:val="en-US" w:eastAsia="zh-CN"/>
        </w:rPr>
        <w:t xml:space="preserve">第2章  </w:t>
      </w:r>
      <w:r>
        <w:rPr>
          <w:rFonts w:hint="eastAsia" w:ascii="仿宋" w:hAnsi="仿宋" w:eastAsia="仿宋"/>
          <w:color w:val="auto"/>
          <w:highlight w:val="none"/>
        </w:rPr>
        <w:t>响应文件格式</w:t>
      </w:r>
      <w:bookmarkEnd w:id="304"/>
      <w:bookmarkEnd w:id="305"/>
      <w:bookmarkEnd w:id="306"/>
      <w:bookmarkEnd w:id="307"/>
      <w:bookmarkEnd w:id="308"/>
      <w:bookmarkEnd w:id="309"/>
    </w:p>
    <w:p w14:paraId="326FB55B">
      <w:pPr>
        <w:spacing w:line="360" w:lineRule="auto"/>
        <w:ind w:left="735" w:leftChars="350" w:firstLine="120" w:firstLineChars="50"/>
        <w:rPr>
          <w:rFonts w:hint="eastAsia" w:ascii="仿宋" w:hAnsi="仿宋" w:eastAsia="仿宋"/>
          <w:color w:val="auto"/>
          <w:sz w:val="24"/>
          <w:highlight w:val="none"/>
        </w:rPr>
      </w:pPr>
    </w:p>
    <w:p w14:paraId="028D2134">
      <w:pPr>
        <w:pStyle w:val="3"/>
        <w:spacing w:before="0" w:line="360" w:lineRule="auto"/>
        <w:jc w:val="center"/>
        <w:rPr>
          <w:rFonts w:hint="eastAsia" w:ascii="仿宋" w:hAnsi="仿宋" w:eastAsia="仿宋"/>
          <w:color w:val="auto"/>
          <w:sz w:val="24"/>
          <w:highlight w:val="none"/>
        </w:rPr>
      </w:pPr>
      <w:bookmarkStart w:id="310" w:name="_Toc18694"/>
      <w:bookmarkStart w:id="311" w:name="_Toc532473494"/>
      <w:bookmarkStart w:id="312" w:name="_Toc23783546"/>
      <w:bookmarkStart w:id="313" w:name="_Toc18974"/>
      <w:bookmarkStart w:id="314" w:name="_Toc515647803"/>
      <w:bookmarkStart w:id="315" w:name="_Toc133261414"/>
      <w:r>
        <w:rPr>
          <w:rFonts w:ascii="仿宋" w:hAnsi="仿宋" w:eastAsia="仿宋"/>
          <w:color w:val="auto"/>
          <w:sz w:val="24"/>
          <w:highlight w:val="none"/>
        </w:rPr>
        <w:t>第一部分</w:t>
      </w:r>
      <w:r>
        <w:rPr>
          <w:rFonts w:hint="eastAsia" w:ascii="仿宋" w:hAnsi="仿宋" w:eastAsia="仿宋"/>
          <w:color w:val="auto"/>
          <w:sz w:val="24"/>
          <w:highlight w:val="none"/>
        </w:rPr>
        <w:t xml:space="preserve"> 报价一览表及资格证明文件</w:t>
      </w:r>
      <w:bookmarkEnd w:id="310"/>
      <w:bookmarkEnd w:id="311"/>
      <w:bookmarkEnd w:id="312"/>
      <w:bookmarkEnd w:id="313"/>
      <w:bookmarkEnd w:id="314"/>
      <w:bookmarkEnd w:id="315"/>
    </w:p>
    <w:p w14:paraId="7B3F83C1">
      <w:pPr>
        <w:spacing w:line="360" w:lineRule="auto"/>
        <w:ind w:left="708" w:hanging="708" w:hangingChars="295"/>
        <w:jc w:val="center"/>
        <w:rPr>
          <w:rFonts w:hint="eastAsia" w:ascii="仿宋" w:hAnsi="仿宋" w:eastAsia="仿宋"/>
          <w:color w:val="auto"/>
          <w:sz w:val="24"/>
          <w:highlight w:val="none"/>
        </w:rPr>
      </w:pPr>
    </w:p>
    <w:p w14:paraId="24FF1193">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rPr>
        <w:t>1、报价一览表</w:t>
      </w:r>
    </w:p>
    <w:p w14:paraId="4D627F60">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、‌具有独立承担民事责任的能力</w:t>
      </w:r>
    </w:p>
    <w:p w14:paraId="49A0E737">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、具有良好的商业信誉和健全的财务会计制度</w:t>
      </w:r>
    </w:p>
    <w:p w14:paraId="3F15E49B">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、具有履行合同所必需的设备和专业技术能力</w:t>
      </w:r>
    </w:p>
    <w:p w14:paraId="09F494D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、有依法缴纳税收和社会保障资金的良好记录</w:t>
      </w:r>
    </w:p>
    <w:p w14:paraId="139A4C2E">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、参加政府采购活动前三年内，在经营活动中没有重大违法记录</w:t>
      </w:r>
    </w:p>
    <w:p w14:paraId="5E2B493E">
      <w:pPr>
        <w:tabs>
          <w:tab w:val="left" w:pos="5580"/>
        </w:tabs>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、落实政府采购政策需满足的资格要求</w:t>
      </w:r>
    </w:p>
    <w:p w14:paraId="3526F405">
      <w:pPr>
        <w:tabs>
          <w:tab w:val="left" w:pos="5580"/>
        </w:tabs>
        <w:spacing w:line="360" w:lineRule="auto"/>
        <w:ind w:left="1" w:firstLine="564" w:firstLineChars="235"/>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7-1 </w:t>
      </w:r>
      <w:r>
        <w:rPr>
          <w:rFonts w:hint="eastAsia" w:ascii="仿宋" w:hAnsi="仿宋" w:eastAsia="仿宋" w:cs="Times New Roman"/>
          <w:color w:val="auto"/>
          <w:sz w:val="24"/>
          <w:highlight w:val="none"/>
        </w:rPr>
        <w:t>中小企业声明函(服务)</w:t>
      </w:r>
    </w:p>
    <w:p w14:paraId="2D168551">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7-2 残疾人福利性单位声明函</w:t>
      </w:r>
    </w:p>
    <w:p w14:paraId="143A43DC">
      <w:pPr>
        <w:tabs>
          <w:tab w:val="left" w:pos="5580"/>
        </w:tabs>
        <w:spacing w:line="360" w:lineRule="auto"/>
        <w:ind w:left="1" w:firstLine="564" w:firstLineChars="235"/>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7</w:t>
      </w:r>
      <w:r>
        <w:rPr>
          <w:rFonts w:hint="default" w:ascii="仿宋" w:hAnsi="仿宋" w:eastAsia="仿宋" w:cs="Times New Roman"/>
          <w:color w:val="auto"/>
          <w:sz w:val="24"/>
          <w:highlight w:val="none"/>
          <w:lang w:val="en-US" w:eastAsia="zh-CN"/>
        </w:rPr>
        <w:t xml:space="preserve">-3 </w:t>
      </w:r>
      <w:r>
        <w:rPr>
          <w:rFonts w:hint="eastAsia" w:ascii="仿宋" w:hAnsi="仿宋" w:eastAsia="仿宋" w:cs="Times New Roman"/>
          <w:color w:val="auto"/>
          <w:sz w:val="24"/>
          <w:highlight w:val="none"/>
          <w:lang w:val="en-US" w:eastAsia="zh-CN"/>
        </w:rPr>
        <w:t>供应商</w:t>
      </w:r>
      <w:r>
        <w:rPr>
          <w:rFonts w:hint="default" w:ascii="仿宋" w:hAnsi="仿宋" w:eastAsia="仿宋" w:cs="Times New Roman"/>
          <w:color w:val="auto"/>
          <w:sz w:val="24"/>
          <w:highlight w:val="none"/>
          <w:lang w:val="en-US" w:eastAsia="zh-CN"/>
        </w:rPr>
        <w:t>监狱企业声明函</w:t>
      </w:r>
    </w:p>
    <w:p w14:paraId="613730B7">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资质证书</w:t>
      </w:r>
    </w:p>
    <w:p w14:paraId="7FEE35A6">
      <w:pPr>
        <w:tabs>
          <w:tab w:val="left" w:pos="5580"/>
        </w:tabs>
        <w:overflowPunct w:val="0"/>
        <w:spacing w:line="360" w:lineRule="auto"/>
        <w:ind w:left="1" w:firstLine="564" w:firstLineChars="235"/>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9、项目总监相关证件及承诺</w:t>
      </w:r>
    </w:p>
    <w:p w14:paraId="6BD404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、信用查询记录</w:t>
      </w:r>
    </w:p>
    <w:p w14:paraId="4BB0BF64">
      <w:pPr>
        <w:tabs>
          <w:tab w:val="left" w:pos="5580"/>
        </w:tabs>
        <w:spacing w:line="360" w:lineRule="auto"/>
        <w:ind w:left="1" w:firstLine="564" w:firstLineChars="235"/>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1DA483B0">
      <w:pPr>
        <w:tabs>
          <w:tab w:val="left" w:pos="5580"/>
        </w:tabs>
        <w:spacing w:line="360" w:lineRule="auto"/>
        <w:ind w:left="1" w:firstLine="564" w:firstLineChars="235"/>
        <w:rPr>
          <w:rFonts w:hint="eastAsia" w:ascii="仿宋" w:hAnsi="仿宋" w:eastAsia="仿宋"/>
          <w:color w:val="auto"/>
          <w:sz w:val="24"/>
          <w:highlight w:val="none"/>
        </w:rPr>
      </w:pPr>
    </w:p>
    <w:p w14:paraId="4B5CABB0">
      <w:pPr>
        <w:tabs>
          <w:tab w:val="left" w:pos="5580"/>
        </w:tabs>
        <w:spacing w:line="360" w:lineRule="auto"/>
        <w:ind w:left="1" w:firstLine="564" w:firstLineChars="235"/>
        <w:rPr>
          <w:rFonts w:hint="eastAsia" w:ascii="仿宋" w:hAnsi="仿宋" w:eastAsia="仿宋"/>
          <w:color w:val="auto"/>
          <w:sz w:val="24"/>
          <w:highlight w:val="none"/>
        </w:rPr>
      </w:pPr>
    </w:p>
    <w:p w14:paraId="3D3353FB">
      <w:pPr>
        <w:tabs>
          <w:tab w:val="left" w:pos="5580"/>
        </w:tabs>
        <w:spacing w:line="360" w:lineRule="auto"/>
        <w:ind w:left="1" w:firstLine="564" w:firstLineChars="235"/>
        <w:rPr>
          <w:rFonts w:hint="eastAsia" w:ascii="仿宋" w:hAnsi="仿宋" w:eastAsia="仿宋"/>
          <w:color w:val="auto"/>
          <w:sz w:val="24"/>
          <w:highlight w:val="none"/>
        </w:rPr>
      </w:pPr>
    </w:p>
    <w:p w14:paraId="7529A43D">
      <w:pPr>
        <w:tabs>
          <w:tab w:val="left" w:pos="5580"/>
        </w:tabs>
        <w:spacing w:line="360" w:lineRule="auto"/>
        <w:ind w:left="1" w:firstLine="564" w:firstLineChars="235"/>
        <w:rPr>
          <w:rFonts w:hint="eastAsia" w:ascii="仿宋" w:hAnsi="仿宋" w:eastAsia="仿宋"/>
          <w:color w:val="auto"/>
          <w:sz w:val="24"/>
          <w:highlight w:val="none"/>
        </w:rPr>
      </w:pPr>
    </w:p>
    <w:p w14:paraId="598EB31E">
      <w:pPr>
        <w:tabs>
          <w:tab w:val="left" w:pos="5580"/>
        </w:tabs>
        <w:spacing w:line="360" w:lineRule="auto"/>
        <w:ind w:left="1" w:firstLine="564" w:firstLineChars="235"/>
        <w:rPr>
          <w:rFonts w:hint="eastAsia" w:ascii="仿宋" w:hAnsi="仿宋" w:eastAsia="仿宋"/>
          <w:color w:val="auto"/>
          <w:sz w:val="24"/>
          <w:highlight w:val="none"/>
        </w:rPr>
      </w:pPr>
    </w:p>
    <w:p w14:paraId="4F77A9FF">
      <w:pPr>
        <w:tabs>
          <w:tab w:val="left" w:pos="5580"/>
        </w:tabs>
        <w:spacing w:line="360" w:lineRule="auto"/>
        <w:ind w:left="1" w:firstLine="564" w:firstLineChars="235"/>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35E63E28">
      <w:pPr>
        <w:pStyle w:val="3"/>
        <w:numPr>
          <w:ilvl w:val="0"/>
          <w:numId w:val="0"/>
        </w:numPr>
        <w:spacing w:before="0" w:line="360" w:lineRule="auto"/>
        <w:ind w:left="540" w:leftChars="0"/>
        <w:jc w:val="both"/>
        <w:rPr>
          <w:rFonts w:hint="eastAsia" w:ascii="仿宋" w:hAnsi="仿宋" w:eastAsia="仿宋"/>
          <w:color w:val="auto"/>
          <w:sz w:val="24"/>
          <w:highlight w:val="none"/>
        </w:rPr>
      </w:pPr>
      <w:bookmarkStart w:id="316" w:name="_Toc23783547"/>
      <w:bookmarkStart w:id="317" w:name="_Toc133261415"/>
      <w:bookmarkStart w:id="318" w:name="_Toc16568"/>
      <w:bookmarkStart w:id="319" w:name="_Toc30524"/>
      <w:bookmarkStart w:id="320" w:name="_Toc532473495"/>
      <w:bookmarkStart w:id="321" w:name="_Toc515647804"/>
    </w:p>
    <w:p w14:paraId="3CC17B2C">
      <w:pPr>
        <w:pStyle w:val="3"/>
        <w:numPr>
          <w:ilvl w:val="0"/>
          <w:numId w:val="5"/>
        </w:numPr>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rPr>
        <w:t>报价一览表</w:t>
      </w:r>
      <w:bookmarkEnd w:id="316"/>
      <w:bookmarkEnd w:id="317"/>
    </w:p>
    <w:p w14:paraId="50C8F389">
      <w:pPr>
        <w:rPr>
          <w:rFonts w:hint="eastAsia"/>
          <w:color w:val="auto"/>
          <w:highlight w:val="none"/>
        </w:rPr>
      </w:pPr>
    </w:p>
    <w:bookmarkEnd w:id="318"/>
    <w:bookmarkEnd w:id="319"/>
    <w:bookmarkEnd w:id="320"/>
    <w:bookmarkEnd w:id="321"/>
    <w:p w14:paraId="22624B5B">
      <w:pPr>
        <w:pStyle w:val="9"/>
        <w:tabs>
          <w:tab w:val="left" w:pos="5580"/>
        </w:tabs>
        <w:spacing w:line="360" w:lineRule="auto"/>
        <w:ind w:left="268" w:leftChars="128"/>
        <w:jc w:val="center"/>
        <w:rPr>
          <w:rFonts w:hint="eastAsia" w:ascii="仿宋" w:hAnsi="仿宋" w:eastAsia="仿宋"/>
          <w:b/>
          <w:color w:val="auto"/>
          <w:kern w:val="0"/>
          <w:sz w:val="24"/>
          <w:highlight w:val="none"/>
        </w:rPr>
      </w:pPr>
    </w:p>
    <w:p w14:paraId="2FF1A665">
      <w:pPr>
        <w:pStyle w:val="9"/>
        <w:tabs>
          <w:tab w:val="left" w:pos="5580"/>
        </w:tabs>
        <w:spacing w:line="360" w:lineRule="auto"/>
        <w:ind w:left="268" w:leftChars="128"/>
        <w:rPr>
          <w:rFonts w:hint="eastAsia" w:ascii="仿宋" w:hAnsi="仿宋" w:eastAsia="仿宋"/>
          <w:color w:val="auto"/>
          <w:sz w:val="24"/>
          <w:szCs w:val="24"/>
          <w:highlight w:val="none"/>
        </w:rPr>
      </w:pPr>
    </w:p>
    <w:p w14:paraId="64893D57">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bookmarkStart w:id="322" w:name="_Hlt520356241"/>
      <w:bookmarkEnd w:id="322"/>
      <w:bookmarkStart w:id="323" w:name="_Ref467988698"/>
      <w:bookmarkStart w:id="324" w:name="_Toc480942349"/>
      <w:bookmarkStart w:id="325" w:name="_Toc520356217"/>
      <w:bookmarkStart w:id="326" w:name="_Toc216582813"/>
      <w:r>
        <w:rPr>
          <w:rFonts w:hint="eastAsia" w:ascii="仿宋" w:hAnsi="仿宋" w:eastAsia="仿宋"/>
          <w:color w:val="auto"/>
          <w:sz w:val="24"/>
          <w:highlight w:val="none"/>
        </w:rPr>
        <w:t xml:space="preserve">项目编号：                项目名称：         </w:t>
      </w:r>
    </w:p>
    <w:p w14:paraId="00032BD8">
      <w:pPr>
        <w:tabs>
          <w:tab w:val="left" w:pos="1800"/>
          <w:tab w:val="left" w:pos="5580"/>
        </w:tabs>
        <w:spacing w:line="360" w:lineRule="auto"/>
        <w:ind w:left="1079"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4999" w:type="pct"/>
        <w:tblInd w:w="0" w:type="dxa"/>
        <w:tblLayout w:type="autofit"/>
        <w:tblCellMar>
          <w:top w:w="0" w:type="dxa"/>
          <w:left w:w="0" w:type="dxa"/>
          <w:bottom w:w="0" w:type="dxa"/>
          <w:right w:w="0" w:type="dxa"/>
        </w:tblCellMar>
      </w:tblPr>
      <w:tblGrid>
        <w:gridCol w:w="1659"/>
        <w:gridCol w:w="2733"/>
        <w:gridCol w:w="2080"/>
        <w:gridCol w:w="1853"/>
      </w:tblGrid>
      <w:tr w14:paraId="08ED9D72">
        <w:tblPrEx>
          <w:tblCellMar>
            <w:top w:w="0" w:type="dxa"/>
            <w:left w:w="0" w:type="dxa"/>
            <w:bottom w:w="0" w:type="dxa"/>
            <w:right w:w="0" w:type="dxa"/>
          </w:tblCellMar>
        </w:tblPrEx>
        <w:trPr>
          <w:trHeight w:val="662" w:hRule="atLeast"/>
        </w:trPr>
        <w:tc>
          <w:tcPr>
            <w:tcW w:w="996" w:type="pct"/>
            <w:tcBorders>
              <w:top w:val="single" w:color="auto" w:sz="4" w:space="0"/>
              <w:left w:val="single" w:color="auto" w:sz="4" w:space="0"/>
              <w:bottom w:val="single" w:color="auto" w:sz="8" w:space="0"/>
              <w:right w:val="single" w:color="auto" w:sz="4" w:space="0"/>
            </w:tcBorders>
            <w:vAlign w:val="center"/>
          </w:tcPr>
          <w:p w14:paraId="14B5ACE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641" w:type="pct"/>
            <w:tcBorders>
              <w:top w:val="single" w:color="auto" w:sz="4" w:space="0"/>
              <w:left w:val="single" w:color="auto" w:sz="8" w:space="0"/>
              <w:bottom w:val="single" w:color="auto" w:sz="8" w:space="0"/>
              <w:right w:val="single" w:color="auto" w:sz="4" w:space="0"/>
            </w:tcBorders>
            <w:vAlign w:val="center"/>
          </w:tcPr>
          <w:p w14:paraId="18B6CC93">
            <w:pPr>
              <w:tabs>
                <w:tab w:val="left" w:pos="5580"/>
              </w:tabs>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磋商报价</w:t>
            </w:r>
          </w:p>
        </w:tc>
        <w:tc>
          <w:tcPr>
            <w:tcW w:w="1249" w:type="pct"/>
            <w:tcBorders>
              <w:top w:val="single" w:color="auto" w:sz="8" w:space="0"/>
              <w:left w:val="nil"/>
              <w:bottom w:val="single" w:color="auto" w:sz="8" w:space="0"/>
              <w:right w:val="single" w:color="auto" w:sz="4" w:space="0"/>
            </w:tcBorders>
            <w:vAlign w:val="center"/>
          </w:tcPr>
          <w:p w14:paraId="37D2DC9C">
            <w:pPr>
              <w:tabs>
                <w:tab w:val="left" w:pos="5580"/>
              </w:tabs>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7DED0534">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2149C6D">
        <w:tblPrEx>
          <w:tblCellMar>
            <w:top w:w="0" w:type="dxa"/>
            <w:left w:w="0" w:type="dxa"/>
            <w:bottom w:w="0" w:type="dxa"/>
            <w:right w:w="0" w:type="dxa"/>
          </w:tblCellMar>
        </w:tblPrEx>
        <w:trPr>
          <w:cantSplit/>
          <w:trHeight w:val="1640" w:hRule="atLeast"/>
        </w:trPr>
        <w:tc>
          <w:tcPr>
            <w:tcW w:w="996" w:type="pct"/>
            <w:tcBorders>
              <w:top w:val="single" w:color="auto" w:sz="8" w:space="0"/>
              <w:left w:val="single" w:color="auto" w:sz="4" w:space="0"/>
              <w:bottom w:val="single" w:color="auto" w:sz="4" w:space="0"/>
              <w:right w:val="single" w:color="auto" w:sz="4" w:space="0"/>
            </w:tcBorders>
            <w:vAlign w:val="center"/>
          </w:tcPr>
          <w:p w14:paraId="1EBDD424">
            <w:pPr>
              <w:tabs>
                <w:tab w:val="left" w:pos="5580"/>
              </w:tabs>
              <w:spacing w:line="360" w:lineRule="auto"/>
              <w:ind w:left="1079" w:leftChars="257" w:hanging="540"/>
              <w:jc w:val="center"/>
              <w:rPr>
                <w:rFonts w:hint="eastAsia" w:ascii="仿宋" w:hAnsi="仿宋" w:eastAsia="仿宋"/>
                <w:color w:val="auto"/>
                <w:sz w:val="24"/>
                <w:highlight w:val="none"/>
              </w:rPr>
            </w:pPr>
          </w:p>
        </w:tc>
        <w:tc>
          <w:tcPr>
            <w:tcW w:w="1641" w:type="pct"/>
            <w:tcBorders>
              <w:top w:val="single" w:color="auto" w:sz="8" w:space="0"/>
              <w:left w:val="single" w:color="auto" w:sz="8" w:space="0"/>
              <w:bottom w:val="single" w:color="auto" w:sz="4" w:space="0"/>
              <w:right w:val="single" w:color="auto" w:sz="4" w:space="0"/>
            </w:tcBorders>
            <w:vAlign w:val="center"/>
          </w:tcPr>
          <w:p w14:paraId="7380259E">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p>
          <w:p w14:paraId="1630159D">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p>
        </w:tc>
        <w:tc>
          <w:tcPr>
            <w:tcW w:w="1249" w:type="pct"/>
            <w:tcBorders>
              <w:top w:val="single" w:color="auto" w:sz="8" w:space="0"/>
              <w:left w:val="nil"/>
              <w:bottom w:val="single" w:color="auto" w:sz="4" w:space="0"/>
              <w:right w:val="single" w:color="auto" w:sz="4" w:space="0"/>
            </w:tcBorders>
            <w:vAlign w:val="center"/>
          </w:tcPr>
          <w:p w14:paraId="4DB9DB36">
            <w:pPr>
              <w:tabs>
                <w:tab w:val="left" w:pos="5580"/>
              </w:tabs>
              <w:spacing w:line="360" w:lineRule="auto"/>
              <w:ind w:left="1079" w:leftChars="257" w:hanging="540"/>
              <w:jc w:val="center"/>
              <w:rPr>
                <w:rFonts w:hint="eastAsia" w:ascii="仿宋" w:hAnsi="仿宋" w:eastAsia="仿宋"/>
                <w:color w:val="auto"/>
                <w:sz w:val="24"/>
                <w:highlight w:val="none"/>
                <w:lang w:val="en-US" w:eastAsia="zh-CN"/>
              </w:rPr>
            </w:pPr>
          </w:p>
        </w:tc>
        <w:tc>
          <w:tcPr>
            <w:tcW w:w="1112" w:type="pct"/>
            <w:tcBorders>
              <w:top w:val="single" w:color="auto" w:sz="8" w:space="0"/>
              <w:left w:val="single" w:color="auto" w:sz="4" w:space="0"/>
              <w:bottom w:val="single" w:color="auto" w:sz="4" w:space="0"/>
              <w:right w:val="single" w:color="auto" w:sz="8" w:space="0"/>
            </w:tcBorders>
            <w:vAlign w:val="center"/>
          </w:tcPr>
          <w:p w14:paraId="3074F62B">
            <w:pPr>
              <w:tabs>
                <w:tab w:val="left" w:pos="5580"/>
              </w:tabs>
              <w:spacing w:line="360" w:lineRule="auto"/>
              <w:jc w:val="left"/>
              <w:rPr>
                <w:rFonts w:hint="eastAsia" w:ascii="仿宋" w:hAnsi="仿宋" w:eastAsia="仿宋"/>
                <w:color w:val="auto"/>
                <w:sz w:val="24"/>
                <w:highlight w:val="none"/>
              </w:rPr>
            </w:pPr>
          </w:p>
        </w:tc>
      </w:tr>
    </w:tbl>
    <w:p w14:paraId="3BC1BC0B">
      <w:pPr>
        <w:pStyle w:val="9"/>
        <w:tabs>
          <w:tab w:val="left" w:pos="5580"/>
        </w:tabs>
        <w:spacing w:line="360" w:lineRule="auto"/>
        <w:ind w:left="1079" w:leftChars="257" w:hanging="540"/>
        <w:rPr>
          <w:rFonts w:hint="eastAsia" w:ascii="仿宋" w:hAnsi="仿宋" w:eastAsia="仿宋"/>
          <w:color w:val="auto"/>
          <w:sz w:val="24"/>
          <w:highlight w:val="none"/>
        </w:rPr>
      </w:pPr>
    </w:p>
    <w:p w14:paraId="1257BF8D">
      <w:pPr>
        <w:pStyle w:val="9"/>
        <w:tabs>
          <w:tab w:val="left" w:pos="5580"/>
        </w:tabs>
        <w:spacing w:line="360" w:lineRule="auto"/>
        <w:ind w:left="1079" w:leftChars="257" w:hanging="540"/>
        <w:rPr>
          <w:rFonts w:hint="eastAsia" w:ascii="仿宋" w:hAnsi="仿宋" w:eastAsia="仿宋"/>
          <w:color w:val="auto"/>
          <w:sz w:val="24"/>
          <w:highlight w:val="none"/>
          <w:u w:val="single"/>
        </w:rPr>
      </w:pPr>
    </w:p>
    <w:p w14:paraId="4B5C37A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2BCEBFD4">
      <w:pPr>
        <w:pStyle w:val="9"/>
        <w:tabs>
          <w:tab w:val="left" w:pos="5580"/>
        </w:tabs>
        <w:spacing w:line="360" w:lineRule="auto"/>
        <w:ind w:left="1079"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35A20587">
      <w:pPr>
        <w:pStyle w:val="9"/>
        <w:tabs>
          <w:tab w:val="left" w:pos="5580"/>
        </w:tabs>
        <w:spacing w:line="360" w:lineRule="auto"/>
        <w:ind w:left="1079" w:leftChars="257" w:hanging="540"/>
        <w:rPr>
          <w:rFonts w:hint="eastAsia" w:ascii="仿宋" w:hAnsi="仿宋" w:eastAsia="仿宋"/>
          <w:color w:val="auto"/>
          <w:sz w:val="24"/>
          <w:highlight w:val="none"/>
        </w:rPr>
      </w:pPr>
    </w:p>
    <w:p w14:paraId="23BAD9E5">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302EE98C">
      <w:pPr>
        <w:pStyle w:val="9"/>
        <w:tabs>
          <w:tab w:val="left" w:pos="5580"/>
        </w:tabs>
        <w:spacing w:line="360" w:lineRule="auto"/>
        <w:ind w:left="1079" w:leftChars="257" w:hanging="54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注:此表中，每包的总报价应和</w:t>
      </w:r>
      <w:r>
        <w:rPr>
          <w:rFonts w:hint="eastAsia" w:ascii="仿宋_GB2312" w:hAnsi="宋体" w:eastAsia="仿宋_GB2312"/>
          <w:color w:val="auto"/>
          <w:sz w:val="24"/>
          <w:highlight w:val="none"/>
          <w:lang w:eastAsia="zh-CN"/>
        </w:rPr>
        <w:t>监理费用构成明细表</w:t>
      </w:r>
      <w:r>
        <w:rPr>
          <w:rFonts w:hint="eastAsia" w:ascii="仿宋_GB2312" w:hAnsi="宋体" w:eastAsia="仿宋_GB2312"/>
          <w:color w:val="auto"/>
          <w:sz w:val="24"/>
          <w:highlight w:val="none"/>
        </w:rPr>
        <w:t>的总价相一致。</w:t>
      </w:r>
    </w:p>
    <w:p w14:paraId="12C272CF">
      <w:pPr>
        <w:widowControl/>
        <w:jc w:val="left"/>
        <w:rPr>
          <w:rFonts w:hint="eastAsia" w:ascii="仿宋" w:hAnsi="仿宋" w:eastAsia="仿宋"/>
          <w:color w:val="auto"/>
          <w:kern w:val="0"/>
          <w:sz w:val="24"/>
          <w:szCs w:val="20"/>
          <w:highlight w:val="none"/>
        </w:rPr>
      </w:pPr>
    </w:p>
    <w:p w14:paraId="12200943">
      <w:pPr>
        <w:pStyle w:val="9"/>
        <w:tabs>
          <w:tab w:val="left" w:pos="5580"/>
        </w:tabs>
        <w:spacing w:line="360" w:lineRule="auto"/>
        <w:ind w:left="1079" w:leftChars="257" w:hanging="540"/>
        <w:rPr>
          <w:rFonts w:hint="eastAsia" w:ascii="仿宋_GB2312" w:hAnsi="宋体" w:eastAsia="仿宋_GB2312"/>
          <w:color w:val="auto"/>
          <w:sz w:val="24"/>
          <w:highlight w:val="none"/>
        </w:rPr>
      </w:pPr>
    </w:p>
    <w:p w14:paraId="60E6B6D0">
      <w:pPr>
        <w:spacing w:line="360" w:lineRule="auto"/>
        <w:rPr>
          <w:rFonts w:hint="eastAsia" w:ascii="仿宋" w:hAnsi="仿宋" w:eastAsia="仿宋"/>
          <w:b/>
          <w:color w:val="auto"/>
          <w:sz w:val="24"/>
          <w:highlight w:val="none"/>
        </w:rPr>
      </w:pPr>
    </w:p>
    <w:p w14:paraId="0E002893">
      <w:pPr>
        <w:widowControl/>
        <w:jc w:val="left"/>
        <w:rPr>
          <w:rFonts w:hint="eastAsia" w:ascii="仿宋" w:hAnsi="仿宋" w:eastAsia="仿宋"/>
          <w:b/>
          <w:color w:val="auto"/>
          <w:kern w:val="0"/>
          <w:sz w:val="24"/>
          <w:szCs w:val="20"/>
          <w:highlight w:val="none"/>
        </w:rPr>
      </w:pPr>
      <w:bookmarkStart w:id="327" w:name="_Toc23783548"/>
      <w:bookmarkStart w:id="328" w:name="_Toc29899"/>
      <w:bookmarkStart w:id="329" w:name="_Toc532473496"/>
      <w:bookmarkStart w:id="330" w:name="_Toc17577"/>
      <w:bookmarkStart w:id="331" w:name="_Toc515647805"/>
      <w:r>
        <w:rPr>
          <w:rFonts w:ascii="仿宋" w:hAnsi="仿宋" w:eastAsia="仿宋"/>
          <w:color w:val="auto"/>
          <w:sz w:val="24"/>
          <w:highlight w:val="none"/>
        </w:rPr>
        <w:br w:type="page"/>
      </w:r>
    </w:p>
    <w:p w14:paraId="48BF5542">
      <w:pPr>
        <w:pStyle w:val="3"/>
        <w:pageBreakBefore/>
        <w:spacing w:before="0" w:line="360" w:lineRule="auto"/>
        <w:ind w:left="1155" w:leftChars="257" w:hanging="616" w:hangingChars="257"/>
        <w:rPr>
          <w:rFonts w:hint="eastAsia" w:ascii="仿宋" w:hAnsi="仿宋" w:eastAsia="仿宋"/>
          <w:color w:val="auto"/>
          <w:sz w:val="24"/>
          <w:highlight w:val="none"/>
        </w:rPr>
      </w:pPr>
      <w:bookmarkStart w:id="332" w:name="_Toc133261416"/>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w:t>
      </w:r>
      <w:bookmarkEnd w:id="327"/>
      <w:bookmarkEnd w:id="328"/>
      <w:bookmarkEnd w:id="329"/>
      <w:bookmarkEnd w:id="330"/>
      <w:bookmarkEnd w:id="331"/>
      <w:bookmarkEnd w:id="332"/>
      <w:r>
        <w:rPr>
          <w:rFonts w:hint="eastAsia" w:ascii="仿宋" w:hAnsi="仿宋" w:eastAsia="仿宋"/>
          <w:color w:val="auto"/>
          <w:sz w:val="24"/>
          <w:highlight w:val="none"/>
        </w:rPr>
        <w:t>‌具有独立承担民事责任的能力</w:t>
      </w:r>
    </w:p>
    <w:p w14:paraId="1D270D39">
      <w:pPr>
        <w:pStyle w:val="9"/>
        <w:tabs>
          <w:tab w:val="left" w:pos="5580"/>
        </w:tabs>
        <w:spacing w:line="360" w:lineRule="auto"/>
        <w:rPr>
          <w:rFonts w:hint="eastAsia" w:ascii="仿宋" w:hAnsi="仿宋" w:eastAsia="仿宋"/>
          <w:b/>
          <w:color w:val="auto"/>
          <w:sz w:val="24"/>
          <w:highlight w:val="none"/>
        </w:rPr>
      </w:pPr>
    </w:p>
    <w:p w14:paraId="7E32F72E">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说明：提供有效的营业执照等证明文件，加盖</w:t>
      </w:r>
      <w:r>
        <w:rPr>
          <w:rFonts w:hint="eastAsia" w:ascii="仿宋" w:hAnsi="仿宋" w:eastAsia="仿宋"/>
          <w:color w:val="auto"/>
          <w:sz w:val="24"/>
          <w:highlight w:val="none"/>
          <w:lang w:val="en-US" w:eastAsia="zh-CN"/>
        </w:rPr>
        <w:t>公章</w:t>
      </w:r>
      <w:r>
        <w:rPr>
          <w:rFonts w:hint="eastAsia" w:ascii="仿宋" w:hAnsi="仿宋" w:eastAsia="仿宋"/>
          <w:color w:val="auto"/>
          <w:sz w:val="24"/>
          <w:highlight w:val="none"/>
        </w:rPr>
        <w:t>。</w:t>
      </w:r>
    </w:p>
    <w:p w14:paraId="044197C0">
      <w:pPr>
        <w:pStyle w:val="9"/>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36753ED">
      <w:pPr>
        <w:pStyle w:val="9"/>
        <w:tabs>
          <w:tab w:val="left" w:pos="5580"/>
        </w:tabs>
        <w:spacing w:line="360" w:lineRule="auto"/>
        <w:ind w:left="1079" w:leftChars="257" w:hanging="540"/>
        <w:rPr>
          <w:rFonts w:hint="eastAsia" w:ascii="仿宋" w:hAnsi="仿宋" w:eastAsia="仿宋"/>
          <w:color w:val="auto"/>
          <w:sz w:val="24"/>
          <w:highlight w:val="none"/>
        </w:rPr>
      </w:pPr>
    </w:p>
    <w:p w14:paraId="04164E7F">
      <w:pPr>
        <w:pStyle w:val="9"/>
        <w:tabs>
          <w:tab w:val="left" w:pos="5580"/>
        </w:tabs>
        <w:spacing w:line="360" w:lineRule="auto"/>
        <w:ind w:left="1079" w:leftChars="257" w:hanging="540"/>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48FAE142">
      <w:pPr>
        <w:pStyle w:val="24"/>
        <w:widowControl w:val="0"/>
        <w:spacing w:line="360" w:lineRule="auto"/>
        <w:ind w:firstLine="0" w:firstLineChars="0"/>
        <w:jc w:val="both"/>
        <w:rPr>
          <w:rFonts w:hint="eastAsia" w:ascii="仿宋" w:hAnsi="仿宋" w:eastAsia="仿宋"/>
          <w:color w:val="auto"/>
          <w:kern w:val="2"/>
          <w:highlight w:val="none"/>
        </w:rPr>
      </w:pPr>
      <w:bookmarkStart w:id="333" w:name="_Toc7039"/>
      <w:bookmarkStart w:id="334" w:name="_Toc32520"/>
      <w:bookmarkStart w:id="335" w:name="_Toc515647808"/>
      <w:bookmarkStart w:id="336" w:name="_Toc532473499"/>
    </w:p>
    <w:p w14:paraId="5BA08873">
      <w:pPr>
        <w:pStyle w:val="3"/>
        <w:spacing w:before="0" w:line="360" w:lineRule="auto"/>
        <w:ind w:left="1079" w:leftChars="257" w:hanging="540"/>
        <w:rPr>
          <w:rFonts w:hint="eastAsia" w:ascii="仿宋" w:hAnsi="仿宋" w:eastAsia="仿宋"/>
          <w:color w:val="auto"/>
          <w:sz w:val="24"/>
          <w:highlight w:val="none"/>
        </w:rPr>
      </w:pPr>
      <w:bookmarkStart w:id="337" w:name="_Toc133261420"/>
      <w:bookmarkStart w:id="338" w:name="_Toc23783552"/>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xml:space="preserve">  </w:t>
      </w:r>
      <w:bookmarkEnd w:id="333"/>
      <w:bookmarkEnd w:id="334"/>
      <w:bookmarkEnd w:id="335"/>
      <w:bookmarkEnd w:id="336"/>
      <w:bookmarkEnd w:id="337"/>
      <w:bookmarkEnd w:id="338"/>
      <w:r>
        <w:rPr>
          <w:rFonts w:hint="eastAsia" w:ascii="仿宋" w:hAnsi="仿宋" w:eastAsia="仿宋"/>
          <w:color w:val="auto"/>
          <w:sz w:val="24"/>
          <w:highlight w:val="none"/>
        </w:rPr>
        <w:t>具有良好的商业信誉和健全的财务会计制度‌</w:t>
      </w:r>
    </w:p>
    <w:p w14:paraId="389F9E10">
      <w:pPr>
        <w:tabs>
          <w:tab w:val="left" w:pos="5580"/>
        </w:tabs>
        <w:spacing w:line="360" w:lineRule="auto"/>
        <w:ind w:left="1079" w:leftChars="257" w:hanging="540"/>
        <w:jc w:val="center"/>
        <w:rPr>
          <w:rFonts w:hint="eastAsia" w:ascii="仿宋" w:hAnsi="仿宋" w:eastAsia="仿宋"/>
          <w:b/>
          <w:color w:val="auto"/>
          <w:sz w:val="24"/>
          <w:highlight w:val="none"/>
        </w:rPr>
      </w:pPr>
    </w:p>
    <w:p w14:paraId="5E7F9012">
      <w:pPr>
        <w:tabs>
          <w:tab w:val="left" w:pos="5580"/>
        </w:tabs>
        <w:spacing w:line="360" w:lineRule="auto"/>
        <w:ind w:left="1079"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说明：供应商承诺</w:t>
      </w:r>
      <w:r>
        <w:rPr>
          <w:rFonts w:hint="eastAsia" w:ascii="仿宋" w:hAnsi="仿宋" w:eastAsia="仿宋"/>
          <w:color w:val="auto"/>
          <w:sz w:val="24"/>
          <w:highlight w:val="none"/>
          <w:lang w:val="en-US" w:eastAsia="zh-CN"/>
        </w:rPr>
        <w:t>具有</w:t>
      </w:r>
      <w:r>
        <w:rPr>
          <w:rFonts w:hint="eastAsia" w:ascii="仿宋" w:hAnsi="仿宋" w:eastAsia="仿宋"/>
          <w:color w:val="auto"/>
          <w:sz w:val="24"/>
          <w:highlight w:val="none"/>
        </w:rPr>
        <w:t>良好</w:t>
      </w:r>
      <w:r>
        <w:rPr>
          <w:rFonts w:ascii="仿宋" w:hAnsi="仿宋" w:eastAsia="仿宋"/>
          <w:color w:val="auto"/>
          <w:sz w:val="24"/>
          <w:highlight w:val="none"/>
        </w:rPr>
        <w:t>的商业信誉和健全的财务会计制度</w:t>
      </w:r>
      <w:r>
        <w:rPr>
          <w:rFonts w:hint="eastAsia" w:ascii="仿宋" w:hAnsi="仿宋" w:eastAsia="仿宋"/>
          <w:color w:val="auto"/>
          <w:sz w:val="24"/>
          <w:highlight w:val="none"/>
        </w:rPr>
        <w:t>（格式自拟）。</w:t>
      </w:r>
    </w:p>
    <w:p w14:paraId="5EC6EE96">
      <w:pPr>
        <w:tabs>
          <w:tab w:val="left" w:pos="5580"/>
        </w:tabs>
        <w:spacing w:line="360" w:lineRule="auto"/>
        <w:ind w:left="1079" w:leftChars="257" w:hanging="540"/>
        <w:rPr>
          <w:rFonts w:hint="eastAsia" w:ascii="仿宋" w:hAnsi="仿宋" w:eastAsia="仿宋"/>
          <w:color w:val="auto"/>
          <w:sz w:val="24"/>
          <w:highlight w:val="none"/>
        </w:rPr>
      </w:pPr>
    </w:p>
    <w:p w14:paraId="36980EEB">
      <w:pPr>
        <w:pStyle w:val="3"/>
        <w:spacing w:before="0" w:line="360" w:lineRule="auto"/>
        <w:ind w:left="1079" w:leftChars="257" w:hanging="540"/>
        <w:rPr>
          <w:rFonts w:hint="eastAsia" w:ascii="仿宋" w:hAnsi="仿宋" w:eastAsia="仿宋"/>
          <w:color w:val="auto"/>
          <w:highlight w:val="none"/>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0EE0B578">
      <w:pPr>
        <w:pStyle w:val="3"/>
        <w:spacing w:before="0" w:line="360" w:lineRule="auto"/>
        <w:ind w:left="1079" w:leftChars="257" w:hanging="540"/>
        <w:rPr>
          <w:rFonts w:hint="eastAsia" w:ascii="仿宋" w:hAnsi="仿宋" w:eastAsia="仿宋"/>
          <w:color w:val="auto"/>
          <w:sz w:val="24"/>
          <w:highlight w:val="none"/>
        </w:rPr>
      </w:pPr>
      <w:bookmarkStart w:id="339" w:name="_Toc133261421"/>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  </w:t>
      </w:r>
      <w:r>
        <w:rPr>
          <w:rFonts w:hint="eastAsia" w:ascii="仿宋" w:hAnsi="仿宋" w:eastAsia="仿宋"/>
          <w:color w:val="auto"/>
          <w:sz w:val="24"/>
          <w:highlight w:val="none"/>
        </w:rPr>
        <w:t>具</w:t>
      </w:r>
      <w:bookmarkEnd w:id="339"/>
      <w:r>
        <w:rPr>
          <w:rFonts w:hint="eastAsia" w:ascii="仿宋" w:hAnsi="仿宋" w:eastAsia="仿宋"/>
          <w:color w:val="auto"/>
          <w:sz w:val="24"/>
          <w:highlight w:val="none"/>
        </w:rPr>
        <w:t>有履行合同所必需的设备和专业技术能力‌</w:t>
      </w:r>
    </w:p>
    <w:p w14:paraId="5D9E72C4">
      <w:pPr>
        <w:tabs>
          <w:tab w:val="left" w:pos="5580"/>
        </w:tabs>
        <w:spacing w:line="360" w:lineRule="auto"/>
        <w:ind w:left="1079" w:leftChars="257" w:hanging="540"/>
        <w:rPr>
          <w:rFonts w:hint="eastAsia" w:ascii="仿宋" w:hAnsi="仿宋" w:eastAsia="仿宋"/>
          <w:color w:val="auto"/>
          <w:sz w:val="24"/>
          <w:highlight w:val="none"/>
        </w:rPr>
      </w:pPr>
    </w:p>
    <w:p w14:paraId="29CA85EA">
      <w:pPr>
        <w:tabs>
          <w:tab w:val="left" w:pos="5580"/>
        </w:tabs>
        <w:jc w:val="left"/>
        <w:rPr>
          <w:rFonts w:hint="eastAsia" w:ascii="仿宋" w:hAnsi="仿宋" w:eastAsia="仿宋"/>
          <w:color w:val="auto"/>
          <w:sz w:val="24"/>
          <w:highlight w:val="none"/>
        </w:rPr>
        <w:sectPr>
          <w:headerReference r:id="rId12" w:type="first"/>
          <w:headerReference r:id="rId10" w:type="default"/>
          <w:footerReference r:id="rId13" w:type="default"/>
          <w:head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olor w:val="auto"/>
          <w:sz w:val="24"/>
          <w:highlight w:val="none"/>
        </w:rPr>
        <w:t>说明：具有完成本项目所必需的设备和专业技术人员以及后续服务能力（提供承诺书）。</w:t>
      </w:r>
    </w:p>
    <w:p w14:paraId="494CB912">
      <w:pPr>
        <w:pStyle w:val="3"/>
        <w:spacing w:before="0" w:line="360" w:lineRule="auto"/>
        <w:ind w:left="1080" w:leftChars="257" w:hanging="540"/>
        <w:rPr>
          <w:rFonts w:hint="eastAsia" w:ascii="仿宋" w:hAnsi="仿宋" w:eastAsia="仿宋"/>
          <w:color w:val="auto"/>
          <w:sz w:val="24"/>
          <w:highlight w:val="none"/>
        </w:rPr>
      </w:pPr>
      <w:bookmarkStart w:id="340" w:name="_Toc133261422"/>
      <w:bookmarkStart w:id="341" w:name="_Toc18754"/>
      <w:bookmarkStart w:id="342" w:name="_Toc515647810"/>
      <w:bookmarkStart w:id="343" w:name="_Toc23783553"/>
      <w:bookmarkStart w:id="344" w:name="_Toc532473500"/>
      <w:bookmarkStart w:id="345" w:name="_Toc5710"/>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bookmarkEnd w:id="340"/>
      <w:bookmarkEnd w:id="341"/>
      <w:bookmarkEnd w:id="342"/>
      <w:bookmarkEnd w:id="343"/>
      <w:bookmarkEnd w:id="344"/>
      <w:bookmarkEnd w:id="345"/>
      <w:r>
        <w:rPr>
          <w:rFonts w:hint="eastAsia" w:ascii="仿宋" w:hAnsi="仿宋" w:eastAsia="仿宋"/>
          <w:color w:val="auto"/>
          <w:sz w:val="24"/>
          <w:highlight w:val="none"/>
        </w:rPr>
        <w:t>有依法缴纳税收和社会保障资金的良好记录</w:t>
      </w:r>
    </w:p>
    <w:p w14:paraId="1F64C341">
      <w:pPr>
        <w:pStyle w:val="9"/>
        <w:tabs>
          <w:tab w:val="left" w:pos="5580"/>
        </w:tabs>
        <w:spacing w:line="360" w:lineRule="auto"/>
        <w:rPr>
          <w:rFonts w:hint="eastAsia" w:ascii="仿宋" w:hAnsi="仿宋" w:eastAsia="仿宋"/>
          <w:b/>
          <w:color w:val="auto"/>
          <w:sz w:val="24"/>
          <w:highlight w:val="none"/>
        </w:rPr>
      </w:pPr>
    </w:p>
    <w:p w14:paraId="77A354AD">
      <w:pPr>
        <w:tabs>
          <w:tab w:val="left" w:pos="5580"/>
        </w:tabs>
        <w:spacing w:line="360" w:lineRule="auto"/>
        <w:ind w:left="540"/>
        <w:rPr>
          <w:rFonts w:hint="eastAsia" w:ascii="仿宋" w:hAnsi="仿宋" w:eastAsia="仿宋"/>
          <w:color w:val="auto"/>
          <w:sz w:val="24"/>
          <w:highlight w:val="none"/>
        </w:rPr>
      </w:pPr>
      <w:r>
        <w:rPr>
          <w:rFonts w:hint="eastAsia" w:ascii="仿宋" w:hAnsi="仿宋" w:eastAsia="仿宋"/>
          <w:color w:val="auto"/>
          <w:sz w:val="24"/>
          <w:highlight w:val="none"/>
        </w:rPr>
        <w:t>说明：供应商承诺依法缴纳社会保障资金和税收（格式自拟）。</w:t>
      </w:r>
    </w:p>
    <w:p w14:paraId="4FF4564D">
      <w:pPr>
        <w:pStyle w:val="3"/>
        <w:spacing w:before="0" w:line="360" w:lineRule="auto"/>
        <w:ind w:left="1080" w:leftChars="257" w:hanging="540"/>
        <w:rPr>
          <w:rFonts w:hint="eastAsia" w:ascii="仿宋" w:hAnsi="仿宋" w:eastAsia="仿宋"/>
          <w:color w:val="auto"/>
          <w:sz w:val="24"/>
          <w:highlight w:val="none"/>
        </w:rPr>
      </w:pPr>
      <w:bookmarkStart w:id="346" w:name="_Toc32670"/>
      <w:bookmarkStart w:id="347" w:name="_Toc515647811"/>
      <w:bookmarkStart w:id="348" w:name="_Toc532473501"/>
      <w:bookmarkStart w:id="349" w:name="_Toc24428"/>
      <w:r>
        <w:rPr>
          <w:rFonts w:hint="eastAsia" w:ascii="仿宋" w:hAnsi="仿宋" w:eastAsia="仿宋"/>
          <w:color w:val="auto"/>
          <w:sz w:val="24"/>
          <w:highlight w:val="none"/>
        </w:rPr>
        <w:br w:type="page"/>
      </w:r>
      <w:bookmarkStart w:id="350" w:name="_Toc23783554"/>
    </w:p>
    <w:p w14:paraId="6B9F9FB6">
      <w:pPr>
        <w:pStyle w:val="3"/>
        <w:spacing w:before="0" w:line="360" w:lineRule="auto"/>
        <w:ind w:left="1080" w:leftChars="257" w:hanging="540"/>
        <w:rPr>
          <w:rFonts w:hint="eastAsia" w:ascii="仿宋" w:hAnsi="仿宋" w:eastAsia="仿宋"/>
          <w:color w:val="auto"/>
          <w:sz w:val="24"/>
          <w:highlight w:val="none"/>
        </w:rPr>
      </w:pPr>
      <w:bookmarkStart w:id="351" w:name="_Toc133261423"/>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46"/>
      <w:bookmarkEnd w:id="347"/>
      <w:bookmarkEnd w:id="348"/>
      <w:bookmarkEnd w:id="349"/>
      <w:bookmarkEnd w:id="350"/>
      <w:bookmarkEnd w:id="351"/>
      <w:r>
        <w:rPr>
          <w:rFonts w:hint="eastAsia" w:ascii="仿宋" w:hAnsi="仿宋" w:eastAsia="仿宋"/>
          <w:color w:val="auto"/>
          <w:sz w:val="24"/>
          <w:highlight w:val="none"/>
        </w:rPr>
        <w:t>参加政府采购活动前三年内，在经营活动中没有重大违法记录</w:t>
      </w:r>
    </w:p>
    <w:p w14:paraId="65BEFDDA">
      <w:pPr>
        <w:pStyle w:val="9"/>
        <w:tabs>
          <w:tab w:val="left" w:pos="5580"/>
        </w:tabs>
        <w:spacing w:line="360" w:lineRule="auto"/>
        <w:rPr>
          <w:rFonts w:hint="eastAsia" w:ascii="仿宋" w:hAnsi="仿宋" w:eastAsia="仿宋"/>
          <w:color w:val="auto"/>
          <w:sz w:val="24"/>
          <w:highlight w:val="none"/>
        </w:rPr>
      </w:pPr>
    </w:p>
    <w:p w14:paraId="6B1D946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说明：供应商提供参加政府采购活动前3年内在经营活动中没有重大违法记录的承诺书（格式自拟）。</w:t>
      </w:r>
    </w:p>
    <w:p w14:paraId="68D2DEB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CB75F1B">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br w:type="page"/>
      </w:r>
    </w:p>
    <w:p w14:paraId="52B95D85">
      <w:pPr>
        <w:pStyle w:val="9"/>
        <w:tabs>
          <w:tab w:val="left" w:pos="5580"/>
        </w:tabs>
        <w:spacing w:line="360" w:lineRule="auto"/>
        <w:ind w:left="1080" w:leftChars="428" w:hanging="181" w:hangingChars="75"/>
        <w:jc w:val="center"/>
        <w:rPr>
          <w:rFonts w:hint="eastAsia" w:ascii="仿宋" w:hAnsi="仿宋" w:eastAsia="仿宋"/>
          <w:color w:val="auto"/>
          <w:sz w:val="24"/>
          <w:highlight w:val="none"/>
        </w:rPr>
      </w:pPr>
      <w:r>
        <w:rPr>
          <w:rFonts w:hint="eastAsia" w:ascii="仿宋" w:hAnsi="仿宋" w:eastAsia="仿宋"/>
          <w:b/>
          <w:color w:val="auto"/>
          <w:kern w:val="0"/>
          <w:sz w:val="24"/>
          <w:highlight w:val="none"/>
          <w:lang w:val="en-US" w:eastAsia="zh-CN"/>
        </w:rPr>
        <w:t>7</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b/>
          <w:color w:val="auto"/>
          <w:kern w:val="0"/>
          <w:sz w:val="24"/>
          <w:highlight w:val="none"/>
        </w:rPr>
        <w:t>落实政府采购政策需满足的资格要求</w:t>
      </w:r>
    </w:p>
    <w:p w14:paraId="4DDFB066">
      <w:pPr>
        <w:pStyle w:val="3"/>
        <w:spacing w:before="0" w:line="360" w:lineRule="auto"/>
        <w:rPr>
          <w:rFonts w:hint="eastAsia" w:ascii="仿宋" w:hAnsi="仿宋" w:eastAsia="仿宋"/>
          <w:color w:val="auto"/>
          <w:kern w:val="0"/>
          <w:sz w:val="24"/>
          <w:highlight w:val="none"/>
          <w:lang w:val="en-US" w:eastAsia="zh-CN"/>
        </w:rPr>
      </w:pPr>
    </w:p>
    <w:p w14:paraId="522821AA">
      <w:pPr>
        <w:pStyle w:val="3"/>
        <w:spacing w:before="0" w:line="360" w:lineRule="auto"/>
        <w:rPr>
          <w:rFonts w:ascii="仿宋" w:hAnsi="仿宋" w:eastAsia="仿宋"/>
          <w:color w:val="auto"/>
          <w:sz w:val="24"/>
          <w:highlight w:val="none"/>
        </w:rPr>
      </w:pPr>
      <w:r>
        <w:rPr>
          <w:rFonts w:hint="eastAsia" w:ascii="仿宋" w:hAnsi="仿宋" w:eastAsia="仿宋"/>
          <w:color w:val="auto"/>
          <w:kern w:val="0"/>
          <w:sz w:val="24"/>
          <w:highlight w:val="none"/>
          <w:lang w:val="en-US" w:eastAsia="zh-CN"/>
        </w:rPr>
        <w:t xml:space="preserve">7-1 </w:t>
      </w:r>
      <w:r>
        <w:rPr>
          <w:rFonts w:ascii="仿宋" w:hAnsi="仿宋" w:eastAsia="仿宋"/>
          <w:color w:val="auto"/>
          <w:sz w:val="24"/>
          <w:highlight w:val="none"/>
        </w:rPr>
        <w:t xml:space="preserve"> 中小企业声明函(服务)</w:t>
      </w:r>
    </w:p>
    <w:p w14:paraId="09B18E87">
      <w:pPr>
        <w:overflowPunct w:val="0"/>
        <w:snapToGrid w:val="0"/>
        <w:spacing w:line="336" w:lineRule="auto"/>
        <w:ind w:firstLine="480" w:firstLineChars="200"/>
        <w:rPr>
          <w:rFonts w:hint="eastAsia" w:ascii="仿宋" w:hAnsi="仿宋" w:eastAsia="仿宋" w:cs="宋体"/>
          <w:color w:val="auto"/>
          <w:kern w:val="0"/>
          <w:sz w:val="24"/>
          <w:highlight w:val="none"/>
        </w:rPr>
      </w:pPr>
    </w:p>
    <w:p w14:paraId="5B2E1B20">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宋体"/>
          <w:color w:val="auto"/>
          <w:kern w:val="0"/>
          <w:sz w:val="24"/>
          <w:highlight w:val="none"/>
          <w:u w:val="single"/>
        </w:rPr>
        <w:t>（单位名称）</w:t>
      </w:r>
      <w:r>
        <w:rPr>
          <w:rFonts w:hint="eastAsia" w:ascii="仿宋" w:hAnsi="仿宋" w:eastAsia="仿宋" w:cs="宋体"/>
          <w:color w:val="auto"/>
          <w:kern w:val="0"/>
          <w:sz w:val="24"/>
          <w:highlight w:val="none"/>
        </w:rPr>
        <w:t>的</w:t>
      </w:r>
      <w:r>
        <w:rPr>
          <w:rFonts w:hint="eastAsia" w:ascii="仿宋" w:hAnsi="仿宋" w:eastAsia="仿宋" w:cs="宋体"/>
          <w:color w:val="auto"/>
          <w:kern w:val="0"/>
          <w:sz w:val="24"/>
          <w:highlight w:val="none"/>
          <w:u w:val="single"/>
        </w:rPr>
        <w:t>（项目名称）</w:t>
      </w:r>
      <w:r>
        <w:rPr>
          <w:rFonts w:hint="eastAsia" w:ascii="仿宋" w:hAnsi="仿宋" w:eastAsia="仿宋"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544B9D">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528B16C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 </w:t>
      </w:r>
      <w:r>
        <w:rPr>
          <w:rFonts w:hint="eastAsia" w:ascii="仿宋" w:hAnsi="仿宋" w:eastAsia="仿宋" w:cs="宋体"/>
          <w:color w:val="auto"/>
          <w:kern w:val="0"/>
          <w:sz w:val="24"/>
          <w:highlight w:val="none"/>
          <w:u w:val="single"/>
        </w:rPr>
        <w:t>（标的名称）</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lang w:eastAsia="zh-CN"/>
        </w:rPr>
        <w:t>竞争性磋商文件</w:t>
      </w:r>
      <w:r>
        <w:rPr>
          <w:rFonts w:hint="eastAsia" w:ascii="仿宋" w:hAnsi="仿宋" w:eastAsia="仿宋" w:cs="宋体"/>
          <w:color w:val="auto"/>
          <w:kern w:val="0"/>
          <w:sz w:val="24"/>
          <w:highlight w:val="none"/>
          <w:u w:val="single"/>
        </w:rPr>
        <w:t>中明确的所属行业）</w:t>
      </w:r>
      <w:r>
        <w:rPr>
          <w:rFonts w:hint="eastAsia" w:ascii="仿宋" w:hAnsi="仿宋" w:eastAsia="仿宋" w:cs="宋体"/>
          <w:color w:val="auto"/>
          <w:kern w:val="0"/>
          <w:sz w:val="24"/>
          <w:highlight w:val="none"/>
        </w:rPr>
        <w:t>；承建（承接）企业为</w:t>
      </w:r>
      <w:r>
        <w:rPr>
          <w:rFonts w:hint="eastAsia" w:ascii="仿宋" w:hAnsi="仿宋" w:eastAsia="仿宋" w:cs="宋体"/>
          <w:color w:val="auto"/>
          <w:kern w:val="0"/>
          <w:sz w:val="24"/>
          <w:highlight w:val="none"/>
          <w:u w:val="single"/>
        </w:rPr>
        <w:t>（企业名称）</w:t>
      </w:r>
      <w:r>
        <w:rPr>
          <w:rFonts w:hint="eastAsia" w:ascii="仿宋" w:hAnsi="仿宋" w:eastAsia="仿宋" w:cs="宋体"/>
          <w:color w:val="auto"/>
          <w:kern w:val="0"/>
          <w:sz w:val="24"/>
          <w:highlight w:val="none"/>
        </w:rPr>
        <w:t>，从业人员</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人，营业收入为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万元，资产总额为</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万元 ，属于</w:t>
      </w:r>
      <w:r>
        <w:rPr>
          <w:rFonts w:hint="eastAsia" w:ascii="仿宋" w:hAnsi="仿宋" w:eastAsia="仿宋" w:cs="宋体"/>
          <w:color w:val="auto"/>
          <w:kern w:val="0"/>
          <w:sz w:val="24"/>
          <w:highlight w:val="none"/>
          <w:u w:val="single"/>
        </w:rPr>
        <w:t>（中型企业、小型企业、微型企业）</w:t>
      </w:r>
      <w:r>
        <w:rPr>
          <w:rFonts w:hint="eastAsia" w:ascii="仿宋" w:hAnsi="仿宋" w:eastAsia="仿宋" w:cs="宋体"/>
          <w:color w:val="auto"/>
          <w:kern w:val="0"/>
          <w:sz w:val="24"/>
          <w:highlight w:val="none"/>
        </w:rPr>
        <w:t>；</w:t>
      </w:r>
    </w:p>
    <w:p w14:paraId="3A98FD96">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p w14:paraId="77EF55A6">
      <w:pPr>
        <w:overflowPunct w:val="0"/>
        <w:snapToGrid w:val="0"/>
        <w:spacing w:line="336" w:lineRule="auto"/>
        <w:ind w:firstLine="482" w:firstLineChars="200"/>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以上企业，不属于大企业的分支机构，不存在控股股东为大企业的情形，也不存在与大企业的负责人为同一人的情形。</w:t>
      </w:r>
    </w:p>
    <w:p w14:paraId="31F05E37">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本企业对上述声明内容的真实性负责。如有虚假，将依法承担相应责任。</w:t>
      </w:r>
    </w:p>
    <w:p w14:paraId="607F695C">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14:paraId="1B44B2BA">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企业名称（盖章）：</w:t>
      </w:r>
    </w:p>
    <w:p w14:paraId="58C42201">
      <w:pPr>
        <w:overflowPunct w:val="0"/>
        <w:snapToGrid w:val="0"/>
        <w:spacing w:line="336"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日     期：</w:t>
      </w:r>
    </w:p>
    <w:p w14:paraId="396E8031">
      <w:pPr>
        <w:overflowPunct w:val="0"/>
        <w:snapToGrid w:val="0"/>
        <w:spacing w:line="336" w:lineRule="auto"/>
        <w:ind w:firstLine="482" w:firstLineChars="200"/>
        <w:rPr>
          <w:rFonts w:hint="eastAsia" w:ascii="仿宋" w:hAnsi="仿宋" w:eastAsia="仿宋" w:cs="宋体"/>
          <w:b/>
          <w:bCs/>
          <w:color w:val="auto"/>
          <w:kern w:val="0"/>
          <w:sz w:val="24"/>
          <w:highlight w:val="none"/>
          <w:lang w:val="en-US" w:eastAsia="zh-CN"/>
        </w:rPr>
      </w:pPr>
    </w:p>
    <w:p w14:paraId="0FBC8BC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注1：从业人员、营业收入、资产总额填报上一年度数据，无上一年度数据的新成立企业可不填报。</w:t>
      </w:r>
    </w:p>
    <w:p w14:paraId="01A1C6F3">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注2：中小企业应当按照《办法》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013565F1">
      <w:pPr>
        <w:overflowPunct w:val="0"/>
        <w:snapToGrid w:val="0"/>
        <w:spacing w:line="276" w:lineRule="auto"/>
        <w:ind w:firstLine="422" w:firstLineChars="200"/>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02C6834B">
      <w:pPr>
        <w:snapToGrid w:val="0"/>
        <w:spacing w:line="336" w:lineRule="auto"/>
        <w:ind w:firstLine="482" w:firstLineChars="200"/>
        <w:jc w:val="center"/>
        <w:rPr>
          <w:rFonts w:ascii="仿宋" w:hAnsi="仿宋" w:eastAsia="仿宋"/>
          <w:b/>
          <w:color w:val="auto"/>
          <w:sz w:val="24"/>
          <w:highlight w:val="none"/>
        </w:rPr>
      </w:pPr>
      <w:r>
        <w:rPr>
          <w:rFonts w:ascii="仿宋_GB2312" w:hAnsi="宋体" w:eastAsia="仿宋_GB2312"/>
          <w:b/>
          <w:color w:val="auto"/>
          <w:kern w:val="0"/>
          <w:sz w:val="24"/>
          <w:szCs w:val="22"/>
          <w:highlight w:val="none"/>
        </w:rPr>
        <w:br w:type="page"/>
      </w:r>
      <w:r>
        <w:rPr>
          <w:rFonts w:hint="eastAsia" w:ascii="仿宋" w:hAnsi="仿宋" w:eastAsia="仿宋"/>
          <w:b/>
          <w:color w:val="auto"/>
          <w:sz w:val="24"/>
          <w:highlight w:val="none"/>
        </w:rPr>
        <w:t>关于印发中小企业划型标准规定的通知</w:t>
      </w:r>
    </w:p>
    <w:p w14:paraId="49EE9DB0">
      <w:pPr>
        <w:snapToGrid w:val="0"/>
        <w:spacing w:line="336" w:lineRule="auto"/>
        <w:ind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工信部联企业〔2011〕300号</w:t>
      </w:r>
    </w:p>
    <w:p w14:paraId="20BF2C7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各省、自治区、直辖市人民政府，国务院各部委、各直属机构及有关单位：</w:t>
      </w:r>
    </w:p>
    <w:p w14:paraId="1617A76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23C8A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工业和信息化部　国家统计局</w:t>
      </w:r>
    </w:p>
    <w:p w14:paraId="570992A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国家发展和改革委员会　财政部</w:t>
      </w:r>
    </w:p>
    <w:p w14:paraId="28501B0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二○一一年六月十八日</w:t>
      </w:r>
    </w:p>
    <w:p w14:paraId="2E32586C">
      <w:pPr>
        <w:snapToGrid w:val="0"/>
        <w:spacing w:line="276" w:lineRule="auto"/>
        <w:ind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中小企业划型标准规定</w:t>
      </w:r>
    </w:p>
    <w:p w14:paraId="1EA872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一、根据《中华人民共和国中小企业促进法》和《国务院关于进一步促进中小企业发展的若干意见》(国发〔2009〕36号)，制定本规定。</w:t>
      </w:r>
    </w:p>
    <w:p w14:paraId="0A44C9C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二、中小企业划分为中型、小型、微型三种类型，具体标准根据企业从业人员、营业收入、资产总额等指标，结合行业特点制定。</w:t>
      </w:r>
    </w:p>
    <w:p w14:paraId="79B3FCB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ABDFB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四、各行业划型标准为：</w:t>
      </w:r>
    </w:p>
    <w:p w14:paraId="087F667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5DF228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879D59">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2B48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839F5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0DA09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70598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7494F2">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A439B4">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C7826">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CB3F43">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DE3E2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86C1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944F5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105FF7">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DCAEFA">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41EEED18">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五、企业类型的划分以统计部门的统计数据为依据。</w:t>
      </w:r>
    </w:p>
    <w:p w14:paraId="424E0781">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六、本规定适用于在中华人民共和国境内依法设立的各类所有制和各种组织形式的企业。个体工商户和本规定以外的行业，参照本规定进行划型。</w:t>
      </w:r>
    </w:p>
    <w:p w14:paraId="449371AC">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8D1335B">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八、本规定由工业和信息化部、国家统计局会同有关部门根据《国民经济行业分类》修订情况和企业发展变化情况适时修订。</w:t>
      </w:r>
    </w:p>
    <w:p w14:paraId="4E2FCB2D">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九、本规定由工业和信息化部、国家统计局会同有关部门负责解释。</w:t>
      </w:r>
    </w:p>
    <w:p w14:paraId="20438A1E">
      <w:pPr>
        <w:snapToGrid w:val="0"/>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十、本规定自发布之日起执行，原国家经贸委、原国家计委、财政部和国家统计局2003年颁布的《中小企业标准暂行规定》同时废止。</w:t>
      </w:r>
    </w:p>
    <w:p w14:paraId="7E8CE0B9">
      <w:pPr>
        <w:pStyle w:val="3"/>
        <w:spacing w:before="0" w:line="360" w:lineRule="auto"/>
        <w:rPr>
          <w:rFonts w:ascii="仿宋" w:hAnsi="仿宋" w:eastAsia="仿宋"/>
          <w:color w:val="auto"/>
          <w:sz w:val="24"/>
          <w:highlight w:val="none"/>
        </w:rPr>
      </w:pPr>
      <w:r>
        <w:rPr>
          <w:rFonts w:ascii="仿宋" w:hAnsi="仿宋" w:eastAsia="仿宋"/>
          <w:color w:val="auto"/>
          <w:sz w:val="24"/>
          <w:highlight w:val="none"/>
        </w:rPr>
        <w:br w:type="page"/>
      </w:r>
    </w:p>
    <w:p w14:paraId="5259716F">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 xml:space="preserve">  </w:t>
      </w:r>
      <w:r>
        <w:rPr>
          <w:rFonts w:hint="eastAsia" w:ascii="仿宋" w:hAnsi="仿宋" w:eastAsia="仿宋"/>
          <w:color w:val="auto"/>
          <w:sz w:val="24"/>
          <w:highlight w:val="none"/>
        </w:rPr>
        <w:t>残疾人福利性单位声明函</w:t>
      </w:r>
    </w:p>
    <w:p w14:paraId="0545235C">
      <w:pPr>
        <w:spacing w:line="360" w:lineRule="auto"/>
        <w:ind w:left="1080" w:leftChars="257" w:hanging="540"/>
        <w:jc w:val="center"/>
        <w:rPr>
          <w:rFonts w:ascii="仿宋" w:hAnsi="仿宋" w:eastAsia="仿宋"/>
          <w:color w:val="auto"/>
          <w:kern w:val="0"/>
          <w:sz w:val="24"/>
          <w:szCs w:val="20"/>
          <w:highlight w:val="none"/>
        </w:rPr>
      </w:pPr>
    </w:p>
    <w:p w14:paraId="26061401">
      <w:pPr>
        <w:spacing w:line="360" w:lineRule="auto"/>
        <w:ind w:firstLine="567"/>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宋体"/>
          <w:color w:val="auto"/>
          <w:kern w:val="0"/>
          <w:sz w:val="24"/>
          <w:highlight w:val="none"/>
        </w:rPr>
        <w:t>（由本单位承担工程/提供服务）</w:t>
      </w:r>
      <w:r>
        <w:rPr>
          <w:rFonts w:hint="eastAsia" w:ascii="仿宋" w:hAnsi="仿宋" w:eastAsia="仿宋"/>
          <w:color w:val="auto"/>
          <w:kern w:val="0"/>
          <w:sz w:val="24"/>
          <w:szCs w:val="20"/>
          <w:highlight w:val="none"/>
        </w:rPr>
        <w:t>，或者提供其他残疾人福利性单位制造的货物（不包括使用非残疾人福利性单位注册商标的货物）。</w:t>
      </w:r>
    </w:p>
    <w:p w14:paraId="0FF3DEEF">
      <w:pPr>
        <w:spacing w:line="360" w:lineRule="auto"/>
        <w:ind w:left="1080" w:leftChars="257" w:hanging="540"/>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本单位对上述声明的真实性负责。如有虚假，将依法承担相应责任。</w:t>
      </w:r>
    </w:p>
    <w:p w14:paraId="14C8688C">
      <w:pPr>
        <w:spacing w:line="360" w:lineRule="auto"/>
        <w:ind w:left="1080" w:leftChars="257" w:hanging="540"/>
        <w:jc w:val="center"/>
        <w:rPr>
          <w:rFonts w:ascii="仿宋" w:hAnsi="仿宋" w:eastAsia="仿宋"/>
          <w:color w:val="auto"/>
          <w:kern w:val="0"/>
          <w:sz w:val="24"/>
          <w:szCs w:val="20"/>
          <w:highlight w:val="none"/>
        </w:rPr>
      </w:pPr>
    </w:p>
    <w:p w14:paraId="10FD1144">
      <w:pPr>
        <w:spacing w:line="360" w:lineRule="auto"/>
        <w:ind w:left="1080" w:leftChars="257" w:hanging="540"/>
        <w:jc w:val="center"/>
        <w:rPr>
          <w:rFonts w:ascii="仿宋" w:hAnsi="仿宋" w:eastAsia="仿宋"/>
          <w:color w:val="auto"/>
          <w:kern w:val="0"/>
          <w:sz w:val="24"/>
          <w:szCs w:val="20"/>
          <w:highlight w:val="none"/>
        </w:rPr>
      </w:pPr>
    </w:p>
    <w:p w14:paraId="3A26DCBC">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0FA22599">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008611B0">
      <w:pPr>
        <w:spacing w:line="360" w:lineRule="auto"/>
        <w:ind w:left="645" w:leftChars="307" w:firstLine="3000" w:firstLineChars="1250"/>
        <w:rPr>
          <w:rFonts w:ascii="仿宋" w:hAnsi="仿宋" w:eastAsia="仿宋"/>
          <w:color w:val="auto"/>
          <w:kern w:val="0"/>
          <w:sz w:val="24"/>
          <w:szCs w:val="20"/>
          <w:highlight w:val="none"/>
          <w:u w:val="single"/>
        </w:rPr>
      </w:pPr>
    </w:p>
    <w:p w14:paraId="33249228">
      <w:pPr>
        <w:pStyle w:val="3"/>
        <w:spacing w:before="0" w:line="360" w:lineRule="auto"/>
        <w:rPr>
          <w:rFonts w:ascii="仿宋" w:hAnsi="仿宋" w:eastAsia="仿宋"/>
          <w:color w:val="auto"/>
          <w:sz w:val="24"/>
          <w:highlight w:val="none"/>
        </w:rPr>
      </w:pPr>
    </w:p>
    <w:p w14:paraId="1BA9AA2E">
      <w:pPr>
        <w:pStyle w:val="3"/>
        <w:spacing w:before="0" w:line="360" w:lineRule="auto"/>
        <w:jc w:val="left"/>
        <w:rPr>
          <w:rFonts w:ascii="仿宋" w:hAnsi="仿宋" w:eastAsia="仿宋"/>
          <w:color w:val="auto"/>
          <w:sz w:val="24"/>
          <w:highlight w:val="none"/>
        </w:rPr>
      </w:pPr>
    </w:p>
    <w:p w14:paraId="58FA6C91">
      <w:pPr>
        <w:pStyle w:val="3"/>
        <w:spacing w:before="0" w:line="360" w:lineRule="auto"/>
        <w:jc w:val="left"/>
        <w:rPr>
          <w:rFonts w:hint="eastAsia" w:ascii="仿宋" w:hAnsi="仿宋" w:eastAsia="仿宋" w:cs="Times New Roman"/>
          <w:b w:val="0"/>
          <w:color w:val="auto"/>
          <w:kern w:val="0"/>
          <w:sz w:val="24"/>
          <w:szCs w:val="20"/>
          <w:highlight w:val="none"/>
          <w:lang w:val="en-US" w:eastAsia="zh-CN" w:bidi="ar-SA"/>
        </w:rPr>
      </w:pPr>
      <w:r>
        <w:rPr>
          <w:rFonts w:hint="eastAsia" w:ascii="仿宋" w:hAnsi="仿宋" w:eastAsia="仿宋" w:cs="Times New Roman"/>
          <w:b w:val="0"/>
          <w:color w:val="auto"/>
          <w:kern w:val="0"/>
          <w:sz w:val="24"/>
          <w:szCs w:val="20"/>
          <w:highlight w:val="none"/>
          <w:lang w:val="en-US" w:eastAsia="zh-CN" w:bidi="ar-SA"/>
        </w:rPr>
        <w:t>备注：填写前请认真阅读《财政部 民政部 中国残疾人联合会关于促进残疾人就业政府采购政策的通知》(财库〔2017〕141号)相关规定。如不符合前述相关规定所确定的残疾人福利性单位，则不需要在响应文件中提供本《残疾人福利性单位声明函》；若符合前述相关规定所确定的残疾人福利性单位，但在响应文件中没有提供本《残疾人福利性单位声明函》，视为在本项目中放弃政府采购政策扶持。</w:t>
      </w:r>
    </w:p>
    <w:p w14:paraId="41E9387D">
      <w:pPr>
        <w:snapToGrid w:val="0"/>
        <w:spacing w:line="336" w:lineRule="auto"/>
        <w:ind w:firstLine="480" w:firstLineChars="200"/>
        <w:rPr>
          <w:rFonts w:ascii="仿宋" w:hAnsi="仿宋" w:eastAsia="仿宋"/>
          <w:color w:val="auto"/>
          <w:sz w:val="24"/>
          <w:highlight w:val="none"/>
        </w:rPr>
      </w:pPr>
      <w:r>
        <w:rPr>
          <w:rFonts w:ascii="仿宋" w:hAnsi="仿宋" w:eastAsia="仿宋"/>
          <w:color w:val="auto"/>
          <w:sz w:val="24"/>
          <w:highlight w:val="none"/>
        </w:rPr>
        <w:br w:type="page"/>
      </w:r>
    </w:p>
    <w:p w14:paraId="1792123A">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监狱企业</w:t>
      </w:r>
      <w:r>
        <w:rPr>
          <w:rFonts w:ascii="仿宋" w:hAnsi="仿宋" w:eastAsia="仿宋"/>
          <w:color w:val="auto"/>
          <w:sz w:val="24"/>
          <w:highlight w:val="none"/>
        </w:rPr>
        <w:t>声明函</w:t>
      </w:r>
    </w:p>
    <w:p w14:paraId="740F710D">
      <w:pPr>
        <w:spacing w:line="360" w:lineRule="auto"/>
        <w:ind w:left="1080" w:leftChars="257" w:hanging="540"/>
        <w:jc w:val="center"/>
        <w:rPr>
          <w:rFonts w:hint="eastAsia" w:ascii="仿宋" w:hAnsi="仿宋" w:eastAsia="仿宋"/>
          <w:b/>
          <w:color w:val="auto"/>
          <w:kern w:val="0"/>
          <w:sz w:val="24"/>
          <w:szCs w:val="20"/>
          <w:highlight w:val="none"/>
        </w:rPr>
      </w:pPr>
    </w:p>
    <w:p w14:paraId="4DADD9FB">
      <w:pPr>
        <w:widowControl/>
        <w:spacing w:before="100" w:beforeAutospacing="1" w:after="100" w:afterAutospacing="1" w:line="360" w:lineRule="auto"/>
        <w:ind w:firstLine="480" w:firstLineChars="2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）郑重声明下</w:t>
      </w:r>
      <w:r>
        <w:rPr>
          <w:rFonts w:hint="eastAsia" w:ascii="仿宋" w:hAnsi="仿宋" w:eastAsia="仿宋" w:cs="宋体"/>
          <w:color w:val="auto"/>
          <w:kern w:val="0"/>
          <w:sz w:val="24"/>
          <w:highlight w:val="none"/>
        </w:rPr>
        <w:t>列事项（按照</w:t>
      </w:r>
      <w:r>
        <w:rPr>
          <w:rFonts w:ascii="仿宋" w:hAnsi="仿宋" w:eastAsia="仿宋" w:cs="宋体"/>
          <w:color w:val="auto"/>
          <w:kern w:val="0"/>
          <w:sz w:val="24"/>
          <w:highlight w:val="none"/>
        </w:rPr>
        <w:t>实际情况勾选或</w:t>
      </w:r>
      <w:r>
        <w:rPr>
          <w:rFonts w:hint="eastAsia" w:ascii="仿宋" w:hAnsi="仿宋" w:eastAsia="仿宋" w:cs="宋体"/>
          <w:color w:val="auto"/>
          <w:kern w:val="0"/>
          <w:sz w:val="24"/>
          <w:highlight w:val="none"/>
        </w:rPr>
        <w:t>填空）：</w:t>
      </w:r>
    </w:p>
    <w:p w14:paraId="6CE3A3D2">
      <w:pPr>
        <w:widowControl/>
        <w:spacing w:before="100" w:beforeAutospacing="1" w:after="100" w:afterAutospacing="1"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企业（单位）为直接</w:t>
      </w: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提供本企业</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制造的货物</w:t>
      </w:r>
      <w:r>
        <w:rPr>
          <w:rFonts w:hint="eastAsia" w:ascii="仿宋" w:hAnsi="仿宋" w:eastAsia="仿宋" w:cs="宋体"/>
          <w:color w:val="auto"/>
          <w:kern w:val="0"/>
          <w:sz w:val="24"/>
          <w:highlight w:val="none"/>
        </w:rPr>
        <w:t>。</w:t>
      </w:r>
    </w:p>
    <w:p w14:paraId="5A696696">
      <w:pPr>
        <w:widowControl/>
        <w:spacing w:before="100" w:beforeAutospacing="1" w:after="100" w:afterAutospacing="1" w:line="360" w:lineRule="auto"/>
        <w:ind w:firstLine="360" w:firstLineChars="150"/>
        <w:jc w:val="left"/>
        <w:rPr>
          <w:rFonts w:hint="eastAsia" w:ascii="仿宋" w:hAnsi="仿宋" w:eastAsia="仿宋" w:cs="宋体"/>
          <w:b/>
          <w:bCs/>
          <w:color w:val="auto"/>
          <w:kern w:val="0"/>
          <w:sz w:val="24"/>
          <w:highlight w:val="none"/>
        </w:rPr>
      </w:pPr>
      <w:r>
        <w:rPr>
          <w:rFonts w:hint="eastAsia" w:ascii="仿宋" w:hAnsi="仿宋" w:eastAsia="仿宋" w:cs="宋体"/>
          <w:color w:val="auto"/>
          <w:kern w:val="0"/>
          <w:sz w:val="24"/>
          <w:highlight w:val="none"/>
        </w:rPr>
        <w:t>（1）根据《财政部 司法部关于政府采购支持监狱企业发展有关问题的通知》（财库〔2014〕68号）的规定，</w:t>
      </w:r>
      <w:r>
        <w:rPr>
          <w:rFonts w:ascii="仿宋" w:hAnsi="仿宋" w:eastAsia="仿宋" w:cs="宋体"/>
          <w:color w:val="auto"/>
          <w:kern w:val="0"/>
          <w:sz w:val="24"/>
          <w:highlight w:val="none"/>
        </w:rPr>
        <w:t>本</w:t>
      </w:r>
      <w:r>
        <w:rPr>
          <w:rFonts w:hint="eastAsia" w:ascii="仿宋" w:hAnsi="仿宋" w:eastAsia="仿宋" w:cs="宋体"/>
          <w:color w:val="auto"/>
          <w:kern w:val="0"/>
          <w:sz w:val="24"/>
          <w:highlight w:val="none"/>
        </w:rPr>
        <w:t>企业（单位）</w:t>
      </w:r>
      <w:r>
        <w:rPr>
          <w:rFonts w:hint="eastAsia" w:ascii="仿宋" w:hAnsi="仿宋" w:eastAsia="仿宋" w:cs="宋体"/>
          <w:color w:val="auto"/>
          <w:kern w:val="0"/>
          <w:sz w:val="24"/>
          <w:highlight w:val="none"/>
          <w:u w:val="single"/>
        </w:rPr>
        <w:t xml:space="preserve">        </w:t>
      </w:r>
      <w:r>
        <w:rPr>
          <w:rFonts w:ascii="仿宋" w:hAnsi="仿宋" w:eastAsia="仿宋" w:cs="宋体"/>
          <w:color w:val="auto"/>
          <w:kern w:val="0"/>
          <w:sz w:val="24"/>
          <w:highlight w:val="none"/>
        </w:rPr>
        <w:t>（请填写：</w:t>
      </w:r>
      <w:r>
        <w:rPr>
          <w:rFonts w:hint="eastAsia" w:ascii="仿宋" w:hAnsi="仿宋" w:eastAsia="仿宋" w:cs="宋体"/>
          <w:color w:val="auto"/>
          <w:kern w:val="0"/>
          <w:sz w:val="24"/>
          <w:highlight w:val="none"/>
        </w:rPr>
        <w:t>是、不是</w:t>
      </w:r>
      <w:r>
        <w:rPr>
          <w:rFonts w:ascii="仿宋" w:hAnsi="仿宋" w:eastAsia="仿宋" w:cs="宋体"/>
          <w:color w:val="auto"/>
          <w:kern w:val="0"/>
          <w:sz w:val="24"/>
          <w:highlight w:val="none"/>
        </w:rPr>
        <w:t>）监狱企业。</w:t>
      </w:r>
      <w:r>
        <w:rPr>
          <w:rFonts w:hint="eastAsia" w:ascii="仿宋" w:hAnsi="仿宋" w:eastAsia="仿宋" w:cs="宋体"/>
          <w:b w:val="0"/>
          <w:bCs w:val="0"/>
          <w:color w:val="auto"/>
          <w:kern w:val="0"/>
          <w:sz w:val="24"/>
          <w:highlight w:val="none"/>
        </w:rPr>
        <w:t>后附省级以上监狱管理局、戒毒管理局（含新疆生产建设兵团）出具的属于监狱企业的证明文件。</w:t>
      </w:r>
    </w:p>
    <w:p w14:paraId="0576B16E">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本</w:t>
      </w:r>
      <w:r>
        <w:rPr>
          <w:rFonts w:hint="eastAsia" w:ascii="仿宋" w:hAnsi="仿宋" w:eastAsia="仿宋" w:cs="宋体"/>
          <w:color w:val="auto"/>
          <w:kern w:val="0"/>
          <w:sz w:val="24"/>
          <w:highlight w:val="none"/>
        </w:rPr>
        <w:t>企业</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rPr>
        <w:t>单位</w:t>
      </w:r>
      <w:r>
        <w:rPr>
          <w:rFonts w:ascii="仿宋" w:hAnsi="仿宋" w:eastAsia="仿宋" w:cs="宋体"/>
          <w:color w:val="auto"/>
          <w:kern w:val="0"/>
          <w:sz w:val="24"/>
          <w:highlight w:val="none"/>
        </w:rPr>
        <w:t>）对上述声明的真实性负责。如有虚假，将依法承担相应责任。</w:t>
      </w:r>
    </w:p>
    <w:p w14:paraId="2941C040">
      <w:pPr>
        <w:widowControl/>
        <w:spacing w:before="100" w:beforeAutospacing="1" w:after="100" w:afterAutospacing="1"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　　</w:t>
      </w:r>
    </w:p>
    <w:p w14:paraId="08C3809D">
      <w:pPr>
        <w:spacing w:line="360" w:lineRule="auto"/>
        <w:rPr>
          <w:rFonts w:ascii="仿宋" w:hAnsi="仿宋" w:eastAsia="仿宋"/>
          <w:b/>
          <w:color w:val="auto"/>
          <w:sz w:val="24"/>
          <w:highlight w:val="none"/>
        </w:rPr>
      </w:pPr>
    </w:p>
    <w:p w14:paraId="3020E250">
      <w:pPr>
        <w:widowControl/>
        <w:spacing w:before="100" w:beforeAutospacing="1" w:after="100" w:afterAutospacing="1" w:line="360" w:lineRule="auto"/>
        <w:ind w:firstLine="3960" w:firstLineChars="165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供应商</w:t>
      </w:r>
      <w:r>
        <w:rPr>
          <w:rFonts w:ascii="仿宋" w:hAnsi="仿宋" w:eastAsia="仿宋" w:cs="宋体"/>
          <w:color w:val="auto"/>
          <w:kern w:val="0"/>
          <w:sz w:val="24"/>
          <w:highlight w:val="none"/>
        </w:rPr>
        <w:t>（盖章）：</w:t>
      </w:r>
      <w:r>
        <w:rPr>
          <w:rFonts w:ascii="仿宋" w:hAnsi="仿宋" w:eastAsia="仿宋" w:cs="宋体"/>
          <w:color w:val="auto"/>
          <w:kern w:val="0"/>
          <w:sz w:val="24"/>
          <w:highlight w:val="none"/>
          <w:u w:val="single"/>
        </w:rPr>
        <w:t xml:space="preserve">             </w:t>
      </w:r>
    </w:p>
    <w:p w14:paraId="7E72A646">
      <w:pPr>
        <w:widowControl/>
        <w:spacing w:before="100" w:beforeAutospacing="1" w:after="100" w:afterAutospacing="1" w:line="360" w:lineRule="auto"/>
        <w:ind w:firstLine="3720" w:firstLineChars="1550"/>
        <w:jc w:val="left"/>
        <w:rPr>
          <w:rFonts w:hint="eastAsia" w:ascii="仿宋" w:hAnsi="仿宋" w:eastAsia="仿宋" w:cs="宋体"/>
          <w:color w:val="auto"/>
          <w:kern w:val="0"/>
          <w:sz w:val="24"/>
          <w:highlight w:val="none"/>
          <w:u w:val="single"/>
        </w:rPr>
      </w:pPr>
      <w:r>
        <w:rPr>
          <w:rFonts w:ascii="仿宋" w:hAnsi="仿宋" w:eastAsia="仿宋" w:cs="宋体"/>
          <w:color w:val="auto"/>
          <w:kern w:val="0"/>
          <w:sz w:val="24"/>
          <w:highlight w:val="none"/>
        </w:rPr>
        <w:t>　日　</w:t>
      </w:r>
      <w:r>
        <w:rPr>
          <w:rFonts w:hint="eastAsia" w:ascii="仿宋" w:hAnsi="仿宋" w:eastAsia="仿宋" w:cs="宋体"/>
          <w:color w:val="auto"/>
          <w:kern w:val="0"/>
          <w:sz w:val="24"/>
          <w:highlight w:val="none"/>
          <w:lang w:val="en-US" w:eastAsia="zh-CN"/>
        </w:rPr>
        <w:t xml:space="preserve">        </w:t>
      </w:r>
      <w:r>
        <w:rPr>
          <w:rFonts w:ascii="仿宋" w:hAnsi="仿宋" w:eastAsia="仿宋" w:cs="宋体"/>
          <w:color w:val="auto"/>
          <w:kern w:val="0"/>
          <w:sz w:val="24"/>
          <w:highlight w:val="none"/>
        </w:rPr>
        <w:t>期：</w:t>
      </w:r>
      <w:r>
        <w:rPr>
          <w:rFonts w:hint="eastAsia" w:ascii="仿宋" w:hAnsi="仿宋" w:eastAsia="仿宋" w:cs="宋体"/>
          <w:color w:val="auto"/>
          <w:kern w:val="0"/>
          <w:sz w:val="24"/>
          <w:highlight w:val="none"/>
          <w:u w:val="single"/>
        </w:rPr>
        <w:t xml:space="preserve">             </w:t>
      </w:r>
    </w:p>
    <w:p w14:paraId="324A0292">
      <w:pPr>
        <w:pStyle w:val="7"/>
        <w:rPr>
          <w:rFonts w:hint="eastAsia" w:ascii="仿宋" w:hAnsi="仿宋" w:eastAsia="仿宋" w:cs="宋体"/>
          <w:color w:val="auto"/>
          <w:kern w:val="0"/>
          <w:sz w:val="24"/>
          <w:highlight w:val="none"/>
          <w:u w:val="single"/>
        </w:rPr>
      </w:pPr>
    </w:p>
    <w:p w14:paraId="2EA7CB30">
      <w:pPr>
        <w:pStyle w:val="9"/>
        <w:jc w:val="center"/>
        <w:rPr>
          <w:rFonts w:hAnsi="宋体"/>
          <w:color w:val="auto"/>
          <w:sz w:val="24"/>
          <w:highlight w:val="none"/>
        </w:rPr>
      </w:pPr>
    </w:p>
    <w:p w14:paraId="332008CD">
      <w:pPr>
        <w:widowControl/>
        <w:spacing w:before="100" w:beforeAutospacing="1" w:after="100" w:afterAutospacing="1"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备注：填写前请认真阅读《财政部 司法部关于政府采购支持监狱企业发展有关问题的通知》（财库〔2014〕68号）相关规定。如不符合前述相关规定所确定的监狱企业，则不需要在</w:t>
      </w:r>
      <w:r>
        <w:rPr>
          <w:rFonts w:hint="eastAsia" w:ascii="仿宋" w:hAnsi="仿宋" w:eastAsia="仿宋" w:cs="Times New Roman"/>
          <w:b w:val="0"/>
          <w:color w:val="auto"/>
          <w:kern w:val="0"/>
          <w:sz w:val="24"/>
          <w:szCs w:val="20"/>
          <w:highlight w:val="none"/>
          <w:lang w:val="en-US" w:eastAsia="zh-CN" w:bidi="ar-SA"/>
        </w:rPr>
        <w:t>响应文件</w:t>
      </w:r>
      <w:r>
        <w:rPr>
          <w:rFonts w:hint="eastAsia" w:ascii="仿宋" w:hAnsi="仿宋" w:eastAsia="仿宋" w:cs="宋体"/>
          <w:color w:val="auto"/>
          <w:kern w:val="0"/>
          <w:sz w:val="24"/>
          <w:highlight w:val="none"/>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w:t>
      </w:r>
    </w:p>
    <w:p w14:paraId="042B2B60">
      <w:pPr>
        <w:widowControl/>
        <w:jc w:val="left"/>
        <w:rPr>
          <w:rFonts w:hint="eastAsia" w:ascii="仿宋" w:hAnsi="仿宋" w:eastAsia="仿宋"/>
          <w:b/>
          <w:color w:val="auto"/>
          <w:kern w:val="0"/>
          <w:sz w:val="24"/>
          <w:szCs w:val="20"/>
          <w:highlight w:val="none"/>
        </w:rPr>
      </w:pPr>
    </w:p>
    <w:p w14:paraId="648DF9FD">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0FD1B5CA">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8</w:t>
      </w:r>
      <w:r>
        <w:rPr>
          <w:rFonts w:hint="eastAsia" w:ascii="仿宋" w:hAnsi="仿宋" w:eastAsia="仿宋"/>
          <w:b/>
          <w:color w:val="auto"/>
          <w:kern w:val="0"/>
          <w:sz w:val="24"/>
          <w:szCs w:val="20"/>
          <w:highlight w:val="none"/>
        </w:rPr>
        <w:t xml:space="preserve">  </w:t>
      </w:r>
      <w:r>
        <w:rPr>
          <w:rFonts w:hint="eastAsia" w:ascii="仿宋" w:hAnsi="仿宋" w:eastAsia="仿宋" w:cs="Times New Roman"/>
          <w:b/>
          <w:color w:val="auto"/>
          <w:kern w:val="0"/>
          <w:sz w:val="24"/>
          <w:szCs w:val="20"/>
          <w:highlight w:val="none"/>
          <w:lang w:val="en-US" w:eastAsia="zh-CN" w:bidi="ar-SA"/>
        </w:rPr>
        <w:t>资质证书</w:t>
      </w:r>
    </w:p>
    <w:p w14:paraId="49AF8D95">
      <w:pPr>
        <w:overflowPunct w:val="0"/>
        <w:spacing w:line="360" w:lineRule="auto"/>
        <w:jc w:val="center"/>
        <w:rPr>
          <w:rFonts w:hint="eastAsia" w:ascii="仿宋_GB2312" w:hAnsi="宋体" w:eastAsia="仿宋_GB2312"/>
          <w:bCs/>
          <w:color w:val="auto"/>
          <w:sz w:val="24"/>
          <w:highlight w:val="none"/>
        </w:rPr>
      </w:pPr>
    </w:p>
    <w:p w14:paraId="087DBC08">
      <w:pPr>
        <w:overflowPunct w:val="0"/>
        <w:spacing w:line="360" w:lineRule="auto"/>
        <w:jc w:val="both"/>
        <w:rPr>
          <w:rFonts w:hint="eastAsia" w:ascii="仿宋_GB2312" w:hAnsi="宋体" w:eastAsia="仿宋_GB2312"/>
          <w:bCs/>
          <w:color w:val="auto"/>
          <w:sz w:val="24"/>
          <w:highlight w:val="none"/>
        </w:rPr>
      </w:pPr>
      <w:r>
        <w:rPr>
          <w:rFonts w:hint="eastAsia" w:ascii="仿宋_GB2312" w:hAnsi="宋体" w:eastAsia="仿宋_GB2312"/>
          <w:bCs/>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w:t>
      </w:r>
      <w:r>
        <w:rPr>
          <w:rFonts w:hint="eastAsia" w:ascii="仿宋" w:hAnsi="仿宋" w:eastAsia="仿宋" w:cs="仿宋"/>
          <w:color w:val="auto"/>
          <w:kern w:val="0"/>
          <w:sz w:val="24"/>
          <w:highlight w:val="none"/>
          <w:shd w:val="clear" w:color="auto" w:fill="FFFFFF"/>
          <w:lang w:eastAsia="zh-CN"/>
        </w:rPr>
        <w:t>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lang w:eastAsia="zh-CN"/>
        </w:rPr>
        <w:t>级及以上资质</w:t>
      </w:r>
      <w:r>
        <w:rPr>
          <w:rFonts w:hint="eastAsia" w:ascii="仿宋" w:hAnsi="仿宋" w:eastAsia="仿宋" w:cs="仿宋"/>
          <w:color w:val="auto"/>
          <w:kern w:val="0"/>
          <w:sz w:val="24"/>
          <w:highlight w:val="none"/>
          <w:shd w:val="clear" w:color="auto" w:fill="FFFFFF"/>
          <w:lang w:val="en-US" w:eastAsia="zh-CN"/>
        </w:rPr>
        <w:t>，加盖公章</w:t>
      </w:r>
      <w:r>
        <w:rPr>
          <w:rFonts w:hint="eastAsia" w:ascii="仿宋_GB2312" w:hAnsi="宋体" w:eastAsia="仿宋_GB2312"/>
          <w:bCs/>
          <w:color w:val="auto"/>
          <w:sz w:val="24"/>
          <w:highlight w:val="none"/>
        </w:rPr>
        <w:t>。</w:t>
      </w:r>
    </w:p>
    <w:p w14:paraId="3A402FE8">
      <w:pPr>
        <w:pStyle w:val="7"/>
        <w:rPr>
          <w:rFonts w:hint="eastAsia"/>
          <w:color w:val="auto"/>
          <w:highlight w:val="none"/>
        </w:rPr>
      </w:pPr>
    </w:p>
    <w:p w14:paraId="55DE37D2">
      <w:pPr>
        <w:rPr>
          <w:rFonts w:hint="eastAsia" w:ascii="仿宋" w:hAnsi="仿宋" w:eastAsia="仿宋"/>
          <w:b/>
          <w:color w:val="auto"/>
          <w:kern w:val="0"/>
          <w:sz w:val="24"/>
          <w:szCs w:val="20"/>
          <w:highlight w:val="none"/>
        </w:rPr>
      </w:pPr>
      <w:r>
        <w:rPr>
          <w:rFonts w:hint="eastAsia" w:ascii="仿宋" w:hAnsi="仿宋" w:eastAsia="仿宋" w:cs="仿宋"/>
          <w:b w:val="0"/>
          <w:color w:val="auto"/>
          <w:sz w:val="24"/>
          <w:szCs w:val="24"/>
          <w:highlight w:val="none"/>
        </w:rPr>
        <w:br w:type="page"/>
      </w:r>
    </w:p>
    <w:p w14:paraId="5EE147BC">
      <w:pPr>
        <w:spacing w:line="360" w:lineRule="auto"/>
        <w:jc w:val="center"/>
        <w:rPr>
          <w:rFonts w:hint="default" w:ascii="仿宋" w:hAnsi="仿宋" w:eastAsia="仿宋"/>
          <w:b/>
          <w:color w:val="auto"/>
          <w:kern w:val="0"/>
          <w:sz w:val="24"/>
          <w:szCs w:val="20"/>
          <w:highlight w:val="none"/>
          <w:lang w:val="en-US" w:eastAsia="zh-CN"/>
        </w:rPr>
      </w:pPr>
      <w:r>
        <w:rPr>
          <w:rFonts w:hint="eastAsia" w:ascii="仿宋" w:hAnsi="仿宋" w:eastAsia="仿宋"/>
          <w:b/>
          <w:color w:val="auto"/>
          <w:kern w:val="0"/>
          <w:sz w:val="24"/>
          <w:szCs w:val="20"/>
          <w:highlight w:val="none"/>
          <w:lang w:val="en-US" w:eastAsia="zh-CN"/>
        </w:rPr>
        <w:t>9</w:t>
      </w:r>
      <w:r>
        <w:rPr>
          <w:rFonts w:hint="eastAsia" w:ascii="仿宋" w:hAnsi="仿宋" w:eastAsia="仿宋"/>
          <w:b/>
          <w:color w:val="auto"/>
          <w:kern w:val="0"/>
          <w:sz w:val="24"/>
          <w:szCs w:val="20"/>
          <w:highlight w:val="none"/>
        </w:rPr>
        <w:t xml:space="preserve"> 项目总监相关证件</w:t>
      </w:r>
      <w:r>
        <w:rPr>
          <w:rFonts w:hint="eastAsia" w:ascii="仿宋" w:hAnsi="仿宋" w:eastAsia="仿宋"/>
          <w:b/>
          <w:color w:val="auto"/>
          <w:kern w:val="0"/>
          <w:sz w:val="24"/>
          <w:szCs w:val="20"/>
          <w:highlight w:val="none"/>
          <w:lang w:val="en-US" w:eastAsia="zh-CN"/>
        </w:rPr>
        <w:t>及承诺</w:t>
      </w:r>
    </w:p>
    <w:p w14:paraId="42995693">
      <w:pPr>
        <w:pStyle w:val="9"/>
        <w:tabs>
          <w:tab w:val="left" w:pos="5580"/>
        </w:tabs>
        <w:spacing w:line="360" w:lineRule="auto"/>
        <w:ind w:left="1080" w:leftChars="257" w:hanging="540"/>
        <w:rPr>
          <w:rFonts w:hint="eastAsia" w:ascii="仿宋" w:hAnsi="仿宋" w:eastAsia="仿宋"/>
          <w:color w:val="auto"/>
          <w:sz w:val="24"/>
          <w:highlight w:val="none"/>
        </w:rPr>
      </w:pPr>
    </w:p>
    <w:p w14:paraId="1755F405">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olor w:val="auto"/>
          <w:sz w:val="24"/>
          <w:highlight w:val="none"/>
        </w:rPr>
        <w:t>说明：</w:t>
      </w:r>
      <w:r>
        <w:rPr>
          <w:rFonts w:hint="eastAsia" w:ascii="仿宋" w:hAnsi="仿宋" w:eastAsia="仿宋" w:cs="仿宋"/>
          <w:color w:val="auto"/>
          <w:kern w:val="0"/>
          <w:sz w:val="24"/>
          <w:highlight w:val="none"/>
          <w:shd w:val="clear" w:color="auto" w:fill="FFFFFF"/>
          <w:lang w:val="en-US" w:eastAsia="zh-CN"/>
        </w:rPr>
        <w:t>供应商提供项目总监的国家注册监理工程师注册证书（房屋建筑工程专业），本单位注册，且在有效期内；现阶段在监项目少于三项。（须提供承诺，加盖公章）。</w:t>
      </w:r>
    </w:p>
    <w:p w14:paraId="27885454">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11FDFEA0">
      <w:pPr>
        <w:pStyle w:val="9"/>
        <w:tabs>
          <w:tab w:val="left" w:pos="5580"/>
        </w:tabs>
        <w:spacing w:line="360" w:lineRule="auto"/>
        <w:ind w:left="1080" w:leftChars="257" w:hanging="540"/>
        <w:rPr>
          <w:rFonts w:hint="eastAsia" w:ascii="仿宋" w:hAnsi="仿宋" w:eastAsia="仿宋" w:cs="仿宋"/>
          <w:color w:val="auto"/>
          <w:kern w:val="0"/>
          <w:sz w:val="24"/>
          <w:highlight w:val="none"/>
          <w:shd w:val="clear" w:color="auto" w:fill="FFFFFF"/>
          <w:lang w:eastAsia="zh-CN"/>
        </w:rPr>
      </w:pPr>
    </w:p>
    <w:p w14:paraId="48E69E2D">
      <w:pPr>
        <w:rPr>
          <w:rFonts w:hint="eastAsia" w:ascii="仿宋" w:hAnsi="仿宋" w:eastAsia="仿宋"/>
          <w:b/>
          <w:color w:val="auto"/>
          <w:kern w:val="0"/>
          <w:sz w:val="24"/>
          <w:szCs w:val="20"/>
          <w:highlight w:val="none"/>
        </w:rPr>
      </w:pPr>
    </w:p>
    <w:p w14:paraId="2CF2C82A">
      <w:pP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br w:type="page"/>
      </w:r>
    </w:p>
    <w:p w14:paraId="2D5D2C36">
      <w:pPr>
        <w:pStyle w:val="3"/>
        <w:spacing w:before="0" w:line="360" w:lineRule="auto"/>
        <w:ind w:left="1080" w:leftChars="257" w:hanging="540"/>
        <w:rPr>
          <w:rFonts w:hint="eastAsia" w:ascii="仿宋" w:hAnsi="仿宋" w:eastAsia="仿宋"/>
          <w:color w:val="auto"/>
          <w:sz w:val="24"/>
          <w:highlight w:val="none"/>
        </w:rPr>
      </w:pPr>
      <w:bookmarkStart w:id="352" w:name="_Toc133261424"/>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信用查询记录</w:t>
      </w:r>
      <w:bookmarkEnd w:id="352"/>
    </w:p>
    <w:p w14:paraId="6A75D2A1">
      <w:pPr>
        <w:spacing w:line="360" w:lineRule="auto"/>
        <w:ind w:left="1080" w:leftChars="257" w:hanging="540"/>
        <w:jc w:val="center"/>
        <w:rPr>
          <w:rFonts w:hint="eastAsia" w:ascii="仿宋" w:hAnsi="仿宋" w:eastAsia="仿宋"/>
          <w:b/>
          <w:bCs/>
          <w:color w:val="auto"/>
          <w:sz w:val="24"/>
          <w:highlight w:val="none"/>
        </w:rPr>
      </w:pPr>
    </w:p>
    <w:p w14:paraId="451E617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查询渠道： “信用中国”（www.creditchina.gov.cn）及中国政府采购网（www.ccgp.gov.cn）。查询时间为自公告发布之日起至提交响应文件截止时间止（该时间段内任一时间）。</w:t>
      </w:r>
    </w:p>
    <w:p w14:paraId="398E49E1">
      <w:pPr>
        <w:widowControl/>
        <w:jc w:val="left"/>
        <w:rPr>
          <w:rFonts w:hint="eastAsia" w:ascii="仿宋" w:hAnsi="仿宋" w:eastAsia="仿宋"/>
          <w:b/>
          <w:color w:val="auto"/>
          <w:kern w:val="0"/>
          <w:sz w:val="24"/>
          <w:szCs w:val="20"/>
          <w:highlight w:val="none"/>
        </w:rPr>
      </w:pPr>
      <w:r>
        <w:rPr>
          <w:rFonts w:ascii="仿宋" w:hAnsi="仿宋" w:eastAsia="仿宋"/>
          <w:color w:val="auto"/>
          <w:sz w:val="24"/>
          <w:highlight w:val="none"/>
        </w:rPr>
        <w:br w:type="page"/>
      </w:r>
    </w:p>
    <w:p w14:paraId="23156D9C">
      <w:pPr>
        <w:rPr>
          <w:rFonts w:hint="eastAsia" w:ascii="仿宋" w:hAnsi="仿宋" w:eastAsia="仿宋"/>
          <w:color w:val="auto"/>
          <w:sz w:val="24"/>
          <w:highlight w:val="none"/>
        </w:rPr>
      </w:pPr>
      <w:bookmarkStart w:id="353" w:name="_Toc133261425"/>
      <w:bookmarkStart w:id="354" w:name="_Toc532473502"/>
      <w:bookmarkStart w:id="355" w:name="_Toc17207"/>
      <w:bookmarkStart w:id="356" w:name="_Toc23783555"/>
      <w:bookmarkStart w:id="357" w:name="_Toc29703"/>
      <w:bookmarkStart w:id="358" w:name="_Toc515647813"/>
    </w:p>
    <w:p w14:paraId="22B51E4C">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供应商须知前附表要求的其他资格证明文件</w:t>
      </w:r>
      <w:bookmarkEnd w:id="353"/>
      <w:bookmarkEnd w:id="354"/>
      <w:bookmarkEnd w:id="355"/>
      <w:bookmarkEnd w:id="356"/>
      <w:bookmarkEnd w:id="357"/>
      <w:bookmarkEnd w:id="358"/>
    </w:p>
    <w:p w14:paraId="1958101F">
      <w:pPr>
        <w:spacing w:line="360" w:lineRule="auto"/>
        <w:ind w:left="1080" w:leftChars="257" w:hanging="540"/>
        <w:jc w:val="center"/>
        <w:rPr>
          <w:rFonts w:hint="eastAsia" w:ascii="仿宋" w:hAnsi="仿宋" w:eastAsia="仿宋"/>
          <w:b/>
          <w:bCs/>
          <w:color w:val="auto"/>
          <w:sz w:val="24"/>
          <w:highlight w:val="none"/>
        </w:rPr>
      </w:pPr>
    </w:p>
    <w:p w14:paraId="626F25D0">
      <w:pPr>
        <w:spacing w:line="360" w:lineRule="auto"/>
        <w:ind w:left="1080" w:leftChars="257" w:hanging="540"/>
        <w:jc w:val="center"/>
        <w:rPr>
          <w:rFonts w:hint="eastAsia" w:ascii="仿宋" w:hAnsi="仿宋" w:eastAsia="仿宋"/>
          <w:b/>
          <w:bCs/>
          <w:color w:val="auto"/>
          <w:sz w:val="24"/>
          <w:highlight w:val="none"/>
        </w:rPr>
      </w:pPr>
    </w:p>
    <w:p w14:paraId="5D0A91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说明：1.应提供</w:t>
      </w:r>
      <w:r>
        <w:rPr>
          <w:rFonts w:hint="eastAsia" w:ascii="仿宋" w:hAnsi="仿宋" w:eastAsia="仿宋"/>
          <w:color w:val="auto"/>
          <w:sz w:val="24"/>
          <w:highlight w:val="none"/>
          <w:u w:val="single"/>
        </w:rPr>
        <w:t>供应商须知前附表</w:t>
      </w:r>
      <w:r>
        <w:rPr>
          <w:rFonts w:hint="eastAsia" w:ascii="仿宋" w:hAnsi="仿宋" w:eastAsia="仿宋"/>
          <w:color w:val="auto"/>
          <w:sz w:val="24"/>
          <w:highlight w:val="none"/>
        </w:rPr>
        <w:t>要求的其他资格证明文件。</w:t>
      </w:r>
    </w:p>
    <w:p w14:paraId="7977F08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2.</w:t>
      </w:r>
      <w:r>
        <w:rPr>
          <w:rFonts w:hint="eastAsia" w:ascii="仿宋" w:hAnsi="仿宋" w:eastAsia="仿宋"/>
          <w:color w:val="auto"/>
          <w:sz w:val="24"/>
          <w:highlight w:val="none"/>
          <w:lang w:val="en-US" w:eastAsia="zh-CN"/>
        </w:rPr>
        <w:t>扫描件</w:t>
      </w:r>
      <w:r>
        <w:rPr>
          <w:rFonts w:hint="eastAsia" w:ascii="仿宋" w:hAnsi="仿宋" w:eastAsia="仿宋"/>
          <w:color w:val="auto"/>
          <w:sz w:val="24"/>
          <w:highlight w:val="none"/>
        </w:rPr>
        <w:t>上应加盖公章。</w:t>
      </w:r>
    </w:p>
    <w:p w14:paraId="09537763">
      <w:pPr>
        <w:pStyle w:val="9"/>
        <w:tabs>
          <w:tab w:val="left" w:pos="5580"/>
        </w:tabs>
        <w:spacing w:line="360" w:lineRule="auto"/>
        <w:ind w:left="1260" w:leftChars="344" w:hanging="538"/>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217CCAE">
      <w:pPr>
        <w:pStyle w:val="3"/>
        <w:spacing w:before="0" w:line="360" w:lineRule="auto"/>
        <w:ind w:left="1080" w:leftChars="257" w:hanging="540"/>
        <w:jc w:val="both"/>
        <w:rPr>
          <w:rFonts w:hint="eastAsia" w:ascii="仿宋" w:hAnsi="仿宋" w:eastAsia="仿宋"/>
          <w:color w:val="auto"/>
          <w:sz w:val="24"/>
          <w:highlight w:val="none"/>
        </w:rPr>
      </w:pPr>
      <w:r>
        <w:rPr>
          <w:rFonts w:ascii="仿宋" w:hAnsi="仿宋" w:eastAsia="仿宋"/>
          <w:color w:val="auto"/>
          <w:sz w:val="24"/>
          <w:highlight w:val="none"/>
        </w:rPr>
        <w:br w:type="page"/>
      </w:r>
    </w:p>
    <w:p w14:paraId="4614267F">
      <w:pPr>
        <w:pStyle w:val="3"/>
        <w:spacing w:before="0" w:line="360" w:lineRule="auto"/>
        <w:ind w:left="1080" w:leftChars="257" w:hanging="540"/>
        <w:rPr>
          <w:rFonts w:hint="eastAsia" w:ascii="仿宋" w:hAnsi="仿宋" w:eastAsia="仿宋"/>
          <w:color w:val="auto"/>
          <w:sz w:val="24"/>
          <w:highlight w:val="none"/>
        </w:rPr>
      </w:pPr>
      <w:bookmarkStart w:id="359" w:name="_Toc515647816"/>
      <w:bookmarkStart w:id="360" w:name="_Toc22967"/>
      <w:bookmarkStart w:id="361" w:name="_Toc11180"/>
      <w:bookmarkStart w:id="362" w:name="_Toc23783557"/>
      <w:bookmarkStart w:id="363" w:name="_Toc133261426"/>
      <w:bookmarkStart w:id="364" w:name="_Toc532473504"/>
      <w:r>
        <w:rPr>
          <w:rFonts w:ascii="仿宋" w:hAnsi="仿宋" w:eastAsia="仿宋"/>
          <w:color w:val="auto"/>
          <w:sz w:val="24"/>
          <w:highlight w:val="none"/>
        </w:rPr>
        <w:t>第</w:t>
      </w:r>
      <w:r>
        <w:rPr>
          <w:rFonts w:hint="eastAsia" w:ascii="仿宋" w:hAnsi="仿宋" w:eastAsia="仿宋"/>
          <w:color w:val="auto"/>
          <w:sz w:val="24"/>
          <w:highlight w:val="none"/>
        </w:rPr>
        <w:t>二</w:t>
      </w:r>
      <w:r>
        <w:rPr>
          <w:rFonts w:ascii="仿宋" w:hAnsi="仿宋" w:eastAsia="仿宋"/>
          <w:color w:val="auto"/>
          <w:sz w:val="24"/>
          <w:highlight w:val="none"/>
        </w:rPr>
        <w:t>部分</w:t>
      </w:r>
      <w:r>
        <w:rPr>
          <w:rFonts w:hint="eastAsia" w:ascii="仿宋" w:hAnsi="仿宋" w:eastAsia="仿宋"/>
          <w:color w:val="auto"/>
          <w:sz w:val="24"/>
          <w:highlight w:val="none"/>
        </w:rPr>
        <w:t xml:space="preserve">  商务及</w:t>
      </w:r>
      <w:r>
        <w:rPr>
          <w:rFonts w:ascii="仿宋" w:hAnsi="仿宋" w:eastAsia="仿宋"/>
          <w:color w:val="auto"/>
          <w:sz w:val="24"/>
          <w:highlight w:val="none"/>
        </w:rPr>
        <w:t>技术</w:t>
      </w:r>
      <w:r>
        <w:rPr>
          <w:rFonts w:hint="eastAsia" w:ascii="仿宋" w:hAnsi="仿宋" w:eastAsia="仿宋"/>
          <w:color w:val="auto"/>
          <w:sz w:val="24"/>
          <w:highlight w:val="none"/>
        </w:rPr>
        <w:t>文件</w:t>
      </w:r>
      <w:bookmarkEnd w:id="359"/>
      <w:bookmarkEnd w:id="360"/>
      <w:bookmarkEnd w:id="361"/>
      <w:bookmarkEnd w:id="362"/>
      <w:bookmarkEnd w:id="363"/>
      <w:bookmarkEnd w:id="364"/>
    </w:p>
    <w:p w14:paraId="0E15B693">
      <w:pPr>
        <w:pStyle w:val="9"/>
        <w:spacing w:line="360" w:lineRule="auto"/>
        <w:ind w:left="1080" w:leftChars="257" w:hanging="540"/>
        <w:rPr>
          <w:rFonts w:hint="eastAsia" w:ascii="仿宋" w:hAnsi="仿宋" w:eastAsia="仿宋"/>
          <w:color w:val="auto"/>
          <w:sz w:val="24"/>
          <w:highlight w:val="none"/>
        </w:rPr>
      </w:pPr>
    </w:p>
    <w:p w14:paraId="5E61BFE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法定代表人身份证明书</w:t>
      </w:r>
    </w:p>
    <w:p w14:paraId="1B4F9773">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法定代表人授权书</w:t>
      </w:r>
    </w:p>
    <w:p w14:paraId="7209D01C">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承诺书（一）</w:t>
      </w:r>
    </w:p>
    <w:p w14:paraId="51F7E6D0">
      <w:pPr>
        <w:pStyle w:val="9"/>
        <w:numPr>
          <w:ilvl w:val="0"/>
          <w:numId w:val="6"/>
        </w:numPr>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承诺书（</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w:t>
      </w:r>
    </w:p>
    <w:p w14:paraId="76CBB16E">
      <w:pPr>
        <w:pStyle w:val="9"/>
        <w:numPr>
          <w:ilvl w:val="0"/>
          <w:numId w:val="0"/>
        </w:numPr>
        <w:tabs>
          <w:tab w:val="left" w:pos="5580"/>
        </w:tabs>
        <w:spacing w:line="360" w:lineRule="auto"/>
        <w:ind w:leftChars="257"/>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监理费用构成明细表</w:t>
      </w:r>
    </w:p>
    <w:p w14:paraId="4B22A37A">
      <w:pPr>
        <w:pStyle w:val="9"/>
        <w:numPr>
          <w:ilvl w:val="0"/>
          <w:numId w:val="0"/>
        </w:numPr>
        <w:tabs>
          <w:tab w:val="left" w:pos="5580"/>
        </w:tabs>
        <w:spacing w:line="360" w:lineRule="auto"/>
        <w:ind w:leftChars="257"/>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6、磋商保证金缴纳凭证或电子保函</w:t>
      </w:r>
    </w:p>
    <w:p w14:paraId="735E8D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、采购需求响应偏离表</w:t>
      </w:r>
    </w:p>
    <w:p w14:paraId="475EFE91">
      <w:pPr>
        <w:pStyle w:val="9"/>
        <w:numPr>
          <w:ilvl w:val="0"/>
          <w:numId w:val="0"/>
        </w:numPr>
        <w:tabs>
          <w:tab w:val="left" w:pos="5580"/>
        </w:tabs>
        <w:spacing w:line="360" w:lineRule="auto"/>
        <w:ind w:leftChars="257"/>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lang w:eastAsia="zh-CN"/>
        </w:rPr>
        <w:t>供应商已完成类似项目业绩</w:t>
      </w:r>
    </w:p>
    <w:p w14:paraId="2368E116">
      <w:pPr>
        <w:pStyle w:val="9"/>
        <w:numPr>
          <w:ilvl w:val="0"/>
          <w:numId w:val="0"/>
        </w:numPr>
        <w:tabs>
          <w:tab w:val="left" w:pos="5580"/>
        </w:tabs>
        <w:spacing w:line="360" w:lineRule="auto"/>
        <w:ind w:leftChars="257"/>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9、项目总监简历表</w:t>
      </w:r>
    </w:p>
    <w:p w14:paraId="159FE57C">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10、项目组专业人员表</w:t>
      </w:r>
    </w:p>
    <w:p w14:paraId="4219D62A">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、供应商关联单位的说明（格式自拟）</w:t>
      </w:r>
    </w:p>
    <w:p w14:paraId="7439CEA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、评审所需要的其他商务文件</w:t>
      </w:r>
    </w:p>
    <w:p w14:paraId="1A1A6494">
      <w:pPr>
        <w:pStyle w:val="9"/>
        <w:tabs>
          <w:tab w:val="left" w:pos="5580"/>
        </w:tabs>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评审所需要的技术文件</w:t>
      </w:r>
    </w:p>
    <w:p w14:paraId="68B94B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、评审所需要的其他技术文件</w:t>
      </w:r>
    </w:p>
    <w:p w14:paraId="2781646E">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、供应商认为需要加以说明的其他内容</w:t>
      </w:r>
    </w:p>
    <w:p w14:paraId="29F68B9B">
      <w:pPr>
        <w:pStyle w:val="9"/>
        <w:tabs>
          <w:tab w:val="left" w:pos="5580"/>
        </w:tabs>
        <w:spacing w:line="360" w:lineRule="auto"/>
        <w:ind w:left="1080" w:leftChars="257" w:hanging="540"/>
        <w:rPr>
          <w:rFonts w:hint="eastAsia" w:ascii="仿宋" w:hAnsi="仿宋" w:eastAsia="仿宋"/>
          <w:color w:val="auto"/>
          <w:sz w:val="24"/>
          <w:highlight w:val="none"/>
        </w:rPr>
      </w:pPr>
      <w:r>
        <w:rPr>
          <w:rFonts w:ascii="仿宋" w:hAnsi="仿宋" w:eastAsia="仿宋"/>
          <w:color w:val="auto"/>
          <w:sz w:val="24"/>
          <w:highlight w:val="none"/>
        </w:rPr>
        <w:br w:type="page"/>
      </w:r>
    </w:p>
    <w:bookmarkEnd w:id="323"/>
    <w:bookmarkEnd w:id="324"/>
    <w:p w14:paraId="05843D03">
      <w:pPr>
        <w:pStyle w:val="3"/>
        <w:spacing w:before="0" w:line="360" w:lineRule="auto"/>
        <w:ind w:left="1"/>
        <w:rPr>
          <w:rFonts w:hint="eastAsia" w:ascii="仿宋" w:hAnsi="仿宋" w:eastAsia="仿宋"/>
          <w:color w:val="auto"/>
          <w:sz w:val="24"/>
          <w:highlight w:val="none"/>
        </w:rPr>
      </w:pPr>
      <w:bookmarkStart w:id="365" w:name="_Hlt520355504"/>
      <w:bookmarkEnd w:id="365"/>
      <w:bookmarkStart w:id="366" w:name="_Toc133261427"/>
      <w:bookmarkStart w:id="367" w:name="_Toc23783558"/>
      <w:bookmarkStart w:id="368" w:name="_Toc14915"/>
      <w:bookmarkStart w:id="369" w:name="_Toc532473505"/>
      <w:bookmarkStart w:id="370" w:name="_Toc515647817"/>
      <w:bookmarkStart w:id="371" w:name="_Toc2041"/>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 法定代表人</w:t>
      </w:r>
      <w:r>
        <w:rPr>
          <w:rFonts w:ascii="仿宋" w:hAnsi="仿宋" w:eastAsia="仿宋"/>
          <w:color w:val="auto"/>
          <w:sz w:val="24"/>
          <w:highlight w:val="none"/>
        </w:rPr>
        <w:t>身份证明书</w:t>
      </w:r>
    </w:p>
    <w:p w14:paraId="042AE860">
      <w:pPr>
        <w:spacing w:line="360" w:lineRule="auto"/>
        <w:rPr>
          <w:rFonts w:hint="eastAsia" w:ascii="仿宋" w:hAnsi="仿宋" w:eastAsia="仿宋"/>
          <w:color w:val="auto"/>
          <w:sz w:val="24"/>
          <w:highlight w:val="none"/>
          <w:u w:val="single"/>
        </w:rPr>
      </w:pPr>
    </w:p>
    <w:p w14:paraId="70CD6CC2">
      <w:pPr>
        <w:spacing w:line="360" w:lineRule="auto"/>
        <w:rPr>
          <w:rFonts w:hint="eastAsia" w:ascii="仿宋" w:hAnsi="仿宋" w:eastAsia="仿宋" w:cs="Arial"/>
          <w:color w:val="auto"/>
          <w:highlight w:val="none"/>
          <w:shd w:val="clear" w:color="auto" w:fill="FFFFFF"/>
        </w:rPr>
      </w:pPr>
    </w:p>
    <w:p w14:paraId="40BA49F9">
      <w:pPr>
        <w:spacing w:line="360" w:lineRule="auto"/>
        <w:rPr>
          <w:rFonts w:hint="eastAsia" w:ascii="仿宋" w:hAnsi="仿宋" w:eastAsia="仿宋"/>
          <w:color w:val="auto"/>
          <w:sz w:val="24"/>
          <w:highlight w:val="none"/>
        </w:rPr>
      </w:pPr>
      <w:r>
        <w:rPr>
          <w:rFonts w:ascii="仿宋" w:hAnsi="仿宋" w:eastAsia="仿宋"/>
          <w:color w:val="auto"/>
          <w:sz w:val="24"/>
          <w:highlight w:val="none"/>
          <w:u w:val="single"/>
        </w:rPr>
        <w:t>致</w:t>
      </w:r>
      <w:r>
        <w:rPr>
          <w:rFonts w:hint="eastAsia" w:ascii="仿宋" w:hAnsi="仿宋" w:eastAsia="仿宋"/>
          <w:color w:val="auto"/>
          <w:sz w:val="24"/>
          <w:highlight w:val="none"/>
          <w:u w:val="single"/>
        </w:rPr>
        <w:t>（采购代理机构名称）</w:t>
      </w:r>
      <w:r>
        <w:rPr>
          <w:rFonts w:hint="eastAsia" w:ascii="仿宋" w:hAnsi="仿宋" w:eastAsia="仿宋"/>
          <w:color w:val="auto"/>
          <w:sz w:val="24"/>
          <w:highlight w:val="none"/>
        </w:rPr>
        <w:t>：</w:t>
      </w:r>
    </w:p>
    <w:p w14:paraId="21866793">
      <w:pPr>
        <w:spacing w:line="360" w:lineRule="auto"/>
        <w:ind w:firstLine="600" w:firstLineChars="2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（姓名、性别、年龄</w:t>
      </w:r>
      <w:r>
        <w:rPr>
          <w:rFonts w:hint="eastAsia" w:ascii="仿宋" w:hAnsi="仿宋" w:eastAsia="仿宋"/>
          <w:color w:val="auto"/>
          <w:sz w:val="24"/>
          <w:highlight w:val="none"/>
        </w:rPr>
        <w:t>、身份证</w:t>
      </w:r>
      <w:r>
        <w:rPr>
          <w:rFonts w:ascii="仿宋" w:hAnsi="仿宋" w:eastAsia="仿宋"/>
          <w:color w:val="auto"/>
          <w:sz w:val="24"/>
          <w:highlight w:val="none"/>
        </w:rPr>
        <w:t>号码）在我</w:t>
      </w:r>
      <w:r>
        <w:rPr>
          <w:color w:val="auto"/>
          <w:highlight w:val="none"/>
        </w:rPr>
        <w:fldChar w:fldCharType="begin"/>
      </w:r>
      <w:r>
        <w:rPr>
          <w:color w:val="auto"/>
          <w:highlight w:val="none"/>
        </w:rPr>
        <w:instrText xml:space="preserve"> HYPERLINK "https://baike.baidu.com/item/%E5%8D%95%E4%BD%8D/32292" \t "_blank" </w:instrText>
      </w:r>
      <w:r>
        <w:rPr>
          <w:color w:val="auto"/>
          <w:highlight w:val="none"/>
        </w:rPr>
        <w:fldChar w:fldCharType="separate"/>
      </w:r>
      <w:r>
        <w:rPr>
          <w:rFonts w:ascii="仿宋" w:hAnsi="仿宋" w:eastAsia="仿宋"/>
          <w:color w:val="auto"/>
          <w:sz w:val="24"/>
          <w:highlight w:val="none"/>
        </w:rPr>
        <w:t>单位</w:t>
      </w:r>
      <w:r>
        <w:rPr>
          <w:rFonts w:ascii="仿宋" w:hAnsi="仿宋" w:eastAsia="仿宋"/>
          <w:color w:val="auto"/>
          <w:sz w:val="24"/>
          <w:highlight w:val="none"/>
        </w:rPr>
        <w:fldChar w:fldCharType="end"/>
      </w:r>
      <w:r>
        <w:rPr>
          <w:rFonts w:ascii="仿宋" w:hAnsi="仿宋" w:eastAsia="仿宋"/>
          <w:color w:val="auto"/>
          <w:sz w:val="24"/>
          <w:highlight w:val="none"/>
        </w:rPr>
        <w:t>任</w:t>
      </w:r>
      <w:r>
        <w:rPr>
          <w:rFonts w:ascii="仿宋" w:hAnsi="仿宋" w:eastAsia="仿宋"/>
          <w:color w:val="auto"/>
          <w:sz w:val="24"/>
          <w:highlight w:val="none"/>
          <w:u w:val="single"/>
        </w:rPr>
        <w:t xml:space="preserve">       </w:t>
      </w:r>
      <w:r>
        <w:rPr>
          <w:rFonts w:ascii="仿宋" w:hAnsi="仿宋" w:eastAsia="仿宋"/>
          <w:color w:val="auto"/>
          <w:sz w:val="24"/>
          <w:highlight w:val="none"/>
        </w:rPr>
        <w:t>（董事长、总经理等）职务，是我单位的法定代表人。</w:t>
      </w:r>
    </w:p>
    <w:p w14:paraId="1449E91C">
      <w:pPr>
        <w:spacing w:line="360" w:lineRule="auto"/>
        <w:ind w:firstLine="480"/>
        <w:rPr>
          <w:rFonts w:hint="eastAsia" w:ascii="仿宋" w:hAnsi="仿宋" w:eastAsia="仿宋"/>
          <w:color w:val="auto"/>
          <w:sz w:val="24"/>
          <w:highlight w:val="none"/>
        </w:rPr>
      </w:pPr>
    </w:p>
    <w:p w14:paraId="464F5031">
      <w:pPr>
        <w:spacing w:line="360" w:lineRule="auto"/>
        <w:ind w:firstLine="480"/>
        <w:rPr>
          <w:rFonts w:hint="eastAsia" w:ascii="仿宋" w:hAnsi="仿宋" w:eastAsia="仿宋"/>
          <w:color w:val="auto"/>
          <w:sz w:val="24"/>
          <w:highlight w:val="none"/>
        </w:rPr>
      </w:pPr>
    </w:p>
    <w:p w14:paraId="56E11C91">
      <w:pPr>
        <w:spacing w:line="360" w:lineRule="auto"/>
        <w:ind w:firstLine="480"/>
        <w:rPr>
          <w:rFonts w:hint="eastAsia" w:ascii="仿宋" w:hAnsi="仿宋" w:eastAsia="仿宋"/>
          <w:color w:val="auto"/>
          <w:sz w:val="24"/>
          <w:highlight w:val="none"/>
        </w:rPr>
      </w:pPr>
      <w:r>
        <w:rPr>
          <w:rFonts w:ascii="仿宋" w:hAnsi="仿宋" w:eastAsia="仿宋"/>
          <w:color w:val="auto"/>
          <w:sz w:val="24"/>
          <w:highlight w:val="none"/>
        </w:rPr>
        <w:t>特此证明。</w:t>
      </w:r>
    </w:p>
    <w:p w14:paraId="17648A6A">
      <w:pPr>
        <w:spacing w:line="360" w:lineRule="auto"/>
        <w:ind w:firstLine="480"/>
        <w:rPr>
          <w:rFonts w:hint="eastAsia" w:ascii="仿宋_GB2312" w:hAnsi="宋体" w:eastAsia="仿宋_GB2312"/>
          <w:color w:val="auto"/>
          <w:sz w:val="24"/>
          <w:highlight w:val="none"/>
        </w:rPr>
      </w:pPr>
      <w:r>
        <w:rPr>
          <w:rFonts w:ascii="仿宋_GB2312" w:hAnsi="宋体" w:eastAsia="仿宋_GB2312"/>
          <w:color w:val="auto"/>
          <w:sz w:val="24"/>
          <w:highlight w:val="none"/>
        </w:rPr>
        <w:t>后附法定代表人身份证正反面</w:t>
      </w:r>
    </w:p>
    <w:p w14:paraId="7EA70C5F">
      <w:pPr>
        <w:spacing w:line="360" w:lineRule="auto"/>
        <w:ind w:firstLine="480"/>
        <w:rPr>
          <w:rFonts w:hint="eastAsia" w:ascii="仿宋" w:hAnsi="仿宋" w:eastAsia="仿宋"/>
          <w:color w:val="auto"/>
          <w:sz w:val="24"/>
          <w:highlight w:val="none"/>
        </w:rPr>
      </w:pPr>
    </w:p>
    <w:p w14:paraId="7BDF0BCC">
      <w:pPr>
        <w:spacing w:line="360" w:lineRule="auto"/>
        <w:ind w:firstLine="480"/>
        <w:rPr>
          <w:rFonts w:hint="eastAsia" w:ascii="仿宋" w:hAnsi="仿宋" w:eastAsia="仿宋"/>
          <w:color w:val="auto"/>
          <w:sz w:val="24"/>
          <w:highlight w:val="none"/>
        </w:rPr>
      </w:pPr>
    </w:p>
    <w:p w14:paraId="0437B20F">
      <w:pPr>
        <w:spacing w:line="360" w:lineRule="auto"/>
        <w:ind w:firstLine="480"/>
        <w:rPr>
          <w:rFonts w:hint="eastAsia" w:ascii="仿宋" w:hAnsi="仿宋" w:eastAsia="仿宋"/>
          <w:color w:val="auto"/>
          <w:sz w:val="24"/>
          <w:highlight w:val="none"/>
        </w:rPr>
      </w:pPr>
    </w:p>
    <w:p w14:paraId="700B0A07">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供应商（盖公</w:t>
      </w:r>
      <w:r>
        <w:rPr>
          <w:rFonts w:ascii="仿宋" w:hAnsi="仿宋" w:eastAsia="仿宋"/>
          <w:color w:val="auto"/>
          <w:sz w:val="24"/>
          <w:highlight w:val="none"/>
        </w:rPr>
        <w:t>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B25C134">
      <w:pPr>
        <w:pStyle w:val="9"/>
        <w:tabs>
          <w:tab w:val="left" w:pos="5580"/>
        </w:tabs>
        <w:spacing w:line="360" w:lineRule="auto"/>
        <w:ind w:left="269" w:leftChars="128" w:firstLine="120" w:firstLineChars="50"/>
        <w:rPr>
          <w:rFonts w:hint="eastAsia" w:ascii="仿宋" w:hAnsi="仿宋" w:eastAsia="仿宋"/>
          <w:color w:val="auto"/>
          <w:sz w:val="24"/>
          <w:highlight w:val="none"/>
        </w:rPr>
      </w:pPr>
      <w:r>
        <w:rPr>
          <w:rFonts w:hint="eastAsia" w:ascii="仿宋" w:hAnsi="仿宋" w:eastAsia="仿宋"/>
          <w:color w:val="auto"/>
          <w:sz w:val="24"/>
          <w:highlight w:val="none"/>
        </w:rPr>
        <w:t>详细通讯地址：</w:t>
      </w:r>
      <w:r>
        <w:rPr>
          <w:rFonts w:hint="eastAsia" w:ascii="仿宋" w:hAnsi="仿宋" w:eastAsia="仿宋"/>
          <w:color w:val="auto"/>
          <w:sz w:val="24"/>
          <w:highlight w:val="none"/>
          <w:u w:val="single"/>
        </w:rPr>
        <w:t xml:space="preserve">                                </w:t>
      </w:r>
    </w:p>
    <w:p w14:paraId="7C013AFF">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邮 政 编 码 ：</w:t>
      </w:r>
      <w:r>
        <w:rPr>
          <w:rFonts w:hint="eastAsia" w:ascii="仿宋" w:hAnsi="仿宋" w:eastAsia="仿宋"/>
          <w:color w:val="auto"/>
          <w:sz w:val="24"/>
          <w:highlight w:val="none"/>
          <w:u w:val="single"/>
        </w:rPr>
        <w:t xml:space="preserve">                                </w:t>
      </w:r>
    </w:p>
    <w:p w14:paraId="2C3D9A3D">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传　　　　真：</w:t>
      </w:r>
      <w:r>
        <w:rPr>
          <w:rFonts w:hint="eastAsia" w:ascii="仿宋" w:hAnsi="仿宋" w:eastAsia="仿宋"/>
          <w:color w:val="auto"/>
          <w:sz w:val="24"/>
          <w:highlight w:val="none"/>
          <w:u w:val="single"/>
        </w:rPr>
        <w:t xml:space="preserve">                                </w:t>
      </w:r>
    </w:p>
    <w:p w14:paraId="3ED3543A">
      <w:pPr>
        <w:pStyle w:val="9"/>
        <w:tabs>
          <w:tab w:val="left" w:pos="5580"/>
        </w:tabs>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电　　　　话：</w:t>
      </w:r>
      <w:r>
        <w:rPr>
          <w:rFonts w:hint="eastAsia" w:ascii="仿宋" w:hAnsi="仿宋" w:eastAsia="仿宋"/>
          <w:color w:val="auto"/>
          <w:sz w:val="24"/>
          <w:highlight w:val="none"/>
          <w:u w:val="single"/>
        </w:rPr>
        <w:t xml:space="preserve">                                </w:t>
      </w:r>
    </w:p>
    <w:p w14:paraId="5E1A8E2A">
      <w:pPr>
        <w:spacing w:line="360" w:lineRule="auto"/>
        <w:ind w:firstLine="480"/>
        <w:rPr>
          <w:rFonts w:hint="eastAsia" w:ascii="仿宋" w:hAnsi="仿宋" w:eastAsia="仿宋"/>
          <w:color w:val="auto"/>
          <w:sz w:val="24"/>
          <w:highlight w:val="none"/>
        </w:rPr>
      </w:pPr>
    </w:p>
    <w:p w14:paraId="076E2035">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注：自然人竞标的无需提供</w:t>
      </w:r>
    </w:p>
    <w:p w14:paraId="203673D3">
      <w:pPr>
        <w:pStyle w:val="3"/>
        <w:spacing w:before="0" w:line="360" w:lineRule="auto"/>
        <w:ind w:left="1080" w:leftChars="257" w:hanging="540"/>
        <w:rPr>
          <w:rFonts w:hint="eastAsia" w:ascii="仿宋" w:hAnsi="仿宋" w:eastAsia="仿宋"/>
          <w:color w:val="auto"/>
          <w:sz w:val="24"/>
          <w:highlight w:val="none"/>
        </w:rPr>
      </w:pPr>
      <w:r>
        <w:rPr>
          <w:rFonts w:ascii="仿宋" w:hAnsi="仿宋" w:eastAsia="仿宋"/>
          <w:color w:val="auto"/>
          <w:highlight w:val="none"/>
        </w:rPr>
        <w:br w:type="page"/>
      </w:r>
    </w:p>
    <w:p w14:paraId="6F64A501">
      <w:pPr>
        <w:pStyle w:val="3"/>
        <w:spacing w:before="0" w:line="360" w:lineRule="auto"/>
        <w:rPr>
          <w:rFonts w:hint="eastAsia" w:ascii="仿宋" w:hAnsi="仿宋" w:eastAsia="仿宋"/>
          <w:color w:val="auto"/>
          <w:sz w:val="24"/>
          <w:highlight w:val="none"/>
        </w:rPr>
      </w:pPr>
      <w:bookmarkStart w:id="372" w:name="_Toc23783550"/>
      <w:bookmarkStart w:id="373" w:name="_Toc133261418"/>
      <w:bookmarkStart w:id="374" w:name="_Toc532473498"/>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法定代表人授权委托书</w:t>
      </w:r>
      <w:bookmarkEnd w:id="372"/>
      <w:bookmarkEnd w:id="373"/>
    </w:p>
    <w:bookmarkEnd w:id="374"/>
    <w:p w14:paraId="78BB7CC8">
      <w:pPr>
        <w:pStyle w:val="9"/>
        <w:tabs>
          <w:tab w:val="left" w:pos="5580"/>
        </w:tabs>
        <w:spacing w:line="360" w:lineRule="auto"/>
        <w:ind w:left="-540" w:leftChars="-257" w:firstLine="900" w:firstLineChars="375"/>
        <w:jc w:val="center"/>
        <w:rPr>
          <w:rFonts w:hint="eastAsia" w:ascii="仿宋" w:hAnsi="仿宋" w:eastAsia="仿宋"/>
          <w:color w:val="auto"/>
          <w:sz w:val="24"/>
          <w:highlight w:val="none"/>
        </w:rPr>
      </w:pPr>
      <w:r>
        <w:rPr>
          <w:rFonts w:hint="eastAsia" w:ascii="仿宋" w:hAnsi="仿宋" w:eastAsia="仿宋"/>
          <w:color w:val="auto"/>
          <w:sz w:val="24"/>
          <w:highlight w:val="none"/>
        </w:rPr>
        <w:cr/>
      </w:r>
    </w:p>
    <w:p w14:paraId="3ED8B410">
      <w:pPr>
        <w:pStyle w:val="9"/>
        <w:tabs>
          <w:tab w:val="left" w:pos="5580"/>
        </w:tabs>
        <w:spacing w:line="360" w:lineRule="auto"/>
        <w:rPr>
          <w:rFonts w:hint="eastAsia" w:ascii="仿宋" w:hAnsi="仿宋" w:eastAsia="仿宋"/>
          <w:color w:val="auto"/>
          <w:sz w:val="24"/>
          <w:highlight w:val="none"/>
        </w:rPr>
      </w:pPr>
      <w:r>
        <w:rPr>
          <w:rFonts w:ascii="仿宋" w:hAnsi="仿宋" w:eastAsia="仿宋"/>
          <w:color w:val="auto"/>
          <w:sz w:val="24"/>
          <w:highlight w:val="none"/>
        </w:rPr>
        <w:cr/>
      </w:r>
      <w:r>
        <w:rPr>
          <w:rFonts w:hint="eastAsia" w:ascii="仿宋" w:hAnsi="仿宋" w:eastAsia="仿宋"/>
          <w:color w:val="auto"/>
          <w:sz w:val="24"/>
          <w:highlight w:val="none"/>
        </w:rPr>
        <w:t xml:space="preserve">    本授权书声明：注册于</w:t>
      </w:r>
      <w:r>
        <w:rPr>
          <w:rFonts w:hint="eastAsia" w:ascii="仿宋" w:hAnsi="仿宋" w:eastAsia="仿宋"/>
          <w:i/>
          <w:color w:val="auto"/>
          <w:sz w:val="24"/>
          <w:highlight w:val="none"/>
          <w:u w:val="single"/>
        </w:rPr>
        <w:t>（国家或地区的名称）</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供应商</w:t>
      </w:r>
      <w:r>
        <w:rPr>
          <w:rFonts w:hint="eastAsia" w:ascii="仿宋" w:hAnsi="仿宋" w:eastAsia="仿宋"/>
          <w:color w:val="auto"/>
          <w:sz w:val="24"/>
          <w:highlight w:val="none"/>
        </w:rPr>
        <w:t>）的在下面签字的（</w:t>
      </w:r>
      <w:r>
        <w:rPr>
          <w:rFonts w:hint="eastAsia" w:ascii="仿宋" w:hAnsi="仿宋" w:eastAsia="仿宋"/>
          <w:i/>
          <w:color w:val="auto"/>
          <w:sz w:val="24"/>
          <w:highlight w:val="none"/>
          <w:u w:val="single"/>
        </w:rPr>
        <w:t>法人代表姓名、职务</w:t>
      </w:r>
      <w:r>
        <w:rPr>
          <w:rFonts w:hint="eastAsia" w:ascii="仿宋" w:hAnsi="仿宋" w:eastAsia="仿宋"/>
          <w:color w:val="auto"/>
          <w:sz w:val="24"/>
          <w:highlight w:val="none"/>
        </w:rPr>
        <w:t>）代表我单位授权在下面签字的（</w:t>
      </w:r>
      <w:r>
        <w:rPr>
          <w:rFonts w:hint="eastAsia" w:ascii="仿宋" w:hAnsi="仿宋" w:eastAsia="仿宋"/>
          <w:i/>
          <w:color w:val="auto"/>
          <w:sz w:val="24"/>
          <w:highlight w:val="none"/>
          <w:u w:val="single"/>
        </w:rPr>
        <w:t>被授权人的姓名</w:t>
      </w:r>
      <w:r>
        <w:rPr>
          <w:rFonts w:hint="eastAsia" w:ascii="仿宋" w:hAnsi="仿宋" w:eastAsia="仿宋"/>
          <w:color w:val="auto"/>
          <w:sz w:val="24"/>
          <w:highlight w:val="none"/>
        </w:rPr>
        <w:t>）为我单位的合法代理人，就</w:t>
      </w:r>
      <w:r>
        <w:rPr>
          <w:rFonts w:hint="eastAsia" w:ascii="仿宋" w:hAnsi="仿宋" w:eastAsia="仿宋"/>
          <w:i/>
          <w:color w:val="auto"/>
          <w:sz w:val="24"/>
          <w:highlight w:val="none"/>
        </w:rPr>
        <w:t>（</w:t>
      </w:r>
      <w:r>
        <w:rPr>
          <w:rFonts w:hint="eastAsia" w:ascii="仿宋" w:hAnsi="仿宋" w:eastAsia="仿宋"/>
          <w:i/>
          <w:color w:val="auto"/>
          <w:sz w:val="24"/>
          <w:highlight w:val="none"/>
          <w:u w:val="single"/>
        </w:rPr>
        <w:t>项目名称</w:t>
      </w:r>
      <w:r>
        <w:rPr>
          <w:rFonts w:hint="eastAsia" w:ascii="仿宋" w:hAnsi="仿宋" w:eastAsia="仿宋"/>
          <w:i/>
          <w:color w:val="auto"/>
          <w:sz w:val="24"/>
          <w:highlight w:val="none"/>
        </w:rPr>
        <w:t>）</w:t>
      </w:r>
      <w:r>
        <w:rPr>
          <w:rFonts w:hint="eastAsia" w:ascii="仿宋" w:hAnsi="仿宋" w:eastAsia="仿宋"/>
          <w:color w:val="auto"/>
          <w:sz w:val="24"/>
          <w:highlight w:val="none"/>
        </w:rPr>
        <w:t>的</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竞标，以我单位名义处理一切与之有关的事务。</w:t>
      </w:r>
      <w:r>
        <w:rPr>
          <w:rFonts w:hint="eastAsia" w:ascii="仿宋" w:hAnsi="仿宋" w:eastAsia="仿宋"/>
          <w:color w:val="auto"/>
          <w:sz w:val="24"/>
          <w:highlight w:val="none"/>
        </w:rPr>
        <w:cr/>
      </w:r>
      <w:r>
        <w:rPr>
          <w:rFonts w:hint="eastAsia" w:ascii="仿宋" w:hAnsi="仿宋" w:eastAsia="仿宋"/>
          <w:color w:val="auto"/>
          <w:sz w:val="24"/>
          <w:highlight w:val="none"/>
        </w:rPr>
        <w:t>　　</w:t>
      </w:r>
    </w:p>
    <w:p w14:paraId="7BF875F6">
      <w:pPr>
        <w:pStyle w:val="9"/>
        <w:tabs>
          <w:tab w:val="left" w:pos="5580"/>
        </w:tabs>
        <w:spacing w:line="360" w:lineRule="auto"/>
        <w:ind w:left="-540" w:leftChars="-257" w:firstLine="900" w:firstLineChars="375"/>
        <w:rPr>
          <w:rFonts w:hint="eastAsia" w:ascii="仿宋" w:hAnsi="仿宋" w:eastAsia="仿宋"/>
          <w:color w:val="auto"/>
          <w:sz w:val="24"/>
          <w:highlight w:val="none"/>
        </w:rPr>
      </w:pPr>
      <w:r>
        <w:rPr>
          <w:rFonts w:hint="eastAsia" w:ascii="仿宋" w:hAnsi="仿宋" w:eastAsia="仿宋"/>
          <w:color w:val="auto"/>
          <w:sz w:val="24"/>
          <w:highlight w:val="none"/>
        </w:rPr>
        <w:t>本授权书于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日签字生效,特此声明。</w:t>
      </w:r>
      <w:r>
        <w:rPr>
          <w:rFonts w:hint="eastAsia" w:ascii="仿宋" w:hAnsi="仿宋" w:eastAsia="仿宋"/>
          <w:color w:val="auto"/>
          <w:sz w:val="24"/>
          <w:highlight w:val="none"/>
        </w:rPr>
        <w:cr/>
      </w:r>
      <w:r>
        <w:rPr>
          <w:rFonts w:hint="eastAsia" w:ascii="仿宋" w:hAnsi="仿宋" w:eastAsia="仿宋"/>
          <w:color w:val="auto"/>
          <w:sz w:val="24"/>
          <w:highlight w:val="none"/>
        </w:rPr>
        <w:cr/>
      </w:r>
      <w:r>
        <w:rPr>
          <w:rFonts w:hint="eastAsia" w:ascii="仿宋" w:hAnsi="仿宋" w:eastAsia="仿宋"/>
          <w:color w:val="auto"/>
          <w:sz w:val="24"/>
          <w:highlight w:val="none"/>
        </w:rPr>
        <w:t xml:space="preserve">       </w:t>
      </w:r>
      <w:r>
        <w:rPr>
          <w:rFonts w:hint="eastAsia" w:ascii="仿宋_GB2312" w:hAnsi="宋体" w:eastAsia="仿宋_GB2312"/>
          <w:color w:val="auto"/>
          <w:sz w:val="24"/>
          <w:highlight w:val="none"/>
        </w:rPr>
        <w:t>后附委托代理人身份证正反面</w:t>
      </w:r>
    </w:p>
    <w:p w14:paraId="57962A04">
      <w:pPr>
        <w:pStyle w:val="9"/>
        <w:tabs>
          <w:tab w:val="left" w:pos="5580"/>
        </w:tabs>
        <w:spacing w:line="360" w:lineRule="auto"/>
        <w:ind w:left="-540" w:leftChars="-257" w:firstLine="900" w:firstLineChars="375"/>
        <w:rPr>
          <w:rFonts w:hint="eastAsia" w:ascii="仿宋" w:hAnsi="仿宋" w:eastAsia="仿宋"/>
          <w:color w:val="auto"/>
          <w:sz w:val="24"/>
          <w:highlight w:val="none"/>
        </w:rPr>
      </w:pPr>
    </w:p>
    <w:p w14:paraId="7E3909EC">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供应商</w:t>
      </w:r>
      <w:r>
        <w:rPr>
          <w:rFonts w:hint="eastAsia" w:ascii="仿宋" w:hAnsi="仿宋" w:eastAsia="仿宋"/>
          <w:color w:val="auto"/>
          <w:sz w:val="24"/>
          <w:highlight w:val="none"/>
        </w:rPr>
        <w:t>（盖公章）：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48D7B57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法定代表人（签字或签章）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775468A4">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EEECE1"/>
        </w:rPr>
        <w:t>身份证号码</w:t>
      </w:r>
      <w:r>
        <w:rPr>
          <w:rFonts w:hint="eastAsia" w:ascii="仿宋" w:hAnsi="仿宋" w:eastAsia="仿宋"/>
          <w:color w:val="auto"/>
          <w:sz w:val="24"/>
          <w:highlight w:val="none"/>
        </w:rPr>
        <w:t xml:space="preserve">：__________________________________ </w:t>
      </w:r>
    </w:p>
    <w:p w14:paraId="1507D01D">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color="FFFFFF"/>
        </w:rPr>
        <w:t>（签字或签章）</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F5D5538">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519B96F">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详细通讯地址</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6D3C555B">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 xml:space="preserve">邮 政 编 码 </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72CA057">
      <w:pPr>
        <w:pStyle w:val="9"/>
        <w:tabs>
          <w:tab w:val="left" w:pos="5580"/>
        </w:tabs>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color="FFFFFF"/>
        </w:rPr>
        <w:t>传　　　　真</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59EB08A8">
      <w:pPr>
        <w:pStyle w:val="9"/>
        <w:tabs>
          <w:tab w:val="left" w:pos="5580"/>
        </w:tabs>
        <w:spacing w:line="360" w:lineRule="auto"/>
        <w:ind w:firstLine="480" w:firstLineChars="200"/>
        <w:rPr>
          <w:rFonts w:hint="eastAsia" w:ascii="仿宋" w:hAnsi="仿宋" w:eastAsia="仿宋"/>
          <w:color w:val="auto"/>
          <w:sz w:val="24"/>
          <w:highlight w:val="none"/>
          <w:u w:val="single"/>
        </w:rPr>
      </w:pPr>
      <w:r>
        <w:rPr>
          <w:rFonts w:hint="eastAsia" w:ascii="仿宋" w:hAnsi="仿宋" w:eastAsia="仿宋"/>
          <w:color w:val="auto"/>
          <w:sz w:val="24"/>
          <w:highlight w:val="none"/>
          <w:u w:val="single" w:color="FFFFFF"/>
        </w:rPr>
        <w:t>电　　　　话</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19C4100">
      <w:pPr>
        <w:pStyle w:val="9"/>
        <w:tabs>
          <w:tab w:val="left" w:pos="5580"/>
        </w:tabs>
        <w:spacing w:line="360" w:lineRule="auto"/>
        <w:ind w:firstLine="480" w:firstLineChars="200"/>
        <w:rPr>
          <w:rFonts w:hint="eastAsia" w:ascii="仿宋" w:hAnsi="仿宋" w:eastAsia="仿宋"/>
          <w:color w:val="auto"/>
          <w:sz w:val="24"/>
          <w:highlight w:val="none"/>
        </w:rPr>
      </w:pPr>
    </w:p>
    <w:p w14:paraId="1690AEF4">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注：自然人竞标的或法定代表人竞标的无需提供</w:t>
      </w:r>
    </w:p>
    <w:p w14:paraId="4CAC164B">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6E0ECD9B">
      <w:pPr>
        <w:pStyle w:val="9"/>
        <w:tabs>
          <w:tab w:val="left" w:pos="5580"/>
        </w:tabs>
        <w:spacing w:line="360" w:lineRule="auto"/>
        <w:ind w:firstLine="480" w:firstLineChars="200"/>
        <w:rPr>
          <w:rFonts w:hint="eastAsia" w:ascii="仿宋" w:hAnsi="仿宋" w:eastAsia="仿宋"/>
          <w:color w:val="auto"/>
          <w:sz w:val="24"/>
          <w:highlight w:val="none"/>
        </w:rPr>
      </w:pPr>
    </w:p>
    <w:p w14:paraId="72568343">
      <w:pPr>
        <w:pStyle w:val="3"/>
        <w:numPr>
          <w:ilvl w:val="0"/>
          <w:numId w:val="0"/>
        </w:numPr>
        <w:spacing w:before="0" w:line="360" w:lineRule="auto"/>
        <w:ind w:left="540" w:left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3 </w:t>
      </w:r>
      <w:r>
        <w:rPr>
          <w:rFonts w:hint="eastAsia" w:ascii="仿宋" w:hAnsi="仿宋" w:eastAsia="仿宋"/>
          <w:color w:val="auto"/>
          <w:sz w:val="24"/>
          <w:highlight w:val="none"/>
        </w:rPr>
        <w:t>承诺书</w:t>
      </w:r>
      <w:bookmarkEnd w:id="325"/>
      <w:bookmarkEnd w:id="366"/>
      <w:bookmarkEnd w:id="367"/>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lang w:eastAsia="zh-CN"/>
        </w:rPr>
        <w:t>）</w:t>
      </w:r>
    </w:p>
    <w:p w14:paraId="7BF685E4">
      <w:pPr>
        <w:tabs>
          <w:tab w:val="left" w:pos="5580"/>
        </w:tabs>
        <w:spacing w:line="360" w:lineRule="auto"/>
        <w:ind w:left="1080" w:hanging="1080"/>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bookmarkEnd w:id="326"/>
      <w:bookmarkEnd w:id="368"/>
      <w:bookmarkEnd w:id="369"/>
      <w:bookmarkEnd w:id="370"/>
      <w:bookmarkEnd w:id="371"/>
    </w:p>
    <w:p w14:paraId="09F9202D">
      <w:pPr>
        <w:tabs>
          <w:tab w:val="left" w:pos="5580"/>
        </w:tabs>
        <w:spacing w:line="360" w:lineRule="auto"/>
        <w:ind w:left="1080" w:hanging="1080"/>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（采购代理机构名称） </w:t>
      </w:r>
      <w:r>
        <w:rPr>
          <w:rFonts w:ascii="仿宋" w:hAnsi="仿宋" w:eastAsia="仿宋"/>
          <w:color w:val="auto"/>
          <w:sz w:val="24"/>
          <w:highlight w:val="none"/>
          <w:u w:val="single"/>
        </w:rPr>
        <w:t xml:space="preserve">     </w:t>
      </w:r>
    </w:p>
    <w:p w14:paraId="7595B950">
      <w:pPr>
        <w:pStyle w:val="9"/>
        <w:tabs>
          <w:tab w:val="left" w:pos="5580"/>
        </w:tabs>
        <w:spacing w:line="360" w:lineRule="auto"/>
        <w:ind w:left="2" w:leftChars="1"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根据贵方(</w:t>
      </w:r>
      <w:r>
        <w:rPr>
          <w:rFonts w:hint="eastAsia" w:ascii="仿宋" w:hAnsi="仿宋" w:eastAsia="仿宋"/>
          <w:i/>
          <w:color w:val="auto"/>
          <w:sz w:val="24"/>
          <w:highlight w:val="none"/>
          <w:u w:val="single"/>
        </w:rPr>
        <w:t>项目名称</w:t>
      </w:r>
      <w:r>
        <w:rPr>
          <w:rFonts w:hint="eastAsia" w:ascii="仿宋" w:hAnsi="仿宋" w:eastAsia="仿宋"/>
          <w:color w:val="auto"/>
          <w:sz w:val="24"/>
          <w:highlight w:val="none"/>
        </w:rPr>
        <w:t>)项目的竞标邀请(</w:t>
      </w:r>
      <w:r>
        <w:rPr>
          <w:rFonts w:hint="eastAsia" w:ascii="仿宋" w:hAnsi="仿宋" w:eastAsia="仿宋"/>
          <w:i/>
          <w:color w:val="auto"/>
          <w:sz w:val="24"/>
          <w:highlight w:val="none"/>
          <w:u w:val="single"/>
        </w:rPr>
        <w:t>标项名称、项目编号</w:t>
      </w:r>
      <w:r>
        <w:rPr>
          <w:rFonts w:hint="eastAsia" w:ascii="仿宋" w:hAnsi="仿宋" w:eastAsia="仿宋"/>
          <w:color w:val="auto"/>
          <w:sz w:val="24"/>
          <w:highlight w:val="none"/>
        </w:rPr>
        <w:t>),签字代表(</w:t>
      </w:r>
      <w:r>
        <w:rPr>
          <w:rFonts w:hint="eastAsia" w:ascii="仿宋" w:hAnsi="仿宋" w:eastAsia="仿宋"/>
          <w:i/>
          <w:color w:val="auto"/>
          <w:sz w:val="24"/>
          <w:highlight w:val="none"/>
          <w:u w:val="single"/>
        </w:rPr>
        <w:t>姓名、职务</w:t>
      </w:r>
      <w:r>
        <w:rPr>
          <w:rFonts w:hint="eastAsia" w:ascii="仿宋" w:hAnsi="仿宋" w:eastAsia="仿宋"/>
          <w:color w:val="auto"/>
          <w:sz w:val="24"/>
          <w:highlight w:val="none"/>
        </w:rPr>
        <w:t>)经正式授权并代表供应商（</w:t>
      </w:r>
      <w:r>
        <w:rPr>
          <w:rFonts w:hint="eastAsia" w:ascii="仿宋" w:hAnsi="仿宋" w:eastAsia="仿宋"/>
          <w:i/>
          <w:color w:val="auto"/>
          <w:sz w:val="24"/>
          <w:highlight w:val="none"/>
          <w:u w:val="single"/>
        </w:rPr>
        <w:t>名称、地址</w:t>
      </w:r>
      <w:r>
        <w:rPr>
          <w:rFonts w:hint="eastAsia" w:ascii="仿宋" w:hAnsi="仿宋" w:eastAsia="仿宋"/>
          <w:color w:val="auto"/>
          <w:sz w:val="24"/>
          <w:highlight w:val="none"/>
        </w:rPr>
        <w:t>）提交响应文件。</w:t>
      </w:r>
    </w:p>
    <w:p w14:paraId="0BF32528">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据此，签字代表宣布同意如下：</w:t>
      </w:r>
    </w:p>
    <w:p w14:paraId="09E52303">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（1）附监理费用构成明细表中规定的应提供服务</w:t>
      </w:r>
      <w:r>
        <w:rPr>
          <w:rFonts w:ascii="仿宋" w:hAnsi="仿宋" w:eastAsia="仿宋"/>
          <w:color w:val="auto"/>
          <w:sz w:val="24"/>
          <w:highlight w:val="none"/>
        </w:rPr>
        <w:t>的</w:t>
      </w:r>
      <w:r>
        <w:rPr>
          <w:rFonts w:hint="eastAsia" w:ascii="仿宋" w:hAnsi="仿宋" w:eastAsia="仿宋"/>
          <w:color w:val="auto"/>
          <w:sz w:val="24"/>
          <w:highlight w:val="none"/>
        </w:rPr>
        <w:t>竞标总价（</w:t>
      </w:r>
      <w:r>
        <w:rPr>
          <w:rFonts w:ascii="仿宋_GB2312" w:hAnsi="宋体" w:eastAsia="仿宋_GB2312"/>
          <w:color w:val="auto"/>
          <w:sz w:val="24"/>
          <w:highlight w:val="none"/>
        </w:rPr>
        <w:t>包括满足本次</w:t>
      </w:r>
      <w:r>
        <w:rPr>
          <w:rFonts w:hint="eastAsia" w:ascii="仿宋_GB2312" w:hAnsi="宋体" w:eastAsia="仿宋_GB2312"/>
          <w:color w:val="auto"/>
          <w:sz w:val="24"/>
          <w:highlight w:val="none"/>
        </w:rPr>
        <w:t>采购</w:t>
      </w:r>
      <w:r>
        <w:rPr>
          <w:rFonts w:ascii="仿宋_GB2312" w:hAnsi="宋体" w:eastAsia="仿宋_GB2312"/>
          <w:color w:val="auto"/>
          <w:sz w:val="24"/>
          <w:highlight w:val="none"/>
        </w:rPr>
        <w:t>全部采购需求所应提供的</w:t>
      </w:r>
      <w:r>
        <w:rPr>
          <w:rFonts w:hint="eastAsia" w:ascii="仿宋_GB2312" w:hAnsi="宋体" w:eastAsia="仿宋_GB2312"/>
          <w:color w:val="auto"/>
          <w:sz w:val="24"/>
          <w:highlight w:val="none"/>
        </w:rPr>
        <w:t>服务</w:t>
      </w:r>
      <w:r>
        <w:rPr>
          <w:rFonts w:hint="eastAsia" w:ascii="仿宋" w:hAnsi="仿宋" w:eastAsia="仿宋"/>
          <w:color w:val="auto"/>
          <w:sz w:val="24"/>
          <w:highlight w:val="none"/>
        </w:rPr>
        <w:t>）详见开标</w:t>
      </w:r>
      <w:r>
        <w:rPr>
          <w:rFonts w:ascii="仿宋" w:hAnsi="仿宋" w:eastAsia="仿宋"/>
          <w:color w:val="auto"/>
          <w:sz w:val="24"/>
          <w:highlight w:val="none"/>
        </w:rPr>
        <w:t>一览表</w:t>
      </w:r>
      <w:r>
        <w:rPr>
          <w:rFonts w:hint="eastAsia" w:ascii="仿宋" w:hAnsi="仿宋" w:eastAsia="仿宋"/>
          <w:color w:val="auto"/>
          <w:sz w:val="24"/>
          <w:highlight w:val="none"/>
        </w:rPr>
        <w:t>。</w:t>
      </w:r>
    </w:p>
    <w:p w14:paraId="367CD56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（2）本磋商有效期为自磋商截止之日起</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个日历日。</w:t>
      </w:r>
    </w:p>
    <w:p w14:paraId="6E138371">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（3）已详细审查全部</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，包括所有补充通知（如果有的话），完全理解并同意放弃对这方面有不明、误解的权利。</w:t>
      </w:r>
    </w:p>
    <w:p w14:paraId="76BBB15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）所报的各分项竞标报价在合同履行过程中是固定不变的，不得以任何理由予以变更。</w:t>
      </w:r>
    </w:p>
    <w:p w14:paraId="198ED5E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）接受价格的算术修正。</w:t>
      </w:r>
    </w:p>
    <w:p w14:paraId="17B1F364">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的规定，在</w:t>
      </w:r>
      <w:r>
        <w:rPr>
          <w:rFonts w:ascii="仿宋" w:hAnsi="仿宋" w:eastAsia="仿宋"/>
          <w:color w:val="auto"/>
          <w:sz w:val="24"/>
          <w:highlight w:val="none"/>
        </w:rPr>
        <w:t>成交后</w:t>
      </w:r>
      <w:r>
        <w:rPr>
          <w:rFonts w:hint="eastAsia" w:ascii="仿宋" w:hAnsi="仿宋" w:eastAsia="仿宋"/>
          <w:color w:val="auto"/>
          <w:sz w:val="24"/>
          <w:highlight w:val="none"/>
        </w:rPr>
        <w:t>向贵方一次性支付</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rPr>
        <w:t>代理费。</w:t>
      </w:r>
    </w:p>
    <w:p w14:paraId="20D2F455">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）按照贵方可能的要求，提供与竞标有关的一切数据或资料，完全理解贵方不一定接受最低价的竞标或收到的任何竞标。</w:t>
      </w:r>
    </w:p>
    <w:p w14:paraId="57F432C6">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的规定履行合同责任和义务。</w:t>
      </w:r>
    </w:p>
    <w:p w14:paraId="4E4CC439">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w:t>
      </w:r>
      <w:r>
        <w:rPr>
          <w:rFonts w:hint="eastAsia" w:ascii="仿宋" w:hAnsi="仿宋" w:eastAsia="仿宋" w:cs="宋体"/>
          <w:color w:val="auto"/>
          <w:kern w:val="0"/>
          <w:sz w:val="24"/>
          <w:highlight w:val="none"/>
        </w:rPr>
        <w:t>我单位保证提供的响应文件的内容真实有效，如有不符，视为提供虚假资料谋取成交，我单位愿承担相应法律责任。</w:t>
      </w:r>
    </w:p>
    <w:p w14:paraId="3F4F1EBD">
      <w:pPr>
        <w:pStyle w:val="24"/>
        <w:widowControl w:val="0"/>
        <w:numPr>
          <w:ilvl w:val="0"/>
          <w:numId w:val="0"/>
        </w:numPr>
        <w:spacing w:line="360" w:lineRule="auto"/>
        <w:ind w:left="600" w:leftChars="0"/>
        <w:jc w:val="both"/>
        <w:rPr>
          <w:rFonts w:hint="eastAsia" w:ascii="仿宋" w:hAnsi="仿宋" w:eastAsia="仿宋"/>
          <w:color w:val="auto"/>
          <w:kern w:val="2"/>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w:t>
      </w:r>
      <w:r>
        <w:rPr>
          <w:rFonts w:hint="eastAsia" w:ascii="仿宋" w:hAnsi="仿宋" w:eastAsia="仿宋"/>
          <w:color w:val="auto"/>
          <w:kern w:val="2"/>
          <w:highlight w:val="none"/>
        </w:rPr>
        <w:t>除</w:t>
      </w:r>
      <w:r>
        <w:rPr>
          <w:rFonts w:ascii="仿宋" w:hAnsi="仿宋" w:eastAsia="仿宋"/>
          <w:color w:val="auto"/>
          <w:kern w:val="2"/>
          <w:highlight w:val="none"/>
        </w:rPr>
        <w:t>不可抗力外，</w:t>
      </w:r>
      <w:r>
        <w:rPr>
          <w:rFonts w:hint="eastAsia" w:ascii="仿宋" w:hAnsi="仿宋" w:eastAsia="仿宋"/>
          <w:color w:val="auto"/>
          <w:kern w:val="2"/>
          <w:highlight w:val="none"/>
        </w:rPr>
        <w:t>我单位如果</w:t>
      </w:r>
      <w:r>
        <w:rPr>
          <w:rFonts w:ascii="仿宋" w:hAnsi="仿宋" w:eastAsia="仿宋"/>
          <w:color w:val="auto"/>
          <w:kern w:val="2"/>
          <w:highlight w:val="none"/>
        </w:rPr>
        <w:t>发生以下行为</w:t>
      </w:r>
      <w:r>
        <w:rPr>
          <w:rFonts w:hint="eastAsia" w:ascii="仿宋" w:hAnsi="仿宋" w:eastAsia="仿宋"/>
          <w:color w:val="auto"/>
          <w:kern w:val="2"/>
          <w:highlight w:val="none"/>
        </w:rPr>
        <w:t>，</w:t>
      </w:r>
      <w:r>
        <w:rPr>
          <w:rFonts w:ascii="仿宋" w:hAnsi="仿宋" w:eastAsia="仿宋"/>
          <w:color w:val="auto"/>
          <w:kern w:val="2"/>
          <w:highlight w:val="none"/>
        </w:rPr>
        <w:t>将</w:t>
      </w:r>
      <w:r>
        <w:rPr>
          <w:rFonts w:hint="eastAsia" w:ascii="仿宋" w:hAnsi="仿宋" w:eastAsia="仿宋"/>
          <w:color w:val="auto"/>
          <w:kern w:val="2"/>
          <w:highlight w:val="none"/>
        </w:rPr>
        <w:t>在</w:t>
      </w:r>
      <w:r>
        <w:rPr>
          <w:rFonts w:ascii="仿宋" w:hAnsi="仿宋" w:eastAsia="仿宋"/>
          <w:color w:val="auto"/>
          <w:kern w:val="2"/>
          <w:highlight w:val="none"/>
        </w:rPr>
        <w:t>行为发生的</w:t>
      </w:r>
      <w:r>
        <w:rPr>
          <w:rFonts w:hint="eastAsia" w:ascii="仿宋" w:hAnsi="仿宋" w:eastAsia="仿宋"/>
          <w:color w:val="auto"/>
          <w:kern w:val="2"/>
          <w:highlight w:val="none"/>
        </w:rPr>
        <w:t>10个</w:t>
      </w:r>
      <w:r>
        <w:rPr>
          <w:rFonts w:ascii="仿宋" w:hAnsi="仿宋" w:eastAsia="仿宋"/>
          <w:color w:val="auto"/>
          <w:kern w:val="2"/>
          <w:highlight w:val="none"/>
        </w:rPr>
        <w:t>工作日内，</w:t>
      </w:r>
      <w:r>
        <w:rPr>
          <w:rFonts w:hint="eastAsia" w:ascii="仿宋" w:hAnsi="仿宋" w:eastAsia="仿宋"/>
          <w:color w:val="auto"/>
          <w:kern w:val="2"/>
          <w:highlight w:val="none"/>
        </w:rPr>
        <w:t>向贵方</w:t>
      </w:r>
      <w:r>
        <w:rPr>
          <w:rFonts w:hint="eastAsia" w:ascii="仿宋" w:hAnsi="仿宋" w:eastAsia="仿宋"/>
          <w:color w:val="auto"/>
          <w:kern w:val="2"/>
          <w:highlight w:val="none"/>
          <w:u w:val="single"/>
        </w:rPr>
        <w:t>（或采购人）</w:t>
      </w:r>
      <w:r>
        <w:rPr>
          <w:rFonts w:hint="eastAsia" w:ascii="仿宋" w:hAnsi="仿宋" w:eastAsia="仿宋"/>
          <w:color w:val="auto"/>
          <w:kern w:val="2"/>
          <w:highlight w:val="none"/>
        </w:rPr>
        <w:t>支付本</w:t>
      </w:r>
      <w:r>
        <w:rPr>
          <w:rFonts w:hint="eastAsia" w:ascii="仿宋" w:hAnsi="仿宋" w:eastAsia="仿宋"/>
          <w:color w:val="auto"/>
          <w:kern w:val="2"/>
          <w:highlight w:val="none"/>
          <w:lang w:eastAsia="zh-CN"/>
        </w:rPr>
        <w:t>竞争性磋商文件</w:t>
      </w:r>
      <w:r>
        <w:rPr>
          <w:rFonts w:hint="eastAsia" w:ascii="仿宋" w:hAnsi="仿宋" w:eastAsia="仿宋"/>
          <w:color w:val="auto"/>
          <w:kern w:val="2"/>
          <w:highlight w:val="none"/>
        </w:rPr>
        <w:t>公布的预算金额（或</w:t>
      </w:r>
      <w:r>
        <w:rPr>
          <w:rFonts w:ascii="仿宋" w:hAnsi="仿宋" w:eastAsia="仿宋"/>
          <w:color w:val="auto"/>
          <w:kern w:val="2"/>
          <w:highlight w:val="none"/>
        </w:rPr>
        <w:t>最高限价</w:t>
      </w:r>
      <w:r>
        <w:rPr>
          <w:rFonts w:hint="eastAsia" w:ascii="仿宋" w:hAnsi="仿宋" w:eastAsia="仿宋"/>
          <w:color w:val="auto"/>
          <w:kern w:val="2"/>
          <w:highlight w:val="none"/>
        </w:rPr>
        <w:t>）的2%作为违约赔偿金。</w:t>
      </w:r>
    </w:p>
    <w:p w14:paraId="27ABBCDC">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①</w:t>
      </w:r>
      <w:r>
        <w:rPr>
          <w:rFonts w:hint="eastAsia" w:ascii="仿宋" w:hAnsi="仿宋" w:eastAsia="仿宋"/>
          <w:color w:val="auto"/>
          <w:kern w:val="2"/>
          <w:highlight w:val="none"/>
        </w:rPr>
        <w:t>自响应文件提交截止时间</w:t>
      </w:r>
      <w:r>
        <w:rPr>
          <w:rFonts w:ascii="仿宋" w:hAnsi="仿宋" w:eastAsia="仿宋"/>
          <w:color w:val="auto"/>
          <w:kern w:val="2"/>
          <w:highlight w:val="none"/>
        </w:rPr>
        <w:t>至</w:t>
      </w:r>
      <w:r>
        <w:rPr>
          <w:rFonts w:hint="eastAsia" w:ascii="仿宋" w:hAnsi="仿宋" w:eastAsia="仿宋"/>
          <w:color w:val="auto"/>
          <w:kern w:val="2"/>
          <w:highlight w:val="none"/>
        </w:rPr>
        <w:t>本</w:t>
      </w:r>
      <w:r>
        <w:rPr>
          <w:rFonts w:ascii="仿宋" w:hAnsi="仿宋" w:eastAsia="仿宋"/>
          <w:color w:val="auto"/>
          <w:kern w:val="2"/>
          <w:highlight w:val="none"/>
        </w:rPr>
        <w:t>项目</w:t>
      </w:r>
      <w:r>
        <w:rPr>
          <w:rFonts w:hint="eastAsia" w:ascii="仿宋" w:hAnsi="仿宋" w:eastAsia="仿宋"/>
          <w:color w:val="auto"/>
          <w:kern w:val="2"/>
          <w:highlight w:val="none"/>
        </w:rPr>
        <w:t>发布成交</w:t>
      </w:r>
      <w:r>
        <w:rPr>
          <w:rFonts w:ascii="仿宋" w:hAnsi="仿宋" w:eastAsia="仿宋"/>
          <w:color w:val="auto"/>
          <w:kern w:val="2"/>
          <w:highlight w:val="none"/>
        </w:rPr>
        <w:t>公告为止</w:t>
      </w:r>
      <w:r>
        <w:rPr>
          <w:rFonts w:hint="eastAsia" w:ascii="仿宋" w:hAnsi="仿宋" w:eastAsia="仿宋"/>
          <w:color w:val="auto"/>
          <w:kern w:val="2"/>
          <w:highlight w:val="none"/>
        </w:rPr>
        <w:t>，撤销</w:t>
      </w:r>
      <w:r>
        <w:rPr>
          <w:rFonts w:ascii="仿宋" w:hAnsi="仿宋" w:eastAsia="仿宋"/>
          <w:color w:val="auto"/>
          <w:kern w:val="2"/>
          <w:highlight w:val="none"/>
        </w:rPr>
        <w:t>竞标</w:t>
      </w:r>
      <w:r>
        <w:rPr>
          <w:rFonts w:hint="eastAsia" w:ascii="仿宋" w:hAnsi="仿宋" w:eastAsia="仿宋"/>
          <w:color w:val="auto"/>
          <w:kern w:val="2"/>
          <w:highlight w:val="none"/>
        </w:rPr>
        <w:t>；</w:t>
      </w:r>
    </w:p>
    <w:p w14:paraId="1EA8FA1A">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②</w:t>
      </w:r>
      <w:r>
        <w:rPr>
          <w:rFonts w:hint="eastAsia" w:ascii="仿宋" w:hAnsi="仿宋" w:eastAsia="仿宋"/>
          <w:color w:val="auto"/>
          <w:kern w:val="2"/>
          <w:highlight w:val="none"/>
        </w:rPr>
        <w:t>成交后不依法与采购人签订合同；</w:t>
      </w:r>
    </w:p>
    <w:p w14:paraId="4F9050AD">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③</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w:t>
      </w:r>
      <w:r>
        <w:rPr>
          <w:rFonts w:ascii="仿宋" w:hAnsi="仿宋" w:eastAsia="仿宋"/>
          <w:color w:val="auto"/>
          <w:kern w:val="2"/>
          <w:highlight w:val="none"/>
        </w:rPr>
        <w:t>采购人</w:t>
      </w:r>
      <w:r>
        <w:rPr>
          <w:rFonts w:hint="eastAsia" w:ascii="仿宋" w:hAnsi="仿宋" w:eastAsia="仿宋"/>
          <w:color w:val="auto"/>
          <w:kern w:val="2"/>
          <w:highlight w:val="none"/>
        </w:rPr>
        <w:t>提交履约保证金；</w:t>
      </w:r>
    </w:p>
    <w:p w14:paraId="63A8D346">
      <w:pPr>
        <w:pStyle w:val="24"/>
        <w:widowControl w:val="0"/>
        <w:numPr>
          <w:ilvl w:val="0"/>
          <w:numId w:val="0"/>
        </w:numPr>
        <w:spacing w:line="360" w:lineRule="auto"/>
        <w:ind w:left="567" w:leftChars="0" w:firstLine="240" w:firstLineChars="100"/>
        <w:jc w:val="both"/>
        <w:rPr>
          <w:rFonts w:hint="eastAsia" w:ascii="仿宋" w:hAnsi="仿宋" w:eastAsia="仿宋"/>
          <w:color w:val="auto"/>
          <w:kern w:val="2"/>
          <w:highlight w:val="none"/>
        </w:rPr>
      </w:pPr>
      <w:r>
        <w:rPr>
          <w:rFonts w:hint="eastAsia" w:ascii="仿宋" w:hAnsi="仿宋" w:eastAsia="仿宋"/>
          <w:color w:val="auto"/>
          <w:kern w:val="2"/>
          <w:highlight w:val="none"/>
          <w:lang w:val="en-US" w:eastAsia="zh-CN"/>
        </w:rPr>
        <w:t>④</w:t>
      </w:r>
      <w:r>
        <w:rPr>
          <w:rFonts w:hint="eastAsia" w:ascii="仿宋" w:hAnsi="仿宋" w:eastAsia="仿宋"/>
          <w:color w:val="auto"/>
          <w:kern w:val="2"/>
          <w:highlight w:val="none"/>
        </w:rPr>
        <w:t>成交后不按照本</w:t>
      </w:r>
      <w:r>
        <w:rPr>
          <w:rFonts w:hint="eastAsia" w:ascii="仿宋" w:hAnsi="仿宋" w:eastAsia="仿宋"/>
          <w:color w:val="auto"/>
          <w:kern w:val="2"/>
          <w:highlight w:val="none"/>
          <w:lang w:eastAsia="zh-CN"/>
        </w:rPr>
        <w:t>竞争性磋商文件</w:t>
      </w:r>
      <w:r>
        <w:rPr>
          <w:rFonts w:ascii="仿宋" w:hAnsi="仿宋" w:eastAsia="仿宋"/>
          <w:color w:val="auto"/>
          <w:kern w:val="2"/>
          <w:highlight w:val="none"/>
        </w:rPr>
        <w:t>规定</w:t>
      </w:r>
      <w:r>
        <w:rPr>
          <w:rFonts w:hint="eastAsia" w:ascii="仿宋" w:hAnsi="仿宋" w:eastAsia="仿宋"/>
          <w:color w:val="auto"/>
          <w:kern w:val="2"/>
          <w:highlight w:val="none"/>
        </w:rPr>
        <w:t>向贵方缴纳招标代理费。</w:t>
      </w:r>
    </w:p>
    <w:p w14:paraId="37D46494">
      <w:pPr>
        <w:pStyle w:val="24"/>
        <w:widowControl w:val="0"/>
        <w:numPr>
          <w:ilvl w:val="0"/>
          <w:numId w:val="0"/>
        </w:numPr>
        <w:spacing w:line="360" w:lineRule="auto"/>
        <w:ind w:left="600" w:leftChars="0" w:firstLine="480" w:firstLineChars="200"/>
        <w:jc w:val="both"/>
        <w:rPr>
          <w:rFonts w:hint="eastAsia" w:ascii="仿宋" w:hAnsi="仿宋" w:eastAsia="仿宋"/>
          <w:color w:val="auto"/>
          <w:kern w:val="2"/>
          <w:highlight w:val="none"/>
        </w:rPr>
      </w:pPr>
      <w:r>
        <w:rPr>
          <w:rFonts w:hint="eastAsia" w:ascii="仿宋" w:hAnsi="仿宋" w:eastAsia="仿宋"/>
          <w:color w:val="auto"/>
          <w:kern w:val="2"/>
          <w:highlight w:val="none"/>
        </w:rPr>
        <w:t>我单位</w:t>
      </w:r>
      <w:r>
        <w:rPr>
          <w:rFonts w:ascii="仿宋" w:hAnsi="仿宋" w:eastAsia="仿宋"/>
          <w:color w:val="auto"/>
          <w:kern w:val="2"/>
          <w:highlight w:val="none"/>
        </w:rPr>
        <w:t>知晓上述行为的法律后果，承认</w:t>
      </w:r>
      <w:r>
        <w:rPr>
          <w:rFonts w:hint="eastAsia" w:ascii="仿宋" w:hAnsi="仿宋" w:eastAsia="仿宋"/>
          <w:color w:val="auto"/>
          <w:kern w:val="2"/>
          <w:highlight w:val="none"/>
        </w:rPr>
        <w:t>本承诺书</w:t>
      </w:r>
      <w:r>
        <w:rPr>
          <w:rFonts w:ascii="仿宋" w:hAnsi="仿宋" w:eastAsia="仿宋"/>
          <w:color w:val="auto"/>
          <w:kern w:val="2"/>
          <w:highlight w:val="none"/>
        </w:rPr>
        <w:t>作为</w:t>
      </w:r>
      <w:r>
        <w:rPr>
          <w:rFonts w:hint="eastAsia" w:ascii="仿宋" w:hAnsi="仿宋" w:eastAsia="仿宋"/>
          <w:color w:val="auto"/>
          <w:kern w:val="2"/>
          <w:highlight w:val="none"/>
        </w:rPr>
        <w:t>贵方</w:t>
      </w:r>
      <w:r>
        <w:rPr>
          <w:rFonts w:hint="eastAsia" w:ascii="仿宋" w:hAnsi="仿宋" w:eastAsia="仿宋"/>
          <w:color w:val="auto"/>
          <w:kern w:val="2"/>
          <w:highlight w:val="none"/>
          <w:u w:val="single"/>
        </w:rPr>
        <w:t>（或采购人）</w:t>
      </w:r>
      <w:r>
        <w:rPr>
          <w:rFonts w:ascii="仿宋" w:hAnsi="仿宋" w:eastAsia="仿宋"/>
          <w:color w:val="auto"/>
          <w:kern w:val="2"/>
          <w:highlight w:val="none"/>
        </w:rPr>
        <w:t>要求</w:t>
      </w:r>
      <w:r>
        <w:rPr>
          <w:rFonts w:hint="eastAsia" w:ascii="仿宋" w:hAnsi="仿宋" w:eastAsia="仿宋"/>
          <w:color w:val="auto"/>
          <w:kern w:val="2"/>
          <w:highlight w:val="none"/>
        </w:rPr>
        <w:t>我单位</w:t>
      </w:r>
      <w:r>
        <w:rPr>
          <w:rFonts w:ascii="仿宋" w:hAnsi="仿宋" w:eastAsia="仿宋"/>
          <w:color w:val="auto"/>
          <w:kern w:val="2"/>
          <w:highlight w:val="none"/>
        </w:rPr>
        <w:t>履行</w:t>
      </w:r>
      <w:r>
        <w:rPr>
          <w:rFonts w:hint="eastAsia" w:ascii="仿宋" w:hAnsi="仿宋" w:eastAsia="仿宋"/>
          <w:color w:val="auto"/>
          <w:kern w:val="2"/>
          <w:highlight w:val="none"/>
        </w:rPr>
        <w:t>违约赔偿</w:t>
      </w:r>
      <w:r>
        <w:rPr>
          <w:rFonts w:ascii="仿宋" w:hAnsi="仿宋" w:eastAsia="仿宋"/>
          <w:color w:val="auto"/>
          <w:kern w:val="2"/>
          <w:highlight w:val="none"/>
        </w:rPr>
        <w:t>义务的</w:t>
      </w:r>
      <w:r>
        <w:rPr>
          <w:rFonts w:hint="eastAsia" w:ascii="仿宋" w:hAnsi="仿宋" w:eastAsia="仿宋"/>
          <w:color w:val="auto"/>
          <w:kern w:val="2"/>
          <w:highlight w:val="none"/>
        </w:rPr>
        <w:t>依据作用</w:t>
      </w:r>
      <w:r>
        <w:rPr>
          <w:rFonts w:ascii="仿宋" w:hAnsi="仿宋" w:eastAsia="仿宋"/>
          <w:color w:val="auto"/>
          <w:kern w:val="2"/>
          <w:highlight w:val="none"/>
        </w:rPr>
        <w:t>。</w:t>
      </w:r>
    </w:p>
    <w:p w14:paraId="4E46E3B7">
      <w:pPr>
        <w:pStyle w:val="9"/>
        <w:tabs>
          <w:tab w:val="left" w:pos="5580"/>
        </w:tabs>
        <w:spacing w:line="360" w:lineRule="auto"/>
        <w:ind w:left="1080" w:leftChars="257" w:hanging="540"/>
        <w:rPr>
          <w:rFonts w:hint="eastAsia" w:ascii="仿宋" w:hAnsi="仿宋" w:eastAsia="仿宋"/>
          <w:color w:val="auto"/>
          <w:sz w:val="24"/>
          <w:highlight w:val="none"/>
        </w:rPr>
      </w:pPr>
    </w:p>
    <w:p w14:paraId="03E0EBB4">
      <w:pPr>
        <w:pStyle w:val="9"/>
        <w:tabs>
          <w:tab w:val="left" w:pos="5580"/>
        </w:tabs>
        <w:spacing w:line="360" w:lineRule="auto"/>
        <w:ind w:left="359" w:leftChars="68" w:hanging="216" w:hangingChars="90"/>
        <w:rPr>
          <w:rFonts w:hint="eastAsia" w:ascii="仿宋" w:hAnsi="仿宋" w:eastAsia="仿宋"/>
          <w:color w:val="auto"/>
          <w:sz w:val="24"/>
          <w:highlight w:val="none"/>
        </w:rPr>
      </w:pPr>
    </w:p>
    <w:p w14:paraId="66BF19F3">
      <w:pPr>
        <w:pStyle w:val="9"/>
        <w:tabs>
          <w:tab w:val="left" w:pos="5580"/>
        </w:tabs>
        <w:spacing w:line="360" w:lineRule="auto"/>
        <w:ind w:left="359" w:leftChars="68" w:hanging="216" w:hangingChars="90"/>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与本磋商有关的一切正式往来信函请寄：</w:t>
      </w:r>
    </w:p>
    <w:p w14:paraId="4C537D02">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传真：</w:t>
      </w:r>
      <w:r>
        <w:rPr>
          <w:rFonts w:hint="eastAsia" w:ascii="仿宋" w:hAnsi="仿宋" w:eastAsia="仿宋"/>
          <w:color w:val="auto"/>
          <w:sz w:val="24"/>
          <w:highlight w:val="none"/>
          <w:u w:val="single"/>
        </w:rPr>
        <w:t xml:space="preserve">                             </w:t>
      </w:r>
    </w:p>
    <w:p w14:paraId="39EF87A0">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电子函件：</w:t>
      </w:r>
      <w:r>
        <w:rPr>
          <w:rFonts w:hint="eastAsia" w:ascii="仿宋" w:hAnsi="仿宋" w:eastAsia="仿宋"/>
          <w:color w:val="auto"/>
          <w:sz w:val="24"/>
          <w:highlight w:val="none"/>
          <w:u w:val="single"/>
        </w:rPr>
        <w:t xml:space="preserve">                         </w:t>
      </w:r>
    </w:p>
    <w:p w14:paraId="3532CD0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78F17A4F">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2EE1BF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供应商开户银行（全称）：</w:t>
      </w:r>
      <w:r>
        <w:rPr>
          <w:rFonts w:hint="eastAsia" w:ascii="仿宋" w:hAnsi="仿宋" w:eastAsia="仿宋"/>
          <w:color w:val="auto"/>
          <w:sz w:val="24"/>
          <w:highlight w:val="none"/>
          <w:u w:val="single"/>
        </w:rPr>
        <w:t xml:space="preserve">                 </w:t>
      </w:r>
    </w:p>
    <w:p w14:paraId="63B2AE1C">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供应商银行帐号：</w:t>
      </w:r>
      <w:r>
        <w:rPr>
          <w:rFonts w:hint="eastAsia" w:ascii="仿宋" w:hAnsi="仿宋" w:eastAsia="仿宋"/>
          <w:color w:val="auto"/>
          <w:sz w:val="24"/>
          <w:highlight w:val="none"/>
          <w:u w:val="single"/>
        </w:rPr>
        <w:t xml:space="preserve">                 </w:t>
      </w:r>
    </w:p>
    <w:p w14:paraId="58CE65E6">
      <w:pPr>
        <w:pStyle w:val="9"/>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bookmarkStart w:id="375" w:name="_Toc23473"/>
      <w:bookmarkStart w:id="376" w:name="_Toc1266"/>
      <w:bookmarkStart w:id="377" w:name="_Toc532473506"/>
      <w:r>
        <w:rPr>
          <w:rFonts w:ascii="仿宋" w:hAnsi="仿宋" w:eastAsia="仿宋"/>
          <w:color w:val="auto"/>
          <w:sz w:val="24"/>
          <w:highlight w:val="none"/>
        </w:rPr>
        <w:t xml:space="preserve"> </w:t>
      </w:r>
      <w:bookmarkEnd w:id="375"/>
      <w:bookmarkEnd w:id="376"/>
      <w:bookmarkEnd w:id="377"/>
      <w:bookmarkStart w:id="378" w:name="_Hlt520355938"/>
      <w:bookmarkEnd w:id="378"/>
      <w:bookmarkStart w:id="379" w:name="_Hlt520356243"/>
      <w:bookmarkEnd w:id="379"/>
    </w:p>
    <w:p w14:paraId="4F1667DA">
      <w:pPr>
        <w:rPr>
          <w:rFonts w:hint="eastAsia" w:ascii="仿宋" w:hAnsi="仿宋" w:eastAsia="仿宋"/>
          <w:color w:val="auto"/>
          <w:sz w:val="24"/>
          <w:highlight w:val="none"/>
        </w:rPr>
      </w:pPr>
      <w:r>
        <w:rPr>
          <w:rFonts w:hint="eastAsia" w:ascii="仿宋" w:hAnsi="仿宋" w:eastAsia="仿宋"/>
          <w:color w:val="auto"/>
          <w:sz w:val="24"/>
          <w:highlight w:val="none"/>
        </w:rPr>
        <w:br w:type="page"/>
      </w:r>
    </w:p>
    <w:p w14:paraId="5AD0768C">
      <w:pPr>
        <w:pStyle w:val="9"/>
        <w:spacing w:line="360" w:lineRule="auto"/>
        <w:ind w:firstLine="480" w:firstLineChars="200"/>
        <w:rPr>
          <w:rFonts w:hint="eastAsia" w:ascii="仿宋" w:hAnsi="仿宋" w:eastAsia="仿宋"/>
          <w:color w:val="auto"/>
          <w:sz w:val="24"/>
          <w:highlight w:val="none"/>
        </w:rPr>
      </w:pPr>
    </w:p>
    <w:p w14:paraId="474E59DC">
      <w:pPr>
        <w:pStyle w:val="3"/>
        <w:numPr>
          <w:ilvl w:val="0"/>
          <w:numId w:val="0"/>
        </w:numPr>
        <w:spacing w:before="0" w:line="400" w:lineRule="exact"/>
        <w:ind w:left="540" w:leftChars="0"/>
        <w:rPr>
          <w:rFonts w:hint="eastAsia" w:ascii="仿宋" w:hAnsi="仿宋" w:eastAsia="仿宋"/>
          <w:color w:val="auto"/>
          <w:sz w:val="24"/>
          <w:highlight w:val="none"/>
        </w:rPr>
      </w:pPr>
      <w:bookmarkStart w:id="380" w:name="_Toc133261428"/>
      <w:bookmarkStart w:id="381" w:name="_Toc532473507"/>
      <w:bookmarkStart w:id="382" w:name="_Toc20897"/>
      <w:bookmarkStart w:id="383" w:name="_Toc1881"/>
      <w:bookmarkStart w:id="384" w:name="_Toc515647818"/>
      <w:bookmarkStart w:id="385" w:name="_Toc28959"/>
      <w:bookmarkStart w:id="386" w:name="_Toc23783561"/>
      <w:bookmarkStart w:id="387" w:name="_Toc216582817"/>
      <w:bookmarkStart w:id="388" w:name="_Toc22563"/>
      <w:bookmarkStart w:id="389" w:name="_Toc532473509"/>
      <w:bookmarkStart w:id="390" w:name="_Toc515647820"/>
      <w:r>
        <w:rPr>
          <w:rFonts w:hint="eastAsia" w:ascii="仿宋" w:hAnsi="仿宋" w:eastAsia="仿宋"/>
          <w:color w:val="auto"/>
          <w:sz w:val="24"/>
          <w:highlight w:val="none"/>
          <w:lang w:val="en-US" w:eastAsia="zh-CN"/>
        </w:rPr>
        <w:t>4 承诺书（二）</w:t>
      </w:r>
    </w:p>
    <w:p w14:paraId="4984E8B0">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xml:space="preserve">采购人：                 </w:t>
      </w:r>
    </w:p>
    <w:p w14:paraId="261682F7">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若我公司成交后，项目总监为：</w:t>
      </w:r>
    </w:p>
    <w:tbl>
      <w:tblPr>
        <w:tblStyle w:val="18"/>
        <w:tblW w:w="85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7"/>
        <w:gridCol w:w="1985"/>
        <w:gridCol w:w="1891"/>
        <w:gridCol w:w="2127"/>
      </w:tblGrid>
      <w:tr w14:paraId="578F55F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6F8AB14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姓名</w:t>
            </w:r>
          </w:p>
        </w:tc>
        <w:tc>
          <w:tcPr>
            <w:tcW w:w="1985"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551F2B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c>
          <w:tcPr>
            <w:tcW w:w="1891"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3BFCB98">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职称</w:t>
            </w:r>
          </w:p>
        </w:tc>
        <w:tc>
          <w:tcPr>
            <w:tcW w:w="2127"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64DEC59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7E672E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70A188BE">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注册监理工程师证号</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552D85A7">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r w14:paraId="3C0D8F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51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D886B8D">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身份证号码</w:t>
            </w:r>
          </w:p>
        </w:tc>
        <w:tc>
          <w:tcPr>
            <w:tcW w:w="6003" w:type="dxa"/>
            <w:gridSpan w:val="3"/>
            <w:tcBorders>
              <w:top w:val="nil"/>
              <w:left w:val="nil"/>
              <w:bottom w:val="single" w:color="auto" w:sz="8" w:space="0"/>
              <w:right w:val="single" w:color="auto" w:sz="8" w:space="0"/>
            </w:tcBorders>
            <w:shd w:val="clear" w:color="auto" w:fill="auto"/>
            <w:tcMar>
              <w:left w:w="108" w:type="dxa"/>
              <w:right w:w="108" w:type="dxa"/>
            </w:tcMar>
          </w:tcPr>
          <w:p w14:paraId="0F325AAF">
            <w:pPr>
              <w:widowControl/>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 </w:t>
            </w:r>
          </w:p>
        </w:tc>
      </w:tr>
    </w:tbl>
    <w:p w14:paraId="53BF46F2">
      <w:pPr>
        <w:widowControl/>
        <w:snapToGrid w:val="0"/>
        <w:spacing w:line="600" w:lineRule="exact"/>
        <w:ind w:firstLine="480" w:firstLineChars="20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成交后，若由于特殊原因须更换时，我方将以不低于此项目总监信誉的人员替换，并报业主审查。经审查通过后，方可更换。若未经业主批准，我方擅自更换，我方愿以合同价的</w:t>
      </w:r>
      <w:r>
        <w:rPr>
          <w:rFonts w:hint="eastAsia" w:ascii="仿宋" w:hAnsi="仿宋" w:eastAsia="仿宋" w:cs="Times New Roman"/>
          <w:color w:val="auto"/>
          <w:kern w:val="2"/>
          <w:sz w:val="24"/>
          <w:szCs w:val="20"/>
          <w:highlight w:val="none"/>
          <w:u w:val="single"/>
          <w:lang w:val="en-US" w:eastAsia="zh-CN" w:bidi="ar-SA"/>
        </w:rPr>
        <w:t xml:space="preserve">    %</w:t>
      </w:r>
      <w:r>
        <w:rPr>
          <w:rFonts w:hint="eastAsia" w:ascii="仿宋" w:hAnsi="仿宋" w:eastAsia="仿宋" w:cs="Times New Roman"/>
          <w:color w:val="auto"/>
          <w:kern w:val="2"/>
          <w:sz w:val="24"/>
          <w:szCs w:val="20"/>
          <w:highlight w:val="none"/>
          <w:lang w:val="en-US" w:eastAsia="zh-CN" w:bidi="ar-SA"/>
        </w:rPr>
        <w:t>作为赔偿金。</w:t>
      </w:r>
    </w:p>
    <w:p w14:paraId="37E7A695">
      <w:pPr>
        <w:pStyle w:val="9"/>
        <w:tabs>
          <w:tab w:val="left" w:pos="5370"/>
        </w:tabs>
        <w:spacing w:line="360" w:lineRule="auto"/>
        <w:ind w:left="1080" w:leftChars="257" w:hanging="540"/>
        <w:rPr>
          <w:rFonts w:hint="eastAsia" w:ascii="仿宋" w:hAnsi="仿宋" w:eastAsia="仿宋"/>
          <w:color w:val="auto"/>
          <w:sz w:val="24"/>
          <w:highlight w:val="none"/>
        </w:rPr>
      </w:pPr>
    </w:p>
    <w:p w14:paraId="1BCDF108">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6156E56">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3AD0BFAD">
      <w:pPr>
        <w:widowControl/>
        <w:snapToGrid w:val="0"/>
        <w:spacing w:line="600" w:lineRule="exact"/>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附：项目总监身份证（正反双面）</w:t>
      </w:r>
    </w:p>
    <w:p w14:paraId="1F072571">
      <w:pP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br w:type="page"/>
      </w:r>
    </w:p>
    <w:p w14:paraId="4D375B8B">
      <w:pPr>
        <w:widowControl/>
        <w:snapToGrid w:val="0"/>
        <w:spacing w:line="600" w:lineRule="exact"/>
        <w:ind w:firstLine="480" w:firstLineChars="200"/>
        <w:jc w:val="center"/>
        <w:rPr>
          <w:rFonts w:hint="eastAsia" w:cs="宋体" w:asciiTheme="minorEastAsia" w:hAnsiTheme="minorEastAsia"/>
          <w:color w:val="000000" w:themeColor="text1"/>
          <w:kern w:val="0"/>
          <w:sz w:val="24"/>
          <w:szCs w:val="24"/>
          <w:shd w:val="clear" w:color="auto" w:fill="FFFFFF"/>
          <w14:textFill>
            <w14:solidFill>
              <w14:schemeClr w14:val="tx1"/>
            </w14:solidFill>
          </w14:textFill>
        </w:rPr>
      </w:pPr>
    </w:p>
    <w:bookmarkEnd w:id="380"/>
    <w:p w14:paraId="6E09EEC8">
      <w:pPr>
        <w:pStyle w:val="5"/>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5  监理费用构成明细表</w:t>
      </w:r>
    </w:p>
    <w:p w14:paraId="417197B3">
      <w:pPr>
        <w:pStyle w:val="7"/>
      </w:pPr>
      <w:r>
        <w:rPr>
          <w:rFonts w:hint="eastAsia" w:ascii="仿宋_GB2312" w:eastAsia="仿宋_GB2312"/>
          <w:color w:val="auto"/>
          <w:sz w:val="24"/>
          <w:highlight w:val="none"/>
        </w:rPr>
        <w:t xml:space="preserve">项目名称: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项目编号: </w:t>
      </w:r>
    </w:p>
    <w:tbl>
      <w:tblPr>
        <w:tblStyle w:val="18"/>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51"/>
        <w:gridCol w:w="1700"/>
        <w:gridCol w:w="1696"/>
        <w:gridCol w:w="981"/>
        <w:gridCol w:w="1418"/>
        <w:gridCol w:w="1430"/>
        <w:gridCol w:w="1388"/>
      </w:tblGrid>
      <w:tr w14:paraId="04A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2B4E251C">
            <w:pPr>
              <w:jc w:val="center"/>
              <w:rPr>
                <w:rFonts w:ascii="仿宋" w:hAnsi="仿宋" w:eastAsia="仿宋"/>
                <w:bCs/>
                <w:color w:val="auto"/>
                <w:sz w:val="24"/>
                <w:highlight w:val="none"/>
              </w:rPr>
            </w:pPr>
            <w:r>
              <w:rPr>
                <w:rFonts w:hint="eastAsia" w:ascii="仿宋" w:hAnsi="仿宋" w:eastAsia="仿宋"/>
                <w:bCs/>
                <w:color w:val="auto"/>
                <w:sz w:val="24"/>
                <w:highlight w:val="none"/>
              </w:rPr>
              <w:t>序</w:t>
            </w:r>
          </w:p>
          <w:p w14:paraId="2EE23157">
            <w:pPr>
              <w:jc w:val="center"/>
              <w:rPr>
                <w:rFonts w:ascii="仿宋" w:hAnsi="仿宋" w:eastAsia="仿宋"/>
                <w:bCs/>
                <w:color w:val="auto"/>
                <w:sz w:val="24"/>
                <w:highlight w:val="none"/>
              </w:rPr>
            </w:pPr>
            <w:r>
              <w:rPr>
                <w:rFonts w:hint="eastAsia" w:ascii="仿宋" w:hAnsi="仿宋" w:eastAsia="仿宋"/>
                <w:bCs/>
                <w:color w:val="auto"/>
                <w:sz w:val="24"/>
                <w:highlight w:val="none"/>
              </w:rPr>
              <w:t>号</w:t>
            </w:r>
          </w:p>
        </w:tc>
        <w:tc>
          <w:tcPr>
            <w:tcW w:w="4247" w:type="dxa"/>
            <w:gridSpan w:val="3"/>
            <w:vMerge w:val="restart"/>
            <w:tcBorders>
              <w:top w:val="single" w:color="auto" w:sz="4" w:space="0"/>
              <w:left w:val="single" w:color="auto" w:sz="4" w:space="0"/>
              <w:bottom w:val="single" w:color="auto" w:sz="4" w:space="0"/>
              <w:right w:val="single" w:color="auto" w:sz="4" w:space="0"/>
            </w:tcBorders>
            <w:vAlign w:val="center"/>
          </w:tcPr>
          <w:p w14:paraId="342AEF05">
            <w:pPr>
              <w:jc w:val="center"/>
              <w:rPr>
                <w:rFonts w:ascii="仿宋" w:hAnsi="仿宋" w:eastAsia="仿宋"/>
                <w:bCs/>
                <w:color w:val="auto"/>
                <w:sz w:val="24"/>
                <w:highlight w:val="none"/>
              </w:rPr>
            </w:pPr>
            <w:r>
              <w:rPr>
                <w:rFonts w:hint="eastAsia" w:ascii="仿宋" w:hAnsi="仿宋" w:eastAsia="仿宋"/>
                <w:bCs/>
                <w:color w:val="auto"/>
                <w:sz w:val="24"/>
                <w:highlight w:val="none"/>
              </w:rPr>
              <w:t>分 项 费 用 名 称</w:t>
            </w:r>
          </w:p>
        </w:tc>
        <w:tc>
          <w:tcPr>
            <w:tcW w:w="5217" w:type="dxa"/>
            <w:gridSpan w:val="4"/>
            <w:tcBorders>
              <w:top w:val="single" w:color="auto" w:sz="4" w:space="0"/>
              <w:left w:val="single" w:color="auto" w:sz="4" w:space="0"/>
              <w:bottom w:val="single" w:color="auto" w:sz="4" w:space="0"/>
              <w:right w:val="single" w:color="auto" w:sz="4" w:space="0"/>
            </w:tcBorders>
            <w:vAlign w:val="center"/>
          </w:tcPr>
          <w:p w14:paraId="739EC837">
            <w:pPr>
              <w:jc w:val="center"/>
              <w:rPr>
                <w:rFonts w:ascii="仿宋" w:hAnsi="仿宋" w:eastAsia="仿宋"/>
                <w:bCs/>
                <w:color w:val="auto"/>
                <w:sz w:val="24"/>
                <w:highlight w:val="none"/>
              </w:rPr>
            </w:pPr>
            <w:r>
              <w:rPr>
                <w:rFonts w:hint="eastAsia" w:ascii="仿宋" w:hAnsi="仿宋" w:eastAsia="仿宋"/>
                <w:bCs/>
                <w:color w:val="auto"/>
                <w:sz w:val="24"/>
                <w:highlight w:val="none"/>
              </w:rPr>
              <w:t>金       额</w:t>
            </w:r>
          </w:p>
        </w:tc>
      </w:tr>
      <w:tr w14:paraId="09A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CC9B34C">
            <w:pPr>
              <w:widowControl/>
              <w:jc w:val="left"/>
              <w:rPr>
                <w:rFonts w:ascii="仿宋" w:hAnsi="仿宋" w:eastAsia="仿宋"/>
                <w:bCs/>
                <w:color w:val="auto"/>
                <w:sz w:val="24"/>
                <w:highlight w:val="none"/>
              </w:rPr>
            </w:pPr>
          </w:p>
        </w:tc>
        <w:tc>
          <w:tcPr>
            <w:tcW w:w="4247" w:type="dxa"/>
            <w:gridSpan w:val="3"/>
            <w:vMerge w:val="continue"/>
            <w:tcBorders>
              <w:top w:val="single" w:color="auto" w:sz="4" w:space="0"/>
              <w:left w:val="single" w:color="auto" w:sz="4" w:space="0"/>
              <w:bottom w:val="single" w:color="auto" w:sz="4" w:space="0"/>
              <w:right w:val="single" w:color="auto" w:sz="4" w:space="0"/>
            </w:tcBorders>
            <w:vAlign w:val="center"/>
          </w:tcPr>
          <w:p w14:paraId="426CF5B0">
            <w:pPr>
              <w:widowControl/>
              <w:jc w:val="left"/>
              <w:rPr>
                <w:rFonts w:ascii="仿宋" w:hAnsi="仿宋" w:eastAsia="仿宋"/>
                <w:bCs/>
                <w:color w:val="auto"/>
                <w:sz w:val="24"/>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15C69F5">
            <w:pPr>
              <w:jc w:val="center"/>
              <w:rPr>
                <w:rFonts w:ascii="仿宋" w:hAnsi="仿宋" w:eastAsia="仿宋"/>
                <w:bCs/>
                <w:color w:val="auto"/>
                <w:sz w:val="24"/>
                <w:highlight w:val="none"/>
              </w:rPr>
            </w:pPr>
            <w:r>
              <w:rPr>
                <w:rFonts w:hint="eastAsia" w:ascii="仿宋" w:hAnsi="仿宋" w:eastAsia="仿宋"/>
                <w:bCs/>
                <w:color w:val="auto"/>
                <w:sz w:val="24"/>
                <w:highlight w:val="none"/>
              </w:rPr>
              <w:t>人数A（人）</w:t>
            </w:r>
          </w:p>
        </w:tc>
        <w:tc>
          <w:tcPr>
            <w:tcW w:w="1418" w:type="dxa"/>
            <w:tcBorders>
              <w:top w:val="single" w:color="auto" w:sz="4" w:space="0"/>
              <w:left w:val="single" w:color="auto" w:sz="4" w:space="0"/>
              <w:bottom w:val="single" w:color="auto" w:sz="4" w:space="0"/>
              <w:right w:val="single" w:color="auto" w:sz="4" w:space="0"/>
            </w:tcBorders>
            <w:vAlign w:val="center"/>
          </w:tcPr>
          <w:p w14:paraId="5E71878B">
            <w:pPr>
              <w:jc w:val="center"/>
              <w:rPr>
                <w:rFonts w:ascii="仿宋" w:hAnsi="仿宋" w:eastAsia="仿宋"/>
                <w:bCs/>
                <w:color w:val="auto"/>
                <w:sz w:val="24"/>
                <w:highlight w:val="none"/>
              </w:rPr>
            </w:pPr>
            <w:r>
              <w:rPr>
                <w:rFonts w:hint="eastAsia" w:ascii="仿宋" w:hAnsi="仿宋" w:eastAsia="仿宋"/>
                <w:bCs/>
                <w:color w:val="auto"/>
                <w:sz w:val="24"/>
                <w:highlight w:val="none"/>
              </w:rPr>
              <w:t>人员工资B</w:t>
            </w:r>
          </w:p>
          <w:p w14:paraId="2D41F787">
            <w:pPr>
              <w:jc w:val="center"/>
              <w:rPr>
                <w:rFonts w:ascii="仿宋" w:hAnsi="仿宋" w:eastAsia="仿宋"/>
                <w:bCs/>
                <w:color w:val="auto"/>
                <w:sz w:val="24"/>
                <w:highlight w:val="none"/>
              </w:rPr>
            </w:pPr>
            <w:r>
              <w:rPr>
                <w:rFonts w:hint="eastAsia" w:ascii="仿宋" w:hAnsi="仿宋" w:eastAsia="仿宋"/>
                <w:bCs/>
                <w:color w:val="auto"/>
                <w:sz w:val="24"/>
                <w:highlight w:val="none"/>
              </w:rPr>
              <w:t>（元/人）</w:t>
            </w:r>
          </w:p>
        </w:tc>
        <w:tc>
          <w:tcPr>
            <w:tcW w:w="1430" w:type="dxa"/>
            <w:tcBorders>
              <w:top w:val="single" w:color="auto" w:sz="4" w:space="0"/>
              <w:left w:val="single" w:color="auto" w:sz="4" w:space="0"/>
              <w:bottom w:val="single" w:color="auto" w:sz="4" w:space="0"/>
              <w:right w:val="single" w:color="auto" w:sz="4" w:space="0"/>
            </w:tcBorders>
            <w:vAlign w:val="center"/>
          </w:tcPr>
          <w:p w14:paraId="7DA1702F">
            <w:pPr>
              <w:jc w:val="center"/>
              <w:rPr>
                <w:rFonts w:ascii="仿宋" w:hAnsi="仿宋" w:eastAsia="仿宋"/>
                <w:bCs/>
                <w:color w:val="auto"/>
                <w:sz w:val="24"/>
                <w:highlight w:val="none"/>
              </w:rPr>
            </w:pPr>
            <w:r>
              <w:rPr>
                <w:rFonts w:hint="eastAsia" w:ascii="仿宋" w:hAnsi="仿宋" w:eastAsia="仿宋"/>
                <w:bCs/>
                <w:color w:val="auto"/>
                <w:sz w:val="24"/>
                <w:highlight w:val="none"/>
              </w:rPr>
              <w:t>小计（元）</w:t>
            </w:r>
          </w:p>
          <w:p w14:paraId="735F9701">
            <w:pPr>
              <w:jc w:val="center"/>
              <w:rPr>
                <w:rFonts w:ascii="仿宋" w:hAnsi="仿宋" w:eastAsia="仿宋"/>
                <w:bCs/>
                <w:color w:val="auto"/>
                <w:sz w:val="24"/>
                <w:highlight w:val="none"/>
              </w:rPr>
            </w:pPr>
            <w:r>
              <w:rPr>
                <w:rFonts w:hint="eastAsia" w:ascii="仿宋" w:hAnsi="仿宋" w:eastAsia="仿宋"/>
                <w:bCs/>
                <w:color w:val="auto"/>
                <w:sz w:val="24"/>
                <w:highlight w:val="none"/>
              </w:rPr>
              <w:t>C（C=A</w:t>
            </w:r>
            <w:r>
              <w:rPr>
                <w:rFonts w:hint="eastAsia" w:ascii="仿宋" w:hAnsi="仿宋" w:eastAsia="仿宋" w:cs="宋体"/>
                <w:bCs/>
                <w:color w:val="auto"/>
                <w:sz w:val="24"/>
                <w:highlight w:val="none"/>
              </w:rPr>
              <w:t>×</w:t>
            </w:r>
            <w:r>
              <w:rPr>
                <w:rFonts w:hint="eastAsia" w:ascii="仿宋" w:hAnsi="仿宋" w:eastAsia="仿宋"/>
                <w:bCs/>
                <w:color w:val="auto"/>
                <w:sz w:val="24"/>
                <w:highlight w:val="none"/>
              </w:rPr>
              <w:t>B）</w:t>
            </w:r>
          </w:p>
        </w:tc>
        <w:tc>
          <w:tcPr>
            <w:tcW w:w="1388" w:type="dxa"/>
            <w:tcBorders>
              <w:top w:val="single" w:color="auto" w:sz="4" w:space="0"/>
              <w:left w:val="single" w:color="auto" w:sz="4" w:space="0"/>
              <w:bottom w:val="single" w:color="auto" w:sz="4" w:space="0"/>
              <w:right w:val="single" w:color="auto" w:sz="4" w:space="0"/>
            </w:tcBorders>
            <w:vAlign w:val="center"/>
          </w:tcPr>
          <w:p w14:paraId="41A75DDB">
            <w:pPr>
              <w:jc w:val="center"/>
              <w:rPr>
                <w:rFonts w:ascii="仿宋" w:hAnsi="仿宋" w:eastAsia="仿宋"/>
                <w:bCs/>
                <w:color w:val="auto"/>
                <w:sz w:val="24"/>
                <w:highlight w:val="none"/>
              </w:rPr>
            </w:pPr>
            <w:r>
              <w:rPr>
                <w:rFonts w:hint="eastAsia" w:ascii="仿宋" w:hAnsi="仿宋" w:eastAsia="仿宋"/>
                <w:bCs/>
                <w:color w:val="auto"/>
                <w:sz w:val="24"/>
                <w:highlight w:val="none"/>
              </w:rPr>
              <w:t>合计</w:t>
            </w:r>
          </w:p>
          <w:p w14:paraId="31BE5028">
            <w:pPr>
              <w:jc w:val="center"/>
              <w:rPr>
                <w:rFonts w:ascii="仿宋" w:hAnsi="仿宋" w:eastAsia="仿宋"/>
                <w:bCs/>
                <w:color w:val="auto"/>
                <w:sz w:val="24"/>
                <w:highlight w:val="none"/>
              </w:rPr>
            </w:pPr>
            <w:r>
              <w:rPr>
                <w:rFonts w:hint="eastAsia" w:ascii="仿宋" w:hAnsi="仿宋" w:eastAsia="仿宋"/>
                <w:bCs/>
                <w:color w:val="auto"/>
                <w:sz w:val="24"/>
                <w:highlight w:val="none"/>
              </w:rPr>
              <w:t>（元）</w:t>
            </w:r>
          </w:p>
        </w:tc>
      </w:tr>
      <w:tr w14:paraId="1C4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14:paraId="0419D64D">
            <w:pPr>
              <w:jc w:val="center"/>
              <w:rPr>
                <w:rFonts w:ascii="仿宋" w:hAnsi="仿宋" w:eastAsia="仿宋"/>
                <w:bCs/>
                <w:color w:val="auto"/>
                <w:sz w:val="24"/>
                <w:highlight w:val="none"/>
              </w:rPr>
            </w:pPr>
            <w:r>
              <w:rPr>
                <w:rFonts w:hint="eastAsia" w:ascii="仿宋" w:hAnsi="仿宋" w:eastAsia="仿宋"/>
                <w:bCs/>
                <w:color w:val="auto"/>
                <w:sz w:val="24"/>
                <w:highlight w:val="none"/>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3D10987B">
            <w:pPr>
              <w:jc w:val="center"/>
              <w:rPr>
                <w:rFonts w:ascii="仿宋" w:hAnsi="仿宋" w:eastAsia="仿宋"/>
                <w:bCs/>
                <w:color w:val="auto"/>
                <w:sz w:val="24"/>
                <w:highlight w:val="none"/>
              </w:rPr>
            </w:pPr>
            <w:r>
              <w:rPr>
                <w:rFonts w:hint="eastAsia" w:ascii="仿宋" w:hAnsi="仿宋" w:eastAsia="仿宋"/>
                <w:bCs/>
                <w:color w:val="auto"/>
                <w:sz w:val="24"/>
                <w:highlight w:val="none"/>
              </w:rPr>
              <w:t>直</w:t>
            </w:r>
          </w:p>
          <w:p w14:paraId="7A433012">
            <w:pPr>
              <w:jc w:val="center"/>
              <w:rPr>
                <w:rFonts w:ascii="仿宋" w:hAnsi="仿宋" w:eastAsia="仿宋"/>
                <w:bCs/>
                <w:color w:val="auto"/>
                <w:sz w:val="24"/>
                <w:highlight w:val="none"/>
              </w:rPr>
            </w:pPr>
            <w:r>
              <w:rPr>
                <w:rFonts w:hint="eastAsia" w:ascii="仿宋" w:hAnsi="仿宋" w:eastAsia="仿宋"/>
                <w:bCs/>
                <w:color w:val="auto"/>
                <w:sz w:val="24"/>
                <w:highlight w:val="none"/>
              </w:rPr>
              <w:t>接</w:t>
            </w:r>
          </w:p>
          <w:p w14:paraId="20289BA5">
            <w:pPr>
              <w:jc w:val="center"/>
              <w:rPr>
                <w:rFonts w:ascii="仿宋" w:hAnsi="仿宋" w:eastAsia="仿宋"/>
                <w:bCs/>
                <w:color w:val="auto"/>
                <w:sz w:val="24"/>
                <w:highlight w:val="none"/>
              </w:rPr>
            </w:pPr>
            <w:r>
              <w:rPr>
                <w:rFonts w:hint="eastAsia" w:ascii="仿宋" w:hAnsi="仿宋" w:eastAsia="仿宋"/>
                <w:bCs/>
                <w:color w:val="auto"/>
                <w:sz w:val="24"/>
                <w:highlight w:val="none"/>
              </w:rPr>
              <w:t>成</w:t>
            </w:r>
          </w:p>
          <w:p w14:paraId="2665FEFA">
            <w:pPr>
              <w:jc w:val="center"/>
              <w:rPr>
                <w:rFonts w:ascii="仿宋" w:hAnsi="仿宋" w:eastAsia="仿宋"/>
                <w:bCs/>
                <w:color w:val="auto"/>
                <w:sz w:val="24"/>
                <w:highlight w:val="none"/>
              </w:rPr>
            </w:pPr>
            <w:r>
              <w:rPr>
                <w:rFonts w:hint="eastAsia" w:ascii="仿宋" w:hAnsi="仿宋" w:eastAsia="仿宋"/>
                <w:bCs/>
                <w:color w:val="auto"/>
                <w:sz w:val="24"/>
                <w:highlight w:val="none"/>
              </w:rPr>
              <w:t>本</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67513D81">
            <w:pPr>
              <w:jc w:val="center"/>
              <w:rPr>
                <w:rFonts w:ascii="仿宋" w:hAnsi="仿宋" w:eastAsia="仿宋"/>
                <w:bCs/>
                <w:color w:val="auto"/>
                <w:sz w:val="24"/>
                <w:highlight w:val="none"/>
              </w:rPr>
            </w:pPr>
            <w:r>
              <w:rPr>
                <w:rFonts w:hint="eastAsia" w:ascii="仿宋" w:hAnsi="仿宋" w:eastAsia="仿宋"/>
                <w:bCs/>
                <w:color w:val="auto"/>
                <w:sz w:val="24"/>
                <w:highlight w:val="none"/>
              </w:rPr>
              <w:t>监理人员费用（包括监理人员的工资总额及一切辅助工资、奖金等）</w:t>
            </w:r>
          </w:p>
        </w:tc>
        <w:tc>
          <w:tcPr>
            <w:tcW w:w="1696" w:type="dxa"/>
            <w:tcBorders>
              <w:top w:val="single" w:color="auto" w:sz="4" w:space="0"/>
              <w:left w:val="single" w:color="auto" w:sz="4" w:space="0"/>
              <w:bottom w:val="single" w:color="auto" w:sz="4" w:space="0"/>
              <w:right w:val="single" w:color="auto" w:sz="4" w:space="0"/>
            </w:tcBorders>
            <w:vAlign w:val="center"/>
          </w:tcPr>
          <w:p w14:paraId="048D8ACD">
            <w:pPr>
              <w:jc w:val="center"/>
              <w:rPr>
                <w:rFonts w:ascii="仿宋" w:hAnsi="仿宋" w:eastAsia="仿宋"/>
                <w:bCs/>
                <w:color w:val="auto"/>
                <w:sz w:val="24"/>
                <w:highlight w:val="none"/>
              </w:rPr>
            </w:pPr>
            <w:r>
              <w:rPr>
                <w:rFonts w:hint="eastAsia" w:ascii="仿宋" w:hAnsi="仿宋" w:eastAsia="仿宋"/>
                <w:bCs/>
                <w:color w:val="auto"/>
                <w:sz w:val="24"/>
                <w:highlight w:val="none"/>
              </w:rPr>
              <w:t>总监理工程师</w:t>
            </w:r>
          </w:p>
        </w:tc>
        <w:tc>
          <w:tcPr>
            <w:tcW w:w="981" w:type="dxa"/>
            <w:tcBorders>
              <w:top w:val="single" w:color="auto" w:sz="4" w:space="0"/>
              <w:left w:val="single" w:color="auto" w:sz="4" w:space="0"/>
              <w:bottom w:val="single" w:color="auto" w:sz="4" w:space="0"/>
              <w:right w:val="single" w:color="auto" w:sz="4" w:space="0"/>
            </w:tcBorders>
            <w:vAlign w:val="center"/>
          </w:tcPr>
          <w:p w14:paraId="0B140704">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1E93FA">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155C9EB0">
            <w:pPr>
              <w:jc w:val="center"/>
              <w:rPr>
                <w:rFonts w:ascii="仿宋" w:hAnsi="仿宋" w:eastAsia="仿宋"/>
                <w:bCs/>
                <w:color w:val="auto"/>
                <w:sz w:val="24"/>
                <w:highlight w:val="none"/>
              </w:rPr>
            </w:pPr>
          </w:p>
        </w:tc>
        <w:tc>
          <w:tcPr>
            <w:tcW w:w="1388" w:type="dxa"/>
            <w:vMerge w:val="restart"/>
            <w:tcBorders>
              <w:top w:val="single" w:color="auto" w:sz="4" w:space="0"/>
              <w:left w:val="single" w:color="auto" w:sz="4" w:space="0"/>
              <w:bottom w:val="single" w:color="auto" w:sz="4" w:space="0"/>
              <w:right w:val="single" w:color="auto" w:sz="4" w:space="0"/>
            </w:tcBorders>
            <w:vAlign w:val="center"/>
          </w:tcPr>
          <w:p w14:paraId="6F73332C">
            <w:pPr>
              <w:jc w:val="center"/>
              <w:rPr>
                <w:rFonts w:ascii="仿宋" w:hAnsi="仿宋" w:eastAsia="仿宋"/>
                <w:bCs/>
                <w:color w:val="auto"/>
                <w:sz w:val="24"/>
                <w:highlight w:val="none"/>
              </w:rPr>
            </w:pPr>
          </w:p>
        </w:tc>
      </w:tr>
      <w:tr w14:paraId="5CE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74BD8F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1369C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02085CF">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454C1195">
            <w:pPr>
              <w:jc w:val="center"/>
              <w:rPr>
                <w:rFonts w:ascii="仿宋" w:hAnsi="仿宋" w:eastAsia="仿宋"/>
                <w:bCs/>
                <w:color w:val="auto"/>
                <w:sz w:val="24"/>
                <w:highlight w:val="none"/>
              </w:rPr>
            </w:pPr>
            <w:r>
              <w:rPr>
                <w:rFonts w:hint="eastAsia" w:ascii="仿宋" w:hAnsi="仿宋" w:eastAsia="仿宋"/>
                <w:bCs/>
                <w:color w:val="auto"/>
                <w:sz w:val="24"/>
                <w:highlight w:val="none"/>
              </w:rPr>
              <w:t>专业监理</w:t>
            </w:r>
          </w:p>
          <w:p w14:paraId="15E2F151">
            <w:pPr>
              <w:jc w:val="center"/>
              <w:rPr>
                <w:rFonts w:ascii="仿宋" w:hAnsi="仿宋" w:eastAsia="仿宋"/>
                <w:bCs/>
                <w:color w:val="auto"/>
                <w:sz w:val="24"/>
                <w:highlight w:val="none"/>
              </w:rPr>
            </w:pPr>
            <w:r>
              <w:rPr>
                <w:rFonts w:hint="eastAsia" w:ascii="仿宋" w:hAnsi="仿宋" w:eastAsia="仿宋"/>
                <w:bCs/>
                <w:color w:val="auto"/>
                <w:sz w:val="24"/>
                <w:highlight w:val="none"/>
              </w:rPr>
              <w:t>工程师</w:t>
            </w:r>
          </w:p>
        </w:tc>
        <w:tc>
          <w:tcPr>
            <w:tcW w:w="981" w:type="dxa"/>
            <w:tcBorders>
              <w:top w:val="single" w:color="auto" w:sz="4" w:space="0"/>
              <w:left w:val="single" w:color="auto" w:sz="4" w:space="0"/>
              <w:bottom w:val="single" w:color="auto" w:sz="4" w:space="0"/>
              <w:right w:val="single" w:color="auto" w:sz="4" w:space="0"/>
            </w:tcBorders>
            <w:vAlign w:val="center"/>
          </w:tcPr>
          <w:p w14:paraId="3326E977">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3DD6387">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0D4530F2">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6E7DC93B">
            <w:pPr>
              <w:widowControl/>
              <w:jc w:val="left"/>
              <w:rPr>
                <w:rFonts w:ascii="仿宋" w:hAnsi="仿宋" w:eastAsia="仿宋"/>
                <w:bCs/>
                <w:color w:val="auto"/>
                <w:sz w:val="24"/>
                <w:highlight w:val="none"/>
              </w:rPr>
            </w:pPr>
          </w:p>
        </w:tc>
      </w:tr>
      <w:tr w14:paraId="3D0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EE3AAC9">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B13F276">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7E1682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2E861EB">
            <w:pPr>
              <w:jc w:val="center"/>
              <w:rPr>
                <w:rFonts w:ascii="仿宋" w:hAnsi="仿宋" w:eastAsia="仿宋"/>
                <w:bCs/>
                <w:color w:val="auto"/>
                <w:sz w:val="24"/>
                <w:highlight w:val="none"/>
              </w:rPr>
            </w:pPr>
            <w:r>
              <w:rPr>
                <w:rFonts w:hint="eastAsia" w:ascii="仿宋" w:hAnsi="仿宋" w:eastAsia="仿宋"/>
                <w:bCs/>
                <w:color w:val="auto"/>
                <w:sz w:val="24"/>
                <w:highlight w:val="none"/>
              </w:rPr>
              <w:t>监理员</w:t>
            </w:r>
          </w:p>
        </w:tc>
        <w:tc>
          <w:tcPr>
            <w:tcW w:w="981" w:type="dxa"/>
            <w:tcBorders>
              <w:top w:val="single" w:color="auto" w:sz="4" w:space="0"/>
              <w:left w:val="single" w:color="auto" w:sz="4" w:space="0"/>
              <w:bottom w:val="single" w:color="auto" w:sz="4" w:space="0"/>
              <w:right w:val="single" w:color="auto" w:sz="4" w:space="0"/>
            </w:tcBorders>
            <w:vAlign w:val="center"/>
          </w:tcPr>
          <w:p w14:paraId="7D1D9B15">
            <w:pPr>
              <w:jc w:val="center"/>
              <w:rPr>
                <w:rFonts w:ascii="仿宋" w:hAnsi="仿宋" w:eastAsia="仿宋"/>
                <w:bCs/>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B1A1773">
            <w:pPr>
              <w:jc w:val="center"/>
              <w:rPr>
                <w:rFonts w:ascii="仿宋" w:hAnsi="仿宋" w:eastAsia="仿宋"/>
                <w:bCs/>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2E47FD7D">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0D2F993">
            <w:pPr>
              <w:widowControl/>
              <w:jc w:val="left"/>
              <w:rPr>
                <w:rFonts w:ascii="仿宋" w:hAnsi="仿宋" w:eastAsia="仿宋"/>
                <w:bCs/>
                <w:color w:val="auto"/>
                <w:sz w:val="24"/>
                <w:highlight w:val="none"/>
              </w:rPr>
            </w:pPr>
          </w:p>
        </w:tc>
      </w:tr>
      <w:tr w14:paraId="722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0B5C7D54">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AF0EB7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20FE65D">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78062BE9">
            <w:pPr>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981" w:type="dxa"/>
            <w:tcBorders>
              <w:top w:val="single" w:color="auto" w:sz="4" w:space="0"/>
              <w:left w:val="single" w:color="auto" w:sz="4" w:space="0"/>
              <w:bottom w:val="single" w:color="auto" w:sz="4" w:space="0"/>
              <w:right w:val="single" w:color="auto" w:sz="4" w:space="0"/>
            </w:tcBorders>
            <w:vAlign w:val="center"/>
          </w:tcPr>
          <w:p w14:paraId="2E21C421">
            <w:pPr>
              <w:jc w:val="center"/>
              <w:rPr>
                <w:rFonts w:ascii="仿宋" w:hAnsi="仿宋" w:eastAsia="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CF5EFAA">
            <w:pPr>
              <w:jc w:val="center"/>
              <w:rPr>
                <w:rFonts w:ascii="仿宋" w:hAnsi="仿宋" w:eastAsia="仿宋"/>
                <w:color w:val="auto"/>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40C08128">
            <w:pPr>
              <w:jc w:val="center"/>
              <w:rPr>
                <w:rFonts w:ascii="仿宋" w:hAnsi="仿宋" w:eastAsia="仿宋"/>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FC855F1">
            <w:pPr>
              <w:widowControl/>
              <w:jc w:val="left"/>
              <w:rPr>
                <w:rFonts w:ascii="仿宋" w:hAnsi="仿宋" w:eastAsia="仿宋"/>
                <w:bCs/>
                <w:color w:val="auto"/>
                <w:sz w:val="24"/>
                <w:highlight w:val="none"/>
              </w:rPr>
            </w:pPr>
          </w:p>
        </w:tc>
      </w:tr>
      <w:tr w14:paraId="7E64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23950D6">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9D4777">
            <w:pPr>
              <w:widowControl/>
              <w:jc w:val="left"/>
              <w:rPr>
                <w:rFonts w:ascii="仿宋" w:hAnsi="仿宋" w:eastAsia="仿宋"/>
                <w:bCs/>
                <w:color w:val="auto"/>
                <w:sz w:val="24"/>
                <w:highlight w:val="none"/>
              </w:rPr>
            </w:pPr>
          </w:p>
        </w:tc>
        <w:tc>
          <w:tcPr>
            <w:tcW w:w="1700" w:type="dxa"/>
            <w:vMerge w:val="restart"/>
            <w:tcBorders>
              <w:top w:val="single" w:color="auto" w:sz="4" w:space="0"/>
              <w:left w:val="single" w:color="auto" w:sz="4" w:space="0"/>
              <w:bottom w:val="single" w:color="auto" w:sz="4" w:space="0"/>
              <w:right w:val="single" w:color="auto" w:sz="4" w:space="0"/>
            </w:tcBorders>
            <w:vAlign w:val="center"/>
          </w:tcPr>
          <w:p w14:paraId="7860ED97">
            <w:pPr>
              <w:jc w:val="center"/>
              <w:rPr>
                <w:rFonts w:ascii="仿宋" w:hAnsi="仿宋" w:eastAsia="仿宋"/>
                <w:bCs/>
                <w:color w:val="auto"/>
                <w:sz w:val="24"/>
                <w:highlight w:val="none"/>
              </w:rPr>
            </w:pPr>
            <w:r>
              <w:rPr>
                <w:rFonts w:hint="eastAsia" w:ascii="仿宋" w:hAnsi="仿宋" w:eastAsia="仿宋"/>
                <w:bCs/>
                <w:color w:val="auto"/>
                <w:sz w:val="24"/>
                <w:highlight w:val="none"/>
              </w:rPr>
              <w:t>专项费用开支</w:t>
            </w:r>
          </w:p>
        </w:tc>
        <w:tc>
          <w:tcPr>
            <w:tcW w:w="1696" w:type="dxa"/>
            <w:tcBorders>
              <w:top w:val="single" w:color="auto" w:sz="4" w:space="0"/>
              <w:left w:val="single" w:color="auto" w:sz="4" w:space="0"/>
              <w:bottom w:val="single" w:color="auto" w:sz="4" w:space="0"/>
              <w:right w:val="single" w:color="auto" w:sz="4" w:space="0"/>
            </w:tcBorders>
            <w:vAlign w:val="center"/>
          </w:tcPr>
          <w:p w14:paraId="3D3B6ABC">
            <w:pPr>
              <w:jc w:val="center"/>
              <w:rPr>
                <w:rFonts w:ascii="仿宋" w:hAnsi="仿宋" w:eastAsia="仿宋"/>
                <w:bCs/>
                <w:color w:val="auto"/>
                <w:sz w:val="24"/>
                <w:highlight w:val="none"/>
              </w:rPr>
            </w:pPr>
            <w:r>
              <w:rPr>
                <w:rFonts w:hint="eastAsia" w:ascii="仿宋" w:hAnsi="仿宋" w:eastAsia="仿宋"/>
                <w:bCs/>
                <w:color w:val="auto"/>
                <w:sz w:val="24"/>
                <w:highlight w:val="none"/>
              </w:rPr>
              <w:t>现场办公费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33FA7408">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CC2EADF">
            <w:pPr>
              <w:widowControl/>
              <w:jc w:val="left"/>
              <w:rPr>
                <w:rFonts w:ascii="仿宋" w:hAnsi="仿宋" w:eastAsia="仿宋"/>
                <w:bCs/>
                <w:color w:val="auto"/>
                <w:sz w:val="24"/>
                <w:highlight w:val="none"/>
              </w:rPr>
            </w:pPr>
          </w:p>
        </w:tc>
      </w:tr>
      <w:tr w14:paraId="58FF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6F70C7E7">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BCB9D52">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35ABFB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AF93459">
            <w:pPr>
              <w:jc w:val="center"/>
              <w:rPr>
                <w:rFonts w:ascii="仿宋" w:hAnsi="仿宋" w:eastAsia="仿宋"/>
                <w:bCs/>
                <w:color w:val="auto"/>
                <w:sz w:val="24"/>
                <w:highlight w:val="none"/>
              </w:rPr>
            </w:pPr>
            <w:r>
              <w:rPr>
                <w:rFonts w:hint="eastAsia" w:ascii="仿宋" w:hAnsi="仿宋" w:eastAsia="仿宋"/>
                <w:bCs/>
                <w:color w:val="auto"/>
                <w:sz w:val="24"/>
                <w:highlight w:val="none"/>
              </w:rPr>
              <w:t>电讯费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9203D96">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C1430EE">
            <w:pPr>
              <w:widowControl/>
              <w:jc w:val="left"/>
              <w:rPr>
                <w:rFonts w:ascii="仿宋" w:hAnsi="仿宋" w:eastAsia="仿宋"/>
                <w:bCs/>
                <w:color w:val="auto"/>
                <w:sz w:val="24"/>
                <w:highlight w:val="none"/>
              </w:rPr>
            </w:pPr>
          </w:p>
        </w:tc>
      </w:tr>
      <w:tr w14:paraId="4E66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184DA663">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D78DA5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7F1FE69">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1760C8D6">
            <w:pPr>
              <w:jc w:val="center"/>
              <w:rPr>
                <w:rFonts w:ascii="仿宋" w:hAnsi="仿宋" w:eastAsia="仿宋"/>
                <w:bCs/>
                <w:color w:val="auto"/>
                <w:sz w:val="24"/>
                <w:highlight w:val="none"/>
              </w:rPr>
            </w:pPr>
            <w:r>
              <w:rPr>
                <w:rFonts w:hint="eastAsia" w:ascii="仿宋" w:hAnsi="仿宋" w:eastAsia="仿宋"/>
                <w:bCs/>
                <w:color w:val="auto"/>
                <w:sz w:val="24"/>
                <w:highlight w:val="none"/>
              </w:rPr>
              <w:t>交通、差旅、住宿费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3458EF3">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9E972B2">
            <w:pPr>
              <w:widowControl/>
              <w:jc w:val="left"/>
              <w:rPr>
                <w:rFonts w:ascii="仿宋" w:hAnsi="仿宋" w:eastAsia="仿宋"/>
                <w:bCs/>
                <w:color w:val="auto"/>
                <w:sz w:val="24"/>
                <w:highlight w:val="none"/>
              </w:rPr>
            </w:pPr>
          </w:p>
        </w:tc>
      </w:tr>
      <w:tr w14:paraId="3EBF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4102D5B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D783DFE">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3F6685C">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61B0048E">
            <w:pPr>
              <w:jc w:val="center"/>
              <w:rPr>
                <w:rFonts w:ascii="仿宋" w:hAnsi="仿宋" w:eastAsia="仿宋"/>
                <w:bCs/>
                <w:color w:val="auto"/>
                <w:sz w:val="24"/>
                <w:highlight w:val="none"/>
              </w:rPr>
            </w:pPr>
            <w:r>
              <w:rPr>
                <w:rFonts w:hint="eastAsia" w:ascii="仿宋" w:hAnsi="仿宋" w:eastAsia="仿宋"/>
                <w:bCs/>
                <w:color w:val="auto"/>
                <w:sz w:val="24"/>
                <w:highlight w:val="none"/>
              </w:rPr>
              <w:t>试验检测费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502C6CD9">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47D29D96">
            <w:pPr>
              <w:widowControl/>
              <w:jc w:val="left"/>
              <w:rPr>
                <w:rFonts w:ascii="仿宋" w:hAnsi="仿宋" w:eastAsia="仿宋"/>
                <w:bCs/>
                <w:color w:val="auto"/>
                <w:sz w:val="24"/>
                <w:highlight w:val="none"/>
              </w:rPr>
            </w:pPr>
          </w:p>
        </w:tc>
      </w:tr>
      <w:tr w14:paraId="6FB7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22483EC8">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0B4EF75">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CDF6BE3">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27B1FC8B">
            <w:pPr>
              <w:jc w:val="center"/>
              <w:rPr>
                <w:rFonts w:ascii="仿宋" w:hAnsi="仿宋" w:eastAsia="仿宋"/>
                <w:bCs/>
                <w:color w:val="auto"/>
                <w:sz w:val="24"/>
                <w:highlight w:val="none"/>
              </w:rPr>
            </w:pPr>
            <w:r>
              <w:rPr>
                <w:rFonts w:hint="eastAsia" w:ascii="仿宋" w:hAnsi="仿宋" w:eastAsia="仿宋"/>
                <w:bCs/>
                <w:color w:val="auto"/>
                <w:sz w:val="24"/>
                <w:highlight w:val="none"/>
              </w:rPr>
              <w:t>现场临时设施费</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1E4AAAA1">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5116964D">
            <w:pPr>
              <w:widowControl/>
              <w:jc w:val="left"/>
              <w:rPr>
                <w:rFonts w:ascii="仿宋" w:hAnsi="仿宋" w:eastAsia="仿宋"/>
                <w:bCs/>
                <w:color w:val="auto"/>
                <w:sz w:val="24"/>
                <w:highlight w:val="none"/>
              </w:rPr>
            </w:pPr>
          </w:p>
        </w:tc>
      </w:tr>
      <w:tr w14:paraId="1CF2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14:paraId="577ADADD">
            <w:pPr>
              <w:widowControl/>
              <w:jc w:val="left"/>
              <w:rPr>
                <w:rFonts w:ascii="仿宋" w:hAnsi="仿宋" w:eastAsia="仿宋"/>
                <w:bCs/>
                <w:color w:val="auto"/>
                <w:sz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43FAB0">
            <w:pPr>
              <w:widowControl/>
              <w:jc w:val="left"/>
              <w:rPr>
                <w:rFonts w:ascii="仿宋" w:hAnsi="仿宋" w:eastAsia="仿宋"/>
                <w:bCs/>
                <w:color w:val="auto"/>
                <w:sz w:val="24"/>
                <w:highlight w:val="none"/>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FF5603A">
            <w:pPr>
              <w:widowControl/>
              <w:jc w:val="left"/>
              <w:rPr>
                <w:rFonts w:ascii="仿宋" w:hAnsi="仿宋" w:eastAsia="仿宋"/>
                <w:bCs/>
                <w:color w:val="auto"/>
                <w:sz w:val="24"/>
                <w:highlight w:val="none"/>
              </w:rPr>
            </w:pPr>
          </w:p>
        </w:tc>
        <w:tc>
          <w:tcPr>
            <w:tcW w:w="1696" w:type="dxa"/>
            <w:tcBorders>
              <w:top w:val="single" w:color="auto" w:sz="4" w:space="0"/>
              <w:left w:val="single" w:color="auto" w:sz="4" w:space="0"/>
              <w:bottom w:val="single" w:color="auto" w:sz="4" w:space="0"/>
              <w:right w:val="single" w:color="auto" w:sz="4" w:space="0"/>
            </w:tcBorders>
            <w:vAlign w:val="center"/>
          </w:tcPr>
          <w:p w14:paraId="36ED1506">
            <w:pPr>
              <w:jc w:val="center"/>
              <w:rPr>
                <w:rFonts w:ascii="仿宋" w:hAnsi="仿宋" w:eastAsia="仿宋"/>
                <w:bCs/>
                <w:color w:val="auto"/>
                <w:sz w:val="24"/>
                <w:highlight w:val="none"/>
              </w:rPr>
            </w:pPr>
            <w:r>
              <w:rPr>
                <w:rFonts w:hint="eastAsia" w:ascii="仿宋" w:hAnsi="仿宋" w:eastAsia="仿宋" w:cs="宋体"/>
                <w:color w:val="auto"/>
                <w:sz w:val="24"/>
                <w:highlight w:val="none"/>
              </w:rPr>
              <w:t>…</w:t>
            </w:r>
          </w:p>
        </w:tc>
        <w:tc>
          <w:tcPr>
            <w:tcW w:w="3829" w:type="dxa"/>
            <w:gridSpan w:val="3"/>
            <w:tcBorders>
              <w:top w:val="single" w:color="auto" w:sz="4" w:space="0"/>
              <w:left w:val="single" w:color="auto" w:sz="4" w:space="0"/>
              <w:bottom w:val="single" w:color="auto" w:sz="4" w:space="0"/>
              <w:right w:val="single" w:color="auto" w:sz="4" w:space="0"/>
            </w:tcBorders>
            <w:vAlign w:val="center"/>
          </w:tcPr>
          <w:p w14:paraId="06524994">
            <w:pPr>
              <w:jc w:val="center"/>
              <w:rPr>
                <w:rFonts w:ascii="仿宋" w:hAnsi="仿宋" w:eastAsia="仿宋"/>
                <w:bCs/>
                <w:color w:val="auto"/>
                <w:sz w:val="24"/>
                <w:highlight w:val="none"/>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D56B828">
            <w:pPr>
              <w:widowControl/>
              <w:jc w:val="left"/>
              <w:rPr>
                <w:rFonts w:ascii="仿宋" w:hAnsi="仿宋" w:eastAsia="仿宋"/>
                <w:bCs/>
                <w:color w:val="auto"/>
                <w:sz w:val="24"/>
                <w:highlight w:val="none"/>
              </w:rPr>
            </w:pPr>
          </w:p>
        </w:tc>
      </w:tr>
      <w:tr w14:paraId="1E9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EBC28D7">
            <w:pPr>
              <w:jc w:val="center"/>
              <w:rPr>
                <w:rFonts w:ascii="仿宋" w:hAnsi="仿宋" w:eastAsia="仿宋"/>
                <w:bCs/>
                <w:color w:val="auto"/>
                <w:sz w:val="24"/>
                <w:highlight w:val="none"/>
              </w:rPr>
            </w:pPr>
            <w:r>
              <w:rPr>
                <w:rFonts w:hint="eastAsia" w:ascii="仿宋" w:hAnsi="仿宋" w:eastAsia="仿宋"/>
                <w:bCs/>
                <w:color w:val="auto"/>
                <w:sz w:val="24"/>
                <w:highlight w:val="none"/>
              </w:rPr>
              <w:t>2</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4CDF98AB">
            <w:pPr>
              <w:jc w:val="center"/>
              <w:rPr>
                <w:rFonts w:ascii="仿宋" w:hAnsi="仿宋" w:eastAsia="仿宋"/>
                <w:bCs/>
                <w:color w:val="auto"/>
                <w:sz w:val="24"/>
                <w:highlight w:val="none"/>
              </w:rPr>
            </w:pPr>
            <w:r>
              <w:rPr>
                <w:rFonts w:hint="eastAsia" w:ascii="仿宋" w:hAnsi="仿宋" w:eastAsia="仿宋"/>
                <w:bCs/>
                <w:color w:val="auto"/>
                <w:sz w:val="24"/>
                <w:highlight w:val="none"/>
              </w:rPr>
              <w:t>企业管理费</w:t>
            </w:r>
          </w:p>
        </w:tc>
        <w:tc>
          <w:tcPr>
            <w:tcW w:w="1388" w:type="dxa"/>
            <w:tcBorders>
              <w:top w:val="single" w:color="auto" w:sz="4" w:space="0"/>
              <w:left w:val="single" w:color="auto" w:sz="4" w:space="0"/>
              <w:bottom w:val="single" w:color="auto" w:sz="4" w:space="0"/>
              <w:right w:val="single" w:color="auto" w:sz="4" w:space="0"/>
            </w:tcBorders>
            <w:vAlign w:val="center"/>
          </w:tcPr>
          <w:p w14:paraId="0A051FE6">
            <w:pPr>
              <w:jc w:val="center"/>
              <w:rPr>
                <w:rFonts w:ascii="仿宋" w:hAnsi="仿宋" w:eastAsia="仿宋"/>
                <w:bCs/>
                <w:color w:val="auto"/>
                <w:sz w:val="24"/>
                <w:highlight w:val="none"/>
              </w:rPr>
            </w:pPr>
          </w:p>
        </w:tc>
      </w:tr>
      <w:tr w14:paraId="5017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131492FC">
            <w:pPr>
              <w:jc w:val="center"/>
              <w:rPr>
                <w:rFonts w:ascii="仿宋" w:hAnsi="仿宋" w:eastAsia="仿宋"/>
                <w:bCs/>
                <w:color w:val="auto"/>
                <w:sz w:val="24"/>
                <w:highlight w:val="none"/>
              </w:rPr>
            </w:pPr>
            <w:r>
              <w:rPr>
                <w:rFonts w:hint="eastAsia" w:ascii="仿宋" w:hAnsi="仿宋" w:eastAsia="仿宋"/>
                <w:bCs/>
                <w:color w:val="auto"/>
                <w:sz w:val="24"/>
                <w:highlight w:val="none"/>
              </w:rPr>
              <w:t>3</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1A8E4F72">
            <w:pPr>
              <w:jc w:val="center"/>
              <w:rPr>
                <w:rFonts w:ascii="仿宋" w:hAnsi="仿宋" w:eastAsia="仿宋"/>
                <w:bCs/>
                <w:color w:val="auto"/>
                <w:sz w:val="24"/>
                <w:highlight w:val="none"/>
              </w:rPr>
            </w:pPr>
            <w:r>
              <w:rPr>
                <w:rFonts w:hint="eastAsia" w:ascii="仿宋" w:hAnsi="仿宋" w:eastAsia="仿宋"/>
                <w:bCs/>
                <w:color w:val="auto"/>
                <w:sz w:val="24"/>
                <w:highlight w:val="none"/>
              </w:rPr>
              <w:t>利     润</w:t>
            </w:r>
          </w:p>
        </w:tc>
        <w:tc>
          <w:tcPr>
            <w:tcW w:w="1388" w:type="dxa"/>
            <w:tcBorders>
              <w:top w:val="single" w:color="auto" w:sz="4" w:space="0"/>
              <w:left w:val="single" w:color="auto" w:sz="4" w:space="0"/>
              <w:bottom w:val="single" w:color="auto" w:sz="4" w:space="0"/>
              <w:right w:val="single" w:color="auto" w:sz="4" w:space="0"/>
            </w:tcBorders>
            <w:vAlign w:val="center"/>
          </w:tcPr>
          <w:p w14:paraId="7363BE16">
            <w:pPr>
              <w:jc w:val="center"/>
              <w:rPr>
                <w:rFonts w:ascii="仿宋" w:hAnsi="仿宋" w:eastAsia="仿宋"/>
                <w:bCs/>
                <w:color w:val="auto"/>
                <w:sz w:val="24"/>
                <w:highlight w:val="none"/>
              </w:rPr>
            </w:pPr>
          </w:p>
        </w:tc>
      </w:tr>
      <w:tr w14:paraId="2ABB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F523EB8">
            <w:pPr>
              <w:jc w:val="center"/>
              <w:rPr>
                <w:rFonts w:ascii="仿宋" w:hAnsi="仿宋" w:eastAsia="仿宋"/>
                <w:bCs/>
                <w:color w:val="auto"/>
                <w:sz w:val="24"/>
                <w:highlight w:val="none"/>
              </w:rPr>
            </w:pPr>
            <w:r>
              <w:rPr>
                <w:rFonts w:hint="eastAsia" w:ascii="仿宋" w:hAnsi="仿宋" w:eastAsia="仿宋"/>
                <w:bCs/>
                <w:color w:val="auto"/>
                <w:sz w:val="24"/>
                <w:highlight w:val="none"/>
              </w:rPr>
              <w:t>4</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7CC373BE">
            <w:pPr>
              <w:jc w:val="center"/>
              <w:rPr>
                <w:rFonts w:ascii="仿宋" w:hAnsi="仿宋" w:eastAsia="仿宋"/>
                <w:bCs/>
                <w:color w:val="auto"/>
                <w:sz w:val="24"/>
                <w:highlight w:val="none"/>
              </w:rPr>
            </w:pPr>
            <w:r>
              <w:rPr>
                <w:rFonts w:hint="eastAsia" w:ascii="仿宋" w:hAnsi="仿宋" w:eastAsia="仿宋"/>
                <w:bCs/>
                <w:color w:val="auto"/>
                <w:sz w:val="24"/>
                <w:highlight w:val="none"/>
              </w:rPr>
              <w:t>税金（包含企业所得税、增值税等）</w:t>
            </w:r>
          </w:p>
        </w:tc>
        <w:tc>
          <w:tcPr>
            <w:tcW w:w="1388" w:type="dxa"/>
            <w:tcBorders>
              <w:top w:val="single" w:color="auto" w:sz="4" w:space="0"/>
              <w:left w:val="single" w:color="auto" w:sz="4" w:space="0"/>
              <w:bottom w:val="single" w:color="auto" w:sz="4" w:space="0"/>
              <w:right w:val="single" w:color="auto" w:sz="4" w:space="0"/>
            </w:tcBorders>
            <w:vAlign w:val="center"/>
          </w:tcPr>
          <w:p w14:paraId="05EC05A5">
            <w:pPr>
              <w:jc w:val="center"/>
              <w:rPr>
                <w:rFonts w:ascii="仿宋" w:hAnsi="仿宋" w:eastAsia="仿宋"/>
                <w:bCs/>
                <w:color w:val="auto"/>
                <w:sz w:val="24"/>
                <w:highlight w:val="none"/>
              </w:rPr>
            </w:pPr>
          </w:p>
        </w:tc>
      </w:tr>
      <w:tr w14:paraId="40E4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A9A287A">
            <w:pPr>
              <w:jc w:val="center"/>
              <w:rPr>
                <w:rFonts w:ascii="仿宋" w:hAnsi="仿宋" w:eastAsia="仿宋"/>
                <w:bCs/>
                <w:color w:val="auto"/>
                <w:sz w:val="24"/>
                <w:highlight w:val="none"/>
              </w:rPr>
            </w:pPr>
            <w:r>
              <w:rPr>
                <w:rFonts w:hint="eastAsia" w:ascii="仿宋" w:hAnsi="仿宋" w:eastAsia="仿宋"/>
                <w:bCs/>
                <w:color w:val="auto"/>
                <w:sz w:val="24"/>
                <w:highlight w:val="none"/>
              </w:rPr>
              <w:t>5</w:t>
            </w:r>
          </w:p>
        </w:tc>
        <w:tc>
          <w:tcPr>
            <w:tcW w:w="8076" w:type="dxa"/>
            <w:gridSpan w:val="6"/>
            <w:tcBorders>
              <w:top w:val="single" w:color="auto" w:sz="4" w:space="0"/>
              <w:left w:val="single" w:color="auto" w:sz="4" w:space="0"/>
              <w:bottom w:val="single" w:color="auto" w:sz="4" w:space="0"/>
              <w:right w:val="single" w:color="auto" w:sz="4" w:space="0"/>
            </w:tcBorders>
            <w:vAlign w:val="center"/>
          </w:tcPr>
          <w:p w14:paraId="524BBE93">
            <w:pPr>
              <w:jc w:val="center"/>
              <w:rPr>
                <w:rFonts w:ascii="仿宋" w:hAnsi="仿宋" w:eastAsia="仿宋"/>
                <w:bCs/>
                <w:color w:val="auto"/>
                <w:sz w:val="24"/>
                <w:highlight w:val="none"/>
              </w:rPr>
            </w:pPr>
            <w:r>
              <w:rPr>
                <w:rFonts w:hint="eastAsia" w:ascii="仿宋" w:hAnsi="仿宋" w:eastAsia="仿宋"/>
                <w:bCs/>
                <w:color w:val="auto"/>
                <w:sz w:val="24"/>
                <w:highlight w:val="none"/>
              </w:rPr>
              <w:t>监 理 费 用 合 计</w:t>
            </w:r>
          </w:p>
        </w:tc>
        <w:tc>
          <w:tcPr>
            <w:tcW w:w="1388" w:type="dxa"/>
            <w:tcBorders>
              <w:top w:val="single" w:color="auto" w:sz="4" w:space="0"/>
              <w:left w:val="single" w:color="auto" w:sz="4" w:space="0"/>
              <w:bottom w:val="single" w:color="auto" w:sz="4" w:space="0"/>
              <w:right w:val="single" w:color="auto" w:sz="4" w:space="0"/>
            </w:tcBorders>
            <w:vAlign w:val="center"/>
          </w:tcPr>
          <w:p w14:paraId="5F88C49C">
            <w:pPr>
              <w:jc w:val="center"/>
              <w:rPr>
                <w:rFonts w:ascii="仿宋" w:hAnsi="仿宋" w:eastAsia="仿宋"/>
                <w:bCs/>
                <w:color w:val="auto"/>
                <w:sz w:val="24"/>
                <w:highlight w:val="none"/>
              </w:rPr>
            </w:pPr>
          </w:p>
        </w:tc>
      </w:tr>
    </w:tbl>
    <w:p w14:paraId="37FA048C">
      <w:pPr>
        <w:pStyle w:val="5"/>
        <w:ind w:left="0" w:leftChars="0" w:firstLine="0" w:firstLineChars="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报价单位：人民币（元）</w:t>
      </w:r>
    </w:p>
    <w:p w14:paraId="7D0B7239">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注：</w:t>
      </w:r>
    </w:p>
    <w:p w14:paraId="7E1CBD97">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1.此表中，监理费用应和报价一览表中的磋商报价相一致。</w:t>
      </w:r>
    </w:p>
    <w:p w14:paraId="49226556">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2.监理企业可根据企业实际情况增加分项费用进行报价。</w:t>
      </w:r>
    </w:p>
    <w:p w14:paraId="2BF13DFE">
      <w:pPr>
        <w:pStyle w:val="7"/>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3.磋商报价为综合报价，包含完成本项目所需的全部费用。</w:t>
      </w:r>
    </w:p>
    <w:p w14:paraId="49EF77B1">
      <w:pPr>
        <w:pStyle w:val="9"/>
        <w:tabs>
          <w:tab w:val="left" w:pos="5370"/>
        </w:tabs>
        <w:spacing w:line="360" w:lineRule="auto"/>
        <w:ind w:left="1080" w:leftChars="257" w:hanging="540"/>
        <w:rPr>
          <w:rFonts w:hint="eastAsia" w:ascii="仿宋" w:hAnsi="仿宋" w:eastAsia="仿宋"/>
          <w:color w:val="auto"/>
          <w:sz w:val="24"/>
          <w:highlight w:val="none"/>
        </w:rPr>
      </w:pPr>
    </w:p>
    <w:p w14:paraId="00702373">
      <w:pPr>
        <w:pStyle w:val="9"/>
        <w:tabs>
          <w:tab w:val="left" w:pos="5370"/>
        </w:tabs>
        <w:spacing w:line="360" w:lineRule="auto"/>
        <w:ind w:left="1080" w:leftChars="257" w:hanging="540"/>
        <w:rPr>
          <w:rFonts w:hint="eastAsia" w:ascii="仿宋" w:hAnsi="仿宋" w:eastAsia="仿宋"/>
          <w:color w:val="auto"/>
          <w:sz w:val="24"/>
          <w:highlight w:val="none"/>
        </w:rPr>
      </w:pPr>
    </w:p>
    <w:p w14:paraId="12560CC9">
      <w:pPr>
        <w:pStyle w:val="9"/>
        <w:tabs>
          <w:tab w:val="left" w:pos="5370"/>
        </w:tabs>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35D82937">
      <w:pPr>
        <w:pStyle w:val="9"/>
        <w:spacing w:line="360" w:lineRule="auto"/>
        <w:rPr>
          <w:color w:val="auto"/>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40B1EA03">
      <w:pPr>
        <w:widowControl/>
        <w:jc w:val="left"/>
        <w:rPr>
          <w:rFonts w:hint="eastAsia" w:ascii="仿宋" w:hAnsi="仿宋" w:eastAsia="仿宋"/>
          <w:color w:val="auto"/>
          <w:sz w:val="24"/>
          <w:highlight w:val="none"/>
        </w:rPr>
      </w:pPr>
      <w:r>
        <w:rPr>
          <w:rFonts w:ascii="仿宋" w:hAnsi="仿宋" w:eastAsia="仿宋"/>
          <w:color w:val="auto"/>
          <w:sz w:val="24"/>
          <w:highlight w:val="none"/>
        </w:rPr>
        <w:br w:type="page"/>
      </w:r>
    </w:p>
    <w:p w14:paraId="046B566D">
      <w:pPr>
        <w:widowControl/>
        <w:jc w:val="left"/>
        <w:rPr>
          <w:rFonts w:hint="eastAsia" w:ascii="仿宋" w:hAnsi="仿宋" w:eastAsia="仿宋"/>
          <w:color w:val="auto"/>
          <w:sz w:val="24"/>
          <w:highlight w:val="none"/>
        </w:rPr>
      </w:pPr>
    </w:p>
    <w:bookmarkEnd w:id="381"/>
    <w:bookmarkEnd w:id="382"/>
    <w:bookmarkEnd w:id="383"/>
    <w:bookmarkEnd w:id="384"/>
    <w:p w14:paraId="3ACF71C7">
      <w:pPr>
        <w:spacing w:line="360" w:lineRule="auto"/>
        <w:jc w:val="center"/>
        <w:rPr>
          <w:rFonts w:hint="eastAsia" w:ascii="仿宋" w:hAnsi="仿宋" w:eastAsia="仿宋"/>
          <w:b/>
          <w:color w:val="auto"/>
          <w:kern w:val="0"/>
          <w:sz w:val="24"/>
          <w:szCs w:val="20"/>
          <w:highlight w:val="none"/>
        </w:rPr>
      </w:pPr>
      <w:r>
        <w:rPr>
          <w:rFonts w:hint="eastAsia" w:ascii="仿宋" w:hAnsi="仿宋" w:eastAsia="仿宋"/>
          <w:b/>
          <w:color w:val="auto"/>
          <w:kern w:val="0"/>
          <w:sz w:val="24"/>
          <w:szCs w:val="20"/>
          <w:highlight w:val="none"/>
          <w:lang w:val="en-US" w:eastAsia="zh-CN"/>
        </w:rPr>
        <w:t>6</w:t>
      </w:r>
      <w:r>
        <w:rPr>
          <w:rFonts w:hint="eastAsia" w:ascii="仿宋" w:hAnsi="仿宋" w:eastAsia="仿宋"/>
          <w:b/>
          <w:color w:val="auto"/>
          <w:kern w:val="0"/>
          <w:sz w:val="24"/>
          <w:szCs w:val="20"/>
          <w:highlight w:val="none"/>
        </w:rPr>
        <w:t xml:space="preserve">  磋商保证金缴纳凭证或电子保函</w:t>
      </w:r>
    </w:p>
    <w:p w14:paraId="5C98EE56">
      <w:pPr>
        <w:pStyle w:val="9"/>
        <w:tabs>
          <w:tab w:val="left" w:pos="5580"/>
        </w:tabs>
        <w:spacing w:line="360" w:lineRule="auto"/>
        <w:ind w:left="1080" w:leftChars="257" w:hanging="540"/>
        <w:rPr>
          <w:rFonts w:hint="eastAsia" w:ascii="仿宋" w:hAnsi="仿宋" w:eastAsia="仿宋"/>
          <w:color w:val="auto"/>
          <w:sz w:val="24"/>
          <w:highlight w:val="none"/>
        </w:rPr>
      </w:pPr>
    </w:p>
    <w:p w14:paraId="37920C43">
      <w:pPr>
        <w:pStyle w:val="9"/>
        <w:tabs>
          <w:tab w:val="left" w:pos="5580"/>
        </w:tabs>
        <w:spacing w:line="360" w:lineRule="auto"/>
        <w:ind w:left="1258" w:leftChars="599" w:firstLine="820" w:firstLineChars="342"/>
        <w:rPr>
          <w:rFonts w:hint="eastAsia" w:ascii="仿宋" w:hAnsi="仿宋" w:eastAsia="仿宋"/>
          <w:color w:val="auto"/>
          <w:sz w:val="24"/>
          <w:highlight w:val="none"/>
        </w:rPr>
      </w:pPr>
      <w:r>
        <w:rPr>
          <w:rFonts w:hint="eastAsia" w:ascii="仿宋" w:hAnsi="仿宋" w:eastAsia="仿宋"/>
          <w:color w:val="auto"/>
          <w:sz w:val="24"/>
          <w:highlight w:val="none"/>
        </w:rPr>
        <w:t>说明：提供磋商保证金缴纳凭证或电子保函。</w:t>
      </w:r>
    </w:p>
    <w:p w14:paraId="6B17A23A">
      <w:pPr>
        <w:pStyle w:val="9"/>
        <w:tabs>
          <w:tab w:val="left" w:pos="5580"/>
        </w:tabs>
        <w:spacing w:line="360" w:lineRule="auto"/>
        <w:ind w:left="1080" w:leftChars="257" w:hanging="540"/>
        <w:rPr>
          <w:rFonts w:hint="eastAsia" w:ascii="仿宋" w:hAnsi="仿宋" w:eastAsia="仿宋"/>
          <w:color w:val="auto"/>
          <w:sz w:val="24"/>
          <w:highlight w:val="none"/>
        </w:rPr>
      </w:pPr>
    </w:p>
    <w:p w14:paraId="201A11A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24DF4534">
      <w:pPr>
        <w:pStyle w:val="3"/>
        <w:tabs>
          <w:tab w:val="left" w:pos="0"/>
        </w:tabs>
        <w:spacing w:before="0" w:line="360" w:lineRule="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 xml:space="preserve">  采购需求响应偏离表</w:t>
      </w:r>
    </w:p>
    <w:p w14:paraId="41E90A87">
      <w:pPr>
        <w:pStyle w:val="9"/>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60"/>
        <w:gridCol w:w="1842"/>
        <w:gridCol w:w="1501"/>
        <w:gridCol w:w="2102"/>
        <w:gridCol w:w="709"/>
        <w:gridCol w:w="650"/>
      </w:tblGrid>
      <w:tr w14:paraId="5D2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vAlign w:val="center"/>
          </w:tcPr>
          <w:p w14:paraId="2445A1E7">
            <w:pPr>
              <w:pStyle w:val="9"/>
              <w:ind w:left="-31" w:leftChars="-15"/>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560" w:type="dxa"/>
            <w:vAlign w:val="center"/>
          </w:tcPr>
          <w:p w14:paraId="1E60F1FD">
            <w:pPr>
              <w:pStyle w:val="9"/>
              <w:ind w:left="-149" w:leftChars="-71"/>
              <w:jc w:val="center"/>
              <w:rPr>
                <w:rFonts w:hint="eastAsia" w:ascii="仿宋" w:hAnsi="仿宋" w:eastAsia="仿宋"/>
                <w:color w:val="auto"/>
                <w:sz w:val="24"/>
                <w:highlight w:val="none"/>
              </w:rPr>
            </w:pPr>
            <w:r>
              <w:rPr>
                <w:rFonts w:hint="eastAsia" w:ascii="仿宋" w:hAnsi="仿宋" w:eastAsia="仿宋"/>
                <w:color w:val="auto"/>
                <w:sz w:val="24"/>
                <w:highlight w:val="none"/>
              </w:rPr>
              <w:t>内容</w:t>
            </w:r>
          </w:p>
        </w:tc>
        <w:tc>
          <w:tcPr>
            <w:tcW w:w="1842" w:type="dxa"/>
            <w:vAlign w:val="center"/>
          </w:tcPr>
          <w:p w14:paraId="08302CF0">
            <w:pPr>
              <w:pStyle w:val="9"/>
              <w:ind w:left="-107" w:leftChars="-51"/>
              <w:jc w:val="center"/>
              <w:rPr>
                <w:rFonts w:hint="eastAsia" w:ascii="仿宋" w:hAnsi="仿宋" w:eastAsia="仿宋"/>
                <w:color w:val="auto"/>
                <w:sz w:val="24"/>
                <w:highlight w:val="none"/>
              </w:rPr>
            </w:pP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w:t>
            </w:r>
          </w:p>
        </w:tc>
        <w:tc>
          <w:tcPr>
            <w:tcW w:w="1501" w:type="dxa"/>
            <w:vAlign w:val="center"/>
          </w:tcPr>
          <w:p w14:paraId="3B38A53D">
            <w:pPr>
              <w:pStyle w:val="9"/>
              <w:ind w:left="-206" w:leftChars="-98" w:right="-166" w:rightChars="-79"/>
              <w:jc w:val="center"/>
              <w:rPr>
                <w:rFonts w:hint="eastAsia" w:ascii="仿宋" w:hAnsi="仿宋" w:eastAsia="仿宋"/>
                <w:color w:val="auto"/>
                <w:sz w:val="24"/>
                <w:highlight w:val="none"/>
              </w:rPr>
            </w:pPr>
            <w:r>
              <w:rPr>
                <w:rFonts w:hint="eastAsia" w:ascii="仿宋" w:hAnsi="仿宋" w:eastAsia="仿宋"/>
                <w:color w:val="auto"/>
                <w:sz w:val="24"/>
                <w:highlight w:val="none"/>
              </w:rPr>
              <w:t>竞标响应情况</w:t>
            </w:r>
          </w:p>
        </w:tc>
        <w:tc>
          <w:tcPr>
            <w:tcW w:w="2102" w:type="dxa"/>
            <w:vAlign w:val="center"/>
          </w:tcPr>
          <w:p w14:paraId="0727FBE4">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偏离说明（符合/</w:t>
            </w:r>
          </w:p>
          <w:p w14:paraId="23F70E6E">
            <w:pPr>
              <w:pStyle w:val="9"/>
              <w:ind w:left="-48" w:leftChars="-23"/>
              <w:jc w:val="center"/>
              <w:rPr>
                <w:rFonts w:hint="eastAsia" w:ascii="仿宋" w:hAnsi="仿宋" w:eastAsia="仿宋"/>
                <w:color w:val="auto"/>
                <w:sz w:val="24"/>
                <w:highlight w:val="none"/>
              </w:rPr>
            </w:pPr>
            <w:r>
              <w:rPr>
                <w:rFonts w:hint="eastAsia" w:ascii="仿宋" w:hAnsi="仿宋" w:eastAsia="仿宋"/>
                <w:color w:val="auto"/>
                <w:sz w:val="24"/>
                <w:highlight w:val="none"/>
              </w:rPr>
              <w:t>正偏离/负偏离）</w:t>
            </w:r>
          </w:p>
        </w:tc>
        <w:tc>
          <w:tcPr>
            <w:tcW w:w="709" w:type="dxa"/>
            <w:vAlign w:val="center"/>
          </w:tcPr>
          <w:p w14:paraId="57F15911">
            <w:pPr>
              <w:pStyle w:val="9"/>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页码</w:t>
            </w:r>
          </w:p>
        </w:tc>
        <w:tc>
          <w:tcPr>
            <w:tcW w:w="650" w:type="dxa"/>
            <w:vAlign w:val="center"/>
          </w:tcPr>
          <w:p w14:paraId="60F2C979">
            <w:pPr>
              <w:pStyle w:val="9"/>
              <w:ind w:left="-82" w:leftChars="-39"/>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5C92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78D2BE9">
            <w:pPr>
              <w:pStyle w:val="9"/>
              <w:spacing w:line="360" w:lineRule="auto"/>
              <w:ind w:left="1080" w:leftChars="257" w:hanging="540"/>
              <w:rPr>
                <w:rFonts w:hint="eastAsia" w:ascii="仿宋" w:hAnsi="仿宋" w:eastAsia="仿宋"/>
                <w:color w:val="auto"/>
                <w:sz w:val="24"/>
                <w:highlight w:val="none"/>
              </w:rPr>
            </w:pPr>
          </w:p>
        </w:tc>
        <w:tc>
          <w:tcPr>
            <w:tcW w:w="1560" w:type="dxa"/>
          </w:tcPr>
          <w:p w14:paraId="2DDA79D0">
            <w:pPr>
              <w:pStyle w:val="9"/>
              <w:spacing w:line="360" w:lineRule="auto"/>
              <w:ind w:left="1080" w:leftChars="257" w:hanging="540"/>
              <w:rPr>
                <w:rFonts w:hint="eastAsia" w:ascii="仿宋" w:hAnsi="仿宋" w:eastAsia="仿宋"/>
                <w:color w:val="auto"/>
                <w:sz w:val="24"/>
                <w:highlight w:val="none"/>
              </w:rPr>
            </w:pPr>
          </w:p>
        </w:tc>
        <w:tc>
          <w:tcPr>
            <w:tcW w:w="1842" w:type="dxa"/>
          </w:tcPr>
          <w:p w14:paraId="317FF72E">
            <w:pPr>
              <w:pStyle w:val="9"/>
              <w:spacing w:line="360" w:lineRule="auto"/>
              <w:ind w:left="1080" w:leftChars="257" w:hanging="540"/>
              <w:rPr>
                <w:rFonts w:hint="eastAsia" w:ascii="仿宋" w:hAnsi="仿宋" w:eastAsia="仿宋"/>
                <w:color w:val="auto"/>
                <w:sz w:val="24"/>
                <w:highlight w:val="none"/>
              </w:rPr>
            </w:pPr>
          </w:p>
        </w:tc>
        <w:tc>
          <w:tcPr>
            <w:tcW w:w="1501" w:type="dxa"/>
          </w:tcPr>
          <w:p w14:paraId="153A78A7">
            <w:pPr>
              <w:pStyle w:val="9"/>
              <w:spacing w:line="360" w:lineRule="auto"/>
              <w:ind w:left="1080" w:leftChars="257" w:hanging="540"/>
              <w:rPr>
                <w:rFonts w:hint="eastAsia" w:ascii="仿宋" w:hAnsi="仿宋" w:eastAsia="仿宋"/>
                <w:color w:val="auto"/>
                <w:sz w:val="24"/>
                <w:highlight w:val="none"/>
              </w:rPr>
            </w:pPr>
          </w:p>
        </w:tc>
        <w:tc>
          <w:tcPr>
            <w:tcW w:w="2102" w:type="dxa"/>
          </w:tcPr>
          <w:p w14:paraId="7F336971">
            <w:pPr>
              <w:pStyle w:val="9"/>
              <w:spacing w:line="360" w:lineRule="auto"/>
              <w:ind w:left="1080" w:leftChars="257" w:hanging="540"/>
              <w:rPr>
                <w:rFonts w:hint="eastAsia" w:ascii="仿宋" w:hAnsi="仿宋" w:eastAsia="仿宋"/>
                <w:color w:val="auto"/>
                <w:sz w:val="24"/>
                <w:highlight w:val="none"/>
              </w:rPr>
            </w:pPr>
          </w:p>
        </w:tc>
        <w:tc>
          <w:tcPr>
            <w:tcW w:w="709" w:type="dxa"/>
          </w:tcPr>
          <w:p w14:paraId="72611EE4">
            <w:pPr>
              <w:pStyle w:val="9"/>
              <w:spacing w:line="360" w:lineRule="auto"/>
              <w:ind w:left="1080" w:leftChars="257" w:hanging="540"/>
              <w:rPr>
                <w:rFonts w:hint="eastAsia" w:ascii="仿宋" w:hAnsi="仿宋" w:eastAsia="仿宋"/>
                <w:color w:val="auto"/>
                <w:sz w:val="24"/>
                <w:highlight w:val="none"/>
              </w:rPr>
            </w:pPr>
          </w:p>
        </w:tc>
        <w:tc>
          <w:tcPr>
            <w:tcW w:w="650" w:type="dxa"/>
          </w:tcPr>
          <w:p w14:paraId="12EB0100">
            <w:pPr>
              <w:pStyle w:val="9"/>
              <w:spacing w:line="360" w:lineRule="auto"/>
              <w:ind w:left="1080" w:leftChars="257" w:hanging="540"/>
              <w:rPr>
                <w:rFonts w:hint="eastAsia" w:ascii="仿宋" w:hAnsi="仿宋" w:eastAsia="仿宋"/>
                <w:color w:val="auto"/>
                <w:sz w:val="24"/>
                <w:highlight w:val="none"/>
              </w:rPr>
            </w:pPr>
          </w:p>
        </w:tc>
      </w:tr>
      <w:tr w14:paraId="723C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A162F6C">
            <w:pPr>
              <w:pStyle w:val="9"/>
              <w:spacing w:line="360" w:lineRule="auto"/>
              <w:ind w:left="1080" w:leftChars="257" w:hanging="540"/>
              <w:rPr>
                <w:rFonts w:hint="eastAsia" w:ascii="仿宋" w:hAnsi="仿宋" w:eastAsia="仿宋"/>
                <w:color w:val="auto"/>
                <w:sz w:val="24"/>
                <w:highlight w:val="none"/>
              </w:rPr>
            </w:pPr>
          </w:p>
        </w:tc>
        <w:tc>
          <w:tcPr>
            <w:tcW w:w="1560" w:type="dxa"/>
          </w:tcPr>
          <w:p w14:paraId="70262F41">
            <w:pPr>
              <w:pStyle w:val="9"/>
              <w:spacing w:line="360" w:lineRule="auto"/>
              <w:ind w:left="1080" w:leftChars="257" w:hanging="540"/>
              <w:rPr>
                <w:rFonts w:hint="eastAsia" w:ascii="仿宋" w:hAnsi="仿宋" w:eastAsia="仿宋"/>
                <w:color w:val="auto"/>
                <w:sz w:val="24"/>
                <w:highlight w:val="none"/>
              </w:rPr>
            </w:pPr>
          </w:p>
        </w:tc>
        <w:tc>
          <w:tcPr>
            <w:tcW w:w="1842" w:type="dxa"/>
          </w:tcPr>
          <w:p w14:paraId="03EFB579">
            <w:pPr>
              <w:pStyle w:val="9"/>
              <w:spacing w:line="360" w:lineRule="auto"/>
              <w:ind w:left="1080" w:leftChars="257" w:hanging="540"/>
              <w:rPr>
                <w:rFonts w:hint="eastAsia" w:ascii="仿宋" w:hAnsi="仿宋" w:eastAsia="仿宋"/>
                <w:color w:val="auto"/>
                <w:sz w:val="24"/>
                <w:highlight w:val="none"/>
              </w:rPr>
            </w:pPr>
          </w:p>
        </w:tc>
        <w:tc>
          <w:tcPr>
            <w:tcW w:w="1501" w:type="dxa"/>
          </w:tcPr>
          <w:p w14:paraId="1E1182F4">
            <w:pPr>
              <w:pStyle w:val="9"/>
              <w:spacing w:line="360" w:lineRule="auto"/>
              <w:ind w:left="1080" w:leftChars="257" w:hanging="540"/>
              <w:rPr>
                <w:rFonts w:hint="eastAsia" w:ascii="仿宋" w:hAnsi="仿宋" w:eastAsia="仿宋"/>
                <w:color w:val="auto"/>
                <w:sz w:val="24"/>
                <w:highlight w:val="none"/>
              </w:rPr>
            </w:pPr>
          </w:p>
        </w:tc>
        <w:tc>
          <w:tcPr>
            <w:tcW w:w="2102" w:type="dxa"/>
          </w:tcPr>
          <w:p w14:paraId="20D9939F">
            <w:pPr>
              <w:pStyle w:val="9"/>
              <w:spacing w:line="360" w:lineRule="auto"/>
              <w:ind w:left="1080" w:leftChars="257" w:hanging="540"/>
              <w:rPr>
                <w:rFonts w:hint="eastAsia" w:ascii="仿宋" w:hAnsi="仿宋" w:eastAsia="仿宋"/>
                <w:color w:val="auto"/>
                <w:sz w:val="24"/>
                <w:highlight w:val="none"/>
              </w:rPr>
            </w:pPr>
          </w:p>
        </w:tc>
        <w:tc>
          <w:tcPr>
            <w:tcW w:w="709" w:type="dxa"/>
          </w:tcPr>
          <w:p w14:paraId="56011174">
            <w:pPr>
              <w:pStyle w:val="9"/>
              <w:spacing w:line="360" w:lineRule="auto"/>
              <w:ind w:left="1080" w:leftChars="257" w:hanging="540"/>
              <w:rPr>
                <w:rFonts w:hint="eastAsia" w:ascii="仿宋" w:hAnsi="仿宋" w:eastAsia="仿宋"/>
                <w:color w:val="auto"/>
                <w:sz w:val="24"/>
                <w:highlight w:val="none"/>
              </w:rPr>
            </w:pPr>
          </w:p>
        </w:tc>
        <w:tc>
          <w:tcPr>
            <w:tcW w:w="650" w:type="dxa"/>
          </w:tcPr>
          <w:p w14:paraId="02076F0E">
            <w:pPr>
              <w:pStyle w:val="9"/>
              <w:spacing w:line="360" w:lineRule="auto"/>
              <w:ind w:left="1080" w:leftChars="257" w:hanging="540"/>
              <w:rPr>
                <w:rFonts w:hint="eastAsia" w:ascii="仿宋" w:hAnsi="仿宋" w:eastAsia="仿宋"/>
                <w:color w:val="auto"/>
                <w:sz w:val="24"/>
                <w:highlight w:val="none"/>
              </w:rPr>
            </w:pPr>
          </w:p>
        </w:tc>
      </w:tr>
      <w:tr w14:paraId="127A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4B3CA19">
            <w:pPr>
              <w:pStyle w:val="9"/>
              <w:spacing w:line="360" w:lineRule="auto"/>
              <w:ind w:left="1080" w:leftChars="257" w:hanging="540"/>
              <w:rPr>
                <w:rFonts w:hint="eastAsia" w:ascii="仿宋" w:hAnsi="仿宋" w:eastAsia="仿宋"/>
                <w:color w:val="auto"/>
                <w:sz w:val="24"/>
                <w:highlight w:val="none"/>
              </w:rPr>
            </w:pPr>
          </w:p>
        </w:tc>
        <w:tc>
          <w:tcPr>
            <w:tcW w:w="1560" w:type="dxa"/>
          </w:tcPr>
          <w:p w14:paraId="005CD802">
            <w:pPr>
              <w:pStyle w:val="9"/>
              <w:spacing w:line="360" w:lineRule="auto"/>
              <w:ind w:left="1080" w:leftChars="257" w:hanging="540"/>
              <w:rPr>
                <w:rFonts w:hint="eastAsia" w:ascii="仿宋" w:hAnsi="仿宋" w:eastAsia="仿宋"/>
                <w:color w:val="auto"/>
                <w:sz w:val="24"/>
                <w:highlight w:val="none"/>
              </w:rPr>
            </w:pPr>
          </w:p>
        </w:tc>
        <w:tc>
          <w:tcPr>
            <w:tcW w:w="1842" w:type="dxa"/>
          </w:tcPr>
          <w:p w14:paraId="04D77DAD">
            <w:pPr>
              <w:pStyle w:val="9"/>
              <w:spacing w:line="360" w:lineRule="auto"/>
              <w:ind w:left="1080" w:leftChars="257" w:hanging="540"/>
              <w:rPr>
                <w:rFonts w:hint="eastAsia" w:ascii="仿宋" w:hAnsi="仿宋" w:eastAsia="仿宋"/>
                <w:color w:val="auto"/>
                <w:sz w:val="24"/>
                <w:highlight w:val="none"/>
              </w:rPr>
            </w:pPr>
          </w:p>
        </w:tc>
        <w:tc>
          <w:tcPr>
            <w:tcW w:w="1501" w:type="dxa"/>
          </w:tcPr>
          <w:p w14:paraId="59FD0B1F">
            <w:pPr>
              <w:pStyle w:val="9"/>
              <w:spacing w:line="360" w:lineRule="auto"/>
              <w:ind w:left="1080" w:leftChars="257" w:hanging="540"/>
              <w:rPr>
                <w:rFonts w:hint="eastAsia" w:ascii="仿宋" w:hAnsi="仿宋" w:eastAsia="仿宋"/>
                <w:color w:val="auto"/>
                <w:sz w:val="24"/>
                <w:highlight w:val="none"/>
              </w:rPr>
            </w:pPr>
          </w:p>
        </w:tc>
        <w:tc>
          <w:tcPr>
            <w:tcW w:w="2102" w:type="dxa"/>
          </w:tcPr>
          <w:p w14:paraId="5BA09217">
            <w:pPr>
              <w:pStyle w:val="9"/>
              <w:spacing w:line="360" w:lineRule="auto"/>
              <w:ind w:left="1080" w:leftChars="257" w:hanging="540"/>
              <w:rPr>
                <w:rFonts w:hint="eastAsia" w:ascii="仿宋" w:hAnsi="仿宋" w:eastAsia="仿宋"/>
                <w:color w:val="auto"/>
                <w:sz w:val="24"/>
                <w:highlight w:val="none"/>
              </w:rPr>
            </w:pPr>
          </w:p>
        </w:tc>
        <w:tc>
          <w:tcPr>
            <w:tcW w:w="709" w:type="dxa"/>
          </w:tcPr>
          <w:p w14:paraId="3A1170A5">
            <w:pPr>
              <w:pStyle w:val="9"/>
              <w:spacing w:line="360" w:lineRule="auto"/>
              <w:ind w:left="1080" w:leftChars="257" w:hanging="540"/>
              <w:rPr>
                <w:rFonts w:hint="eastAsia" w:ascii="仿宋" w:hAnsi="仿宋" w:eastAsia="仿宋"/>
                <w:color w:val="auto"/>
                <w:sz w:val="24"/>
                <w:highlight w:val="none"/>
              </w:rPr>
            </w:pPr>
          </w:p>
        </w:tc>
        <w:tc>
          <w:tcPr>
            <w:tcW w:w="650" w:type="dxa"/>
          </w:tcPr>
          <w:p w14:paraId="4A1B402F">
            <w:pPr>
              <w:pStyle w:val="9"/>
              <w:spacing w:line="360" w:lineRule="auto"/>
              <w:ind w:left="1080" w:leftChars="257" w:hanging="540"/>
              <w:rPr>
                <w:rFonts w:hint="eastAsia" w:ascii="仿宋" w:hAnsi="仿宋" w:eastAsia="仿宋"/>
                <w:color w:val="auto"/>
                <w:sz w:val="24"/>
                <w:highlight w:val="none"/>
              </w:rPr>
            </w:pPr>
          </w:p>
        </w:tc>
      </w:tr>
      <w:tr w14:paraId="22A7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34B9227">
            <w:pPr>
              <w:pStyle w:val="9"/>
              <w:spacing w:line="360" w:lineRule="auto"/>
              <w:ind w:left="1080" w:leftChars="257" w:hanging="540"/>
              <w:rPr>
                <w:rFonts w:hint="eastAsia" w:ascii="仿宋" w:hAnsi="仿宋" w:eastAsia="仿宋"/>
                <w:color w:val="auto"/>
                <w:sz w:val="24"/>
                <w:highlight w:val="none"/>
              </w:rPr>
            </w:pPr>
          </w:p>
        </w:tc>
        <w:tc>
          <w:tcPr>
            <w:tcW w:w="1560" w:type="dxa"/>
          </w:tcPr>
          <w:p w14:paraId="3532C4C6">
            <w:pPr>
              <w:pStyle w:val="9"/>
              <w:spacing w:line="360" w:lineRule="auto"/>
              <w:ind w:left="1080" w:leftChars="257" w:hanging="540"/>
              <w:rPr>
                <w:rFonts w:hint="eastAsia" w:ascii="仿宋" w:hAnsi="仿宋" w:eastAsia="仿宋"/>
                <w:color w:val="auto"/>
                <w:sz w:val="24"/>
                <w:highlight w:val="none"/>
              </w:rPr>
            </w:pPr>
          </w:p>
        </w:tc>
        <w:tc>
          <w:tcPr>
            <w:tcW w:w="1842" w:type="dxa"/>
          </w:tcPr>
          <w:p w14:paraId="77B3BB44">
            <w:pPr>
              <w:pStyle w:val="9"/>
              <w:spacing w:line="360" w:lineRule="auto"/>
              <w:ind w:left="1080" w:leftChars="257" w:hanging="540"/>
              <w:rPr>
                <w:rFonts w:hint="eastAsia" w:ascii="仿宋" w:hAnsi="仿宋" w:eastAsia="仿宋"/>
                <w:color w:val="auto"/>
                <w:sz w:val="24"/>
                <w:highlight w:val="none"/>
              </w:rPr>
            </w:pPr>
          </w:p>
        </w:tc>
        <w:tc>
          <w:tcPr>
            <w:tcW w:w="1501" w:type="dxa"/>
          </w:tcPr>
          <w:p w14:paraId="452409A7">
            <w:pPr>
              <w:pStyle w:val="9"/>
              <w:spacing w:line="360" w:lineRule="auto"/>
              <w:ind w:left="1080" w:leftChars="257" w:hanging="540"/>
              <w:rPr>
                <w:rFonts w:hint="eastAsia" w:ascii="仿宋" w:hAnsi="仿宋" w:eastAsia="仿宋"/>
                <w:color w:val="auto"/>
                <w:sz w:val="24"/>
                <w:highlight w:val="none"/>
              </w:rPr>
            </w:pPr>
          </w:p>
        </w:tc>
        <w:tc>
          <w:tcPr>
            <w:tcW w:w="2102" w:type="dxa"/>
          </w:tcPr>
          <w:p w14:paraId="12931F84">
            <w:pPr>
              <w:pStyle w:val="9"/>
              <w:spacing w:line="360" w:lineRule="auto"/>
              <w:ind w:left="1080" w:leftChars="257" w:hanging="540"/>
              <w:rPr>
                <w:rFonts w:hint="eastAsia" w:ascii="仿宋" w:hAnsi="仿宋" w:eastAsia="仿宋"/>
                <w:color w:val="auto"/>
                <w:sz w:val="24"/>
                <w:highlight w:val="none"/>
              </w:rPr>
            </w:pPr>
          </w:p>
        </w:tc>
        <w:tc>
          <w:tcPr>
            <w:tcW w:w="709" w:type="dxa"/>
          </w:tcPr>
          <w:p w14:paraId="312CC83F">
            <w:pPr>
              <w:pStyle w:val="9"/>
              <w:spacing w:line="360" w:lineRule="auto"/>
              <w:ind w:left="1080" w:leftChars="257" w:hanging="540"/>
              <w:rPr>
                <w:rFonts w:hint="eastAsia" w:ascii="仿宋" w:hAnsi="仿宋" w:eastAsia="仿宋"/>
                <w:color w:val="auto"/>
                <w:sz w:val="24"/>
                <w:highlight w:val="none"/>
              </w:rPr>
            </w:pPr>
          </w:p>
        </w:tc>
        <w:tc>
          <w:tcPr>
            <w:tcW w:w="650" w:type="dxa"/>
          </w:tcPr>
          <w:p w14:paraId="1E0AE2B2">
            <w:pPr>
              <w:pStyle w:val="9"/>
              <w:spacing w:line="360" w:lineRule="auto"/>
              <w:ind w:left="1080" w:leftChars="257" w:hanging="540"/>
              <w:rPr>
                <w:rFonts w:hint="eastAsia" w:ascii="仿宋" w:hAnsi="仿宋" w:eastAsia="仿宋"/>
                <w:color w:val="auto"/>
                <w:sz w:val="24"/>
                <w:highlight w:val="none"/>
              </w:rPr>
            </w:pPr>
          </w:p>
        </w:tc>
      </w:tr>
      <w:tr w14:paraId="49FA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0D89EE50">
            <w:pPr>
              <w:pStyle w:val="9"/>
              <w:spacing w:line="360" w:lineRule="auto"/>
              <w:ind w:left="1080" w:leftChars="257" w:hanging="540"/>
              <w:rPr>
                <w:rFonts w:hint="eastAsia" w:ascii="仿宋" w:hAnsi="仿宋" w:eastAsia="仿宋"/>
                <w:color w:val="auto"/>
                <w:sz w:val="24"/>
                <w:highlight w:val="none"/>
              </w:rPr>
            </w:pPr>
          </w:p>
        </w:tc>
        <w:tc>
          <w:tcPr>
            <w:tcW w:w="1560" w:type="dxa"/>
          </w:tcPr>
          <w:p w14:paraId="7F883DD6">
            <w:pPr>
              <w:pStyle w:val="9"/>
              <w:spacing w:line="360" w:lineRule="auto"/>
              <w:ind w:left="1080" w:leftChars="257" w:hanging="540"/>
              <w:rPr>
                <w:rFonts w:hint="eastAsia" w:ascii="仿宋" w:hAnsi="仿宋" w:eastAsia="仿宋"/>
                <w:color w:val="auto"/>
                <w:sz w:val="24"/>
                <w:highlight w:val="none"/>
              </w:rPr>
            </w:pPr>
          </w:p>
        </w:tc>
        <w:tc>
          <w:tcPr>
            <w:tcW w:w="1842" w:type="dxa"/>
          </w:tcPr>
          <w:p w14:paraId="28B94596">
            <w:pPr>
              <w:pStyle w:val="9"/>
              <w:spacing w:line="360" w:lineRule="auto"/>
              <w:ind w:left="1080" w:leftChars="257" w:hanging="540"/>
              <w:rPr>
                <w:rFonts w:hint="eastAsia" w:ascii="仿宋" w:hAnsi="仿宋" w:eastAsia="仿宋"/>
                <w:color w:val="auto"/>
                <w:sz w:val="24"/>
                <w:highlight w:val="none"/>
              </w:rPr>
            </w:pPr>
          </w:p>
        </w:tc>
        <w:tc>
          <w:tcPr>
            <w:tcW w:w="1501" w:type="dxa"/>
          </w:tcPr>
          <w:p w14:paraId="66AF554B">
            <w:pPr>
              <w:pStyle w:val="9"/>
              <w:spacing w:line="360" w:lineRule="auto"/>
              <w:ind w:left="1080" w:leftChars="257" w:hanging="540"/>
              <w:rPr>
                <w:rFonts w:hint="eastAsia" w:ascii="仿宋" w:hAnsi="仿宋" w:eastAsia="仿宋"/>
                <w:color w:val="auto"/>
                <w:sz w:val="24"/>
                <w:highlight w:val="none"/>
              </w:rPr>
            </w:pPr>
          </w:p>
        </w:tc>
        <w:tc>
          <w:tcPr>
            <w:tcW w:w="2102" w:type="dxa"/>
          </w:tcPr>
          <w:p w14:paraId="6F681B39">
            <w:pPr>
              <w:pStyle w:val="9"/>
              <w:spacing w:line="360" w:lineRule="auto"/>
              <w:ind w:left="1080" w:leftChars="257" w:hanging="540"/>
              <w:rPr>
                <w:rFonts w:hint="eastAsia" w:ascii="仿宋" w:hAnsi="仿宋" w:eastAsia="仿宋"/>
                <w:color w:val="auto"/>
                <w:sz w:val="24"/>
                <w:highlight w:val="none"/>
              </w:rPr>
            </w:pPr>
          </w:p>
        </w:tc>
        <w:tc>
          <w:tcPr>
            <w:tcW w:w="709" w:type="dxa"/>
          </w:tcPr>
          <w:p w14:paraId="07E95904">
            <w:pPr>
              <w:pStyle w:val="9"/>
              <w:spacing w:line="360" w:lineRule="auto"/>
              <w:ind w:left="1080" w:leftChars="257" w:hanging="540"/>
              <w:rPr>
                <w:rFonts w:hint="eastAsia" w:ascii="仿宋" w:hAnsi="仿宋" w:eastAsia="仿宋"/>
                <w:color w:val="auto"/>
                <w:sz w:val="24"/>
                <w:highlight w:val="none"/>
              </w:rPr>
            </w:pPr>
          </w:p>
        </w:tc>
        <w:tc>
          <w:tcPr>
            <w:tcW w:w="650" w:type="dxa"/>
          </w:tcPr>
          <w:p w14:paraId="1E0892F2">
            <w:pPr>
              <w:pStyle w:val="9"/>
              <w:spacing w:line="360" w:lineRule="auto"/>
              <w:ind w:left="1080" w:leftChars="257" w:hanging="540"/>
              <w:rPr>
                <w:rFonts w:hint="eastAsia" w:ascii="仿宋" w:hAnsi="仿宋" w:eastAsia="仿宋"/>
                <w:color w:val="auto"/>
                <w:sz w:val="24"/>
                <w:highlight w:val="none"/>
              </w:rPr>
            </w:pPr>
          </w:p>
        </w:tc>
      </w:tr>
      <w:tr w14:paraId="4F5C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9B7AC9C">
            <w:pPr>
              <w:pStyle w:val="9"/>
              <w:spacing w:line="360" w:lineRule="auto"/>
              <w:ind w:left="1080" w:leftChars="257" w:hanging="540"/>
              <w:rPr>
                <w:rFonts w:hint="eastAsia" w:ascii="仿宋" w:hAnsi="仿宋" w:eastAsia="仿宋"/>
                <w:color w:val="auto"/>
                <w:sz w:val="24"/>
                <w:highlight w:val="none"/>
              </w:rPr>
            </w:pPr>
          </w:p>
        </w:tc>
        <w:tc>
          <w:tcPr>
            <w:tcW w:w="1560" w:type="dxa"/>
          </w:tcPr>
          <w:p w14:paraId="3665ACB2">
            <w:pPr>
              <w:pStyle w:val="9"/>
              <w:spacing w:line="360" w:lineRule="auto"/>
              <w:ind w:left="1080" w:leftChars="257" w:hanging="540"/>
              <w:rPr>
                <w:rFonts w:hint="eastAsia" w:ascii="仿宋" w:hAnsi="仿宋" w:eastAsia="仿宋"/>
                <w:color w:val="auto"/>
                <w:sz w:val="24"/>
                <w:highlight w:val="none"/>
              </w:rPr>
            </w:pPr>
          </w:p>
        </w:tc>
        <w:tc>
          <w:tcPr>
            <w:tcW w:w="1842" w:type="dxa"/>
          </w:tcPr>
          <w:p w14:paraId="759F0233">
            <w:pPr>
              <w:pStyle w:val="9"/>
              <w:spacing w:line="360" w:lineRule="auto"/>
              <w:ind w:left="1080" w:leftChars="257" w:hanging="540"/>
              <w:rPr>
                <w:rFonts w:hint="eastAsia" w:ascii="仿宋" w:hAnsi="仿宋" w:eastAsia="仿宋"/>
                <w:color w:val="auto"/>
                <w:sz w:val="24"/>
                <w:highlight w:val="none"/>
              </w:rPr>
            </w:pPr>
          </w:p>
        </w:tc>
        <w:tc>
          <w:tcPr>
            <w:tcW w:w="1501" w:type="dxa"/>
          </w:tcPr>
          <w:p w14:paraId="7024610D">
            <w:pPr>
              <w:pStyle w:val="9"/>
              <w:spacing w:line="360" w:lineRule="auto"/>
              <w:ind w:left="1080" w:leftChars="257" w:hanging="540"/>
              <w:rPr>
                <w:rFonts w:hint="eastAsia" w:ascii="仿宋" w:hAnsi="仿宋" w:eastAsia="仿宋"/>
                <w:color w:val="auto"/>
                <w:sz w:val="24"/>
                <w:highlight w:val="none"/>
              </w:rPr>
            </w:pPr>
          </w:p>
        </w:tc>
        <w:tc>
          <w:tcPr>
            <w:tcW w:w="2102" w:type="dxa"/>
          </w:tcPr>
          <w:p w14:paraId="3EAC19BF">
            <w:pPr>
              <w:pStyle w:val="9"/>
              <w:spacing w:line="360" w:lineRule="auto"/>
              <w:ind w:left="1080" w:leftChars="257" w:hanging="540"/>
              <w:rPr>
                <w:rFonts w:hint="eastAsia" w:ascii="仿宋" w:hAnsi="仿宋" w:eastAsia="仿宋"/>
                <w:color w:val="auto"/>
                <w:sz w:val="24"/>
                <w:highlight w:val="none"/>
              </w:rPr>
            </w:pPr>
          </w:p>
        </w:tc>
        <w:tc>
          <w:tcPr>
            <w:tcW w:w="709" w:type="dxa"/>
          </w:tcPr>
          <w:p w14:paraId="6B648F1F">
            <w:pPr>
              <w:pStyle w:val="9"/>
              <w:spacing w:line="360" w:lineRule="auto"/>
              <w:ind w:left="1080" w:leftChars="257" w:hanging="540"/>
              <w:rPr>
                <w:rFonts w:hint="eastAsia" w:ascii="仿宋" w:hAnsi="仿宋" w:eastAsia="仿宋"/>
                <w:color w:val="auto"/>
                <w:sz w:val="24"/>
                <w:highlight w:val="none"/>
              </w:rPr>
            </w:pPr>
          </w:p>
        </w:tc>
        <w:tc>
          <w:tcPr>
            <w:tcW w:w="650" w:type="dxa"/>
          </w:tcPr>
          <w:p w14:paraId="0BD39732">
            <w:pPr>
              <w:pStyle w:val="9"/>
              <w:spacing w:line="360" w:lineRule="auto"/>
              <w:ind w:left="1080" w:leftChars="257" w:hanging="540"/>
              <w:rPr>
                <w:rFonts w:hint="eastAsia" w:ascii="仿宋" w:hAnsi="仿宋" w:eastAsia="仿宋"/>
                <w:color w:val="auto"/>
                <w:sz w:val="24"/>
                <w:highlight w:val="none"/>
              </w:rPr>
            </w:pPr>
          </w:p>
        </w:tc>
      </w:tr>
      <w:tr w14:paraId="4EC0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17A8D4E9">
            <w:pPr>
              <w:pStyle w:val="9"/>
              <w:spacing w:line="360" w:lineRule="auto"/>
              <w:ind w:left="1080" w:leftChars="257" w:hanging="540"/>
              <w:rPr>
                <w:rFonts w:hint="eastAsia" w:ascii="仿宋" w:hAnsi="仿宋" w:eastAsia="仿宋"/>
                <w:color w:val="auto"/>
                <w:sz w:val="24"/>
                <w:highlight w:val="none"/>
              </w:rPr>
            </w:pPr>
          </w:p>
        </w:tc>
        <w:tc>
          <w:tcPr>
            <w:tcW w:w="1560" w:type="dxa"/>
          </w:tcPr>
          <w:p w14:paraId="42FCAE42">
            <w:pPr>
              <w:pStyle w:val="9"/>
              <w:spacing w:line="360" w:lineRule="auto"/>
              <w:ind w:left="1080" w:leftChars="257" w:hanging="540"/>
              <w:rPr>
                <w:rFonts w:hint="eastAsia" w:ascii="仿宋" w:hAnsi="仿宋" w:eastAsia="仿宋"/>
                <w:color w:val="auto"/>
                <w:sz w:val="24"/>
                <w:highlight w:val="none"/>
              </w:rPr>
            </w:pPr>
          </w:p>
        </w:tc>
        <w:tc>
          <w:tcPr>
            <w:tcW w:w="1842" w:type="dxa"/>
          </w:tcPr>
          <w:p w14:paraId="72B5FBFB">
            <w:pPr>
              <w:pStyle w:val="9"/>
              <w:spacing w:line="360" w:lineRule="auto"/>
              <w:ind w:left="1080" w:leftChars="257" w:hanging="540"/>
              <w:rPr>
                <w:rFonts w:hint="eastAsia" w:ascii="仿宋" w:hAnsi="仿宋" w:eastAsia="仿宋"/>
                <w:color w:val="auto"/>
                <w:sz w:val="24"/>
                <w:highlight w:val="none"/>
              </w:rPr>
            </w:pPr>
          </w:p>
        </w:tc>
        <w:tc>
          <w:tcPr>
            <w:tcW w:w="1501" w:type="dxa"/>
          </w:tcPr>
          <w:p w14:paraId="4A90BC80">
            <w:pPr>
              <w:pStyle w:val="9"/>
              <w:spacing w:line="360" w:lineRule="auto"/>
              <w:ind w:left="1080" w:leftChars="257" w:hanging="540"/>
              <w:rPr>
                <w:rFonts w:hint="eastAsia" w:ascii="仿宋" w:hAnsi="仿宋" w:eastAsia="仿宋"/>
                <w:color w:val="auto"/>
                <w:sz w:val="24"/>
                <w:highlight w:val="none"/>
              </w:rPr>
            </w:pPr>
          </w:p>
        </w:tc>
        <w:tc>
          <w:tcPr>
            <w:tcW w:w="2102" w:type="dxa"/>
          </w:tcPr>
          <w:p w14:paraId="2D9C5F21">
            <w:pPr>
              <w:pStyle w:val="9"/>
              <w:spacing w:line="360" w:lineRule="auto"/>
              <w:ind w:left="1080" w:leftChars="257" w:hanging="540"/>
              <w:rPr>
                <w:rFonts w:hint="eastAsia" w:ascii="仿宋" w:hAnsi="仿宋" w:eastAsia="仿宋"/>
                <w:color w:val="auto"/>
                <w:sz w:val="24"/>
                <w:highlight w:val="none"/>
              </w:rPr>
            </w:pPr>
          </w:p>
        </w:tc>
        <w:tc>
          <w:tcPr>
            <w:tcW w:w="709" w:type="dxa"/>
          </w:tcPr>
          <w:p w14:paraId="62FA4CA7">
            <w:pPr>
              <w:pStyle w:val="9"/>
              <w:spacing w:line="360" w:lineRule="auto"/>
              <w:ind w:left="1080" w:leftChars="257" w:hanging="540"/>
              <w:rPr>
                <w:rFonts w:hint="eastAsia" w:ascii="仿宋" w:hAnsi="仿宋" w:eastAsia="仿宋"/>
                <w:color w:val="auto"/>
                <w:sz w:val="24"/>
                <w:highlight w:val="none"/>
              </w:rPr>
            </w:pPr>
          </w:p>
        </w:tc>
        <w:tc>
          <w:tcPr>
            <w:tcW w:w="650" w:type="dxa"/>
          </w:tcPr>
          <w:p w14:paraId="375B9070">
            <w:pPr>
              <w:pStyle w:val="9"/>
              <w:spacing w:line="360" w:lineRule="auto"/>
              <w:ind w:left="1080" w:leftChars="257" w:hanging="540"/>
              <w:rPr>
                <w:rFonts w:hint="eastAsia" w:ascii="仿宋" w:hAnsi="仿宋" w:eastAsia="仿宋"/>
                <w:color w:val="auto"/>
                <w:sz w:val="24"/>
                <w:highlight w:val="none"/>
              </w:rPr>
            </w:pPr>
          </w:p>
        </w:tc>
      </w:tr>
      <w:tr w14:paraId="772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5BBD4FDC">
            <w:pPr>
              <w:pStyle w:val="9"/>
              <w:spacing w:line="360" w:lineRule="auto"/>
              <w:ind w:left="1080" w:leftChars="257" w:hanging="540"/>
              <w:rPr>
                <w:rFonts w:hint="eastAsia" w:ascii="仿宋" w:hAnsi="仿宋" w:eastAsia="仿宋"/>
                <w:color w:val="auto"/>
                <w:sz w:val="24"/>
                <w:highlight w:val="none"/>
              </w:rPr>
            </w:pPr>
          </w:p>
        </w:tc>
        <w:tc>
          <w:tcPr>
            <w:tcW w:w="1560" w:type="dxa"/>
          </w:tcPr>
          <w:p w14:paraId="08AD9014">
            <w:pPr>
              <w:pStyle w:val="9"/>
              <w:spacing w:line="360" w:lineRule="auto"/>
              <w:ind w:left="1080" w:leftChars="257" w:hanging="540"/>
              <w:rPr>
                <w:rFonts w:hint="eastAsia" w:ascii="仿宋" w:hAnsi="仿宋" w:eastAsia="仿宋"/>
                <w:color w:val="auto"/>
                <w:sz w:val="24"/>
                <w:highlight w:val="none"/>
              </w:rPr>
            </w:pPr>
          </w:p>
        </w:tc>
        <w:tc>
          <w:tcPr>
            <w:tcW w:w="1842" w:type="dxa"/>
          </w:tcPr>
          <w:p w14:paraId="057D0AFD">
            <w:pPr>
              <w:pStyle w:val="9"/>
              <w:spacing w:line="360" w:lineRule="auto"/>
              <w:ind w:left="1080" w:leftChars="257" w:hanging="540"/>
              <w:rPr>
                <w:rFonts w:hint="eastAsia" w:ascii="仿宋" w:hAnsi="仿宋" w:eastAsia="仿宋"/>
                <w:color w:val="auto"/>
                <w:sz w:val="24"/>
                <w:highlight w:val="none"/>
              </w:rPr>
            </w:pPr>
          </w:p>
        </w:tc>
        <w:tc>
          <w:tcPr>
            <w:tcW w:w="1501" w:type="dxa"/>
          </w:tcPr>
          <w:p w14:paraId="291B3679">
            <w:pPr>
              <w:pStyle w:val="9"/>
              <w:spacing w:line="360" w:lineRule="auto"/>
              <w:ind w:left="1080" w:leftChars="257" w:hanging="540"/>
              <w:rPr>
                <w:rFonts w:hint="eastAsia" w:ascii="仿宋" w:hAnsi="仿宋" w:eastAsia="仿宋"/>
                <w:color w:val="auto"/>
                <w:sz w:val="24"/>
                <w:highlight w:val="none"/>
              </w:rPr>
            </w:pPr>
          </w:p>
        </w:tc>
        <w:tc>
          <w:tcPr>
            <w:tcW w:w="2102" w:type="dxa"/>
          </w:tcPr>
          <w:p w14:paraId="14057A08">
            <w:pPr>
              <w:pStyle w:val="9"/>
              <w:spacing w:line="360" w:lineRule="auto"/>
              <w:ind w:left="1080" w:leftChars="257" w:hanging="540"/>
              <w:rPr>
                <w:rFonts w:hint="eastAsia" w:ascii="仿宋" w:hAnsi="仿宋" w:eastAsia="仿宋"/>
                <w:color w:val="auto"/>
                <w:sz w:val="24"/>
                <w:highlight w:val="none"/>
              </w:rPr>
            </w:pPr>
          </w:p>
        </w:tc>
        <w:tc>
          <w:tcPr>
            <w:tcW w:w="709" w:type="dxa"/>
          </w:tcPr>
          <w:p w14:paraId="31272F9E">
            <w:pPr>
              <w:pStyle w:val="9"/>
              <w:spacing w:line="360" w:lineRule="auto"/>
              <w:ind w:left="1080" w:leftChars="257" w:hanging="540"/>
              <w:rPr>
                <w:rFonts w:hint="eastAsia" w:ascii="仿宋" w:hAnsi="仿宋" w:eastAsia="仿宋"/>
                <w:color w:val="auto"/>
                <w:sz w:val="24"/>
                <w:highlight w:val="none"/>
              </w:rPr>
            </w:pPr>
          </w:p>
        </w:tc>
        <w:tc>
          <w:tcPr>
            <w:tcW w:w="650" w:type="dxa"/>
          </w:tcPr>
          <w:p w14:paraId="475A8868">
            <w:pPr>
              <w:pStyle w:val="9"/>
              <w:spacing w:line="360" w:lineRule="auto"/>
              <w:ind w:left="1080" w:leftChars="257" w:hanging="540"/>
              <w:rPr>
                <w:rFonts w:hint="eastAsia" w:ascii="仿宋" w:hAnsi="仿宋" w:eastAsia="仿宋"/>
                <w:color w:val="auto"/>
                <w:sz w:val="24"/>
                <w:highlight w:val="none"/>
              </w:rPr>
            </w:pPr>
          </w:p>
        </w:tc>
      </w:tr>
      <w:tr w14:paraId="2812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7EE33DC9">
            <w:pPr>
              <w:pStyle w:val="9"/>
              <w:spacing w:line="360" w:lineRule="auto"/>
              <w:ind w:left="1080" w:leftChars="257" w:hanging="540"/>
              <w:rPr>
                <w:rFonts w:hint="eastAsia" w:ascii="仿宋" w:hAnsi="仿宋" w:eastAsia="仿宋"/>
                <w:color w:val="auto"/>
                <w:sz w:val="24"/>
                <w:highlight w:val="none"/>
              </w:rPr>
            </w:pPr>
          </w:p>
        </w:tc>
        <w:tc>
          <w:tcPr>
            <w:tcW w:w="1560" w:type="dxa"/>
          </w:tcPr>
          <w:p w14:paraId="6EC6569B">
            <w:pPr>
              <w:pStyle w:val="9"/>
              <w:spacing w:line="360" w:lineRule="auto"/>
              <w:ind w:left="1080" w:leftChars="257" w:hanging="540"/>
              <w:rPr>
                <w:rFonts w:hint="eastAsia" w:ascii="仿宋" w:hAnsi="仿宋" w:eastAsia="仿宋"/>
                <w:color w:val="auto"/>
                <w:sz w:val="24"/>
                <w:highlight w:val="none"/>
              </w:rPr>
            </w:pPr>
          </w:p>
        </w:tc>
        <w:tc>
          <w:tcPr>
            <w:tcW w:w="1842" w:type="dxa"/>
          </w:tcPr>
          <w:p w14:paraId="49F56B9F">
            <w:pPr>
              <w:pStyle w:val="9"/>
              <w:spacing w:line="360" w:lineRule="auto"/>
              <w:ind w:left="1080" w:leftChars="257" w:hanging="540"/>
              <w:rPr>
                <w:rFonts w:hint="eastAsia" w:ascii="仿宋" w:hAnsi="仿宋" w:eastAsia="仿宋"/>
                <w:color w:val="auto"/>
                <w:sz w:val="24"/>
                <w:highlight w:val="none"/>
              </w:rPr>
            </w:pPr>
          </w:p>
        </w:tc>
        <w:tc>
          <w:tcPr>
            <w:tcW w:w="1501" w:type="dxa"/>
          </w:tcPr>
          <w:p w14:paraId="672EA194">
            <w:pPr>
              <w:pStyle w:val="9"/>
              <w:spacing w:line="360" w:lineRule="auto"/>
              <w:ind w:left="1080" w:leftChars="257" w:hanging="540"/>
              <w:rPr>
                <w:rFonts w:hint="eastAsia" w:ascii="仿宋" w:hAnsi="仿宋" w:eastAsia="仿宋"/>
                <w:color w:val="auto"/>
                <w:sz w:val="24"/>
                <w:highlight w:val="none"/>
              </w:rPr>
            </w:pPr>
          </w:p>
        </w:tc>
        <w:tc>
          <w:tcPr>
            <w:tcW w:w="2102" w:type="dxa"/>
          </w:tcPr>
          <w:p w14:paraId="02F99D69">
            <w:pPr>
              <w:pStyle w:val="9"/>
              <w:spacing w:line="360" w:lineRule="auto"/>
              <w:ind w:left="1080" w:leftChars="257" w:hanging="540"/>
              <w:rPr>
                <w:rFonts w:hint="eastAsia" w:ascii="仿宋" w:hAnsi="仿宋" w:eastAsia="仿宋"/>
                <w:color w:val="auto"/>
                <w:sz w:val="24"/>
                <w:highlight w:val="none"/>
              </w:rPr>
            </w:pPr>
          </w:p>
        </w:tc>
        <w:tc>
          <w:tcPr>
            <w:tcW w:w="709" w:type="dxa"/>
          </w:tcPr>
          <w:p w14:paraId="3D18752D">
            <w:pPr>
              <w:pStyle w:val="9"/>
              <w:spacing w:line="360" w:lineRule="auto"/>
              <w:ind w:left="1080" w:leftChars="257" w:hanging="540"/>
              <w:rPr>
                <w:rFonts w:hint="eastAsia" w:ascii="仿宋" w:hAnsi="仿宋" w:eastAsia="仿宋"/>
                <w:color w:val="auto"/>
                <w:sz w:val="24"/>
                <w:highlight w:val="none"/>
              </w:rPr>
            </w:pPr>
          </w:p>
        </w:tc>
        <w:tc>
          <w:tcPr>
            <w:tcW w:w="650" w:type="dxa"/>
          </w:tcPr>
          <w:p w14:paraId="6E540362">
            <w:pPr>
              <w:pStyle w:val="9"/>
              <w:spacing w:line="360" w:lineRule="auto"/>
              <w:ind w:left="1080" w:leftChars="257" w:hanging="540"/>
              <w:rPr>
                <w:rFonts w:hint="eastAsia" w:ascii="仿宋" w:hAnsi="仿宋" w:eastAsia="仿宋"/>
                <w:color w:val="auto"/>
                <w:sz w:val="24"/>
                <w:highlight w:val="none"/>
              </w:rPr>
            </w:pPr>
          </w:p>
        </w:tc>
      </w:tr>
      <w:tr w14:paraId="40A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70ACDDD3">
            <w:pPr>
              <w:pStyle w:val="9"/>
              <w:spacing w:line="360" w:lineRule="auto"/>
              <w:ind w:left="1080" w:leftChars="257" w:hanging="540"/>
              <w:rPr>
                <w:rFonts w:hint="eastAsia" w:ascii="仿宋" w:hAnsi="仿宋" w:eastAsia="仿宋"/>
                <w:color w:val="auto"/>
                <w:sz w:val="24"/>
                <w:highlight w:val="none"/>
              </w:rPr>
            </w:pPr>
          </w:p>
        </w:tc>
        <w:tc>
          <w:tcPr>
            <w:tcW w:w="1560" w:type="dxa"/>
          </w:tcPr>
          <w:p w14:paraId="32C6CAB5">
            <w:pPr>
              <w:pStyle w:val="9"/>
              <w:spacing w:line="360" w:lineRule="auto"/>
              <w:ind w:left="1080" w:leftChars="257" w:hanging="540"/>
              <w:rPr>
                <w:rFonts w:hint="eastAsia" w:ascii="仿宋" w:hAnsi="仿宋" w:eastAsia="仿宋"/>
                <w:color w:val="auto"/>
                <w:sz w:val="24"/>
                <w:highlight w:val="none"/>
              </w:rPr>
            </w:pPr>
          </w:p>
        </w:tc>
        <w:tc>
          <w:tcPr>
            <w:tcW w:w="1842" w:type="dxa"/>
          </w:tcPr>
          <w:p w14:paraId="0F5B60B1">
            <w:pPr>
              <w:pStyle w:val="9"/>
              <w:spacing w:line="360" w:lineRule="auto"/>
              <w:ind w:left="1080" w:leftChars="257" w:hanging="540"/>
              <w:rPr>
                <w:rFonts w:hint="eastAsia" w:ascii="仿宋" w:hAnsi="仿宋" w:eastAsia="仿宋"/>
                <w:color w:val="auto"/>
                <w:sz w:val="24"/>
                <w:highlight w:val="none"/>
              </w:rPr>
            </w:pPr>
          </w:p>
        </w:tc>
        <w:tc>
          <w:tcPr>
            <w:tcW w:w="1501" w:type="dxa"/>
          </w:tcPr>
          <w:p w14:paraId="3F991F19">
            <w:pPr>
              <w:pStyle w:val="9"/>
              <w:spacing w:line="360" w:lineRule="auto"/>
              <w:ind w:left="1080" w:leftChars="257" w:hanging="540"/>
              <w:rPr>
                <w:rFonts w:hint="eastAsia" w:ascii="仿宋" w:hAnsi="仿宋" w:eastAsia="仿宋"/>
                <w:color w:val="auto"/>
                <w:sz w:val="24"/>
                <w:highlight w:val="none"/>
              </w:rPr>
            </w:pPr>
          </w:p>
        </w:tc>
        <w:tc>
          <w:tcPr>
            <w:tcW w:w="2102" w:type="dxa"/>
          </w:tcPr>
          <w:p w14:paraId="704ACFC8">
            <w:pPr>
              <w:pStyle w:val="9"/>
              <w:spacing w:line="360" w:lineRule="auto"/>
              <w:ind w:left="1080" w:leftChars="257" w:hanging="540"/>
              <w:rPr>
                <w:rFonts w:hint="eastAsia" w:ascii="仿宋" w:hAnsi="仿宋" w:eastAsia="仿宋"/>
                <w:color w:val="auto"/>
                <w:sz w:val="24"/>
                <w:highlight w:val="none"/>
              </w:rPr>
            </w:pPr>
          </w:p>
        </w:tc>
        <w:tc>
          <w:tcPr>
            <w:tcW w:w="709" w:type="dxa"/>
          </w:tcPr>
          <w:p w14:paraId="0112135C">
            <w:pPr>
              <w:pStyle w:val="9"/>
              <w:spacing w:line="360" w:lineRule="auto"/>
              <w:ind w:left="1080" w:leftChars="257" w:hanging="540"/>
              <w:rPr>
                <w:rFonts w:hint="eastAsia" w:ascii="仿宋" w:hAnsi="仿宋" w:eastAsia="仿宋"/>
                <w:color w:val="auto"/>
                <w:sz w:val="24"/>
                <w:highlight w:val="none"/>
              </w:rPr>
            </w:pPr>
          </w:p>
        </w:tc>
        <w:tc>
          <w:tcPr>
            <w:tcW w:w="650" w:type="dxa"/>
          </w:tcPr>
          <w:p w14:paraId="2D7D72E2">
            <w:pPr>
              <w:pStyle w:val="9"/>
              <w:spacing w:line="360" w:lineRule="auto"/>
              <w:ind w:left="1080" w:leftChars="257" w:hanging="540"/>
              <w:rPr>
                <w:rFonts w:hint="eastAsia" w:ascii="仿宋" w:hAnsi="仿宋" w:eastAsia="仿宋"/>
                <w:color w:val="auto"/>
                <w:sz w:val="24"/>
                <w:highlight w:val="none"/>
              </w:rPr>
            </w:pPr>
          </w:p>
        </w:tc>
      </w:tr>
      <w:tr w14:paraId="483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DA59018">
            <w:pPr>
              <w:pStyle w:val="9"/>
              <w:spacing w:line="360" w:lineRule="auto"/>
              <w:ind w:left="1080" w:leftChars="257" w:hanging="540"/>
              <w:rPr>
                <w:rFonts w:hint="eastAsia" w:ascii="仿宋" w:hAnsi="仿宋" w:eastAsia="仿宋"/>
                <w:color w:val="auto"/>
                <w:sz w:val="24"/>
                <w:highlight w:val="none"/>
              </w:rPr>
            </w:pPr>
          </w:p>
        </w:tc>
        <w:tc>
          <w:tcPr>
            <w:tcW w:w="1560" w:type="dxa"/>
          </w:tcPr>
          <w:p w14:paraId="6395C3D4">
            <w:pPr>
              <w:pStyle w:val="9"/>
              <w:spacing w:line="360" w:lineRule="auto"/>
              <w:ind w:left="1080" w:leftChars="257" w:hanging="540"/>
              <w:rPr>
                <w:rFonts w:hint="eastAsia" w:ascii="仿宋" w:hAnsi="仿宋" w:eastAsia="仿宋"/>
                <w:color w:val="auto"/>
                <w:sz w:val="24"/>
                <w:highlight w:val="none"/>
              </w:rPr>
            </w:pPr>
          </w:p>
        </w:tc>
        <w:tc>
          <w:tcPr>
            <w:tcW w:w="1842" w:type="dxa"/>
          </w:tcPr>
          <w:p w14:paraId="0386976D">
            <w:pPr>
              <w:pStyle w:val="9"/>
              <w:spacing w:line="360" w:lineRule="auto"/>
              <w:ind w:left="1080" w:leftChars="257" w:hanging="540"/>
              <w:rPr>
                <w:rFonts w:hint="eastAsia" w:ascii="仿宋" w:hAnsi="仿宋" w:eastAsia="仿宋"/>
                <w:color w:val="auto"/>
                <w:sz w:val="24"/>
                <w:highlight w:val="none"/>
              </w:rPr>
            </w:pPr>
          </w:p>
        </w:tc>
        <w:tc>
          <w:tcPr>
            <w:tcW w:w="1501" w:type="dxa"/>
          </w:tcPr>
          <w:p w14:paraId="5D6BEA4A">
            <w:pPr>
              <w:pStyle w:val="9"/>
              <w:spacing w:line="360" w:lineRule="auto"/>
              <w:ind w:left="1080" w:leftChars="257" w:hanging="540"/>
              <w:rPr>
                <w:rFonts w:hint="eastAsia" w:ascii="仿宋" w:hAnsi="仿宋" w:eastAsia="仿宋"/>
                <w:color w:val="auto"/>
                <w:sz w:val="24"/>
                <w:highlight w:val="none"/>
              </w:rPr>
            </w:pPr>
          </w:p>
        </w:tc>
        <w:tc>
          <w:tcPr>
            <w:tcW w:w="2102" w:type="dxa"/>
          </w:tcPr>
          <w:p w14:paraId="100813D8">
            <w:pPr>
              <w:pStyle w:val="9"/>
              <w:spacing w:line="360" w:lineRule="auto"/>
              <w:ind w:left="1080" w:leftChars="257" w:hanging="540"/>
              <w:rPr>
                <w:rFonts w:hint="eastAsia" w:ascii="仿宋" w:hAnsi="仿宋" w:eastAsia="仿宋"/>
                <w:color w:val="auto"/>
                <w:sz w:val="24"/>
                <w:highlight w:val="none"/>
              </w:rPr>
            </w:pPr>
          </w:p>
        </w:tc>
        <w:tc>
          <w:tcPr>
            <w:tcW w:w="709" w:type="dxa"/>
          </w:tcPr>
          <w:p w14:paraId="20EDFBB8">
            <w:pPr>
              <w:pStyle w:val="9"/>
              <w:spacing w:line="360" w:lineRule="auto"/>
              <w:ind w:left="1080" w:leftChars="257" w:hanging="540"/>
              <w:rPr>
                <w:rFonts w:hint="eastAsia" w:ascii="仿宋" w:hAnsi="仿宋" w:eastAsia="仿宋"/>
                <w:color w:val="auto"/>
                <w:sz w:val="24"/>
                <w:highlight w:val="none"/>
              </w:rPr>
            </w:pPr>
          </w:p>
        </w:tc>
        <w:tc>
          <w:tcPr>
            <w:tcW w:w="650" w:type="dxa"/>
          </w:tcPr>
          <w:p w14:paraId="64DE88CD">
            <w:pPr>
              <w:pStyle w:val="9"/>
              <w:spacing w:line="360" w:lineRule="auto"/>
              <w:ind w:left="1080" w:leftChars="257" w:hanging="540"/>
              <w:rPr>
                <w:rFonts w:hint="eastAsia" w:ascii="仿宋" w:hAnsi="仿宋" w:eastAsia="仿宋"/>
                <w:color w:val="auto"/>
                <w:sz w:val="24"/>
                <w:highlight w:val="none"/>
              </w:rPr>
            </w:pPr>
          </w:p>
        </w:tc>
      </w:tr>
      <w:tr w14:paraId="4048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5" w:type="dxa"/>
          </w:tcPr>
          <w:p w14:paraId="66CDBFD4">
            <w:pPr>
              <w:pStyle w:val="9"/>
              <w:spacing w:line="360" w:lineRule="auto"/>
              <w:ind w:left="1080" w:leftChars="257" w:hanging="540"/>
              <w:rPr>
                <w:rFonts w:hint="eastAsia" w:ascii="仿宋" w:hAnsi="仿宋" w:eastAsia="仿宋"/>
                <w:color w:val="auto"/>
                <w:sz w:val="24"/>
                <w:highlight w:val="none"/>
              </w:rPr>
            </w:pPr>
          </w:p>
        </w:tc>
        <w:tc>
          <w:tcPr>
            <w:tcW w:w="1560" w:type="dxa"/>
          </w:tcPr>
          <w:p w14:paraId="7E450AEB">
            <w:pPr>
              <w:pStyle w:val="9"/>
              <w:spacing w:line="360" w:lineRule="auto"/>
              <w:ind w:left="1080" w:leftChars="257" w:hanging="540"/>
              <w:rPr>
                <w:rFonts w:hint="eastAsia" w:ascii="仿宋" w:hAnsi="仿宋" w:eastAsia="仿宋"/>
                <w:color w:val="auto"/>
                <w:sz w:val="24"/>
                <w:highlight w:val="none"/>
              </w:rPr>
            </w:pPr>
          </w:p>
        </w:tc>
        <w:tc>
          <w:tcPr>
            <w:tcW w:w="1842" w:type="dxa"/>
          </w:tcPr>
          <w:p w14:paraId="39C0D095">
            <w:pPr>
              <w:pStyle w:val="9"/>
              <w:spacing w:line="360" w:lineRule="auto"/>
              <w:ind w:left="1080" w:leftChars="257" w:hanging="540"/>
              <w:rPr>
                <w:rFonts w:hint="eastAsia" w:ascii="仿宋" w:hAnsi="仿宋" w:eastAsia="仿宋"/>
                <w:color w:val="auto"/>
                <w:sz w:val="24"/>
                <w:highlight w:val="none"/>
              </w:rPr>
            </w:pPr>
          </w:p>
        </w:tc>
        <w:tc>
          <w:tcPr>
            <w:tcW w:w="1501" w:type="dxa"/>
          </w:tcPr>
          <w:p w14:paraId="350EBDAB">
            <w:pPr>
              <w:pStyle w:val="9"/>
              <w:spacing w:line="360" w:lineRule="auto"/>
              <w:ind w:left="1080" w:leftChars="257" w:hanging="540"/>
              <w:rPr>
                <w:rFonts w:hint="eastAsia" w:ascii="仿宋" w:hAnsi="仿宋" w:eastAsia="仿宋"/>
                <w:color w:val="auto"/>
                <w:sz w:val="24"/>
                <w:highlight w:val="none"/>
              </w:rPr>
            </w:pPr>
          </w:p>
        </w:tc>
        <w:tc>
          <w:tcPr>
            <w:tcW w:w="2102" w:type="dxa"/>
          </w:tcPr>
          <w:p w14:paraId="118F2549">
            <w:pPr>
              <w:pStyle w:val="9"/>
              <w:spacing w:line="360" w:lineRule="auto"/>
              <w:ind w:left="1080" w:leftChars="257" w:hanging="540"/>
              <w:rPr>
                <w:rFonts w:hint="eastAsia" w:ascii="仿宋" w:hAnsi="仿宋" w:eastAsia="仿宋"/>
                <w:color w:val="auto"/>
                <w:sz w:val="24"/>
                <w:highlight w:val="none"/>
              </w:rPr>
            </w:pPr>
          </w:p>
        </w:tc>
        <w:tc>
          <w:tcPr>
            <w:tcW w:w="709" w:type="dxa"/>
          </w:tcPr>
          <w:p w14:paraId="3B962508">
            <w:pPr>
              <w:pStyle w:val="9"/>
              <w:spacing w:line="360" w:lineRule="auto"/>
              <w:ind w:left="1080" w:leftChars="257" w:hanging="540"/>
              <w:rPr>
                <w:rFonts w:hint="eastAsia" w:ascii="仿宋" w:hAnsi="仿宋" w:eastAsia="仿宋"/>
                <w:color w:val="auto"/>
                <w:sz w:val="24"/>
                <w:highlight w:val="none"/>
              </w:rPr>
            </w:pPr>
          </w:p>
        </w:tc>
        <w:tc>
          <w:tcPr>
            <w:tcW w:w="650" w:type="dxa"/>
          </w:tcPr>
          <w:p w14:paraId="0A1770A3">
            <w:pPr>
              <w:pStyle w:val="9"/>
              <w:spacing w:line="360" w:lineRule="auto"/>
              <w:ind w:left="1080" w:leftChars="257" w:hanging="540"/>
              <w:rPr>
                <w:rFonts w:hint="eastAsia" w:ascii="仿宋" w:hAnsi="仿宋" w:eastAsia="仿宋"/>
                <w:color w:val="auto"/>
                <w:sz w:val="24"/>
                <w:highlight w:val="none"/>
              </w:rPr>
            </w:pPr>
          </w:p>
        </w:tc>
      </w:tr>
      <w:tr w14:paraId="2501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447AE7F9">
            <w:pPr>
              <w:pStyle w:val="9"/>
              <w:spacing w:line="360" w:lineRule="auto"/>
              <w:ind w:left="1080" w:leftChars="257" w:hanging="540"/>
              <w:rPr>
                <w:rFonts w:hint="eastAsia" w:ascii="仿宋" w:hAnsi="仿宋" w:eastAsia="仿宋"/>
                <w:color w:val="auto"/>
                <w:sz w:val="24"/>
                <w:highlight w:val="none"/>
              </w:rPr>
            </w:pPr>
          </w:p>
        </w:tc>
        <w:tc>
          <w:tcPr>
            <w:tcW w:w="1560" w:type="dxa"/>
          </w:tcPr>
          <w:p w14:paraId="3A2214D9">
            <w:pPr>
              <w:pStyle w:val="9"/>
              <w:spacing w:line="360" w:lineRule="auto"/>
              <w:ind w:left="1080" w:leftChars="257" w:hanging="540"/>
              <w:rPr>
                <w:rFonts w:hint="eastAsia" w:ascii="仿宋" w:hAnsi="仿宋" w:eastAsia="仿宋"/>
                <w:color w:val="auto"/>
                <w:sz w:val="24"/>
                <w:highlight w:val="none"/>
              </w:rPr>
            </w:pPr>
          </w:p>
        </w:tc>
        <w:tc>
          <w:tcPr>
            <w:tcW w:w="1842" w:type="dxa"/>
          </w:tcPr>
          <w:p w14:paraId="4886970F">
            <w:pPr>
              <w:pStyle w:val="9"/>
              <w:spacing w:line="360" w:lineRule="auto"/>
              <w:ind w:left="1080" w:leftChars="257" w:hanging="540"/>
              <w:rPr>
                <w:rFonts w:hint="eastAsia" w:ascii="仿宋" w:hAnsi="仿宋" w:eastAsia="仿宋"/>
                <w:color w:val="auto"/>
                <w:sz w:val="24"/>
                <w:highlight w:val="none"/>
              </w:rPr>
            </w:pPr>
          </w:p>
        </w:tc>
        <w:tc>
          <w:tcPr>
            <w:tcW w:w="1501" w:type="dxa"/>
          </w:tcPr>
          <w:p w14:paraId="6E5DE633">
            <w:pPr>
              <w:pStyle w:val="9"/>
              <w:spacing w:line="360" w:lineRule="auto"/>
              <w:ind w:left="1080" w:leftChars="257" w:hanging="540"/>
              <w:rPr>
                <w:rFonts w:hint="eastAsia" w:ascii="仿宋" w:hAnsi="仿宋" w:eastAsia="仿宋"/>
                <w:color w:val="auto"/>
                <w:sz w:val="24"/>
                <w:highlight w:val="none"/>
              </w:rPr>
            </w:pPr>
          </w:p>
        </w:tc>
        <w:tc>
          <w:tcPr>
            <w:tcW w:w="2102" w:type="dxa"/>
          </w:tcPr>
          <w:p w14:paraId="235524DF">
            <w:pPr>
              <w:pStyle w:val="9"/>
              <w:spacing w:line="360" w:lineRule="auto"/>
              <w:ind w:left="1080" w:leftChars="257" w:hanging="540"/>
              <w:rPr>
                <w:rFonts w:hint="eastAsia" w:ascii="仿宋" w:hAnsi="仿宋" w:eastAsia="仿宋"/>
                <w:color w:val="auto"/>
                <w:sz w:val="24"/>
                <w:highlight w:val="none"/>
              </w:rPr>
            </w:pPr>
          </w:p>
        </w:tc>
        <w:tc>
          <w:tcPr>
            <w:tcW w:w="709" w:type="dxa"/>
          </w:tcPr>
          <w:p w14:paraId="147439AF">
            <w:pPr>
              <w:pStyle w:val="9"/>
              <w:spacing w:line="360" w:lineRule="auto"/>
              <w:ind w:left="1080" w:leftChars="257" w:hanging="540"/>
              <w:rPr>
                <w:rFonts w:hint="eastAsia" w:ascii="仿宋" w:hAnsi="仿宋" w:eastAsia="仿宋"/>
                <w:color w:val="auto"/>
                <w:sz w:val="24"/>
                <w:highlight w:val="none"/>
              </w:rPr>
            </w:pPr>
          </w:p>
        </w:tc>
        <w:tc>
          <w:tcPr>
            <w:tcW w:w="650" w:type="dxa"/>
          </w:tcPr>
          <w:p w14:paraId="49D5AAAB">
            <w:pPr>
              <w:pStyle w:val="9"/>
              <w:spacing w:line="360" w:lineRule="auto"/>
              <w:ind w:left="1080" w:leftChars="257" w:hanging="540"/>
              <w:rPr>
                <w:rFonts w:hint="eastAsia" w:ascii="仿宋" w:hAnsi="仿宋" w:eastAsia="仿宋"/>
                <w:color w:val="auto"/>
                <w:sz w:val="24"/>
                <w:highlight w:val="none"/>
              </w:rPr>
            </w:pPr>
          </w:p>
        </w:tc>
      </w:tr>
      <w:tr w14:paraId="14B2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5" w:type="dxa"/>
          </w:tcPr>
          <w:p w14:paraId="3988F382">
            <w:pPr>
              <w:pStyle w:val="9"/>
              <w:spacing w:line="360" w:lineRule="auto"/>
              <w:ind w:left="1080" w:leftChars="257" w:hanging="540"/>
              <w:rPr>
                <w:rFonts w:hint="eastAsia" w:ascii="仿宋" w:hAnsi="仿宋" w:eastAsia="仿宋"/>
                <w:color w:val="auto"/>
                <w:sz w:val="24"/>
                <w:highlight w:val="none"/>
              </w:rPr>
            </w:pPr>
          </w:p>
        </w:tc>
        <w:tc>
          <w:tcPr>
            <w:tcW w:w="1560" w:type="dxa"/>
          </w:tcPr>
          <w:p w14:paraId="55F2952C">
            <w:pPr>
              <w:pStyle w:val="9"/>
              <w:spacing w:line="360" w:lineRule="auto"/>
              <w:ind w:left="1080" w:leftChars="257" w:hanging="540"/>
              <w:rPr>
                <w:rFonts w:hint="eastAsia" w:ascii="仿宋" w:hAnsi="仿宋" w:eastAsia="仿宋"/>
                <w:color w:val="auto"/>
                <w:sz w:val="24"/>
                <w:highlight w:val="none"/>
              </w:rPr>
            </w:pPr>
          </w:p>
        </w:tc>
        <w:tc>
          <w:tcPr>
            <w:tcW w:w="1842" w:type="dxa"/>
          </w:tcPr>
          <w:p w14:paraId="565195BF">
            <w:pPr>
              <w:pStyle w:val="9"/>
              <w:spacing w:line="360" w:lineRule="auto"/>
              <w:ind w:left="1080" w:leftChars="257" w:hanging="540"/>
              <w:rPr>
                <w:rFonts w:hint="eastAsia" w:ascii="仿宋" w:hAnsi="仿宋" w:eastAsia="仿宋"/>
                <w:color w:val="auto"/>
                <w:sz w:val="24"/>
                <w:highlight w:val="none"/>
              </w:rPr>
            </w:pPr>
          </w:p>
        </w:tc>
        <w:tc>
          <w:tcPr>
            <w:tcW w:w="1501" w:type="dxa"/>
          </w:tcPr>
          <w:p w14:paraId="12EA9549">
            <w:pPr>
              <w:pStyle w:val="9"/>
              <w:spacing w:line="360" w:lineRule="auto"/>
              <w:ind w:left="1080" w:leftChars="257" w:hanging="540"/>
              <w:rPr>
                <w:rFonts w:hint="eastAsia" w:ascii="仿宋" w:hAnsi="仿宋" w:eastAsia="仿宋"/>
                <w:color w:val="auto"/>
                <w:sz w:val="24"/>
                <w:highlight w:val="none"/>
              </w:rPr>
            </w:pPr>
          </w:p>
        </w:tc>
        <w:tc>
          <w:tcPr>
            <w:tcW w:w="2102" w:type="dxa"/>
          </w:tcPr>
          <w:p w14:paraId="4C6DBD47">
            <w:pPr>
              <w:pStyle w:val="9"/>
              <w:spacing w:line="360" w:lineRule="auto"/>
              <w:ind w:left="1080" w:leftChars="257" w:hanging="540"/>
              <w:rPr>
                <w:rFonts w:hint="eastAsia" w:ascii="仿宋" w:hAnsi="仿宋" w:eastAsia="仿宋"/>
                <w:color w:val="auto"/>
                <w:sz w:val="24"/>
                <w:highlight w:val="none"/>
              </w:rPr>
            </w:pPr>
          </w:p>
        </w:tc>
        <w:tc>
          <w:tcPr>
            <w:tcW w:w="709" w:type="dxa"/>
          </w:tcPr>
          <w:p w14:paraId="290329A1">
            <w:pPr>
              <w:pStyle w:val="9"/>
              <w:spacing w:line="360" w:lineRule="auto"/>
              <w:ind w:left="1080" w:leftChars="257" w:hanging="540"/>
              <w:rPr>
                <w:rFonts w:hint="eastAsia" w:ascii="仿宋" w:hAnsi="仿宋" w:eastAsia="仿宋"/>
                <w:color w:val="auto"/>
                <w:sz w:val="24"/>
                <w:highlight w:val="none"/>
              </w:rPr>
            </w:pPr>
          </w:p>
        </w:tc>
        <w:tc>
          <w:tcPr>
            <w:tcW w:w="650" w:type="dxa"/>
          </w:tcPr>
          <w:p w14:paraId="7960E159">
            <w:pPr>
              <w:pStyle w:val="9"/>
              <w:spacing w:line="360" w:lineRule="auto"/>
              <w:ind w:left="1080" w:leftChars="257" w:hanging="540"/>
              <w:rPr>
                <w:rFonts w:hint="eastAsia" w:ascii="仿宋" w:hAnsi="仿宋" w:eastAsia="仿宋"/>
                <w:color w:val="auto"/>
                <w:sz w:val="24"/>
                <w:highlight w:val="none"/>
              </w:rPr>
            </w:pPr>
          </w:p>
        </w:tc>
      </w:tr>
    </w:tbl>
    <w:p w14:paraId="0CDE14F4">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1、如供应商能完全按照此部分要求承诺（响应）并实施，“竞标响应情况”可填写“完全按照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要求响应”；</w:t>
      </w:r>
    </w:p>
    <w:p w14:paraId="3ED68D96">
      <w:pPr>
        <w:pStyle w:val="9"/>
        <w:tabs>
          <w:tab w:val="left" w:pos="5370"/>
        </w:tabs>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2、如供应商承诺（响应）内容出现正偏离或负偏离，在“竞标响应情况”内容请逐条做出说明。</w:t>
      </w:r>
    </w:p>
    <w:p w14:paraId="48028F21">
      <w:pPr>
        <w:pStyle w:val="9"/>
        <w:spacing w:line="360" w:lineRule="auto"/>
        <w:ind w:left="1080" w:leftChars="257" w:hanging="540"/>
        <w:rPr>
          <w:rFonts w:hint="eastAsia" w:ascii="仿宋" w:hAnsi="仿宋" w:eastAsia="仿宋"/>
          <w:color w:val="auto"/>
          <w:sz w:val="24"/>
          <w:highlight w:val="none"/>
        </w:rPr>
      </w:pPr>
    </w:p>
    <w:p w14:paraId="2539C473">
      <w:pPr>
        <w:pStyle w:val="9"/>
        <w:tabs>
          <w:tab w:val="left" w:pos="5370"/>
        </w:tabs>
        <w:spacing w:line="360" w:lineRule="auto"/>
        <w:ind w:left="1080" w:leftChars="257" w:hanging="540"/>
        <w:rPr>
          <w:rFonts w:hint="eastAsia" w:ascii="仿宋" w:hAnsi="仿宋" w:eastAsia="仿宋"/>
          <w:color w:val="auto"/>
          <w:sz w:val="24"/>
          <w:highlight w:val="none"/>
        </w:rPr>
      </w:pPr>
    </w:p>
    <w:p w14:paraId="343232FD">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04DAEB21">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164D84BF">
      <w:pPr>
        <w:widowControl/>
        <w:jc w:val="left"/>
        <w:rPr>
          <w:rFonts w:hint="eastAsia" w:ascii="仿宋" w:hAnsi="仿宋" w:eastAsia="仿宋"/>
          <w:color w:val="auto"/>
          <w:sz w:val="24"/>
          <w:highlight w:val="none"/>
        </w:rPr>
        <w:sectPr>
          <w:headerReference r:id="rId14" w:type="default"/>
          <w:footerReference r:id="rId1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85"/>
    <w:bookmarkEnd w:id="386"/>
    <w:bookmarkEnd w:id="387"/>
    <w:bookmarkEnd w:id="388"/>
    <w:bookmarkEnd w:id="389"/>
    <w:bookmarkEnd w:id="390"/>
    <w:p w14:paraId="6FE5103E">
      <w:pPr>
        <w:pStyle w:val="3"/>
        <w:spacing w:before="0" w:line="400" w:lineRule="exact"/>
        <w:ind w:left="540"/>
        <w:rPr>
          <w:rFonts w:hint="eastAsia" w:ascii="仿宋" w:hAnsi="仿宋" w:eastAsia="仿宋"/>
          <w:color w:val="auto"/>
          <w:sz w:val="24"/>
          <w:highlight w:val="none"/>
          <w:lang w:val="en-US" w:eastAsia="zh-CN"/>
        </w:rPr>
      </w:pPr>
      <w:bookmarkStart w:id="391" w:name="_Toc133261431"/>
      <w:bookmarkStart w:id="392" w:name="_Toc23"/>
      <w:bookmarkStart w:id="393" w:name="_Toc515647821"/>
      <w:bookmarkStart w:id="394" w:name="_Toc532473510"/>
      <w:bookmarkStart w:id="395" w:name="_Toc1980"/>
      <w:bookmarkStart w:id="396" w:name="_Toc515647827"/>
      <w:bookmarkStart w:id="397" w:name="_Toc23783567"/>
      <w:bookmarkStart w:id="398" w:name="_Toc30795"/>
      <w:bookmarkStart w:id="399" w:name="_Toc28099"/>
      <w:bookmarkStart w:id="400" w:name="_Toc532473515"/>
    </w:p>
    <w:p w14:paraId="55DF7E73">
      <w:pPr>
        <w:pStyle w:val="3"/>
        <w:spacing w:before="0" w:line="400" w:lineRule="exact"/>
        <w:ind w:left="54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 xml:space="preserve">  </w:t>
      </w:r>
      <w:bookmarkEnd w:id="391"/>
      <w:r>
        <w:rPr>
          <w:rFonts w:hint="eastAsia" w:ascii="仿宋" w:hAnsi="仿宋" w:eastAsia="仿宋"/>
          <w:color w:val="auto"/>
          <w:sz w:val="24"/>
          <w:highlight w:val="none"/>
          <w:lang w:eastAsia="zh-CN"/>
        </w:rPr>
        <w:t>供应商已完成类似项目业绩</w:t>
      </w:r>
    </w:p>
    <w:p w14:paraId="3D656BD1">
      <w:pPr>
        <w:pStyle w:val="9"/>
        <w:spacing w:line="360" w:lineRule="auto"/>
        <w:jc w:val="center"/>
        <w:rPr>
          <w:rFonts w:hint="eastAsia" w:ascii="仿宋" w:hAnsi="仿宋" w:eastAsia="仿宋"/>
          <w:color w:val="auto"/>
          <w:sz w:val="24"/>
          <w:highlight w:val="none"/>
        </w:rPr>
      </w:pPr>
    </w:p>
    <w:bookmarkEnd w:id="392"/>
    <w:bookmarkEnd w:id="393"/>
    <w:bookmarkEnd w:id="394"/>
    <w:bookmarkEnd w:id="395"/>
    <w:p w14:paraId="192A5457">
      <w:pPr>
        <w:pStyle w:val="9"/>
        <w:spacing w:line="360" w:lineRule="auto"/>
        <w:ind w:left="1080" w:leftChars="257" w:hanging="540"/>
        <w:rPr>
          <w:rFonts w:hint="eastAsia" w:ascii="仿宋" w:hAnsi="仿宋" w:eastAsia="仿宋"/>
          <w:color w:val="auto"/>
          <w:sz w:val="24"/>
          <w:highlight w:val="none"/>
        </w:rPr>
      </w:pPr>
    </w:p>
    <w:p w14:paraId="5CBB3688">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1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589"/>
        <w:gridCol w:w="1196"/>
        <w:gridCol w:w="1701"/>
        <w:gridCol w:w="1423"/>
        <w:gridCol w:w="1674"/>
      </w:tblGrid>
      <w:tr w14:paraId="118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52" w:type="dxa"/>
            <w:vAlign w:val="center"/>
          </w:tcPr>
          <w:p w14:paraId="4B020F80">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建设单位</w:t>
            </w:r>
          </w:p>
        </w:tc>
        <w:tc>
          <w:tcPr>
            <w:tcW w:w="1589" w:type="dxa"/>
            <w:vAlign w:val="center"/>
          </w:tcPr>
          <w:p w14:paraId="4E995D57">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项目名称及建设地点</w:t>
            </w:r>
          </w:p>
        </w:tc>
        <w:tc>
          <w:tcPr>
            <w:tcW w:w="1196" w:type="dxa"/>
            <w:vAlign w:val="center"/>
          </w:tcPr>
          <w:p w14:paraId="3A77AB3B">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建设规模</w:t>
            </w:r>
          </w:p>
        </w:tc>
        <w:tc>
          <w:tcPr>
            <w:tcW w:w="1701" w:type="dxa"/>
            <w:vAlign w:val="center"/>
          </w:tcPr>
          <w:p w14:paraId="6EA059A2">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开竣工日期</w:t>
            </w:r>
          </w:p>
        </w:tc>
        <w:tc>
          <w:tcPr>
            <w:tcW w:w="1423" w:type="dxa"/>
            <w:vAlign w:val="center"/>
          </w:tcPr>
          <w:p w14:paraId="61D7CDCC">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合同价款</w:t>
            </w:r>
          </w:p>
        </w:tc>
        <w:tc>
          <w:tcPr>
            <w:tcW w:w="1674" w:type="dxa"/>
            <w:vAlign w:val="center"/>
          </w:tcPr>
          <w:p w14:paraId="04881FD5">
            <w:pPr>
              <w:spacing w:line="500" w:lineRule="exact"/>
              <w:jc w:val="center"/>
              <w:rPr>
                <w:rFonts w:ascii="仿宋" w:hAnsi="仿宋" w:eastAsia="仿宋"/>
                <w:color w:val="auto"/>
                <w:sz w:val="24"/>
                <w:highlight w:val="none"/>
              </w:rPr>
            </w:pPr>
            <w:r>
              <w:rPr>
                <w:rFonts w:hint="eastAsia" w:ascii="仿宋" w:hAnsi="仿宋" w:eastAsia="仿宋"/>
                <w:color w:val="auto"/>
                <w:sz w:val="24"/>
                <w:highlight w:val="none"/>
              </w:rPr>
              <w:t>质量达到标准</w:t>
            </w:r>
          </w:p>
        </w:tc>
      </w:tr>
      <w:tr w14:paraId="58DE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6772F5EE">
            <w:pPr>
              <w:spacing w:line="500" w:lineRule="exact"/>
              <w:jc w:val="center"/>
              <w:rPr>
                <w:rFonts w:ascii="仿宋" w:hAnsi="仿宋" w:eastAsia="仿宋"/>
                <w:color w:val="auto"/>
                <w:sz w:val="24"/>
                <w:highlight w:val="none"/>
              </w:rPr>
            </w:pPr>
          </w:p>
        </w:tc>
        <w:tc>
          <w:tcPr>
            <w:tcW w:w="1589" w:type="dxa"/>
            <w:vAlign w:val="center"/>
          </w:tcPr>
          <w:p w14:paraId="11EC8C6D">
            <w:pPr>
              <w:spacing w:line="500" w:lineRule="exact"/>
              <w:jc w:val="center"/>
              <w:rPr>
                <w:rFonts w:ascii="仿宋" w:hAnsi="仿宋" w:eastAsia="仿宋"/>
                <w:color w:val="auto"/>
                <w:sz w:val="24"/>
                <w:highlight w:val="none"/>
              </w:rPr>
            </w:pPr>
          </w:p>
        </w:tc>
        <w:tc>
          <w:tcPr>
            <w:tcW w:w="1196" w:type="dxa"/>
            <w:vAlign w:val="center"/>
          </w:tcPr>
          <w:p w14:paraId="1BBC9E54">
            <w:pPr>
              <w:spacing w:line="500" w:lineRule="exact"/>
              <w:jc w:val="center"/>
              <w:rPr>
                <w:rFonts w:ascii="仿宋" w:hAnsi="仿宋" w:eastAsia="仿宋"/>
                <w:color w:val="auto"/>
                <w:sz w:val="24"/>
                <w:highlight w:val="none"/>
              </w:rPr>
            </w:pPr>
          </w:p>
        </w:tc>
        <w:tc>
          <w:tcPr>
            <w:tcW w:w="1701" w:type="dxa"/>
            <w:vAlign w:val="center"/>
          </w:tcPr>
          <w:p w14:paraId="15EB85DC">
            <w:pPr>
              <w:spacing w:line="500" w:lineRule="exact"/>
              <w:jc w:val="center"/>
              <w:rPr>
                <w:rFonts w:ascii="仿宋" w:hAnsi="仿宋" w:eastAsia="仿宋"/>
                <w:color w:val="auto"/>
                <w:sz w:val="24"/>
                <w:highlight w:val="none"/>
              </w:rPr>
            </w:pPr>
          </w:p>
        </w:tc>
        <w:tc>
          <w:tcPr>
            <w:tcW w:w="1423" w:type="dxa"/>
            <w:vAlign w:val="center"/>
          </w:tcPr>
          <w:p w14:paraId="7B02DAC2">
            <w:pPr>
              <w:spacing w:line="500" w:lineRule="exact"/>
              <w:jc w:val="center"/>
              <w:rPr>
                <w:rFonts w:ascii="仿宋" w:hAnsi="仿宋" w:eastAsia="仿宋"/>
                <w:color w:val="auto"/>
                <w:sz w:val="24"/>
                <w:highlight w:val="none"/>
              </w:rPr>
            </w:pPr>
          </w:p>
        </w:tc>
        <w:tc>
          <w:tcPr>
            <w:tcW w:w="1674" w:type="dxa"/>
            <w:vAlign w:val="center"/>
          </w:tcPr>
          <w:p w14:paraId="36595259">
            <w:pPr>
              <w:spacing w:line="500" w:lineRule="exact"/>
              <w:jc w:val="center"/>
              <w:rPr>
                <w:rFonts w:ascii="仿宋" w:hAnsi="仿宋" w:eastAsia="仿宋"/>
                <w:color w:val="auto"/>
                <w:sz w:val="24"/>
                <w:highlight w:val="none"/>
              </w:rPr>
            </w:pPr>
          </w:p>
        </w:tc>
      </w:tr>
      <w:tr w14:paraId="371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05CC08F8">
            <w:pPr>
              <w:spacing w:line="500" w:lineRule="exact"/>
              <w:jc w:val="center"/>
              <w:rPr>
                <w:rFonts w:ascii="仿宋" w:hAnsi="仿宋" w:eastAsia="仿宋"/>
                <w:color w:val="auto"/>
                <w:sz w:val="24"/>
                <w:highlight w:val="none"/>
              </w:rPr>
            </w:pPr>
          </w:p>
        </w:tc>
        <w:tc>
          <w:tcPr>
            <w:tcW w:w="1589" w:type="dxa"/>
            <w:vAlign w:val="center"/>
          </w:tcPr>
          <w:p w14:paraId="301E46C5">
            <w:pPr>
              <w:spacing w:line="500" w:lineRule="exact"/>
              <w:jc w:val="center"/>
              <w:rPr>
                <w:rFonts w:ascii="仿宋" w:hAnsi="仿宋" w:eastAsia="仿宋"/>
                <w:color w:val="auto"/>
                <w:sz w:val="24"/>
                <w:highlight w:val="none"/>
              </w:rPr>
            </w:pPr>
          </w:p>
        </w:tc>
        <w:tc>
          <w:tcPr>
            <w:tcW w:w="1196" w:type="dxa"/>
            <w:vAlign w:val="center"/>
          </w:tcPr>
          <w:p w14:paraId="7E13B3C9">
            <w:pPr>
              <w:spacing w:line="500" w:lineRule="exact"/>
              <w:jc w:val="center"/>
              <w:rPr>
                <w:rFonts w:ascii="仿宋" w:hAnsi="仿宋" w:eastAsia="仿宋"/>
                <w:color w:val="auto"/>
                <w:sz w:val="24"/>
                <w:highlight w:val="none"/>
              </w:rPr>
            </w:pPr>
          </w:p>
        </w:tc>
        <w:tc>
          <w:tcPr>
            <w:tcW w:w="1701" w:type="dxa"/>
            <w:vAlign w:val="center"/>
          </w:tcPr>
          <w:p w14:paraId="7DFA9AB7">
            <w:pPr>
              <w:spacing w:line="500" w:lineRule="exact"/>
              <w:jc w:val="center"/>
              <w:rPr>
                <w:rFonts w:ascii="仿宋" w:hAnsi="仿宋" w:eastAsia="仿宋"/>
                <w:color w:val="auto"/>
                <w:sz w:val="24"/>
                <w:highlight w:val="none"/>
              </w:rPr>
            </w:pPr>
          </w:p>
        </w:tc>
        <w:tc>
          <w:tcPr>
            <w:tcW w:w="1423" w:type="dxa"/>
            <w:vAlign w:val="center"/>
          </w:tcPr>
          <w:p w14:paraId="719820E5">
            <w:pPr>
              <w:spacing w:line="500" w:lineRule="exact"/>
              <w:jc w:val="center"/>
              <w:rPr>
                <w:rFonts w:ascii="仿宋" w:hAnsi="仿宋" w:eastAsia="仿宋"/>
                <w:color w:val="auto"/>
                <w:sz w:val="24"/>
                <w:highlight w:val="none"/>
              </w:rPr>
            </w:pPr>
          </w:p>
        </w:tc>
        <w:tc>
          <w:tcPr>
            <w:tcW w:w="1674" w:type="dxa"/>
            <w:vAlign w:val="center"/>
          </w:tcPr>
          <w:p w14:paraId="4339FC21">
            <w:pPr>
              <w:spacing w:line="500" w:lineRule="exact"/>
              <w:jc w:val="center"/>
              <w:rPr>
                <w:rFonts w:ascii="仿宋" w:hAnsi="仿宋" w:eastAsia="仿宋"/>
                <w:color w:val="auto"/>
                <w:sz w:val="24"/>
                <w:highlight w:val="none"/>
              </w:rPr>
            </w:pPr>
          </w:p>
        </w:tc>
      </w:tr>
      <w:tr w14:paraId="6E69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400DD932">
            <w:pPr>
              <w:spacing w:line="500" w:lineRule="exact"/>
              <w:jc w:val="center"/>
              <w:rPr>
                <w:rFonts w:ascii="仿宋" w:hAnsi="仿宋" w:eastAsia="仿宋"/>
                <w:color w:val="auto"/>
                <w:sz w:val="24"/>
                <w:highlight w:val="none"/>
              </w:rPr>
            </w:pPr>
          </w:p>
        </w:tc>
        <w:tc>
          <w:tcPr>
            <w:tcW w:w="1589" w:type="dxa"/>
            <w:vAlign w:val="center"/>
          </w:tcPr>
          <w:p w14:paraId="3E2A7C60">
            <w:pPr>
              <w:spacing w:line="500" w:lineRule="exact"/>
              <w:jc w:val="center"/>
              <w:rPr>
                <w:rFonts w:ascii="仿宋" w:hAnsi="仿宋" w:eastAsia="仿宋"/>
                <w:color w:val="auto"/>
                <w:sz w:val="24"/>
                <w:highlight w:val="none"/>
              </w:rPr>
            </w:pPr>
          </w:p>
        </w:tc>
        <w:tc>
          <w:tcPr>
            <w:tcW w:w="1196" w:type="dxa"/>
            <w:vAlign w:val="center"/>
          </w:tcPr>
          <w:p w14:paraId="5C0B9F28">
            <w:pPr>
              <w:spacing w:line="500" w:lineRule="exact"/>
              <w:jc w:val="center"/>
              <w:rPr>
                <w:rFonts w:ascii="仿宋" w:hAnsi="仿宋" w:eastAsia="仿宋"/>
                <w:color w:val="auto"/>
                <w:sz w:val="24"/>
                <w:highlight w:val="none"/>
              </w:rPr>
            </w:pPr>
          </w:p>
        </w:tc>
        <w:tc>
          <w:tcPr>
            <w:tcW w:w="1701" w:type="dxa"/>
            <w:vAlign w:val="center"/>
          </w:tcPr>
          <w:p w14:paraId="0251C08D">
            <w:pPr>
              <w:spacing w:line="500" w:lineRule="exact"/>
              <w:jc w:val="center"/>
              <w:rPr>
                <w:rFonts w:ascii="仿宋" w:hAnsi="仿宋" w:eastAsia="仿宋"/>
                <w:color w:val="auto"/>
                <w:sz w:val="24"/>
                <w:highlight w:val="none"/>
              </w:rPr>
            </w:pPr>
          </w:p>
        </w:tc>
        <w:tc>
          <w:tcPr>
            <w:tcW w:w="1423" w:type="dxa"/>
            <w:vAlign w:val="center"/>
          </w:tcPr>
          <w:p w14:paraId="2C2EFC48">
            <w:pPr>
              <w:spacing w:line="500" w:lineRule="exact"/>
              <w:jc w:val="center"/>
              <w:rPr>
                <w:rFonts w:ascii="仿宋" w:hAnsi="仿宋" w:eastAsia="仿宋"/>
                <w:color w:val="auto"/>
                <w:sz w:val="24"/>
                <w:highlight w:val="none"/>
              </w:rPr>
            </w:pPr>
          </w:p>
        </w:tc>
        <w:tc>
          <w:tcPr>
            <w:tcW w:w="1674" w:type="dxa"/>
            <w:vAlign w:val="center"/>
          </w:tcPr>
          <w:p w14:paraId="1EB098BD">
            <w:pPr>
              <w:spacing w:line="500" w:lineRule="exact"/>
              <w:jc w:val="center"/>
              <w:rPr>
                <w:rFonts w:ascii="仿宋" w:hAnsi="仿宋" w:eastAsia="仿宋"/>
                <w:color w:val="auto"/>
                <w:sz w:val="24"/>
                <w:highlight w:val="none"/>
              </w:rPr>
            </w:pPr>
          </w:p>
        </w:tc>
      </w:tr>
      <w:tr w14:paraId="6C5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780A1C0E">
            <w:pPr>
              <w:spacing w:line="500" w:lineRule="exact"/>
              <w:jc w:val="center"/>
              <w:rPr>
                <w:rFonts w:ascii="仿宋" w:hAnsi="仿宋" w:eastAsia="仿宋"/>
                <w:color w:val="auto"/>
                <w:sz w:val="24"/>
                <w:highlight w:val="none"/>
              </w:rPr>
            </w:pPr>
          </w:p>
        </w:tc>
        <w:tc>
          <w:tcPr>
            <w:tcW w:w="1589" w:type="dxa"/>
            <w:vAlign w:val="center"/>
          </w:tcPr>
          <w:p w14:paraId="55765F38">
            <w:pPr>
              <w:spacing w:line="500" w:lineRule="exact"/>
              <w:jc w:val="center"/>
              <w:rPr>
                <w:rFonts w:ascii="仿宋" w:hAnsi="仿宋" w:eastAsia="仿宋"/>
                <w:color w:val="auto"/>
                <w:sz w:val="24"/>
                <w:highlight w:val="none"/>
              </w:rPr>
            </w:pPr>
          </w:p>
        </w:tc>
        <w:tc>
          <w:tcPr>
            <w:tcW w:w="1196" w:type="dxa"/>
            <w:vAlign w:val="center"/>
          </w:tcPr>
          <w:p w14:paraId="0CC45378">
            <w:pPr>
              <w:spacing w:line="500" w:lineRule="exact"/>
              <w:jc w:val="center"/>
              <w:rPr>
                <w:rFonts w:ascii="仿宋" w:hAnsi="仿宋" w:eastAsia="仿宋"/>
                <w:color w:val="auto"/>
                <w:sz w:val="24"/>
                <w:highlight w:val="none"/>
              </w:rPr>
            </w:pPr>
          </w:p>
        </w:tc>
        <w:tc>
          <w:tcPr>
            <w:tcW w:w="1701" w:type="dxa"/>
            <w:vAlign w:val="center"/>
          </w:tcPr>
          <w:p w14:paraId="1EB4AEFE">
            <w:pPr>
              <w:spacing w:line="500" w:lineRule="exact"/>
              <w:jc w:val="center"/>
              <w:rPr>
                <w:rFonts w:ascii="仿宋" w:hAnsi="仿宋" w:eastAsia="仿宋"/>
                <w:color w:val="auto"/>
                <w:sz w:val="24"/>
                <w:highlight w:val="none"/>
              </w:rPr>
            </w:pPr>
          </w:p>
        </w:tc>
        <w:tc>
          <w:tcPr>
            <w:tcW w:w="1423" w:type="dxa"/>
            <w:vAlign w:val="center"/>
          </w:tcPr>
          <w:p w14:paraId="7E613FEC">
            <w:pPr>
              <w:spacing w:line="500" w:lineRule="exact"/>
              <w:jc w:val="center"/>
              <w:rPr>
                <w:rFonts w:ascii="仿宋" w:hAnsi="仿宋" w:eastAsia="仿宋"/>
                <w:color w:val="auto"/>
                <w:sz w:val="24"/>
                <w:highlight w:val="none"/>
              </w:rPr>
            </w:pPr>
          </w:p>
        </w:tc>
        <w:tc>
          <w:tcPr>
            <w:tcW w:w="1674" w:type="dxa"/>
            <w:vAlign w:val="center"/>
          </w:tcPr>
          <w:p w14:paraId="5D23BE66">
            <w:pPr>
              <w:spacing w:line="500" w:lineRule="exact"/>
              <w:jc w:val="center"/>
              <w:rPr>
                <w:rFonts w:ascii="仿宋" w:hAnsi="仿宋" w:eastAsia="仿宋"/>
                <w:color w:val="auto"/>
                <w:sz w:val="24"/>
                <w:highlight w:val="none"/>
              </w:rPr>
            </w:pPr>
          </w:p>
        </w:tc>
      </w:tr>
      <w:tr w14:paraId="057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52" w:type="dxa"/>
            <w:vAlign w:val="center"/>
          </w:tcPr>
          <w:p w14:paraId="3CA7C1CB">
            <w:pPr>
              <w:spacing w:line="500" w:lineRule="exact"/>
              <w:jc w:val="center"/>
              <w:rPr>
                <w:rFonts w:ascii="仿宋" w:hAnsi="仿宋" w:eastAsia="仿宋"/>
                <w:color w:val="auto"/>
                <w:sz w:val="24"/>
                <w:highlight w:val="none"/>
              </w:rPr>
            </w:pPr>
          </w:p>
        </w:tc>
        <w:tc>
          <w:tcPr>
            <w:tcW w:w="1589" w:type="dxa"/>
            <w:vAlign w:val="center"/>
          </w:tcPr>
          <w:p w14:paraId="158F42C8">
            <w:pPr>
              <w:spacing w:line="500" w:lineRule="exact"/>
              <w:jc w:val="center"/>
              <w:rPr>
                <w:rFonts w:ascii="仿宋" w:hAnsi="仿宋" w:eastAsia="仿宋"/>
                <w:color w:val="auto"/>
                <w:sz w:val="24"/>
                <w:highlight w:val="none"/>
              </w:rPr>
            </w:pPr>
          </w:p>
        </w:tc>
        <w:tc>
          <w:tcPr>
            <w:tcW w:w="1196" w:type="dxa"/>
            <w:vAlign w:val="center"/>
          </w:tcPr>
          <w:p w14:paraId="143FE10E">
            <w:pPr>
              <w:spacing w:line="500" w:lineRule="exact"/>
              <w:jc w:val="center"/>
              <w:rPr>
                <w:rFonts w:ascii="仿宋" w:hAnsi="仿宋" w:eastAsia="仿宋"/>
                <w:color w:val="auto"/>
                <w:sz w:val="24"/>
                <w:highlight w:val="none"/>
              </w:rPr>
            </w:pPr>
          </w:p>
        </w:tc>
        <w:tc>
          <w:tcPr>
            <w:tcW w:w="1701" w:type="dxa"/>
            <w:vAlign w:val="center"/>
          </w:tcPr>
          <w:p w14:paraId="6C20A71A">
            <w:pPr>
              <w:spacing w:line="500" w:lineRule="exact"/>
              <w:jc w:val="center"/>
              <w:rPr>
                <w:rFonts w:ascii="仿宋" w:hAnsi="仿宋" w:eastAsia="仿宋"/>
                <w:color w:val="auto"/>
                <w:sz w:val="24"/>
                <w:highlight w:val="none"/>
              </w:rPr>
            </w:pPr>
          </w:p>
        </w:tc>
        <w:tc>
          <w:tcPr>
            <w:tcW w:w="1423" w:type="dxa"/>
            <w:vAlign w:val="center"/>
          </w:tcPr>
          <w:p w14:paraId="4D48B949">
            <w:pPr>
              <w:spacing w:line="500" w:lineRule="exact"/>
              <w:jc w:val="center"/>
              <w:rPr>
                <w:rFonts w:ascii="仿宋" w:hAnsi="仿宋" w:eastAsia="仿宋"/>
                <w:color w:val="auto"/>
                <w:sz w:val="24"/>
                <w:highlight w:val="none"/>
              </w:rPr>
            </w:pPr>
          </w:p>
        </w:tc>
        <w:tc>
          <w:tcPr>
            <w:tcW w:w="1674" w:type="dxa"/>
            <w:vAlign w:val="center"/>
          </w:tcPr>
          <w:p w14:paraId="7C82D0F4">
            <w:pPr>
              <w:spacing w:line="500" w:lineRule="exact"/>
              <w:jc w:val="center"/>
              <w:rPr>
                <w:rFonts w:ascii="仿宋" w:hAnsi="仿宋" w:eastAsia="仿宋"/>
                <w:color w:val="auto"/>
                <w:sz w:val="24"/>
                <w:highlight w:val="none"/>
              </w:rPr>
            </w:pPr>
          </w:p>
        </w:tc>
      </w:tr>
      <w:tr w14:paraId="1D89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2" w:type="dxa"/>
            <w:vAlign w:val="center"/>
          </w:tcPr>
          <w:p w14:paraId="002DA9ED">
            <w:pPr>
              <w:spacing w:line="500" w:lineRule="exact"/>
              <w:jc w:val="center"/>
              <w:rPr>
                <w:rFonts w:ascii="仿宋" w:hAnsi="仿宋" w:eastAsia="仿宋"/>
                <w:color w:val="auto"/>
                <w:sz w:val="24"/>
                <w:highlight w:val="none"/>
              </w:rPr>
            </w:pPr>
          </w:p>
        </w:tc>
        <w:tc>
          <w:tcPr>
            <w:tcW w:w="1589" w:type="dxa"/>
            <w:vAlign w:val="center"/>
          </w:tcPr>
          <w:p w14:paraId="5DC8F7AE">
            <w:pPr>
              <w:spacing w:line="500" w:lineRule="exact"/>
              <w:jc w:val="center"/>
              <w:rPr>
                <w:rFonts w:ascii="仿宋" w:hAnsi="仿宋" w:eastAsia="仿宋"/>
                <w:color w:val="auto"/>
                <w:sz w:val="24"/>
                <w:highlight w:val="none"/>
              </w:rPr>
            </w:pPr>
          </w:p>
        </w:tc>
        <w:tc>
          <w:tcPr>
            <w:tcW w:w="1196" w:type="dxa"/>
            <w:vAlign w:val="center"/>
          </w:tcPr>
          <w:p w14:paraId="6DCD7FC2">
            <w:pPr>
              <w:spacing w:line="500" w:lineRule="exact"/>
              <w:jc w:val="center"/>
              <w:rPr>
                <w:rFonts w:ascii="仿宋" w:hAnsi="仿宋" w:eastAsia="仿宋"/>
                <w:color w:val="auto"/>
                <w:sz w:val="24"/>
                <w:highlight w:val="none"/>
              </w:rPr>
            </w:pPr>
          </w:p>
        </w:tc>
        <w:tc>
          <w:tcPr>
            <w:tcW w:w="1701" w:type="dxa"/>
            <w:vAlign w:val="center"/>
          </w:tcPr>
          <w:p w14:paraId="6BD7FF4B">
            <w:pPr>
              <w:spacing w:line="500" w:lineRule="exact"/>
              <w:jc w:val="center"/>
              <w:rPr>
                <w:rFonts w:ascii="仿宋" w:hAnsi="仿宋" w:eastAsia="仿宋"/>
                <w:color w:val="auto"/>
                <w:sz w:val="24"/>
                <w:highlight w:val="none"/>
              </w:rPr>
            </w:pPr>
          </w:p>
        </w:tc>
        <w:tc>
          <w:tcPr>
            <w:tcW w:w="1423" w:type="dxa"/>
            <w:vAlign w:val="center"/>
          </w:tcPr>
          <w:p w14:paraId="1BD5C4F4">
            <w:pPr>
              <w:spacing w:line="500" w:lineRule="exact"/>
              <w:jc w:val="center"/>
              <w:rPr>
                <w:rFonts w:ascii="仿宋" w:hAnsi="仿宋" w:eastAsia="仿宋"/>
                <w:color w:val="auto"/>
                <w:sz w:val="24"/>
                <w:highlight w:val="none"/>
              </w:rPr>
            </w:pPr>
          </w:p>
        </w:tc>
        <w:tc>
          <w:tcPr>
            <w:tcW w:w="1674" w:type="dxa"/>
            <w:vAlign w:val="center"/>
          </w:tcPr>
          <w:p w14:paraId="291C6BB2">
            <w:pPr>
              <w:spacing w:line="500" w:lineRule="exact"/>
              <w:jc w:val="center"/>
              <w:rPr>
                <w:rFonts w:ascii="仿宋" w:hAnsi="仿宋" w:eastAsia="仿宋"/>
                <w:color w:val="auto"/>
                <w:sz w:val="24"/>
                <w:highlight w:val="none"/>
              </w:rPr>
            </w:pPr>
          </w:p>
        </w:tc>
      </w:tr>
    </w:tbl>
    <w:p w14:paraId="5270D638">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我单位承诺以上填报内容真实。如不真实，将按照有关规定接受处理。</w:t>
      </w:r>
    </w:p>
    <w:p w14:paraId="4DD70F70">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注：</w:t>
      </w:r>
    </w:p>
    <w:p w14:paraId="6C2A5B05">
      <w:pPr>
        <w:spacing w:line="32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本表后附供应商</w:t>
      </w:r>
      <w:r>
        <w:rPr>
          <w:rFonts w:hint="eastAsia" w:ascii="仿宋" w:hAnsi="仿宋" w:eastAsia="仿宋"/>
          <w:color w:val="auto"/>
          <w:sz w:val="24"/>
          <w:highlight w:val="none"/>
          <w:lang w:val="en-US" w:eastAsia="zh-CN"/>
        </w:rPr>
        <w:t>已完成的</w:t>
      </w:r>
      <w:r>
        <w:rPr>
          <w:rFonts w:hint="eastAsia" w:ascii="仿宋" w:hAnsi="仿宋" w:eastAsia="仿宋"/>
          <w:color w:val="auto"/>
          <w:sz w:val="24"/>
          <w:highlight w:val="none"/>
        </w:rPr>
        <w:t>类似</w:t>
      </w:r>
      <w:r>
        <w:rPr>
          <w:rFonts w:hint="eastAsia" w:ascii="仿宋" w:hAnsi="仿宋" w:eastAsia="仿宋"/>
          <w:color w:val="auto"/>
          <w:sz w:val="24"/>
          <w:highlight w:val="none"/>
          <w:lang w:val="en-US" w:eastAsia="zh-CN"/>
        </w:rPr>
        <w:t>项目</w:t>
      </w:r>
      <w:r>
        <w:rPr>
          <w:rFonts w:hint="eastAsia" w:ascii="仿宋" w:hAnsi="仿宋" w:eastAsia="仿宋"/>
          <w:color w:val="auto"/>
          <w:sz w:val="24"/>
          <w:highlight w:val="none"/>
        </w:rPr>
        <w:t>业绩，</w:t>
      </w:r>
      <w:r>
        <w:rPr>
          <w:rFonts w:hint="eastAsia" w:ascii="仿宋" w:hAnsi="仿宋" w:eastAsia="仿宋" w:cs="Times New Roman"/>
          <w:color w:val="auto"/>
          <w:sz w:val="24"/>
          <w:szCs w:val="24"/>
          <w:highlight w:val="none"/>
          <w:lang w:val="en-US" w:eastAsia="zh-CN"/>
        </w:rPr>
        <w:t>须提供中标通知书及监理合同</w:t>
      </w:r>
      <w:r>
        <w:rPr>
          <w:rFonts w:hint="eastAsia" w:ascii="仿宋" w:hAnsi="仿宋" w:eastAsia="仿宋"/>
          <w:color w:val="auto"/>
          <w:sz w:val="24"/>
          <w:highlight w:val="none"/>
        </w:rPr>
        <w:t>。</w:t>
      </w:r>
    </w:p>
    <w:p w14:paraId="6A3D344D">
      <w:pPr>
        <w:spacing w:line="320" w:lineRule="exact"/>
        <w:ind w:firstLine="480" w:firstLineChars="200"/>
        <w:rPr>
          <w:rFonts w:hint="eastAsia" w:ascii="仿宋" w:hAnsi="仿宋" w:eastAsia="仿宋"/>
          <w:color w:val="auto"/>
          <w:sz w:val="24"/>
          <w:highlight w:val="none"/>
        </w:rPr>
      </w:pPr>
    </w:p>
    <w:p w14:paraId="23493952">
      <w:pPr>
        <w:spacing w:line="32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2.具体</w:t>
      </w:r>
      <w:r>
        <w:rPr>
          <w:rFonts w:hint="eastAsia" w:ascii="仿宋" w:hAnsi="仿宋" w:eastAsia="仿宋"/>
          <w:color w:val="auto"/>
          <w:sz w:val="24"/>
          <w:highlight w:val="none"/>
          <w:lang w:val="en-US" w:eastAsia="zh-CN"/>
        </w:rPr>
        <w:t>时间</w:t>
      </w:r>
      <w:r>
        <w:rPr>
          <w:rFonts w:hint="eastAsia" w:ascii="仿宋" w:hAnsi="仿宋" w:eastAsia="仿宋"/>
          <w:color w:val="auto"/>
          <w:sz w:val="24"/>
          <w:highlight w:val="none"/>
        </w:rPr>
        <w:t>要求：</w:t>
      </w:r>
      <w:r>
        <w:rPr>
          <w:rFonts w:hint="eastAsia" w:ascii="仿宋" w:hAnsi="仿宋" w:eastAsia="仿宋"/>
          <w:color w:val="auto"/>
          <w:sz w:val="24"/>
          <w:highlight w:val="none"/>
          <w:lang w:val="en-US" w:eastAsia="zh-CN"/>
        </w:rPr>
        <w:t>2022年1月1日-至今</w:t>
      </w:r>
      <w:r>
        <w:rPr>
          <w:rFonts w:hint="eastAsia" w:ascii="仿宋" w:hAnsi="仿宋" w:eastAsia="仿宋"/>
          <w:color w:val="auto"/>
          <w:sz w:val="24"/>
          <w:highlight w:val="none"/>
        </w:rPr>
        <w:t>。</w:t>
      </w:r>
    </w:p>
    <w:p w14:paraId="5939C360">
      <w:pPr>
        <w:spacing w:line="320" w:lineRule="exact"/>
        <w:ind w:firstLine="480" w:firstLineChars="200"/>
        <w:rPr>
          <w:rFonts w:hint="eastAsia" w:ascii="仿宋" w:hAnsi="仿宋" w:eastAsia="仿宋"/>
          <w:color w:val="auto"/>
          <w:sz w:val="24"/>
          <w:highlight w:val="none"/>
        </w:rPr>
      </w:pPr>
    </w:p>
    <w:p w14:paraId="59274FF9">
      <w:pPr>
        <w:pStyle w:val="9"/>
        <w:spacing w:line="360" w:lineRule="auto"/>
        <w:ind w:left="1080" w:leftChars="257" w:hanging="540"/>
        <w:rPr>
          <w:rFonts w:hint="eastAsia" w:ascii="仿宋" w:hAnsi="仿宋" w:eastAsia="仿宋"/>
          <w:color w:val="auto"/>
          <w:sz w:val="24"/>
          <w:highlight w:val="none"/>
        </w:rPr>
      </w:pPr>
    </w:p>
    <w:p w14:paraId="5433FB57">
      <w:pPr>
        <w:pStyle w:val="9"/>
        <w:spacing w:line="360" w:lineRule="auto"/>
        <w:ind w:left="1080" w:leftChars="257" w:hanging="540"/>
        <w:rPr>
          <w:rFonts w:hint="eastAsia" w:ascii="仿宋" w:hAnsi="仿宋" w:eastAsia="仿宋"/>
          <w:color w:val="auto"/>
          <w:sz w:val="24"/>
          <w:highlight w:val="none"/>
        </w:rPr>
      </w:pPr>
    </w:p>
    <w:p w14:paraId="693E2A6B">
      <w:pPr>
        <w:pStyle w:val="9"/>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供应商(盖章):</w:t>
      </w:r>
      <w:r>
        <w:rPr>
          <w:rFonts w:ascii="仿宋" w:hAnsi="仿宋" w:eastAsia="仿宋"/>
          <w:color w:val="auto"/>
          <w:sz w:val="24"/>
          <w:highlight w:val="none"/>
          <w:u w:val="single"/>
        </w:rPr>
        <w:tab/>
      </w:r>
    </w:p>
    <w:p w14:paraId="10EE47B4">
      <w:pPr>
        <w:pStyle w:val="9"/>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20418F65">
      <w:pPr>
        <w:widowControl/>
        <w:jc w:val="left"/>
        <w:rPr>
          <w:rFonts w:hint="eastAsia" w:ascii="仿宋" w:hAnsi="仿宋" w:eastAsia="仿宋"/>
          <w:b/>
          <w:color w:val="auto"/>
          <w:kern w:val="0"/>
          <w:sz w:val="24"/>
          <w:szCs w:val="20"/>
          <w:highlight w:val="none"/>
        </w:rPr>
      </w:pPr>
      <w:r>
        <w:rPr>
          <w:rFonts w:ascii="仿宋" w:hAnsi="仿宋" w:eastAsia="仿宋"/>
          <w:b/>
          <w:color w:val="auto"/>
          <w:kern w:val="0"/>
          <w:sz w:val="24"/>
          <w:szCs w:val="20"/>
          <w:highlight w:val="none"/>
        </w:rPr>
        <w:br w:type="page"/>
      </w:r>
    </w:p>
    <w:p w14:paraId="42EA12ED">
      <w:pPr>
        <w:pStyle w:val="3"/>
        <w:spacing w:before="0" w:line="360" w:lineRule="auto"/>
        <w:ind w:left="540"/>
        <w:rPr>
          <w:rFonts w:hint="eastAsia" w:ascii="仿宋" w:hAnsi="仿宋" w:eastAsia="仿宋"/>
          <w:color w:val="auto"/>
          <w:highlight w:val="none"/>
        </w:rPr>
      </w:pPr>
      <w:bookmarkStart w:id="401" w:name="_Toc515647823"/>
      <w:bookmarkStart w:id="402" w:name="_Toc532473511"/>
      <w:bookmarkStart w:id="403" w:name="_Toc23783563"/>
      <w:bookmarkStart w:id="404" w:name="_Toc10725"/>
      <w:bookmarkStart w:id="405" w:name="_Toc21312"/>
      <w:bookmarkStart w:id="406" w:name="_Toc86754037"/>
      <w:bookmarkStart w:id="407" w:name="_Toc133261432"/>
      <w:bookmarkStart w:id="408" w:name="_Toc82708772"/>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 xml:space="preserve">  项目总监简历表</w:t>
      </w:r>
      <w:bookmarkEnd w:id="401"/>
      <w:bookmarkEnd w:id="402"/>
      <w:bookmarkEnd w:id="403"/>
      <w:bookmarkEnd w:id="404"/>
      <w:bookmarkEnd w:id="405"/>
      <w:bookmarkEnd w:id="406"/>
      <w:bookmarkEnd w:id="407"/>
      <w:bookmarkEnd w:id="408"/>
    </w:p>
    <w:p w14:paraId="702724A7">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1、</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介绍应包括：姓名、性别、年龄、职称、学历、参加工作时间、从事</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年限和能反映该</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情况的其他内容。</w:t>
      </w:r>
    </w:p>
    <w:p w14:paraId="4384C1A1">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2、</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在监工程应按下表提供</w:t>
      </w:r>
    </w:p>
    <w:p w14:paraId="60D04901">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在监工程一览表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3132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41D70A9B">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64676307">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00CEAD7F">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08682CB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4617FEF1">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A7A7642">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21E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1422CFC">
            <w:pPr>
              <w:jc w:val="center"/>
              <w:rPr>
                <w:rFonts w:ascii="仿宋" w:hAnsi="仿宋" w:eastAsia="仿宋"/>
                <w:bCs/>
                <w:color w:val="auto"/>
                <w:sz w:val="24"/>
                <w:highlight w:val="none"/>
              </w:rPr>
            </w:pPr>
          </w:p>
        </w:tc>
        <w:tc>
          <w:tcPr>
            <w:tcW w:w="1574" w:type="dxa"/>
            <w:vAlign w:val="center"/>
          </w:tcPr>
          <w:p w14:paraId="401497B6">
            <w:pPr>
              <w:jc w:val="center"/>
              <w:rPr>
                <w:rFonts w:ascii="仿宋" w:hAnsi="仿宋" w:eastAsia="仿宋"/>
                <w:bCs/>
                <w:color w:val="auto"/>
                <w:sz w:val="24"/>
                <w:highlight w:val="none"/>
              </w:rPr>
            </w:pPr>
          </w:p>
        </w:tc>
        <w:tc>
          <w:tcPr>
            <w:tcW w:w="1470" w:type="dxa"/>
            <w:vAlign w:val="center"/>
          </w:tcPr>
          <w:p w14:paraId="50E10630">
            <w:pPr>
              <w:jc w:val="center"/>
              <w:rPr>
                <w:rFonts w:ascii="仿宋" w:hAnsi="仿宋" w:eastAsia="仿宋"/>
                <w:bCs/>
                <w:color w:val="auto"/>
                <w:sz w:val="24"/>
                <w:highlight w:val="none"/>
              </w:rPr>
            </w:pPr>
          </w:p>
        </w:tc>
        <w:tc>
          <w:tcPr>
            <w:tcW w:w="2099" w:type="dxa"/>
            <w:vAlign w:val="center"/>
          </w:tcPr>
          <w:p w14:paraId="0F35E999">
            <w:pPr>
              <w:jc w:val="center"/>
              <w:rPr>
                <w:rFonts w:ascii="仿宋" w:hAnsi="仿宋" w:eastAsia="仿宋"/>
                <w:bCs/>
                <w:color w:val="auto"/>
                <w:sz w:val="24"/>
                <w:highlight w:val="none"/>
              </w:rPr>
            </w:pPr>
          </w:p>
        </w:tc>
        <w:tc>
          <w:tcPr>
            <w:tcW w:w="2106" w:type="dxa"/>
            <w:vAlign w:val="center"/>
          </w:tcPr>
          <w:p w14:paraId="67F95358">
            <w:pPr>
              <w:jc w:val="center"/>
              <w:rPr>
                <w:rFonts w:ascii="仿宋" w:hAnsi="仿宋" w:eastAsia="仿宋"/>
                <w:bCs/>
                <w:color w:val="auto"/>
                <w:sz w:val="24"/>
                <w:highlight w:val="none"/>
              </w:rPr>
            </w:pPr>
          </w:p>
        </w:tc>
        <w:tc>
          <w:tcPr>
            <w:tcW w:w="1152" w:type="dxa"/>
            <w:vAlign w:val="center"/>
          </w:tcPr>
          <w:p w14:paraId="6B4C3C22">
            <w:pPr>
              <w:jc w:val="center"/>
              <w:rPr>
                <w:rFonts w:ascii="仿宋" w:hAnsi="仿宋" w:eastAsia="仿宋"/>
                <w:bCs/>
                <w:color w:val="auto"/>
                <w:sz w:val="24"/>
                <w:highlight w:val="none"/>
              </w:rPr>
            </w:pPr>
          </w:p>
        </w:tc>
      </w:tr>
    </w:tbl>
    <w:p w14:paraId="66783C2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3、</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近3年(2022年1月1日-至今）完成的类似工程业绩应按下表提供</w:t>
      </w:r>
    </w:p>
    <w:p w14:paraId="52079C65">
      <w:pPr>
        <w:spacing w:line="500" w:lineRule="exact"/>
        <w:jc w:val="center"/>
        <w:rPr>
          <w:rFonts w:ascii="仿宋" w:hAnsi="仿宋" w:eastAsia="仿宋"/>
          <w:bCs/>
          <w:color w:val="auto"/>
          <w:sz w:val="24"/>
          <w:highlight w:val="none"/>
        </w:rPr>
      </w:pPr>
      <w:r>
        <w:rPr>
          <w:rFonts w:hint="eastAsia" w:ascii="仿宋_GB2312" w:eastAsia="仿宋_GB2312"/>
          <w:color w:val="auto"/>
          <w:sz w:val="24"/>
          <w:highlight w:val="none"/>
        </w:rPr>
        <w:t>项目总监</w:t>
      </w:r>
      <w:r>
        <w:rPr>
          <w:rFonts w:hint="eastAsia" w:ascii="仿宋" w:hAnsi="仿宋" w:eastAsia="仿宋"/>
          <w:bCs/>
          <w:color w:val="auto"/>
          <w:sz w:val="24"/>
          <w:highlight w:val="none"/>
        </w:rPr>
        <w:t>近3年(2022年1月1日-至今)</w:t>
      </w:r>
      <w:r>
        <w:rPr>
          <w:rFonts w:ascii="仿宋" w:hAnsi="仿宋" w:eastAsia="仿宋"/>
          <w:bCs/>
          <w:color w:val="auto"/>
          <w:sz w:val="24"/>
          <w:highlight w:val="none"/>
        </w:rPr>
        <w:t xml:space="preserve"> </w:t>
      </w:r>
      <w:r>
        <w:rPr>
          <w:rFonts w:hint="eastAsia" w:ascii="仿宋" w:hAnsi="仿宋" w:eastAsia="仿宋"/>
          <w:bCs/>
          <w:color w:val="auto"/>
          <w:sz w:val="24"/>
          <w:highlight w:val="none"/>
        </w:rPr>
        <w:t>完成的类似工程业绩一览表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74"/>
        <w:gridCol w:w="1470"/>
        <w:gridCol w:w="2099"/>
        <w:gridCol w:w="2106"/>
        <w:gridCol w:w="1152"/>
      </w:tblGrid>
      <w:tr w14:paraId="73B8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472" w:type="dxa"/>
            <w:vAlign w:val="center"/>
          </w:tcPr>
          <w:p w14:paraId="14C321EA">
            <w:pPr>
              <w:jc w:val="center"/>
              <w:rPr>
                <w:rFonts w:ascii="仿宋" w:hAnsi="仿宋" w:eastAsia="仿宋"/>
                <w:bCs/>
                <w:color w:val="auto"/>
                <w:sz w:val="24"/>
                <w:highlight w:val="none"/>
              </w:rPr>
            </w:pPr>
            <w:r>
              <w:rPr>
                <w:rFonts w:hint="eastAsia" w:ascii="仿宋" w:hAnsi="仿宋" w:eastAsia="仿宋"/>
                <w:bCs/>
                <w:color w:val="auto"/>
                <w:sz w:val="24"/>
                <w:highlight w:val="none"/>
              </w:rPr>
              <w:t>建设单位</w:t>
            </w:r>
          </w:p>
        </w:tc>
        <w:tc>
          <w:tcPr>
            <w:tcW w:w="1574" w:type="dxa"/>
            <w:vAlign w:val="center"/>
          </w:tcPr>
          <w:p w14:paraId="0B0C2EE5">
            <w:pPr>
              <w:jc w:val="center"/>
              <w:rPr>
                <w:rFonts w:ascii="仿宋" w:hAnsi="仿宋" w:eastAsia="仿宋"/>
                <w:bCs/>
                <w:color w:val="auto"/>
                <w:sz w:val="24"/>
                <w:highlight w:val="none"/>
              </w:rPr>
            </w:pPr>
            <w:r>
              <w:rPr>
                <w:rFonts w:hint="eastAsia" w:ascii="仿宋" w:hAnsi="仿宋" w:eastAsia="仿宋"/>
                <w:bCs/>
                <w:color w:val="auto"/>
                <w:sz w:val="24"/>
                <w:highlight w:val="none"/>
              </w:rPr>
              <w:t>项目名称</w:t>
            </w:r>
          </w:p>
        </w:tc>
        <w:tc>
          <w:tcPr>
            <w:tcW w:w="1470" w:type="dxa"/>
            <w:vAlign w:val="center"/>
          </w:tcPr>
          <w:p w14:paraId="3C8A92FC">
            <w:pPr>
              <w:jc w:val="center"/>
              <w:rPr>
                <w:rFonts w:ascii="仿宋" w:hAnsi="仿宋" w:eastAsia="仿宋"/>
                <w:bCs/>
                <w:color w:val="auto"/>
                <w:sz w:val="24"/>
                <w:highlight w:val="none"/>
              </w:rPr>
            </w:pPr>
            <w:r>
              <w:rPr>
                <w:rFonts w:hint="eastAsia" w:ascii="仿宋" w:hAnsi="仿宋" w:eastAsia="仿宋"/>
                <w:bCs/>
                <w:color w:val="auto"/>
                <w:sz w:val="24"/>
                <w:highlight w:val="none"/>
              </w:rPr>
              <w:t>建设规模</w:t>
            </w:r>
          </w:p>
        </w:tc>
        <w:tc>
          <w:tcPr>
            <w:tcW w:w="2099" w:type="dxa"/>
            <w:vAlign w:val="center"/>
          </w:tcPr>
          <w:p w14:paraId="56DA3F17">
            <w:pPr>
              <w:jc w:val="center"/>
              <w:rPr>
                <w:rFonts w:ascii="仿宋" w:hAnsi="仿宋" w:eastAsia="仿宋"/>
                <w:bCs/>
                <w:color w:val="auto"/>
                <w:sz w:val="24"/>
                <w:highlight w:val="none"/>
              </w:rPr>
            </w:pPr>
            <w:r>
              <w:rPr>
                <w:rFonts w:hint="eastAsia" w:ascii="仿宋" w:hAnsi="仿宋" w:eastAsia="仿宋"/>
                <w:bCs/>
                <w:color w:val="auto"/>
                <w:sz w:val="24"/>
                <w:highlight w:val="none"/>
              </w:rPr>
              <w:t>开竣工日期</w:t>
            </w:r>
          </w:p>
        </w:tc>
        <w:tc>
          <w:tcPr>
            <w:tcW w:w="2106" w:type="dxa"/>
            <w:vAlign w:val="center"/>
          </w:tcPr>
          <w:p w14:paraId="1CABD449">
            <w:pPr>
              <w:jc w:val="center"/>
              <w:rPr>
                <w:rFonts w:ascii="仿宋" w:hAnsi="仿宋" w:eastAsia="仿宋"/>
                <w:bCs/>
                <w:color w:val="auto"/>
                <w:sz w:val="24"/>
                <w:highlight w:val="none"/>
              </w:rPr>
            </w:pPr>
            <w:r>
              <w:rPr>
                <w:rFonts w:hint="eastAsia" w:ascii="仿宋" w:hAnsi="仿宋" w:eastAsia="仿宋"/>
                <w:bCs/>
                <w:color w:val="auto"/>
                <w:sz w:val="24"/>
                <w:highlight w:val="none"/>
              </w:rPr>
              <w:t>质量</w:t>
            </w:r>
          </w:p>
        </w:tc>
        <w:tc>
          <w:tcPr>
            <w:tcW w:w="1152" w:type="dxa"/>
            <w:vAlign w:val="center"/>
          </w:tcPr>
          <w:p w14:paraId="7438595C">
            <w:pPr>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7BCC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472" w:type="dxa"/>
            <w:vAlign w:val="center"/>
          </w:tcPr>
          <w:p w14:paraId="3433B18A">
            <w:pPr>
              <w:jc w:val="center"/>
              <w:rPr>
                <w:rFonts w:ascii="仿宋" w:hAnsi="仿宋" w:eastAsia="仿宋"/>
                <w:bCs/>
                <w:color w:val="auto"/>
                <w:sz w:val="24"/>
                <w:highlight w:val="none"/>
              </w:rPr>
            </w:pPr>
          </w:p>
        </w:tc>
        <w:tc>
          <w:tcPr>
            <w:tcW w:w="1574" w:type="dxa"/>
            <w:vAlign w:val="center"/>
          </w:tcPr>
          <w:p w14:paraId="0DBB5096">
            <w:pPr>
              <w:jc w:val="center"/>
              <w:rPr>
                <w:rFonts w:ascii="仿宋" w:hAnsi="仿宋" w:eastAsia="仿宋"/>
                <w:bCs/>
                <w:color w:val="auto"/>
                <w:sz w:val="24"/>
                <w:highlight w:val="none"/>
              </w:rPr>
            </w:pPr>
          </w:p>
        </w:tc>
        <w:tc>
          <w:tcPr>
            <w:tcW w:w="1470" w:type="dxa"/>
            <w:vAlign w:val="center"/>
          </w:tcPr>
          <w:p w14:paraId="5CFADF88">
            <w:pPr>
              <w:jc w:val="center"/>
              <w:rPr>
                <w:rFonts w:ascii="仿宋" w:hAnsi="仿宋" w:eastAsia="仿宋"/>
                <w:bCs/>
                <w:color w:val="auto"/>
                <w:sz w:val="24"/>
                <w:highlight w:val="none"/>
              </w:rPr>
            </w:pPr>
          </w:p>
        </w:tc>
        <w:tc>
          <w:tcPr>
            <w:tcW w:w="2099" w:type="dxa"/>
            <w:vAlign w:val="center"/>
          </w:tcPr>
          <w:p w14:paraId="1C660C03">
            <w:pPr>
              <w:jc w:val="center"/>
              <w:rPr>
                <w:rFonts w:ascii="仿宋" w:hAnsi="仿宋" w:eastAsia="仿宋"/>
                <w:bCs/>
                <w:color w:val="auto"/>
                <w:sz w:val="24"/>
                <w:highlight w:val="none"/>
              </w:rPr>
            </w:pPr>
          </w:p>
        </w:tc>
        <w:tc>
          <w:tcPr>
            <w:tcW w:w="2106" w:type="dxa"/>
            <w:vAlign w:val="center"/>
          </w:tcPr>
          <w:p w14:paraId="36465C54">
            <w:pPr>
              <w:jc w:val="center"/>
              <w:rPr>
                <w:rFonts w:ascii="仿宋" w:hAnsi="仿宋" w:eastAsia="仿宋"/>
                <w:bCs/>
                <w:color w:val="auto"/>
                <w:sz w:val="24"/>
                <w:highlight w:val="none"/>
              </w:rPr>
            </w:pPr>
          </w:p>
        </w:tc>
        <w:tc>
          <w:tcPr>
            <w:tcW w:w="1152" w:type="dxa"/>
            <w:vAlign w:val="center"/>
          </w:tcPr>
          <w:p w14:paraId="466DCC7F">
            <w:pPr>
              <w:jc w:val="center"/>
              <w:rPr>
                <w:rFonts w:ascii="仿宋" w:hAnsi="仿宋" w:eastAsia="仿宋"/>
                <w:bCs/>
                <w:color w:val="auto"/>
                <w:sz w:val="24"/>
                <w:highlight w:val="none"/>
              </w:rPr>
            </w:pPr>
          </w:p>
        </w:tc>
      </w:tr>
    </w:tbl>
    <w:p w14:paraId="4609FA8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备注：本表后附中标通知书及监理合同，业绩证明材料须反映项目总监。</w:t>
      </w:r>
    </w:p>
    <w:p w14:paraId="691ADB61">
      <w:pPr>
        <w:spacing w:line="500" w:lineRule="exact"/>
        <w:ind w:firstLine="480" w:firstLineChars="200"/>
        <w:jc w:val="left"/>
        <w:rPr>
          <w:rFonts w:hint="eastAsia" w:ascii="仿宋" w:hAnsi="仿宋" w:eastAsia="仿宋"/>
          <w:bCs/>
          <w:color w:val="auto"/>
          <w:sz w:val="24"/>
          <w:highlight w:val="none"/>
          <w:lang w:val="en-US" w:eastAsia="zh-CN"/>
        </w:rPr>
      </w:pPr>
      <w:r>
        <w:rPr>
          <w:rFonts w:hint="eastAsia" w:ascii="仿宋" w:hAnsi="仿宋" w:eastAsia="仿宋"/>
          <w:bCs/>
          <w:color w:val="auto"/>
          <w:sz w:val="24"/>
          <w:highlight w:val="none"/>
        </w:rPr>
        <w:t>4、</w:t>
      </w:r>
      <w:r>
        <w:rPr>
          <w:rFonts w:hint="eastAsia" w:ascii="仿宋_GB2312" w:eastAsia="仿宋_GB2312"/>
          <w:color w:val="auto"/>
          <w:sz w:val="24"/>
          <w:highlight w:val="none"/>
        </w:rPr>
        <w:t>项目总监</w:t>
      </w:r>
      <w:r>
        <w:rPr>
          <w:rFonts w:hint="eastAsia" w:ascii="仿宋" w:hAnsi="仿宋" w:eastAsia="仿宋"/>
          <w:bCs/>
          <w:color w:val="auto"/>
          <w:sz w:val="24"/>
          <w:highlight w:val="none"/>
        </w:rPr>
        <w:t>简历中应附</w:t>
      </w:r>
      <w:r>
        <w:rPr>
          <w:rFonts w:hint="eastAsia" w:ascii="仿宋" w:hAnsi="仿宋" w:eastAsia="仿宋"/>
          <w:bCs/>
          <w:color w:val="auto"/>
          <w:sz w:val="24"/>
          <w:highlight w:val="none"/>
          <w:lang w:val="en-US" w:eastAsia="zh-CN"/>
        </w:rPr>
        <w:t>身份证、</w:t>
      </w:r>
      <w:r>
        <w:rPr>
          <w:rFonts w:hint="eastAsia" w:ascii="仿宋" w:hAnsi="仿宋" w:eastAsia="仿宋"/>
          <w:bCs/>
          <w:color w:val="auto"/>
          <w:sz w:val="24"/>
          <w:highlight w:val="none"/>
        </w:rPr>
        <w:t>注册监理工程师证书、职称证书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p w14:paraId="06571704">
      <w:pPr>
        <w:rPr>
          <w:rFonts w:hint="eastAsia" w:ascii="仿宋" w:hAnsi="仿宋" w:eastAsia="仿宋"/>
          <w:color w:val="auto"/>
          <w:highlight w:val="none"/>
        </w:rPr>
      </w:pPr>
    </w:p>
    <w:p w14:paraId="3E46080D">
      <w:pPr>
        <w:rPr>
          <w:rFonts w:hint="eastAsia" w:ascii="仿宋" w:hAnsi="仿宋" w:eastAsia="仿宋"/>
          <w:color w:val="auto"/>
          <w:highlight w:val="none"/>
        </w:rPr>
      </w:pPr>
    </w:p>
    <w:p w14:paraId="4B3E6F83">
      <w:pPr>
        <w:rPr>
          <w:rFonts w:hint="eastAsia" w:ascii="仿宋" w:hAnsi="仿宋" w:eastAsia="仿宋"/>
          <w:color w:val="auto"/>
          <w:highlight w:val="none"/>
        </w:rPr>
      </w:pPr>
    </w:p>
    <w:p w14:paraId="6ABC616F">
      <w:pPr>
        <w:rPr>
          <w:rFonts w:hint="eastAsia" w:ascii="仿宋" w:hAnsi="仿宋" w:eastAsia="仿宋"/>
          <w:color w:val="auto"/>
          <w:highlight w:val="none"/>
        </w:rPr>
      </w:pPr>
    </w:p>
    <w:p w14:paraId="1D0B068E">
      <w:pPr>
        <w:rPr>
          <w:rFonts w:hint="eastAsia" w:ascii="仿宋" w:hAnsi="仿宋" w:eastAsia="仿宋"/>
          <w:color w:val="auto"/>
          <w:highlight w:val="none"/>
        </w:rPr>
      </w:pPr>
    </w:p>
    <w:p w14:paraId="38DD8231">
      <w:pPr>
        <w:rPr>
          <w:rFonts w:hint="eastAsia" w:ascii="仿宋" w:hAnsi="仿宋" w:eastAsia="仿宋"/>
          <w:color w:val="auto"/>
          <w:highlight w:val="none"/>
        </w:rPr>
      </w:pPr>
    </w:p>
    <w:p w14:paraId="408B62C9">
      <w:pPr>
        <w:rPr>
          <w:rFonts w:hint="eastAsia" w:ascii="仿宋" w:hAnsi="仿宋" w:eastAsia="仿宋"/>
          <w:color w:val="auto"/>
          <w:highlight w:val="none"/>
        </w:rPr>
      </w:pPr>
    </w:p>
    <w:p w14:paraId="79ED1C52">
      <w:pPr>
        <w:rPr>
          <w:rFonts w:hint="eastAsia" w:ascii="仿宋" w:hAnsi="仿宋" w:eastAsia="仿宋"/>
          <w:color w:val="auto"/>
          <w:highlight w:val="none"/>
        </w:rPr>
      </w:pPr>
    </w:p>
    <w:p w14:paraId="3BD5D505">
      <w:pPr>
        <w:rPr>
          <w:rFonts w:hint="eastAsia" w:ascii="仿宋" w:hAnsi="仿宋" w:eastAsia="仿宋"/>
          <w:color w:val="auto"/>
          <w:highlight w:val="none"/>
        </w:rPr>
      </w:pPr>
    </w:p>
    <w:p w14:paraId="2D286464">
      <w:pPr>
        <w:rPr>
          <w:rFonts w:hint="eastAsia" w:ascii="仿宋" w:hAnsi="仿宋" w:eastAsia="仿宋"/>
          <w:color w:val="auto"/>
          <w:highlight w:val="none"/>
        </w:rPr>
      </w:pPr>
    </w:p>
    <w:p w14:paraId="6D9F6E8F">
      <w:pPr>
        <w:rPr>
          <w:rFonts w:hint="eastAsia" w:ascii="仿宋" w:hAnsi="仿宋" w:eastAsia="仿宋"/>
          <w:color w:val="auto"/>
          <w:highlight w:val="none"/>
        </w:rPr>
      </w:pPr>
    </w:p>
    <w:p w14:paraId="332D0C54">
      <w:pPr>
        <w:rPr>
          <w:rFonts w:hint="eastAsia" w:ascii="仿宋" w:hAnsi="仿宋" w:eastAsia="仿宋"/>
          <w:color w:val="auto"/>
          <w:sz w:val="24"/>
          <w:highlight w:val="none"/>
          <w:lang w:val="en-US" w:eastAsia="zh-CN"/>
        </w:rPr>
      </w:pPr>
      <w:bookmarkStart w:id="409" w:name="_Toc133261435"/>
      <w:r>
        <w:rPr>
          <w:rFonts w:hint="eastAsia" w:ascii="仿宋" w:hAnsi="仿宋" w:eastAsia="仿宋"/>
          <w:color w:val="auto"/>
          <w:sz w:val="24"/>
          <w:highlight w:val="none"/>
          <w:lang w:val="en-US" w:eastAsia="zh-CN"/>
        </w:rPr>
        <w:br w:type="page"/>
      </w:r>
    </w:p>
    <w:p w14:paraId="411CBCE0">
      <w:pPr>
        <w:jc w:val="center"/>
        <w:rPr>
          <w:rFonts w:hint="eastAsia" w:ascii="仿宋" w:hAnsi="仿宋" w:eastAsia="仿宋" w:cs="Times New Roman"/>
          <w:b/>
          <w:color w:val="auto"/>
          <w:kern w:val="0"/>
          <w:sz w:val="24"/>
          <w:szCs w:val="20"/>
          <w:highlight w:val="none"/>
          <w:lang w:val="en-US" w:eastAsia="zh-CN" w:bidi="ar-SA"/>
        </w:rPr>
      </w:pPr>
      <w:r>
        <w:rPr>
          <w:rFonts w:hint="eastAsia" w:ascii="仿宋" w:hAnsi="仿宋" w:eastAsia="仿宋" w:cs="Times New Roman"/>
          <w:b/>
          <w:color w:val="auto"/>
          <w:kern w:val="0"/>
          <w:sz w:val="24"/>
          <w:szCs w:val="20"/>
          <w:highlight w:val="none"/>
          <w:lang w:val="en-US" w:eastAsia="zh-CN" w:bidi="ar-SA"/>
        </w:rPr>
        <w:t>10 项目组专业人员表</w:t>
      </w:r>
    </w:p>
    <w:p w14:paraId="0026A027">
      <w:pPr>
        <w:jc w:val="center"/>
        <w:rPr>
          <w:rFonts w:hint="eastAsia" w:ascii="仿宋" w:hAnsi="仿宋" w:eastAsia="仿宋" w:cs="Times New Roman"/>
          <w:b/>
          <w:color w:val="auto"/>
          <w:kern w:val="0"/>
          <w:sz w:val="24"/>
          <w:szCs w:val="20"/>
          <w:highlight w:val="none"/>
          <w:lang w:val="en-US" w:eastAsia="zh-CN" w:bidi="ar-SA"/>
        </w:rPr>
      </w:pPr>
    </w:p>
    <w:p w14:paraId="5A48F3EA">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项目组专业人员</w:t>
      </w:r>
      <w:r>
        <w:rPr>
          <w:rFonts w:hint="eastAsia" w:ascii="仿宋" w:hAnsi="仿宋" w:eastAsia="仿宋"/>
          <w:bCs/>
          <w:color w:val="auto"/>
          <w:sz w:val="24"/>
          <w:highlight w:val="none"/>
        </w:rPr>
        <w:t>介绍应包括姓名、职称、主要资历等基本信息。</w:t>
      </w:r>
    </w:p>
    <w:p w14:paraId="734EEB64">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、现场监理人员应</w:t>
      </w:r>
      <w:r>
        <w:rPr>
          <w:rFonts w:hint="eastAsia" w:ascii="仿宋" w:hAnsi="仿宋" w:eastAsia="仿宋"/>
          <w:bCs/>
          <w:color w:val="auto"/>
          <w:sz w:val="24"/>
          <w:highlight w:val="none"/>
          <w:lang w:val="en-US" w:eastAsia="zh-CN"/>
        </w:rPr>
        <w:t>附身份证、</w:t>
      </w:r>
      <w:r>
        <w:rPr>
          <w:rFonts w:hint="eastAsia" w:ascii="仿宋" w:hAnsi="仿宋" w:eastAsia="仿宋"/>
          <w:bCs/>
          <w:color w:val="auto"/>
          <w:sz w:val="24"/>
          <w:highlight w:val="none"/>
        </w:rPr>
        <w:t>职称证书</w:t>
      </w:r>
      <w:r>
        <w:rPr>
          <w:rFonts w:hint="eastAsia" w:ascii="仿宋" w:hAnsi="仿宋" w:eastAsia="仿宋"/>
          <w:bCs/>
          <w:color w:val="auto"/>
          <w:sz w:val="24"/>
          <w:highlight w:val="none"/>
          <w:lang w:val="en-US" w:eastAsia="zh-CN"/>
        </w:rPr>
        <w:t>等其他相关证件</w:t>
      </w:r>
      <w:r>
        <w:rPr>
          <w:rFonts w:hint="eastAsia" w:ascii="仿宋" w:hAnsi="仿宋" w:eastAsia="仿宋"/>
          <w:bCs/>
          <w:color w:val="auto"/>
          <w:sz w:val="24"/>
          <w:highlight w:val="none"/>
        </w:rPr>
        <w:t>。</w:t>
      </w:r>
    </w:p>
    <w:tbl>
      <w:tblPr>
        <w:tblStyle w:val="1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11"/>
        <w:gridCol w:w="850"/>
        <w:gridCol w:w="851"/>
        <w:gridCol w:w="850"/>
        <w:gridCol w:w="1843"/>
        <w:gridCol w:w="1701"/>
        <w:gridCol w:w="992"/>
      </w:tblGrid>
      <w:tr w14:paraId="2713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35B82200">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序号</w:t>
            </w:r>
          </w:p>
        </w:tc>
        <w:tc>
          <w:tcPr>
            <w:tcW w:w="1711" w:type="dxa"/>
            <w:tcBorders>
              <w:top w:val="single" w:color="auto" w:sz="4" w:space="0"/>
              <w:left w:val="single" w:color="auto" w:sz="4" w:space="0"/>
              <w:bottom w:val="single" w:color="auto" w:sz="4" w:space="0"/>
              <w:right w:val="single" w:color="auto" w:sz="4" w:space="0"/>
            </w:tcBorders>
            <w:vAlign w:val="center"/>
          </w:tcPr>
          <w:p w14:paraId="51477693">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本项目任职</w:t>
            </w:r>
          </w:p>
        </w:tc>
        <w:tc>
          <w:tcPr>
            <w:tcW w:w="850" w:type="dxa"/>
            <w:tcBorders>
              <w:top w:val="single" w:color="auto" w:sz="4" w:space="0"/>
              <w:left w:val="single" w:color="auto" w:sz="4" w:space="0"/>
              <w:bottom w:val="single" w:color="auto" w:sz="4" w:space="0"/>
              <w:right w:val="single" w:color="auto" w:sz="4" w:space="0"/>
            </w:tcBorders>
            <w:vAlign w:val="center"/>
          </w:tcPr>
          <w:p w14:paraId="55E907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性名</w:t>
            </w:r>
          </w:p>
        </w:tc>
        <w:tc>
          <w:tcPr>
            <w:tcW w:w="851" w:type="dxa"/>
            <w:tcBorders>
              <w:top w:val="single" w:color="auto" w:sz="4" w:space="0"/>
              <w:left w:val="single" w:color="auto" w:sz="4" w:space="0"/>
              <w:bottom w:val="single" w:color="auto" w:sz="4" w:space="0"/>
              <w:right w:val="single" w:color="auto" w:sz="4" w:space="0"/>
            </w:tcBorders>
            <w:vAlign w:val="center"/>
          </w:tcPr>
          <w:p w14:paraId="4930DB75">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职称</w:t>
            </w:r>
          </w:p>
        </w:tc>
        <w:tc>
          <w:tcPr>
            <w:tcW w:w="850" w:type="dxa"/>
            <w:tcBorders>
              <w:top w:val="single" w:color="auto" w:sz="4" w:space="0"/>
              <w:left w:val="single" w:color="auto" w:sz="4" w:space="0"/>
              <w:bottom w:val="single" w:color="auto" w:sz="4" w:space="0"/>
              <w:right w:val="single" w:color="auto" w:sz="4" w:space="0"/>
            </w:tcBorders>
            <w:vAlign w:val="center"/>
          </w:tcPr>
          <w:p w14:paraId="031D02A6">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专业</w:t>
            </w:r>
          </w:p>
        </w:tc>
        <w:tc>
          <w:tcPr>
            <w:tcW w:w="1843" w:type="dxa"/>
            <w:tcBorders>
              <w:top w:val="single" w:color="auto" w:sz="4" w:space="0"/>
              <w:left w:val="single" w:color="auto" w:sz="4" w:space="0"/>
              <w:bottom w:val="single" w:color="auto" w:sz="4" w:space="0"/>
              <w:right w:val="single" w:color="auto" w:sz="4" w:space="0"/>
            </w:tcBorders>
            <w:vAlign w:val="center"/>
          </w:tcPr>
          <w:p w14:paraId="5897B1FB">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执业或职业资格证书名称</w:t>
            </w:r>
          </w:p>
        </w:tc>
        <w:tc>
          <w:tcPr>
            <w:tcW w:w="1701" w:type="dxa"/>
            <w:tcBorders>
              <w:top w:val="single" w:color="auto" w:sz="4" w:space="0"/>
              <w:left w:val="single" w:color="auto" w:sz="4" w:space="0"/>
              <w:bottom w:val="single" w:color="auto" w:sz="4" w:space="0"/>
              <w:right w:val="single" w:color="auto" w:sz="4" w:space="0"/>
            </w:tcBorders>
            <w:vAlign w:val="center"/>
          </w:tcPr>
          <w:p w14:paraId="018EA98C">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执业或职业资格证书编号</w:t>
            </w:r>
          </w:p>
        </w:tc>
        <w:tc>
          <w:tcPr>
            <w:tcW w:w="992" w:type="dxa"/>
            <w:tcBorders>
              <w:top w:val="single" w:color="auto" w:sz="4" w:space="0"/>
              <w:left w:val="single" w:color="auto" w:sz="4" w:space="0"/>
              <w:bottom w:val="single" w:color="auto" w:sz="4" w:space="0"/>
              <w:right w:val="single" w:color="auto" w:sz="4" w:space="0"/>
            </w:tcBorders>
            <w:vAlign w:val="center"/>
          </w:tcPr>
          <w:p w14:paraId="3EB5B007">
            <w:pPr>
              <w:spacing w:line="500" w:lineRule="exact"/>
              <w:jc w:val="center"/>
              <w:rPr>
                <w:rFonts w:ascii="仿宋" w:hAnsi="仿宋" w:eastAsia="仿宋"/>
                <w:bCs/>
                <w:color w:val="auto"/>
                <w:sz w:val="24"/>
                <w:highlight w:val="none"/>
              </w:rPr>
            </w:pPr>
            <w:r>
              <w:rPr>
                <w:rFonts w:hint="eastAsia" w:ascii="仿宋" w:hAnsi="仿宋" w:eastAsia="仿宋"/>
                <w:bCs/>
                <w:color w:val="auto"/>
                <w:sz w:val="24"/>
                <w:highlight w:val="none"/>
              </w:rPr>
              <w:t>备注</w:t>
            </w:r>
          </w:p>
        </w:tc>
      </w:tr>
      <w:tr w14:paraId="000A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797A33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31BAA2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FA2FD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436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4CFC364">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8D308E3">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849C681">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5E10E6F">
            <w:pPr>
              <w:spacing w:line="500" w:lineRule="exact"/>
              <w:jc w:val="center"/>
              <w:rPr>
                <w:rFonts w:ascii="仿宋" w:hAnsi="仿宋" w:eastAsia="仿宋"/>
                <w:bCs/>
                <w:color w:val="auto"/>
                <w:sz w:val="24"/>
                <w:highlight w:val="none"/>
              </w:rPr>
            </w:pPr>
          </w:p>
        </w:tc>
      </w:tr>
      <w:tr w14:paraId="0241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4CC2B59">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D304BA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7912CF">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A41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2F9B72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487580">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5A95718">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795AF7">
            <w:pPr>
              <w:spacing w:line="500" w:lineRule="exact"/>
              <w:jc w:val="center"/>
              <w:rPr>
                <w:rFonts w:ascii="仿宋" w:hAnsi="仿宋" w:eastAsia="仿宋"/>
                <w:bCs/>
                <w:color w:val="auto"/>
                <w:sz w:val="24"/>
                <w:highlight w:val="none"/>
              </w:rPr>
            </w:pPr>
          </w:p>
        </w:tc>
      </w:tr>
      <w:tr w14:paraId="1390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63DC638">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7963F3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6CCC72">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A7711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725288">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9EE3A44">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EF1D2C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A838371">
            <w:pPr>
              <w:spacing w:line="500" w:lineRule="exact"/>
              <w:jc w:val="center"/>
              <w:rPr>
                <w:rFonts w:ascii="仿宋" w:hAnsi="仿宋" w:eastAsia="仿宋"/>
                <w:bCs/>
                <w:color w:val="auto"/>
                <w:sz w:val="24"/>
                <w:highlight w:val="none"/>
              </w:rPr>
            </w:pPr>
          </w:p>
        </w:tc>
      </w:tr>
      <w:tr w14:paraId="6AF3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7314775F">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8CCE791">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828AB04">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6E9BBB">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CA0DEB2">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7E8A3E2">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661F55C">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2B8932C">
            <w:pPr>
              <w:spacing w:line="500" w:lineRule="exact"/>
              <w:jc w:val="center"/>
              <w:rPr>
                <w:rFonts w:ascii="仿宋" w:hAnsi="仿宋" w:eastAsia="仿宋"/>
                <w:bCs/>
                <w:color w:val="auto"/>
                <w:sz w:val="24"/>
                <w:highlight w:val="none"/>
              </w:rPr>
            </w:pPr>
          </w:p>
        </w:tc>
      </w:tr>
      <w:tr w14:paraId="618F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6965DCB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23C5B5C8">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354C213">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0B29ED6">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5E3B9EE">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24A46E7">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E0F8A3">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4B3D691">
            <w:pPr>
              <w:spacing w:line="500" w:lineRule="exact"/>
              <w:jc w:val="center"/>
              <w:rPr>
                <w:rFonts w:ascii="仿宋" w:hAnsi="仿宋" w:eastAsia="仿宋"/>
                <w:bCs/>
                <w:color w:val="auto"/>
                <w:sz w:val="24"/>
                <w:highlight w:val="none"/>
              </w:rPr>
            </w:pPr>
          </w:p>
        </w:tc>
      </w:tr>
      <w:tr w14:paraId="57B1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2D77AB7A">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423E722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D664B7">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8675814">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628FE6">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15449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B622366">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AB50C7">
            <w:pPr>
              <w:spacing w:line="500" w:lineRule="exact"/>
              <w:jc w:val="center"/>
              <w:rPr>
                <w:rFonts w:ascii="仿宋" w:hAnsi="仿宋" w:eastAsia="仿宋"/>
                <w:bCs/>
                <w:color w:val="auto"/>
                <w:sz w:val="24"/>
                <w:highlight w:val="none"/>
              </w:rPr>
            </w:pPr>
          </w:p>
        </w:tc>
      </w:tr>
      <w:tr w14:paraId="3912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vAlign w:val="center"/>
          </w:tcPr>
          <w:p w14:paraId="5E921722">
            <w:pPr>
              <w:spacing w:line="500" w:lineRule="exact"/>
              <w:jc w:val="center"/>
              <w:rPr>
                <w:rFonts w:ascii="仿宋" w:hAnsi="仿宋" w:eastAsia="仿宋"/>
                <w:bCs/>
                <w:color w:val="auto"/>
                <w:sz w:val="24"/>
                <w:highlight w:val="none"/>
              </w:rPr>
            </w:pPr>
          </w:p>
        </w:tc>
        <w:tc>
          <w:tcPr>
            <w:tcW w:w="1711" w:type="dxa"/>
            <w:tcBorders>
              <w:top w:val="single" w:color="auto" w:sz="4" w:space="0"/>
              <w:left w:val="single" w:color="auto" w:sz="4" w:space="0"/>
              <w:bottom w:val="single" w:color="auto" w:sz="4" w:space="0"/>
              <w:right w:val="single" w:color="auto" w:sz="4" w:space="0"/>
            </w:tcBorders>
            <w:vAlign w:val="center"/>
          </w:tcPr>
          <w:p w14:paraId="6EE9F27C">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BB4A658">
            <w:pPr>
              <w:spacing w:line="500" w:lineRule="exact"/>
              <w:jc w:val="center"/>
              <w:rPr>
                <w:rFonts w:ascii="仿宋" w:hAnsi="仿宋" w:eastAsia="仿宋"/>
                <w:bCs/>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64278A7">
            <w:pPr>
              <w:spacing w:line="500" w:lineRule="exact"/>
              <w:jc w:val="center"/>
              <w:rPr>
                <w:rFonts w:ascii="仿宋" w:hAnsi="仿宋" w:eastAsia="仿宋"/>
                <w:bCs/>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DB7D9D5">
            <w:pPr>
              <w:spacing w:line="500" w:lineRule="exact"/>
              <w:jc w:val="center"/>
              <w:rPr>
                <w:rFonts w:ascii="仿宋" w:hAnsi="仿宋" w:eastAsia="仿宋"/>
                <w:bCs/>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196F8F9">
            <w:pPr>
              <w:spacing w:line="500" w:lineRule="exact"/>
              <w:jc w:val="center"/>
              <w:rPr>
                <w:rFonts w:ascii="仿宋" w:hAnsi="仿宋" w:eastAsia="仿宋"/>
                <w:bCs/>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D555A4">
            <w:pPr>
              <w:spacing w:line="500" w:lineRule="exact"/>
              <w:jc w:val="center"/>
              <w:rPr>
                <w:rFonts w:ascii="仿宋" w:hAnsi="仿宋" w:eastAsia="仿宋"/>
                <w:bCs/>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271977">
            <w:pPr>
              <w:spacing w:line="500" w:lineRule="exact"/>
              <w:jc w:val="center"/>
              <w:rPr>
                <w:rFonts w:ascii="仿宋" w:hAnsi="仿宋" w:eastAsia="仿宋"/>
                <w:bCs/>
                <w:color w:val="auto"/>
                <w:sz w:val="24"/>
                <w:highlight w:val="none"/>
              </w:rPr>
            </w:pPr>
          </w:p>
        </w:tc>
      </w:tr>
    </w:tbl>
    <w:p w14:paraId="0250B15B">
      <w:pPr>
        <w:jc w:val="center"/>
        <w:rPr>
          <w:rFonts w:hint="eastAsia" w:ascii="仿宋" w:hAnsi="仿宋" w:eastAsia="仿宋" w:cs="Times New Roman"/>
          <w:b/>
          <w:color w:val="auto"/>
          <w:kern w:val="0"/>
          <w:sz w:val="24"/>
          <w:szCs w:val="20"/>
          <w:highlight w:val="none"/>
          <w:lang w:val="en-US" w:eastAsia="zh-CN" w:bidi="ar-SA"/>
        </w:rPr>
      </w:pPr>
    </w:p>
    <w:p w14:paraId="1DAA5CEF">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0B360D83">
      <w:pPr>
        <w:rPr>
          <w:rFonts w:hint="default" w:ascii="仿宋" w:hAnsi="仿宋" w:eastAsia="仿宋"/>
          <w:color w:val="auto"/>
          <w:sz w:val="24"/>
          <w:highlight w:val="none"/>
          <w:lang w:val="en-US" w:eastAsia="zh-CN"/>
        </w:rPr>
      </w:pPr>
    </w:p>
    <w:p w14:paraId="249A8110">
      <w:pPr>
        <w:pStyle w:val="3"/>
        <w:spacing w:before="0" w:line="360" w:lineRule="auto"/>
        <w:ind w:left="1268"/>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 xml:space="preserve">  </w:t>
      </w:r>
      <w:r>
        <w:rPr>
          <w:rFonts w:ascii="仿宋" w:hAnsi="仿宋" w:eastAsia="仿宋"/>
          <w:color w:val="auto"/>
          <w:sz w:val="24"/>
          <w:highlight w:val="none"/>
        </w:rPr>
        <w:t>供应商关联单位的说明</w:t>
      </w:r>
      <w:bookmarkEnd w:id="396"/>
      <w:bookmarkEnd w:id="397"/>
      <w:bookmarkEnd w:id="398"/>
      <w:bookmarkEnd w:id="399"/>
      <w:bookmarkEnd w:id="409"/>
    </w:p>
    <w:p w14:paraId="565608B8">
      <w:pPr>
        <w:pStyle w:val="5"/>
        <w:spacing w:line="360" w:lineRule="auto"/>
        <w:ind w:firstLine="480" w:firstLineChars="200"/>
        <w:jc w:val="center"/>
        <w:rPr>
          <w:rFonts w:hint="eastAsia" w:ascii="仿宋" w:hAnsi="仿宋" w:eastAsia="仿宋"/>
          <w:color w:val="auto"/>
          <w:highlight w:val="none"/>
        </w:rPr>
      </w:pPr>
      <w:r>
        <w:rPr>
          <w:rFonts w:hint="eastAsia" w:ascii="仿宋" w:hAnsi="仿宋" w:eastAsia="仿宋"/>
          <w:color w:val="auto"/>
          <w:highlight w:val="none"/>
        </w:rPr>
        <w:t>（格式自拟）</w:t>
      </w:r>
      <w:bookmarkEnd w:id="400"/>
    </w:p>
    <w:p w14:paraId="3D9966BE">
      <w:pPr>
        <w:pStyle w:val="5"/>
        <w:spacing w:line="360" w:lineRule="auto"/>
        <w:jc w:val="center"/>
        <w:rPr>
          <w:rFonts w:hint="eastAsia" w:ascii="仿宋" w:hAnsi="仿宋" w:eastAsia="仿宋"/>
          <w:color w:val="auto"/>
          <w:highlight w:val="none"/>
        </w:rPr>
      </w:pPr>
    </w:p>
    <w:p w14:paraId="41075014">
      <w:pPr>
        <w:pStyle w:val="5"/>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说明</w:t>
      </w:r>
      <w:r>
        <w:rPr>
          <w:rFonts w:ascii="仿宋" w:hAnsi="仿宋" w:eastAsia="仿宋"/>
          <w:color w:val="auto"/>
          <w:highlight w:val="none"/>
        </w:rPr>
        <w:t>：供应商应当如实披露与本单位存在下列关联关系的单位名称</w:t>
      </w:r>
      <w:r>
        <w:rPr>
          <w:rFonts w:hint="eastAsia" w:ascii="仿宋" w:hAnsi="仿宋" w:eastAsia="仿宋"/>
          <w:color w:val="auto"/>
          <w:highlight w:val="none"/>
        </w:rPr>
        <w:t>：</w:t>
      </w:r>
    </w:p>
    <w:p w14:paraId="5097ECED">
      <w:pPr>
        <w:pStyle w:val="5"/>
        <w:spacing w:line="360" w:lineRule="auto"/>
        <w:ind w:firstLine="480" w:firstLineChars="200"/>
        <w:rPr>
          <w:rFonts w:hint="eastAsia" w:ascii="仿宋" w:hAnsi="仿宋" w:eastAsia="仿宋"/>
          <w:color w:val="auto"/>
          <w:highlight w:val="none"/>
        </w:rPr>
      </w:pPr>
      <w:r>
        <w:rPr>
          <w:rFonts w:ascii="仿宋" w:hAnsi="仿宋" w:eastAsia="仿宋"/>
          <w:color w:val="auto"/>
          <w:highlight w:val="none"/>
        </w:rPr>
        <w:t>（1）与供应商单位负责人为同一人的其他</w:t>
      </w:r>
      <w:r>
        <w:rPr>
          <w:rFonts w:hint="eastAsia" w:ascii="仿宋" w:hAnsi="仿宋" w:eastAsia="仿宋"/>
          <w:color w:val="auto"/>
          <w:highlight w:val="none"/>
        </w:rPr>
        <w:t>单位</w:t>
      </w:r>
      <w:r>
        <w:rPr>
          <w:rFonts w:ascii="仿宋" w:hAnsi="仿宋" w:eastAsia="仿宋"/>
          <w:color w:val="auto"/>
          <w:highlight w:val="none"/>
        </w:rPr>
        <w:t>；</w:t>
      </w:r>
      <w:r>
        <w:rPr>
          <w:rFonts w:ascii="仿宋" w:hAnsi="仿宋" w:eastAsia="仿宋"/>
          <w:color w:val="auto"/>
          <w:highlight w:val="none"/>
        </w:rPr>
        <w:br w:type="textWrapping"/>
      </w:r>
      <w:r>
        <w:rPr>
          <w:rFonts w:ascii="仿宋" w:hAnsi="仿宋" w:eastAsia="仿宋"/>
          <w:color w:val="auto"/>
          <w:highlight w:val="none"/>
        </w:rPr>
        <w:t xml:space="preserve">    （2）与供应商存在直接控股、管理关系的其他单位</w:t>
      </w:r>
      <w:r>
        <w:rPr>
          <w:rFonts w:hint="eastAsia" w:ascii="仿宋" w:hAnsi="仿宋" w:eastAsia="仿宋"/>
          <w:color w:val="auto"/>
          <w:highlight w:val="none"/>
        </w:rPr>
        <w:t>。</w:t>
      </w:r>
    </w:p>
    <w:p w14:paraId="6F691BE2">
      <w:pPr>
        <w:pStyle w:val="5"/>
        <w:spacing w:line="360" w:lineRule="auto"/>
        <w:ind w:firstLine="0"/>
        <w:rPr>
          <w:rFonts w:hint="eastAsia" w:ascii="仿宋" w:hAnsi="仿宋" w:eastAsia="仿宋"/>
          <w:color w:val="auto"/>
          <w:highlight w:val="none"/>
        </w:rPr>
      </w:pPr>
      <w:r>
        <w:rPr>
          <w:rFonts w:ascii="仿宋" w:hAnsi="仿宋" w:eastAsia="仿宋"/>
          <w:color w:val="auto"/>
          <w:highlight w:val="none"/>
        </w:rPr>
        <w:br w:type="page"/>
      </w:r>
    </w:p>
    <w:p w14:paraId="6282FE60">
      <w:pPr>
        <w:pStyle w:val="3"/>
        <w:spacing w:before="0" w:line="360" w:lineRule="auto"/>
        <w:ind w:left="1268"/>
        <w:rPr>
          <w:rFonts w:hint="eastAsia" w:ascii="仿宋" w:hAnsi="仿宋" w:eastAsia="仿宋"/>
          <w:color w:val="auto"/>
          <w:sz w:val="24"/>
          <w:highlight w:val="none"/>
          <w:lang w:val="en-US" w:eastAsia="zh-CN"/>
        </w:rPr>
      </w:pPr>
      <w:bookmarkStart w:id="410" w:name="_Toc133261436"/>
      <w:bookmarkStart w:id="411" w:name="_Toc23783568"/>
      <w:bookmarkStart w:id="412" w:name="_Toc532473516"/>
      <w:r>
        <w:rPr>
          <w:rFonts w:hint="eastAsia" w:ascii="仿宋" w:hAnsi="仿宋" w:eastAsia="仿宋"/>
          <w:color w:val="auto"/>
          <w:sz w:val="24"/>
          <w:highlight w:val="none"/>
          <w:lang w:val="en-US" w:eastAsia="zh-CN"/>
        </w:rPr>
        <w:t xml:space="preserve">12 </w:t>
      </w:r>
      <w:r>
        <w:rPr>
          <w:rFonts w:hint="eastAsia" w:ascii="仿宋" w:hAnsi="仿宋" w:eastAsia="仿宋"/>
          <w:color w:val="auto"/>
          <w:sz w:val="24"/>
          <w:highlight w:val="none"/>
        </w:rPr>
        <w:t>评审所需要的其他商务文件</w:t>
      </w:r>
      <w:bookmarkEnd w:id="410"/>
      <w:bookmarkEnd w:id="411"/>
      <w:bookmarkEnd w:id="412"/>
      <w:bookmarkStart w:id="413" w:name="_Toc532473517"/>
      <w:bookmarkStart w:id="414" w:name="_Toc23783569"/>
      <w:bookmarkStart w:id="415" w:name="_Toc133261437"/>
      <w:r>
        <w:rPr>
          <w:rFonts w:hint="eastAsia" w:ascii="仿宋" w:hAnsi="仿宋" w:eastAsia="仿宋"/>
          <w:color w:val="auto"/>
          <w:sz w:val="24"/>
          <w:highlight w:val="none"/>
          <w:lang w:val="en-US" w:eastAsia="zh-CN"/>
        </w:rPr>
        <w:br w:type="page"/>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评审所需要的技术文件</w:t>
      </w:r>
    </w:p>
    <w:p w14:paraId="1D6EED3A">
      <w:pPr>
        <w:rPr>
          <w:rFonts w:hint="default"/>
          <w:lang w:val="en-US" w:eastAsia="zh-CN"/>
        </w:rPr>
      </w:pPr>
    </w:p>
    <w:p w14:paraId="3F85D90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技术文件格式自拟，内容包括但不限于以下内容：</w:t>
      </w:r>
    </w:p>
    <w:p w14:paraId="36E4FEB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1、投资控制方案</w:t>
      </w:r>
    </w:p>
    <w:p w14:paraId="73AA3C3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lang w:val="en-US" w:eastAsia="zh-CN"/>
        </w:rPr>
      </w:pPr>
      <w:r>
        <w:rPr>
          <w:rFonts w:hint="eastAsia" w:ascii="仿宋" w:hAnsi="仿宋" w:eastAsia="仿宋" w:cs="仿宋"/>
          <w:bCs/>
          <w:color w:val="auto"/>
          <w:sz w:val="24"/>
          <w:szCs w:val="24"/>
          <w:highlight w:val="none"/>
          <w:shd w:val="clear" w:color="auto" w:fill="FFFFFF" w:themeFill="background1"/>
          <w:lang w:val="en-US" w:eastAsia="zh-CN"/>
        </w:rPr>
        <w:t>2、进度控制方案</w:t>
      </w:r>
    </w:p>
    <w:p w14:paraId="263D023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3、</w:t>
      </w:r>
      <w:r>
        <w:rPr>
          <w:rFonts w:hint="eastAsia" w:ascii="仿宋" w:hAnsi="仿宋" w:eastAsia="仿宋" w:cs="仿宋"/>
          <w:bCs/>
          <w:color w:val="auto"/>
          <w:sz w:val="24"/>
          <w:szCs w:val="24"/>
          <w:highlight w:val="none"/>
          <w:shd w:val="clear" w:color="auto" w:fill="FFFFFF" w:themeFill="background1"/>
        </w:rPr>
        <w:t>质量控制方案</w:t>
      </w:r>
    </w:p>
    <w:p w14:paraId="185C7F0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4、</w:t>
      </w:r>
      <w:r>
        <w:rPr>
          <w:rFonts w:hint="eastAsia" w:ascii="仿宋" w:hAnsi="仿宋" w:eastAsia="仿宋" w:cs="仿宋"/>
          <w:bCs/>
          <w:color w:val="auto"/>
          <w:sz w:val="24"/>
          <w:szCs w:val="24"/>
          <w:highlight w:val="none"/>
          <w:shd w:val="clear" w:color="auto" w:fill="FFFFFF" w:themeFill="background1"/>
        </w:rPr>
        <w:t>安全控制方案</w:t>
      </w:r>
    </w:p>
    <w:p w14:paraId="495B87A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5、</w:t>
      </w:r>
      <w:r>
        <w:rPr>
          <w:rFonts w:hint="eastAsia" w:ascii="仿宋" w:hAnsi="仿宋" w:eastAsia="仿宋" w:cs="仿宋"/>
          <w:bCs/>
          <w:color w:val="auto"/>
          <w:sz w:val="24"/>
          <w:szCs w:val="24"/>
          <w:highlight w:val="none"/>
          <w:shd w:val="clear" w:color="auto" w:fill="FFFFFF" w:themeFill="background1"/>
        </w:rPr>
        <w:t>合同信息管理与档案管理方案</w:t>
      </w:r>
    </w:p>
    <w:p w14:paraId="1A031BF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6、</w:t>
      </w:r>
      <w:r>
        <w:rPr>
          <w:rFonts w:hint="eastAsia" w:ascii="仿宋" w:hAnsi="仿宋" w:eastAsia="仿宋" w:cs="仿宋"/>
          <w:bCs/>
          <w:color w:val="auto"/>
          <w:sz w:val="24"/>
          <w:szCs w:val="24"/>
          <w:highlight w:val="none"/>
          <w:shd w:val="clear" w:color="auto" w:fill="FFFFFF" w:themeFill="background1"/>
        </w:rPr>
        <w:t>工程信息化管理方案</w:t>
      </w:r>
    </w:p>
    <w:p w14:paraId="3263B1F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7、</w:t>
      </w:r>
      <w:r>
        <w:rPr>
          <w:rFonts w:hint="eastAsia" w:ascii="仿宋" w:hAnsi="仿宋" w:eastAsia="仿宋" w:cs="仿宋"/>
          <w:bCs/>
          <w:color w:val="auto"/>
          <w:sz w:val="24"/>
          <w:szCs w:val="24"/>
          <w:highlight w:val="none"/>
          <w:shd w:val="clear" w:color="auto" w:fill="FFFFFF" w:themeFill="background1"/>
        </w:rPr>
        <w:t>组织协调与环境保护方案</w:t>
      </w:r>
    </w:p>
    <w:p w14:paraId="10004FD4">
      <w:pP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br w:type="page"/>
      </w:r>
    </w:p>
    <w:p w14:paraId="3B9AB49C">
      <w:pPr>
        <w:rPr>
          <w:rFonts w:hint="eastAsia" w:ascii="仿宋" w:hAnsi="仿宋" w:eastAsia="仿宋"/>
          <w:color w:val="auto"/>
          <w:sz w:val="24"/>
          <w:highlight w:val="none"/>
          <w:lang w:val="en-US" w:eastAsia="zh-CN"/>
        </w:rPr>
      </w:pPr>
    </w:p>
    <w:p w14:paraId="24B6DB78">
      <w:pPr>
        <w:pStyle w:val="3"/>
        <w:spacing w:before="0"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 </w:t>
      </w:r>
      <w:bookmarkEnd w:id="413"/>
      <w:bookmarkEnd w:id="414"/>
      <w:r>
        <w:rPr>
          <w:rFonts w:hint="eastAsia" w:ascii="仿宋" w:hAnsi="仿宋" w:eastAsia="仿宋"/>
          <w:color w:val="auto"/>
          <w:sz w:val="24"/>
          <w:highlight w:val="none"/>
        </w:rPr>
        <w:t>评审所需要的其他技术文件</w:t>
      </w:r>
      <w:bookmarkEnd w:id="415"/>
      <w:r>
        <w:rPr>
          <w:rFonts w:ascii="仿宋" w:hAnsi="仿宋" w:eastAsia="仿宋"/>
          <w:color w:val="auto"/>
          <w:sz w:val="24"/>
          <w:highlight w:val="none"/>
        </w:rPr>
        <w:br w:type="page"/>
      </w:r>
    </w:p>
    <w:p w14:paraId="160E6290">
      <w:pPr>
        <w:pStyle w:val="3"/>
        <w:spacing w:before="0" w:line="360" w:lineRule="auto"/>
        <w:ind w:left="1080" w:leftChars="257" w:hanging="540"/>
        <w:rPr>
          <w:rFonts w:hint="eastAsia" w:ascii="仿宋" w:hAnsi="仿宋" w:eastAsia="仿宋"/>
          <w:color w:val="auto"/>
          <w:sz w:val="24"/>
          <w:highlight w:val="none"/>
        </w:rPr>
      </w:pPr>
      <w:bookmarkStart w:id="416" w:name="_Toc133261438"/>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供应商</w:t>
      </w:r>
      <w:r>
        <w:rPr>
          <w:rFonts w:ascii="仿宋" w:hAnsi="仿宋" w:eastAsia="仿宋"/>
          <w:color w:val="auto"/>
          <w:sz w:val="24"/>
          <w:highlight w:val="none"/>
        </w:rPr>
        <w:t>认为需要加以说明的其他内容</w:t>
      </w:r>
      <w:bookmarkEnd w:id="416"/>
    </w:p>
    <w:p w14:paraId="40E7EB3B">
      <w:pPr>
        <w:pStyle w:val="2"/>
        <w:tabs>
          <w:tab w:val="left" w:pos="0"/>
        </w:tabs>
        <w:spacing w:before="0" w:after="0" w:line="360" w:lineRule="auto"/>
        <w:rPr>
          <w:rFonts w:hint="eastAsia" w:ascii="仿宋" w:hAnsi="仿宋" w:eastAsia="仿宋"/>
          <w:color w:val="auto"/>
          <w:sz w:val="24"/>
          <w:highlight w:val="none"/>
        </w:rPr>
      </w:pPr>
    </w:p>
    <w:p w14:paraId="1C3803C3">
      <w:pPr>
        <w:pStyle w:val="3"/>
        <w:pageBreakBefore/>
        <w:spacing w:before="0" w:line="360" w:lineRule="auto"/>
        <w:ind w:left="907"/>
        <w:rPr>
          <w:rFonts w:hint="eastAsia" w:ascii="仿宋" w:hAnsi="仿宋" w:eastAsia="仿宋"/>
          <w:color w:val="auto"/>
          <w:sz w:val="24"/>
          <w:highlight w:val="none"/>
        </w:rPr>
      </w:pPr>
      <w:bookmarkStart w:id="417" w:name="_Toc133261439"/>
      <w:r>
        <w:rPr>
          <w:rFonts w:hint="eastAsia" w:ascii="仿宋" w:hAnsi="仿宋" w:eastAsia="仿宋"/>
          <w:color w:val="auto"/>
          <w:sz w:val="24"/>
          <w:highlight w:val="none"/>
        </w:rPr>
        <w:t>最终报价一览表</w:t>
      </w:r>
      <w:bookmarkEnd w:id="417"/>
    </w:p>
    <w:p w14:paraId="2BF514B3">
      <w:pPr>
        <w:pStyle w:val="9"/>
        <w:tabs>
          <w:tab w:val="left" w:pos="5580"/>
        </w:tabs>
        <w:spacing w:line="360" w:lineRule="auto"/>
        <w:ind w:left="269" w:leftChars="128"/>
        <w:jc w:val="center"/>
        <w:rPr>
          <w:rFonts w:hint="eastAsia" w:ascii="仿宋" w:hAnsi="仿宋" w:eastAsia="仿宋"/>
          <w:b/>
          <w:color w:val="auto"/>
          <w:kern w:val="0"/>
          <w:sz w:val="24"/>
          <w:highlight w:val="none"/>
        </w:rPr>
      </w:pPr>
    </w:p>
    <w:p w14:paraId="60B8EA57">
      <w:pPr>
        <w:tabs>
          <w:tab w:val="left" w:pos="1800"/>
          <w:tab w:val="left" w:pos="5580"/>
        </w:tabs>
        <w:spacing w:line="360" w:lineRule="auto"/>
        <w:ind w:left="1080" w:leftChars="257" w:right="-867" w:rightChars="-413" w:hanging="540"/>
        <w:rPr>
          <w:rStyle w:val="21"/>
          <w:rFonts w:hint="eastAsia" w:ascii="仿宋" w:hAnsi="仿宋" w:eastAsia="仿宋" w:cs="仿宋"/>
          <w:b w:val="0"/>
          <w:color w:val="auto"/>
          <w:kern w:val="0"/>
          <w:sz w:val="24"/>
          <w:highlight w:val="none"/>
          <w:shd w:val="clear" w:color="auto" w:fill="FFFFFF"/>
          <w:lang w:eastAsia="zh-CN"/>
        </w:rPr>
      </w:pPr>
      <w:r>
        <w:rPr>
          <w:rFonts w:hint="eastAsia" w:ascii="仿宋" w:hAnsi="仿宋" w:eastAsia="仿宋"/>
          <w:color w:val="auto"/>
          <w:sz w:val="24"/>
          <w:highlight w:val="none"/>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7427EE17">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项目编号：</w:t>
      </w:r>
      <w:r>
        <w:rPr>
          <w:rFonts w:hint="eastAsia" w:ascii="仿宋" w:hAnsi="仿宋" w:eastAsia="仿宋" w:cs="仿宋"/>
          <w:bCs/>
          <w:color w:val="auto"/>
          <w:kern w:val="0"/>
          <w:sz w:val="24"/>
          <w:highlight w:val="none"/>
          <w:shd w:val="clear" w:color="auto" w:fill="FFFFFF"/>
          <w:lang w:eastAsia="zh-CN"/>
        </w:rPr>
        <w:t>XJXCT2025-ZB-001</w:t>
      </w:r>
      <w:r>
        <w:rPr>
          <w:rFonts w:hint="eastAsia" w:ascii="仿宋" w:hAnsi="仿宋" w:eastAsia="仿宋"/>
          <w:color w:val="auto"/>
          <w:sz w:val="24"/>
          <w:highlight w:val="none"/>
        </w:rPr>
        <w:t xml:space="preserve">                   </w:t>
      </w:r>
    </w:p>
    <w:p w14:paraId="3AE5EB1B">
      <w:pPr>
        <w:tabs>
          <w:tab w:val="left" w:pos="1800"/>
          <w:tab w:val="left" w:pos="5580"/>
        </w:tabs>
        <w:spacing w:line="360" w:lineRule="auto"/>
        <w:ind w:left="1080" w:leftChars="257" w:right="-867" w:rightChars="-413" w:hanging="540"/>
        <w:rPr>
          <w:rFonts w:hint="eastAsia" w:ascii="仿宋" w:hAnsi="仿宋" w:eastAsia="仿宋"/>
          <w:color w:val="auto"/>
          <w:sz w:val="24"/>
          <w:highlight w:val="none"/>
        </w:rPr>
      </w:pPr>
      <w:r>
        <w:rPr>
          <w:rFonts w:hint="eastAsia" w:ascii="仿宋" w:hAnsi="仿宋" w:eastAsia="仿宋"/>
          <w:color w:val="auto"/>
          <w:sz w:val="24"/>
          <w:highlight w:val="none"/>
        </w:rPr>
        <w:t>报价单位：</w:t>
      </w:r>
      <w:r>
        <w:rPr>
          <w:rFonts w:hint="eastAsia" w:ascii="仿宋_GB2312" w:hAnsi="宋体" w:eastAsia="仿宋_GB2312"/>
          <w:color w:val="auto"/>
          <w:sz w:val="24"/>
          <w:highlight w:val="none"/>
        </w:rPr>
        <w:t>人民币</w:t>
      </w:r>
      <w:r>
        <w:rPr>
          <w:rFonts w:hint="eastAsia" w:ascii="仿宋_GB2312" w:hAnsi="宋体" w:eastAsia="仿宋_GB2312"/>
          <w:b/>
          <w:color w:val="auto"/>
          <w:sz w:val="24"/>
          <w:highlight w:val="none"/>
        </w:rPr>
        <w:t xml:space="preserve"> 元</w:t>
      </w:r>
    </w:p>
    <w:tbl>
      <w:tblPr>
        <w:tblStyle w:val="18"/>
        <w:tblW w:w="5007" w:type="pct"/>
        <w:jc w:val="center"/>
        <w:tblLayout w:type="autofit"/>
        <w:tblCellMar>
          <w:top w:w="0" w:type="dxa"/>
          <w:left w:w="0" w:type="dxa"/>
          <w:bottom w:w="0" w:type="dxa"/>
          <w:right w:w="0" w:type="dxa"/>
        </w:tblCellMar>
      </w:tblPr>
      <w:tblGrid>
        <w:gridCol w:w="2051"/>
        <w:gridCol w:w="2347"/>
        <w:gridCol w:w="2086"/>
        <w:gridCol w:w="1855"/>
      </w:tblGrid>
      <w:tr w14:paraId="1B2E907B">
        <w:tblPrEx>
          <w:tblCellMar>
            <w:top w:w="0" w:type="dxa"/>
            <w:left w:w="0" w:type="dxa"/>
            <w:bottom w:w="0" w:type="dxa"/>
            <w:right w:w="0" w:type="dxa"/>
          </w:tblCellMar>
        </w:tblPrEx>
        <w:trPr>
          <w:trHeight w:val="662" w:hRule="atLeast"/>
          <w:jc w:val="center"/>
        </w:trPr>
        <w:tc>
          <w:tcPr>
            <w:tcW w:w="1230" w:type="pct"/>
            <w:tcBorders>
              <w:top w:val="single" w:color="auto" w:sz="4" w:space="0"/>
              <w:left w:val="single" w:color="auto" w:sz="4" w:space="0"/>
              <w:bottom w:val="single" w:color="auto" w:sz="8" w:space="0"/>
              <w:right w:val="single" w:color="auto" w:sz="4" w:space="0"/>
            </w:tcBorders>
            <w:vAlign w:val="center"/>
          </w:tcPr>
          <w:p w14:paraId="26F09B47">
            <w:pPr>
              <w:tabs>
                <w:tab w:val="left" w:pos="5580"/>
              </w:tabs>
              <w:spacing w:line="360" w:lineRule="auto"/>
              <w:ind w:right="-199"/>
              <w:jc w:val="center"/>
              <w:rPr>
                <w:rFonts w:hint="eastAsia" w:ascii="仿宋" w:hAnsi="仿宋" w:eastAsia="仿宋"/>
                <w:color w:val="auto"/>
                <w:sz w:val="24"/>
                <w:highlight w:val="none"/>
              </w:rPr>
            </w:pPr>
            <w:r>
              <w:rPr>
                <w:rFonts w:hint="eastAsia" w:ascii="仿宋" w:hAnsi="仿宋" w:eastAsia="仿宋"/>
                <w:color w:val="auto"/>
                <w:sz w:val="24"/>
                <w:highlight w:val="none"/>
              </w:rPr>
              <w:t>标项名称</w:t>
            </w:r>
          </w:p>
        </w:tc>
        <w:tc>
          <w:tcPr>
            <w:tcW w:w="1407" w:type="pct"/>
            <w:tcBorders>
              <w:top w:val="single" w:color="auto" w:sz="4" w:space="0"/>
              <w:left w:val="single" w:color="auto" w:sz="8" w:space="0"/>
              <w:bottom w:val="single" w:color="auto" w:sz="8" w:space="0"/>
              <w:right w:val="single" w:color="auto" w:sz="4" w:space="0"/>
            </w:tcBorders>
            <w:vAlign w:val="center"/>
          </w:tcPr>
          <w:p w14:paraId="17456DF6">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竞标总价</w:t>
            </w:r>
          </w:p>
        </w:tc>
        <w:tc>
          <w:tcPr>
            <w:tcW w:w="2084" w:type="dxa"/>
            <w:tcBorders>
              <w:top w:val="single" w:color="auto" w:sz="8" w:space="0"/>
              <w:left w:val="nil"/>
              <w:bottom w:val="single" w:color="auto" w:sz="8" w:space="0"/>
              <w:right w:val="single" w:color="auto" w:sz="4" w:space="0"/>
            </w:tcBorders>
            <w:vAlign w:val="center"/>
          </w:tcPr>
          <w:p w14:paraId="1E98D557">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合同履约期限</w:t>
            </w:r>
          </w:p>
        </w:tc>
        <w:tc>
          <w:tcPr>
            <w:tcW w:w="1112" w:type="pct"/>
            <w:tcBorders>
              <w:top w:val="single" w:color="auto" w:sz="8" w:space="0"/>
              <w:left w:val="single" w:color="auto" w:sz="4" w:space="0"/>
              <w:bottom w:val="single" w:color="auto" w:sz="8" w:space="0"/>
              <w:right w:val="single" w:color="auto" w:sz="8" w:space="0"/>
            </w:tcBorders>
            <w:vAlign w:val="center"/>
          </w:tcPr>
          <w:p w14:paraId="1FB9B47C">
            <w:pPr>
              <w:tabs>
                <w:tab w:val="left" w:pos="5580"/>
              </w:tabs>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1BB8AE36">
        <w:tblPrEx>
          <w:tblCellMar>
            <w:top w:w="0" w:type="dxa"/>
            <w:left w:w="0" w:type="dxa"/>
            <w:bottom w:w="0" w:type="dxa"/>
            <w:right w:w="0" w:type="dxa"/>
          </w:tblCellMar>
        </w:tblPrEx>
        <w:trPr>
          <w:cantSplit/>
          <w:trHeight w:val="1640" w:hRule="atLeast"/>
          <w:jc w:val="center"/>
        </w:trPr>
        <w:tc>
          <w:tcPr>
            <w:tcW w:w="1230" w:type="pct"/>
            <w:tcBorders>
              <w:top w:val="single" w:color="auto" w:sz="8" w:space="0"/>
              <w:left w:val="single" w:color="auto" w:sz="4" w:space="0"/>
              <w:bottom w:val="single" w:color="auto" w:sz="4" w:space="0"/>
              <w:right w:val="single" w:color="auto" w:sz="4" w:space="0"/>
            </w:tcBorders>
            <w:vAlign w:val="center"/>
          </w:tcPr>
          <w:p w14:paraId="2F401BE9">
            <w:pPr>
              <w:tabs>
                <w:tab w:val="left" w:pos="5580"/>
              </w:tabs>
              <w:spacing w:line="360" w:lineRule="auto"/>
              <w:jc w:val="both"/>
              <w:rPr>
                <w:rFonts w:hint="eastAsia" w:ascii="仿宋" w:hAnsi="仿宋" w:eastAsia="仿宋"/>
                <w:color w:val="auto"/>
                <w:sz w:val="24"/>
                <w:highlight w:val="none"/>
              </w:rPr>
            </w:pP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tc>
        <w:tc>
          <w:tcPr>
            <w:tcW w:w="1407" w:type="pct"/>
            <w:tcBorders>
              <w:top w:val="single" w:color="auto" w:sz="8" w:space="0"/>
              <w:left w:val="single" w:color="auto" w:sz="8" w:space="0"/>
              <w:bottom w:val="single" w:color="auto" w:sz="4" w:space="0"/>
              <w:right w:val="single" w:color="auto" w:sz="4" w:space="0"/>
            </w:tcBorders>
            <w:vAlign w:val="center"/>
          </w:tcPr>
          <w:p w14:paraId="6F3FDB63">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p w14:paraId="08EF65B9">
            <w:pPr>
              <w:tabs>
                <w:tab w:val="left" w:pos="5580"/>
              </w:tabs>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小写：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p>
        </w:tc>
        <w:tc>
          <w:tcPr>
            <w:tcW w:w="2084" w:type="dxa"/>
            <w:tcBorders>
              <w:top w:val="single" w:color="auto" w:sz="8" w:space="0"/>
              <w:left w:val="nil"/>
              <w:bottom w:val="single" w:color="auto" w:sz="4" w:space="0"/>
              <w:right w:val="single" w:color="auto" w:sz="4" w:space="0"/>
            </w:tcBorders>
            <w:vAlign w:val="center"/>
          </w:tcPr>
          <w:p w14:paraId="45F014FB">
            <w:pPr>
              <w:tabs>
                <w:tab w:val="left" w:pos="5580"/>
              </w:tabs>
              <w:spacing w:line="360" w:lineRule="auto"/>
              <w:ind w:left="1080" w:leftChars="257" w:hanging="540" w:firstLineChars="0"/>
              <w:jc w:val="both"/>
              <w:rPr>
                <w:rFonts w:hint="eastAsia" w:ascii="仿宋" w:hAnsi="仿宋" w:eastAsia="仿宋"/>
                <w:color w:val="auto"/>
                <w:sz w:val="24"/>
                <w:highlight w:val="none"/>
              </w:rPr>
            </w:pPr>
          </w:p>
        </w:tc>
        <w:tc>
          <w:tcPr>
            <w:tcW w:w="1112" w:type="pct"/>
            <w:tcBorders>
              <w:top w:val="single" w:color="auto" w:sz="8" w:space="0"/>
              <w:left w:val="single" w:color="auto" w:sz="4" w:space="0"/>
              <w:bottom w:val="single" w:color="auto" w:sz="4" w:space="0"/>
              <w:right w:val="single" w:color="auto" w:sz="8" w:space="0"/>
            </w:tcBorders>
            <w:vAlign w:val="center"/>
          </w:tcPr>
          <w:p w14:paraId="5219B03F">
            <w:pPr>
              <w:tabs>
                <w:tab w:val="left" w:pos="5580"/>
              </w:tabs>
              <w:spacing w:line="360" w:lineRule="auto"/>
              <w:jc w:val="left"/>
              <w:rPr>
                <w:rFonts w:hint="eastAsia" w:ascii="仿宋" w:hAnsi="仿宋" w:eastAsia="仿宋"/>
                <w:color w:val="auto"/>
                <w:sz w:val="24"/>
                <w:highlight w:val="none"/>
              </w:rPr>
            </w:pPr>
          </w:p>
        </w:tc>
      </w:tr>
    </w:tbl>
    <w:p w14:paraId="78BF244B">
      <w:pPr>
        <w:pStyle w:val="9"/>
        <w:tabs>
          <w:tab w:val="left" w:pos="5580"/>
        </w:tabs>
        <w:spacing w:line="360" w:lineRule="auto"/>
        <w:ind w:left="1080" w:leftChars="257" w:hanging="540"/>
        <w:rPr>
          <w:rFonts w:hint="eastAsia" w:ascii="仿宋" w:hAnsi="仿宋" w:eastAsia="仿宋"/>
          <w:color w:val="auto"/>
          <w:sz w:val="24"/>
          <w:highlight w:val="none"/>
        </w:rPr>
      </w:pPr>
    </w:p>
    <w:p w14:paraId="09EC1101">
      <w:pPr>
        <w:pStyle w:val="9"/>
        <w:tabs>
          <w:tab w:val="left" w:pos="5580"/>
        </w:tabs>
        <w:spacing w:line="360" w:lineRule="auto"/>
        <w:ind w:left="1080" w:leftChars="257" w:hanging="540"/>
        <w:rPr>
          <w:rFonts w:hint="eastAsia" w:ascii="仿宋" w:hAnsi="仿宋" w:eastAsia="仿宋"/>
          <w:color w:val="auto"/>
          <w:sz w:val="24"/>
          <w:highlight w:val="none"/>
          <w:u w:val="single"/>
        </w:rPr>
      </w:pPr>
    </w:p>
    <w:p w14:paraId="4054FB60">
      <w:pPr>
        <w:pStyle w:val="9"/>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供应商（盖公章）：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p>
    <w:p w14:paraId="173C6B91">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法定代表人或</w:t>
      </w:r>
      <w:r>
        <w:rPr>
          <w:rFonts w:ascii="仿宋" w:hAnsi="仿宋" w:eastAsia="仿宋"/>
          <w:color w:val="auto"/>
          <w:sz w:val="24"/>
          <w:highlight w:val="none"/>
        </w:rPr>
        <w:t>委托代理人</w:t>
      </w:r>
      <w:r>
        <w:rPr>
          <w:rFonts w:hint="eastAsia" w:ascii="仿宋" w:hAnsi="仿宋" w:eastAsia="仿宋"/>
          <w:color w:val="auto"/>
          <w:sz w:val="24"/>
          <w:highlight w:val="none"/>
        </w:rPr>
        <w:t>(签字或签章):</w:t>
      </w:r>
      <w:r>
        <w:rPr>
          <w:rFonts w:ascii="仿宋" w:hAnsi="仿宋" w:eastAsia="仿宋"/>
          <w:color w:val="auto"/>
          <w:sz w:val="24"/>
          <w:highlight w:val="none"/>
          <w:u w:val="single"/>
        </w:rPr>
        <w:tab/>
      </w:r>
    </w:p>
    <w:p w14:paraId="03F75D6A">
      <w:pPr>
        <w:pStyle w:val="9"/>
        <w:tabs>
          <w:tab w:val="left" w:pos="558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rPr>
        <w:t>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3C766C7">
      <w:pPr>
        <w:pStyle w:val="9"/>
        <w:tabs>
          <w:tab w:val="left" w:pos="5580"/>
        </w:tabs>
        <w:spacing w:line="360" w:lineRule="auto"/>
        <w:ind w:left="1080" w:leftChars="257" w:hanging="540"/>
        <w:rPr>
          <w:rFonts w:hint="eastAsia" w:ascii="仿宋" w:hAnsi="仿宋" w:eastAsia="仿宋"/>
          <w:color w:val="auto"/>
          <w:sz w:val="24"/>
          <w:highlight w:val="none"/>
        </w:rPr>
      </w:pPr>
    </w:p>
    <w:p w14:paraId="53BEADC5">
      <w:pPr>
        <w:pStyle w:val="9"/>
        <w:tabs>
          <w:tab w:val="left" w:pos="5580"/>
        </w:tabs>
        <w:spacing w:line="360" w:lineRule="auto"/>
        <w:ind w:left="1080" w:leftChars="257" w:hanging="54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 xml:space="preserve"> </w:t>
      </w:r>
      <w:r>
        <w:rPr>
          <w:rFonts w:hint="eastAsia" w:ascii="仿宋" w:hAnsi="仿宋" w:eastAsia="仿宋"/>
          <w:b/>
          <w:color w:val="auto"/>
          <w:sz w:val="24"/>
          <w:highlight w:val="none"/>
        </w:rPr>
        <w:t>①</w:t>
      </w:r>
      <w:r>
        <w:rPr>
          <w:rFonts w:ascii="仿宋" w:hAnsi="仿宋" w:eastAsia="仿宋"/>
          <w:b/>
          <w:color w:val="auto"/>
          <w:sz w:val="24"/>
          <w:highlight w:val="none"/>
        </w:rPr>
        <w:t>上表用于各供应商最终报价时使用，响应文件中不提供</w:t>
      </w:r>
      <w:r>
        <w:rPr>
          <w:rFonts w:hint="eastAsia" w:ascii="仿宋" w:hAnsi="仿宋" w:eastAsia="仿宋"/>
          <w:b/>
          <w:color w:val="auto"/>
          <w:sz w:val="24"/>
          <w:highlight w:val="none"/>
        </w:rPr>
        <w:t>。</w:t>
      </w:r>
    </w:p>
    <w:p w14:paraId="551D315C">
      <w:pPr>
        <w:pStyle w:val="9"/>
        <w:tabs>
          <w:tab w:val="left" w:pos="5580"/>
        </w:tabs>
        <w:spacing w:line="360" w:lineRule="auto"/>
        <w:ind w:left="1076" w:leftChars="485" w:hanging="58" w:hangingChars="24"/>
        <w:rPr>
          <w:rFonts w:hint="eastAsia" w:ascii="仿宋" w:hAnsi="仿宋" w:eastAsia="仿宋"/>
          <w:b/>
          <w:color w:val="auto"/>
          <w:sz w:val="24"/>
          <w:highlight w:val="none"/>
        </w:rPr>
      </w:pPr>
      <w:r>
        <w:rPr>
          <w:rFonts w:hint="eastAsia" w:ascii="仿宋" w:hAnsi="仿宋" w:eastAsia="仿宋"/>
          <w:b/>
          <w:color w:val="auto"/>
          <w:sz w:val="24"/>
          <w:highlight w:val="none"/>
        </w:rPr>
        <w:t>②供应商须登录政采云平台https://www.zcygov.cn/在线进行最终报价并上传上表。</w:t>
      </w:r>
    </w:p>
    <w:p w14:paraId="5BFB8B9C">
      <w:pPr>
        <w:widowControl/>
        <w:jc w:val="left"/>
        <w:rPr>
          <w:rFonts w:hint="eastAsia" w:ascii="仿宋" w:hAnsi="仿宋" w:eastAsia="仿宋"/>
          <w:b/>
          <w:color w:val="auto"/>
          <w:sz w:val="24"/>
          <w:szCs w:val="20"/>
          <w:highlight w:val="none"/>
        </w:rPr>
      </w:pPr>
      <w:r>
        <w:rPr>
          <w:rFonts w:ascii="仿宋" w:hAnsi="仿宋" w:eastAsia="仿宋"/>
          <w:b/>
          <w:color w:val="auto"/>
          <w:sz w:val="24"/>
          <w:highlight w:val="none"/>
        </w:rPr>
        <w:br w:type="page"/>
      </w:r>
    </w:p>
    <w:p w14:paraId="5C27BCCE">
      <w:pPr>
        <w:pStyle w:val="2"/>
        <w:tabs>
          <w:tab w:val="left" w:pos="0"/>
        </w:tabs>
        <w:spacing w:before="0" w:after="0" w:line="360" w:lineRule="auto"/>
        <w:rPr>
          <w:rFonts w:hint="eastAsia" w:ascii="仿宋" w:hAnsi="仿宋" w:eastAsia="仿宋" w:cs="仿宋"/>
          <w:b w:val="0"/>
          <w:bCs/>
          <w:color w:val="auto"/>
          <w:szCs w:val="32"/>
          <w:highlight w:val="none"/>
        </w:rPr>
      </w:pPr>
      <w:bookmarkStart w:id="418" w:name="_Toc133261441"/>
      <w:r>
        <w:rPr>
          <w:rFonts w:hint="eastAsia" w:ascii="仿宋" w:hAnsi="仿宋" w:eastAsia="仿宋"/>
          <w:color w:val="auto"/>
          <w:highlight w:val="none"/>
        </w:rPr>
        <w:t>第3章 竞争性磋商公告</w:t>
      </w:r>
      <w:bookmarkEnd w:id="418"/>
    </w:p>
    <w:p w14:paraId="7B832291">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shd w:val="clear" w:color="auto" w:fill="FFFFFF"/>
        </w:rPr>
      </w:pPr>
      <w:bookmarkStart w:id="419" w:name="_Toc512937850"/>
      <w:bookmarkStart w:id="420" w:name="_Toc532044538"/>
      <w:r>
        <w:rPr>
          <w:rStyle w:val="21"/>
          <w:rFonts w:hint="eastAsia" w:ascii="仿宋" w:hAnsi="仿宋" w:eastAsia="仿宋" w:cs="仿宋"/>
          <w:b w:val="0"/>
          <w:color w:val="auto"/>
          <w:kern w:val="0"/>
          <w:sz w:val="24"/>
          <w:highlight w:val="none"/>
          <w:shd w:val="clear" w:color="auto" w:fill="FFFFFF"/>
        </w:rPr>
        <w:t>项目概况</w:t>
      </w:r>
    </w:p>
    <w:p w14:paraId="70D21EEA">
      <w:pPr>
        <w:pBdr>
          <w:top w:val="single" w:color="auto" w:sz="4" w:space="1"/>
          <w:left w:val="single" w:color="auto" w:sz="4" w:space="4"/>
          <w:bottom w:val="single" w:color="auto" w:sz="4" w:space="1"/>
          <w:right w:val="single" w:color="auto" w:sz="4" w:space="4"/>
        </w:pBdr>
        <w:spacing w:line="420" w:lineRule="exact"/>
        <w:rPr>
          <w:rStyle w:val="21"/>
          <w:rFonts w:hint="eastAsia" w:ascii="仿宋" w:hAnsi="仿宋" w:eastAsia="仿宋" w:cs="仿宋"/>
          <w:b w:val="0"/>
          <w:color w:val="auto"/>
          <w:kern w:val="0"/>
          <w:sz w:val="24"/>
          <w:highlight w:val="none"/>
          <w:u w:val="single"/>
          <w:shd w:val="clear" w:color="auto" w:fill="FFFFFF"/>
        </w:rPr>
      </w:pPr>
      <w:r>
        <w:rPr>
          <w:rStyle w:val="21"/>
          <w:rFonts w:hint="eastAsia"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u w:val="single"/>
          <w:shd w:val="clear" w:color="auto" w:fill="FFFFFF"/>
          <w:lang w:eastAsia="zh-CN"/>
        </w:rPr>
        <w:t>乌鲁木齐市沙依巴克区第一养老服务中心建设项目工程监理</w:t>
      </w:r>
      <w:r>
        <w:rPr>
          <w:rFonts w:hint="eastAsia" w:ascii="仿宋" w:hAnsi="仿宋" w:eastAsia="仿宋" w:cs="仿宋"/>
          <w:color w:val="auto"/>
          <w:kern w:val="0"/>
          <w:sz w:val="24"/>
          <w:highlight w:val="none"/>
        </w:rPr>
        <w:t>的潜在供应商应在</w:t>
      </w:r>
      <w:r>
        <w:rPr>
          <w:rFonts w:hint="eastAsia" w:ascii="仿宋" w:hAnsi="仿宋" w:eastAsia="仿宋" w:cs="仿宋"/>
          <w:color w:val="auto"/>
          <w:kern w:val="0"/>
          <w:sz w:val="24"/>
          <w:highlight w:val="none"/>
          <w:u w:val="single"/>
        </w:rPr>
        <w:t>政采云平台线上</w:t>
      </w:r>
      <w:r>
        <w:rPr>
          <w:rFonts w:hint="eastAsia" w:ascii="仿宋" w:hAnsi="仿宋" w:eastAsia="仿宋" w:cs="仿宋"/>
          <w:color w:val="auto"/>
          <w:kern w:val="0"/>
          <w:sz w:val="24"/>
          <w:highlight w:val="none"/>
        </w:rPr>
        <w:t>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，并于</w:t>
      </w:r>
      <w:r>
        <w:rPr>
          <w:rFonts w:hint="eastAsia" w:ascii="仿宋" w:hAnsi="仿宋" w:eastAsia="仿宋" w:cs="仿宋"/>
          <w:color w:val="auto"/>
          <w:kern w:val="0"/>
          <w:sz w:val="24"/>
          <w:highlight w:val="none"/>
          <w:u w:val="single"/>
          <w:lang w:eastAsia="zh-CN"/>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lang w:eastAsia="zh-CN"/>
        </w:rPr>
        <w:t>年</w:t>
      </w:r>
      <w:r>
        <w:rPr>
          <w:rFonts w:hint="eastAsia" w:ascii="仿宋" w:hAnsi="仿宋" w:eastAsia="仿宋" w:cs="仿宋"/>
          <w:color w:val="auto"/>
          <w:kern w:val="0"/>
          <w:sz w:val="24"/>
          <w:highlight w:val="none"/>
          <w:u w:val="single"/>
          <w:lang w:val="en-US" w:eastAsia="zh-CN"/>
        </w:rPr>
        <w:t>01</w:t>
      </w:r>
      <w:r>
        <w:rPr>
          <w:rFonts w:hint="eastAsia" w:ascii="仿宋" w:hAnsi="仿宋" w:eastAsia="仿宋" w:cs="仿宋"/>
          <w:color w:val="auto"/>
          <w:kern w:val="0"/>
          <w:sz w:val="24"/>
          <w:highlight w:val="none"/>
          <w:u w:val="single"/>
          <w:lang w:eastAsia="zh-CN"/>
        </w:rPr>
        <w:t>月</w:t>
      </w:r>
      <w:r>
        <w:rPr>
          <w:rFonts w:hint="eastAsia" w:ascii="仿宋" w:hAnsi="仿宋" w:eastAsia="仿宋" w:cs="仿宋"/>
          <w:color w:val="auto"/>
          <w:kern w:val="0"/>
          <w:sz w:val="24"/>
          <w:highlight w:val="none"/>
          <w:u w:val="single"/>
          <w:lang w:val="en-US" w:eastAsia="zh-CN"/>
        </w:rPr>
        <w:t>21</w:t>
      </w:r>
      <w:r>
        <w:rPr>
          <w:rFonts w:hint="eastAsia" w:ascii="仿宋" w:hAnsi="仿宋" w:eastAsia="仿宋" w:cs="仿宋"/>
          <w:color w:val="auto"/>
          <w:kern w:val="0"/>
          <w:sz w:val="24"/>
          <w:highlight w:val="none"/>
          <w:u w:val="single"/>
          <w:lang w:eastAsia="zh-CN"/>
        </w:rPr>
        <w:t>日 11:00</w:t>
      </w:r>
      <w:r>
        <w:rPr>
          <w:rFonts w:hint="eastAsia" w:ascii="仿宋" w:hAnsi="仿宋" w:eastAsia="仿宋" w:cs="仿宋"/>
          <w:color w:val="auto"/>
          <w:kern w:val="0"/>
          <w:sz w:val="24"/>
          <w:highlight w:val="none"/>
          <w:u w:val="single"/>
        </w:rPr>
        <w:t>（北京时间）</w:t>
      </w:r>
      <w:r>
        <w:rPr>
          <w:rFonts w:hint="eastAsia" w:ascii="仿宋" w:hAnsi="仿宋" w:eastAsia="仿宋" w:cs="仿宋"/>
          <w:color w:val="auto"/>
          <w:kern w:val="0"/>
          <w:sz w:val="24"/>
          <w:highlight w:val="none"/>
        </w:rPr>
        <w:t>前递交响应文件。</w:t>
      </w:r>
    </w:p>
    <w:p w14:paraId="47F8FC2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一、项目基本情况</w:t>
      </w:r>
    </w:p>
    <w:p w14:paraId="35EE5B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项目编号</w:t>
      </w:r>
      <w:r>
        <w:rPr>
          <w:rStyle w:val="21"/>
          <w:rFonts w:hint="eastAsia" w:ascii="仿宋" w:hAnsi="仿宋" w:eastAsia="仿宋" w:cs="仿宋"/>
          <w:bCs/>
          <w:color w:val="auto"/>
          <w:kern w:val="0"/>
          <w:sz w:val="24"/>
          <w:highlight w:val="none"/>
          <w:shd w:val="clear" w:color="auto" w:fill="FFFFFF"/>
        </w:rPr>
        <w:t>：</w:t>
      </w:r>
      <w:r>
        <w:rPr>
          <w:rFonts w:hint="eastAsia" w:ascii="仿宋" w:hAnsi="仿宋" w:eastAsia="仿宋" w:cs="仿宋"/>
          <w:bCs/>
          <w:color w:val="auto"/>
          <w:kern w:val="0"/>
          <w:sz w:val="24"/>
          <w:highlight w:val="none"/>
          <w:shd w:val="clear" w:color="auto" w:fill="FFFFFF"/>
          <w:lang w:eastAsia="zh-CN"/>
        </w:rPr>
        <w:t>XJXCT2025-ZB-001</w:t>
      </w:r>
    </w:p>
    <w:p w14:paraId="1445B0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项目名称：</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A156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采购方式：竞争性磋商</w:t>
      </w:r>
    </w:p>
    <w:p w14:paraId="5890B2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预算金额（元）：</w:t>
      </w:r>
      <w:r>
        <w:rPr>
          <w:rStyle w:val="21"/>
          <w:rFonts w:hint="eastAsia" w:ascii="仿宋" w:hAnsi="仿宋" w:eastAsia="仿宋" w:cs="仿宋"/>
          <w:b w:val="0"/>
          <w:color w:val="auto"/>
          <w:kern w:val="0"/>
          <w:sz w:val="24"/>
          <w:highlight w:val="none"/>
          <w:shd w:val="clear" w:color="auto" w:fill="FFFFFF"/>
          <w:lang w:val="en-US" w:eastAsia="zh-CN"/>
        </w:rPr>
        <w:t>550100</w:t>
      </w:r>
    </w:p>
    <w:p w14:paraId="421691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default" w:ascii="仿宋" w:hAnsi="仿宋" w:eastAsia="仿宋" w:cs="仿宋"/>
          <w:b w:val="0"/>
          <w:color w:val="auto"/>
          <w:kern w:val="0"/>
          <w:sz w:val="24"/>
          <w:highlight w:val="none"/>
          <w:shd w:val="clear" w:color="auto" w:fill="FFFFFF"/>
          <w:lang w:val="en-US" w:eastAsia="zh-CN"/>
        </w:rPr>
      </w:pPr>
      <w:r>
        <w:rPr>
          <w:rStyle w:val="21"/>
          <w:rFonts w:hint="eastAsia" w:ascii="仿宋" w:hAnsi="仿宋" w:eastAsia="仿宋" w:cs="仿宋"/>
          <w:b w:val="0"/>
          <w:color w:val="auto"/>
          <w:kern w:val="0"/>
          <w:sz w:val="24"/>
          <w:highlight w:val="none"/>
          <w:shd w:val="clear" w:color="auto" w:fill="FFFFFF"/>
        </w:rPr>
        <w:t>最高限价（元）：</w:t>
      </w:r>
      <w:r>
        <w:rPr>
          <w:rStyle w:val="21"/>
          <w:rFonts w:hint="eastAsia" w:ascii="仿宋" w:hAnsi="仿宋" w:eastAsia="仿宋" w:cs="仿宋"/>
          <w:b w:val="0"/>
          <w:color w:val="auto"/>
          <w:kern w:val="0"/>
          <w:sz w:val="24"/>
          <w:highlight w:val="none"/>
          <w:shd w:val="clear" w:color="auto" w:fill="FFFFFF"/>
          <w:lang w:val="en-US" w:eastAsia="zh-CN"/>
        </w:rPr>
        <w:t>550100</w:t>
      </w:r>
    </w:p>
    <w:p w14:paraId="76CCD9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采购需求：</w:t>
      </w:r>
    </w:p>
    <w:p w14:paraId="2BC573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宋体"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标项名称:</w:t>
      </w:r>
      <w:r>
        <w:rPr>
          <w:rFonts w:hint="eastAsia"/>
          <w:color w:val="auto"/>
          <w:highlight w:val="none"/>
        </w:rPr>
        <w:t xml:space="preserve"> </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乌鲁木齐市沙依巴克区第一养老服务中心建设项目工程监理</w:t>
      </w:r>
    </w:p>
    <w:p w14:paraId="50FCB9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数量：1</w:t>
      </w:r>
    </w:p>
    <w:p w14:paraId="0A5397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预算金额（元）:</w:t>
      </w:r>
      <w:r>
        <w:rPr>
          <w:rStyle w:val="21"/>
          <w:rFonts w:ascii="仿宋" w:hAnsi="仿宋" w:eastAsia="仿宋" w:cs="仿宋"/>
          <w:b w:val="0"/>
          <w:color w:val="auto"/>
          <w:kern w:val="0"/>
          <w:sz w:val="24"/>
          <w:highlight w:val="none"/>
          <w:shd w:val="clear" w:color="auto" w:fill="FFFFFF"/>
        </w:rPr>
        <w:t xml:space="preserve"> </w:t>
      </w:r>
      <w:r>
        <w:rPr>
          <w:rStyle w:val="21"/>
          <w:rFonts w:hint="eastAsia" w:ascii="仿宋" w:hAnsi="仿宋" w:eastAsia="仿宋" w:cs="仿宋"/>
          <w:b w:val="0"/>
          <w:color w:val="auto"/>
          <w:kern w:val="0"/>
          <w:sz w:val="24"/>
          <w:highlight w:val="none"/>
          <w:shd w:val="clear" w:color="auto" w:fill="FFFFFF"/>
          <w:lang w:val="en-US" w:eastAsia="zh-CN"/>
        </w:rPr>
        <w:t>550100</w:t>
      </w:r>
    </w:p>
    <w:p w14:paraId="43D81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单位：项</w:t>
      </w:r>
    </w:p>
    <w:p w14:paraId="6B1B15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lang w:eastAsia="zh-CN"/>
        </w:rPr>
      </w:pPr>
      <w:r>
        <w:rPr>
          <w:rFonts w:ascii="仿宋" w:hAnsi="仿宋" w:eastAsia="仿宋" w:cs="仿宋"/>
          <w:color w:val="auto"/>
          <w:kern w:val="0"/>
          <w:sz w:val="24"/>
          <w:highlight w:val="none"/>
          <w:shd w:val="clear" w:color="auto" w:fill="FFFFFF"/>
        </w:rPr>
        <w:t>简要规格描述或项目基本概况介绍、用途：</w:t>
      </w:r>
      <w:r>
        <w:rPr>
          <w:rStyle w:val="21"/>
          <w:rFonts w:hint="eastAsia" w:ascii="仿宋" w:hAnsi="仿宋" w:eastAsia="仿宋" w:cs="仿宋"/>
          <w:b w:val="0"/>
          <w:color w:val="auto"/>
          <w:kern w:val="0"/>
          <w:sz w:val="24"/>
          <w:highlight w:val="none"/>
          <w:shd w:val="clear" w:color="auto" w:fill="FFFFFF"/>
          <w:lang w:eastAsia="zh-CN"/>
        </w:rPr>
        <w:t>乌鲁木齐市沙依巴克区第一养老服务中心建设项目全部施工工作范围内的监理咨询工作。</w:t>
      </w:r>
    </w:p>
    <w:p w14:paraId="6620934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备注：</w:t>
      </w:r>
    </w:p>
    <w:p w14:paraId="0ABF0D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合同履约期限</w:t>
      </w:r>
      <w:r>
        <w:rPr>
          <w:rFonts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rPr>
        <w:t>标项 1，</w:t>
      </w:r>
      <w:r>
        <w:rPr>
          <w:rFonts w:hint="eastAsia" w:ascii="仿宋" w:hAnsi="仿宋" w:eastAsia="仿宋" w:cs="仿宋"/>
          <w:color w:val="auto"/>
          <w:kern w:val="0"/>
          <w:sz w:val="24"/>
          <w:highlight w:val="none"/>
          <w:shd w:val="clear" w:color="auto" w:fill="FFFFFF"/>
          <w:lang w:val="en-US" w:eastAsia="zh-CN"/>
        </w:rPr>
        <w:t>自合同签订之日至工程竣工验收、结算审计、竣工档案移交完成截止</w:t>
      </w:r>
      <w:r>
        <w:rPr>
          <w:rFonts w:hint="eastAsia" w:ascii="仿宋" w:hAnsi="仿宋" w:eastAsia="仿宋" w:cs="仿宋"/>
          <w:color w:val="auto"/>
          <w:kern w:val="0"/>
          <w:sz w:val="24"/>
          <w:highlight w:val="none"/>
          <w:shd w:val="clear" w:color="auto" w:fill="FFFFFF"/>
        </w:rPr>
        <w:t>。</w:t>
      </w:r>
    </w:p>
    <w:p w14:paraId="5E85C5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本项目（否）接受联合体投标。</w:t>
      </w:r>
    </w:p>
    <w:p w14:paraId="4CED93D3">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二、申请人的资格要求：</w:t>
      </w:r>
    </w:p>
    <w:p w14:paraId="514CE27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BEB0C4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C32986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1C0E912D">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627CE741">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11CACCB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0A4081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p w14:paraId="65AF296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lang w:eastAsia="zh-CN"/>
        </w:rPr>
      </w:pPr>
      <w:r>
        <w:rPr>
          <w:rStyle w:val="21"/>
          <w:rFonts w:hint="eastAsia" w:ascii="仿宋" w:hAnsi="仿宋" w:eastAsia="仿宋" w:cs="仿宋"/>
          <w:b w:val="0"/>
          <w:color w:val="auto"/>
          <w:kern w:val="0"/>
          <w:sz w:val="24"/>
          <w:highlight w:val="none"/>
          <w:shd w:val="clear" w:color="auto" w:fill="FFFFFF"/>
        </w:rPr>
        <w:t>三、获取</w:t>
      </w:r>
      <w:r>
        <w:rPr>
          <w:rStyle w:val="21"/>
          <w:rFonts w:hint="eastAsia" w:ascii="仿宋" w:hAnsi="仿宋" w:eastAsia="仿宋" w:cs="仿宋"/>
          <w:b w:val="0"/>
          <w:color w:val="auto"/>
          <w:kern w:val="0"/>
          <w:sz w:val="24"/>
          <w:highlight w:val="none"/>
          <w:shd w:val="clear" w:color="auto" w:fill="FFFFFF"/>
          <w:lang w:eastAsia="zh-CN"/>
        </w:rPr>
        <w:t>竞争性磋商文件</w:t>
      </w:r>
    </w:p>
    <w:p w14:paraId="0BD45E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时间：202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 xml:space="preserve"> 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10</w:t>
      </w:r>
      <w:r>
        <w:rPr>
          <w:rStyle w:val="21"/>
          <w:rFonts w:hint="eastAsia" w:ascii="仿宋" w:hAnsi="仿宋" w:eastAsia="仿宋" w:cs="仿宋"/>
          <w:b w:val="0"/>
          <w:color w:val="auto"/>
          <w:kern w:val="0"/>
          <w:sz w:val="24"/>
          <w:highlight w:val="none"/>
          <w:shd w:val="clear" w:color="auto" w:fill="FFFFFF"/>
        </w:rPr>
        <w:t>日至202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rPr>
        <w:t>月</w:t>
      </w:r>
      <w:r>
        <w:rPr>
          <w:rStyle w:val="21"/>
          <w:rFonts w:hint="eastAsia" w:ascii="仿宋" w:hAnsi="仿宋" w:eastAsia="仿宋" w:cs="仿宋"/>
          <w:b w:val="0"/>
          <w:color w:val="auto"/>
          <w:kern w:val="0"/>
          <w:sz w:val="24"/>
          <w:highlight w:val="none"/>
          <w:shd w:val="clear" w:color="auto" w:fill="FFFFFF"/>
          <w:lang w:val="en-US" w:eastAsia="zh-CN"/>
        </w:rPr>
        <w:t>17</w:t>
      </w:r>
      <w:r>
        <w:rPr>
          <w:rStyle w:val="21"/>
          <w:rFonts w:hint="eastAsia" w:ascii="仿宋" w:hAnsi="仿宋" w:eastAsia="仿宋" w:cs="仿宋"/>
          <w:b w:val="0"/>
          <w:color w:val="auto"/>
          <w:kern w:val="0"/>
          <w:sz w:val="24"/>
          <w:highlight w:val="none"/>
          <w:shd w:val="clear" w:color="auto" w:fill="FFFFFF"/>
        </w:rPr>
        <w:t>日，</w:t>
      </w:r>
      <w:r>
        <w:rPr>
          <w:rFonts w:hint="eastAsia" w:ascii="仿宋" w:hAnsi="仿宋" w:eastAsia="仿宋" w:cs="仿宋"/>
          <w:color w:val="auto"/>
          <w:kern w:val="0"/>
          <w:sz w:val="24"/>
          <w:highlight w:val="none"/>
          <w:shd w:val="clear" w:color="auto" w:fill="FFFFFF"/>
        </w:rPr>
        <w:t>每天上午00:00至12:00，下午12:00至23:59（北京时间，法定节假日除外）</w:t>
      </w:r>
    </w:p>
    <w:p w14:paraId="6D34D8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rPr>
        <w:t>政采云平台线上</w:t>
      </w:r>
    </w:p>
    <w:p w14:paraId="1F6726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Style w:val="21"/>
          <w:rFonts w:hint="eastAsia" w:ascii="仿宋" w:hAnsi="仿宋" w:eastAsia="仿宋" w:cs="仿宋"/>
          <w:b w:val="0"/>
          <w:color w:val="auto"/>
          <w:kern w:val="0"/>
          <w:sz w:val="24"/>
          <w:highlight w:val="none"/>
          <w:shd w:val="clear" w:color="auto" w:fill="FFFFFF"/>
        </w:rPr>
        <w:t>方式：</w:t>
      </w:r>
      <w:r>
        <w:rPr>
          <w:rFonts w:hint="eastAsia" w:ascii="仿宋" w:hAnsi="仿宋" w:eastAsia="仿宋" w:cs="仿宋"/>
          <w:color w:val="auto"/>
          <w:kern w:val="0"/>
          <w:sz w:val="24"/>
          <w:highlight w:val="none"/>
        </w:rPr>
        <w:t>供应商登录政采云平台https://www.zcygov.cn/在线申请获取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（进入“项目采购”应用，在获取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菜单中选择项目，申请获取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），或者点击采购公告底部潜在供应商“获取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”，页面跳转后登陆，直接获取</w:t>
      </w:r>
      <w:r>
        <w:rPr>
          <w:rFonts w:hint="eastAsia" w:ascii="仿宋" w:hAnsi="仿宋" w:eastAsia="仿宋" w:cs="仿宋"/>
          <w:color w:val="auto"/>
          <w:kern w:val="0"/>
          <w:sz w:val="24"/>
          <w:highlight w:val="none"/>
          <w:lang w:eastAsia="zh-CN"/>
        </w:rPr>
        <w:t>竞争性磋商文件</w:t>
      </w:r>
      <w:r>
        <w:rPr>
          <w:rFonts w:hint="eastAsia" w:ascii="仿宋" w:hAnsi="仿宋" w:eastAsia="仿宋" w:cs="仿宋"/>
          <w:color w:val="auto"/>
          <w:kern w:val="0"/>
          <w:sz w:val="24"/>
          <w:highlight w:val="none"/>
        </w:rPr>
        <w:t>。</w:t>
      </w:r>
      <w:r>
        <w:rPr>
          <w:rFonts w:ascii="Calibri" w:hAnsi="Calibri" w:eastAsia="仿宋" w:cs="Calibri"/>
          <w:color w:val="auto"/>
          <w:kern w:val="0"/>
          <w:sz w:val="24"/>
          <w:highlight w:val="none"/>
        </w:rPr>
        <w:t> </w:t>
      </w:r>
    </w:p>
    <w:p w14:paraId="533CD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售价（元）：0</w:t>
      </w:r>
      <w:r>
        <w:rPr>
          <w:rStyle w:val="21"/>
          <w:rFonts w:hint="eastAsia" w:ascii="仿宋" w:hAnsi="仿宋" w:eastAsia="仿宋" w:cs="仿宋"/>
          <w:b w:val="0"/>
          <w:color w:val="auto"/>
          <w:kern w:val="0"/>
          <w:sz w:val="24"/>
          <w:highlight w:val="none"/>
          <w:shd w:val="clear" w:color="auto" w:fill="FFFFFF"/>
        </w:rPr>
        <w:tab/>
      </w:r>
    </w:p>
    <w:p w14:paraId="5FC99B58">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四、响应文件提交</w:t>
      </w:r>
    </w:p>
    <w:p w14:paraId="545973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截止时间：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06C1600F">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地点：请登录政采云投标客户端投标</w:t>
      </w:r>
    </w:p>
    <w:p w14:paraId="438ED6D2">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五、响应文件开启 </w:t>
      </w:r>
    </w:p>
    <w:p w14:paraId="59D419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开启时间：</w:t>
      </w:r>
      <w:r>
        <w:rPr>
          <w:rStyle w:val="21"/>
          <w:rFonts w:hint="eastAsia" w:ascii="仿宋" w:hAnsi="仿宋" w:eastAsia="仿宋" w:cs="仿宋"/>
          <w:b w:val="0"/>
          <w:color w:val="auto"/>
          <w:kern w:val="0"/>
          <w:sz w:val="24"/>
          <w:highlight w:val="none"/>
          <w:shd w:val="clear" w:color="auto" w:fill="FFFFFF"/>
          <w:lang w:eastAsia="zh-CN"/>
        </w:rPr>
        <w:t>202</w:t>
      </w:r>
      <w:r>
        <w:rPr>
          <w:rStyle w:val="21"/>
          <w:rFonts w:hint="eastAsia" w:ascii="仿宋" w:hAnsi="仿宋" w:eastAsia="仿宋" w:cs="仿宋"/>
          <w:b w:val="0"/>
          <w:color w:val="auto"/>
          <w:kern w:val="0"/>
          <w:sz w:val="24"/>
          <w:highlight w:val="none"/>
          <w:shd w:val="clear" w:color="auto" w:fill="FFFFFF"/>
          <w:lang w:val="en-US" w:eastAsia="zh-CN"/>
        </w:rPr>
        <w:t>5</w:t>
      </w:r>
      <w:r>
        <w:rPr>
          <w:rStyle w:val="21"/>
          <w:rFonts w:hint="eastAsia" w:ascii="仿宋" w:hAnsi="仿宋" w:eastAsia="仿宋" w:cs="仿宋"/>
          <w:b w:val="0"/>
          <w:color w:val="auto"/>
          <w:kern w:val="0"/>
          <w:sz w:val="24"/>
          <w:highlight w:val="none"/>
          <w:shd w:val="clear" w:color="auto" w:fill="FFFFFF"/>
          <w:lang w:eastAsia="zh-CN"/>
        </w:rPr>
        <w:t>年</w:t>
      </w:r>
      <w:r>
        <w:rPr>
          <w:rStyle w:val="21"/>
          <w:rFonts w:hint="eastAsia" w:ascii="仿宋" w:hAnsi="仿宋" w:eastAsia="仿宋" w:cs="仿宋"/>
          <w:b w:val="0"/>
          <w:color w:val="auto"/>
          <w:kern w:val="0"/>
          <w:sz w:val="24"/>
          <w:highlight w:val="none"/>
          <w:shd w:val="clear" w:color="auto" w:fill="FFFFFF"/>
          <w:lang w:val="en-US" w:eastAsia="zh-CN"/>
        </w:rPr>
        <w:t>01</w:t>
      </w:r>
      <w:r>
        <w:rPr>
          <w:rStyle w:val="21"/>
          <w:rFonts w:hint="eastAsia" w:ascii="仿宋" w:hAnsi="仿宋" w:eastAsia="仿宋" w:cs="仿宋"/>
          <w:b w:val="0"/>
          <w:color w:val="auto"/>
          <w:kern w:val="0"/>
          <w:sz w:val="24"/>
          <w:highlight w:val="none"/>
          <w:shd w:val="clear" w:color="auto" w:fill="FFFFFF"/>
          <w:lang w:eastAsia="zh-CN"/>
        </w:rPr>
        <w:t>月</w:t>
      </w:r>
      <w:r>
        <w:rPr>
          <w:rStyle w:val="21"/>
          <w:rFonts w:hint="eastAsia" w:ascii="仿宋" w:hAnsi="仿宋" w:eastAsia="仿宋" w:cs="仿宋"/>
          <w:b w:val="0"/>
          <w:color w:val="auto"/>
          <w:kern w:val="0"/>
          <w:sz w:val="24"/>
          <w:highlight w:val="none"/>
          <w:shd w:val="clear" w:color="auto" w:fill="FFFFFF"/>
          <w:lang w:val="en-US" w:eastAsia="zh-CN"/>
        </w:rPr>
        <w:t>21</w:t>
      </w:r>
      <w:r>
        <w:rPr>
          <w:rStyle w:val="21"/>
          <w:rFonts w:hint="eastAsia" w:ascii="仿宋" w:hAnsi="仿宋" w:eastAsia="仿宋" w:cs="仿宋"/>
          <w:b w:val="0"/>
          <w:color w:val="auto"/>
          <w:kern w:val="0"/>
          <w:sz w:val="24"/>
          <w:highlight w:val="none"/>
          <w:shd w:val="clear" w:color="auto" w:fill="FFFFFF"/>
          <w:lang w:eastAsia="zh-CN"/>
        </w:rPr>
        <w:t>日 11:00</w:t>
      </w:r>
      <w:r>
        <w:rPr>
          <w:rStyle w:val="21"/>
          <w:rFonts w:hint="eastAsia" w:ascii="仿宋" w:hAnsi="仿宋" w:eastAsia="仿宋" w:cs="仿宋"/>
          <w:b w:val="0"/>
          <w:color w:val="auto"/>
          <w:kern w:val="0"/>
          <w:sz w:val="24"/>
          <w:highlight w:val="none"/>
          <w:shd w:val="clear" w:color="auto" w:fill="FFFFFF"/>
        </w:rPr>
        <w:t>（北京时间）</w:t>
      </w:r>
    </w:p>
    <w:p w14:paraId="38D1A4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shd w:val="clear" w:color="auto" w:fill="FFFFFF"/>
          <w:lang w:val="en-US" w:eastAsia="zh-CN"/>
        </w:rPr>
        <w:t>供应商</w:t>
      </w:r>
      <w:r>
        <w:rPr>
          <w:rFonts w:hint="eastAsia" w:ascii="仿宋" w:hAnsi="仿宋" w:eastAsia="仿宋" w:cs="仿宋"/>
          <w:color w:val="auto"/>
          <w:kern w:val="0"/>
          <w:sz w:val="24"/>
          <w:highlight w:val="none"/>
          <w:shd w:val="clear" w:color="auto" w:fill="FFFFFF"/>
        </w:rPr>
        <w:t>登录政采云平台https://www.zcygov.cn/，进入“项目采购-开标评标-右边选择对应项目点击“进入项目”进入开标大厅。</w:t>
      </w:r>
      <w:r>
        <w:rPr>
          <w:rStyle w:val="21"/>
          <w:rFonts w:ascii="仿宋" w:hAnsi="仿宋" w:eastAsia="仿宋" w:cs="仿宋"/>
          <w:b w:val="0"/>
          <w:color w:val="auto"/>
          <w:kern w:val="0"/>
          <w:sz w:val="24"/>
          <w:highlight w:val="none"/>
          <w:shd w:val="clear" w:color="auto" w:fill="FFFFFF"/>
        </w:rPr>
        <w:t xml:space="preserve"> </w:t>
      </w:r>
    </w:p>
    <w:p w14:paraId="5D97CCC5">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六、公告期限</w:t>
      </w:r>
    </w:p>
    <w:p w14:paraId="23979C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自本公告发布之日起3个工作日。</w:t>
      </w:r>
    </w:p>
    <w:p w14:paraId="0A56DD8E">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 xml:space="preserve">七、其他补充事宜 </w:t>
      </w:r>
    </w:p>
    <w:p w14:paraId="1502EC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1、本项目实行网上投标，采用电子投标文件。</w:t>
      </w:r>
    </w:p>
    <w:p w14:paraId="59CC23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9DA05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 xml:space="preserve">3、供应商将政采云电子交易客户端下载、安装完成后，可通过账号密码或CA登录客户端进行投标文件的制作。在使用政采云投标客户端时，建议使用WIN7及以上操作系统。  </w:t>
      </w:r>
    </w:p>
    <w:p w14:paraId="01B1C8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特别提示：</w:t>
      </w:r>
    </w:p>
    <w:p w14:paraId="286237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1、采购限额标准以上，200万元以下的货物和服务采购项目、400万元以下的工程采购项目，适宜由中小企业提供的，采购人应当专门面向中小企业采购。</w:t>
      </w:r>
    </w:p>
    <w:p w14:paraId="3C0A26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2、超过200万元的货物和服务采购项目，预留该部分采购项目预算总额的30%以上专门面向中小企业采购，其中预留给小微企业的比例不低于60%。</w:t>
      </w:r>
    </w:p>
    <w:p w14:paraId="327F3A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3、超过400万元的工程采购项目中适宜由中小企业提供的，预留该部分采购项目预算总额的40%以上专门面向中小企业采购，其中预留给小微企业的比例不低于60%。</w:t>
      </w:r>
    </w:p>
    <w:p w14:paraId="4EABD07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318D81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9AC7A4">
      <w:pPr>
        <w:keepNext w:val="0"/>
        <w:keepLines w:val="0"/>
        <w:pageBreakBefore w:val="0"/>
        <w:widowControl w:val="0"/>
        <w:kinsoku/>
        <w:wordWrap/>
        <w:overflowPunct/>
        <w:topLinePunct w:val="0"/>
        <w:autoSpaceDE/>
        <w:autoSpaceDN/>
        <w:bidi w:val="0"/>
        <w:adjustRightInd/>
        <w:snapToGrid/>
        <w:spacing w:line="420" w:lineRule="exact"/>
        <w:textAlignment w:val="auto"/>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八、凡对本次采购提出询问，请按以下方式联系</w:t>
      </w:r>
    </w:p>
    <w:p w14:paraId="3DE99B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0C710E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 称：乌鲁木齐市沙依巴克区民政局</w:t>
      </w:r>
    </w:p>
    <w:p w14:paraId="6C26B50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址：乌鲁木齐市沙依巴克区克拉玛依西街652号</w:t>
      </w:r>
    </w:p>
    <w:p w14:paraId="4CD712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联系方式：18999909978 </w:t>
      </w:r>
    </w:p>
    <w:p w14:paraId="041DD0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w:t>
      </w:r>
    </w:p>
    <w:p w14:paraId="47110A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名 称：新疆新诚泰工程咨询有限公司</w:t>
      </w:r>
    </w:p>
    <w:p w14:paraId="05D823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地 址：乌鲁木齐市水磨沟区鸿泰路66号万科大都会8号综合楼1003室</w:t>
      </w:r>
    </w:p>
    <w:p w14:paraId="017B3B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2399508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3.项目联系方式</w:t>
      </w:r>
    </w:p>
    <w:p w14:paraId="113F55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s="仿宋"/>
          <w:color w:val="auto"/>
          <w:kern w:val="0"/>
          <w:sz w:val="24"/>
          <w:szCs w:val="24"/>
        </w:rPr>
      </w:pPr>
      <w:r>
        <w:rPr>
          <w:rFonts w:hint="eastAsia" w:ascii="仿宋" w:hAnsi="仿宋" w:eastAsia="仿宋" w:cs="仿宋"/>
          <w:color w:val="auto"/>
          <w:kern w:val="0"/>
          <w:sz w:val="24"/>
          <w:szCs w:val="24"/>
        </w:rPr>
        <w:t>项目联系人：陈梅</w:t>
      </w:r>
    </w:p>
    <w:p w14:paraId="52DD79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联系方式：15099525728</w:t>
      </w:r>
    </w:p>
    <w:p w14:paraId="5CCE029A">
      <w:pPr>
        <w:rPr>
          <w:rFonts w:hint="eastAsia" w:ascii="仿宋" w:hAnsi="仿宋" w:eastAsia="仿宋" w:cs="宋体"/>
          <w:color w:val="auto"/>
          <w:highlight w:val="none"/>
        </w:rPr>
      </w:pPr>
      <w:r>
        <w:rPr>
          <w:rFonts w:hint="eastAsia" w:ascii="仿宋" w:hAnsi="仿宋" w:eastAsia="仿宋" w:cs="宋体"/>
          <w:color w:val="auto"/>
          <w:highlight w:val="none"/>
        </w:rPr>
        <w:br w:type="page"/>
      </w:r>
    </w:p>
    <w:p w14:paraId="3D36DE99">
      <w:pPr>
        <w:pStyle w:val="15"/>
        <w:keepNext w:val="0"/>
        <w:keepLines w:val="0"/>
        <w:widowControl/>
        <w:suppressLineNumbers w:val="0"/>
        <w:spacing w:before="255" w:beforeAutospacing="0" w:after="255" w:afterAutospacing="0" w:line="450" w:lineRule="atLeast"/>
        <w:ind w:left="0" w:right="0" w:firstLine="0"/>
        <w:jc w:val="center"/>
        <w:rPr>
          <w:rStyle w:val="21"/>
          <w:rFonts w:hint="eastAsia" w:ascii="仿宋" w:hAnsi="仿宋" w:eastAsia="仿宋" w:cs="仿宋"/>
          <w:i w:val="0"/>
          <w:iCs w:val="0"/>
          <w:caps w:val="0"/>
          <w:color w:val="000000"/>
          <w:spacing w:val="0"/>
          <w:sz w:val="32"/>
          <w:szCs w:val="32"/>
          <w:lang w:val="en-US" w:eastAsia="zh-CN"/>
        </w:rPr>
      </w:pPr>
      <w:r>
        <w:rPr>
          <w:rStyle w:val="21"/>
          <w:rFonts w:hint="eastAsia" w:ascii="仿宋" w:hAnsi="仿宋" w:eastAsia="仿宋" w:cs="仿宋"/>
          <w:i w:val="0"/>
          <w:iCs w:val="0"/>
          <w:caps w:val="0"/>
          <w:color w:val="000000"/>
          <w:spacing w:val="0"/>
          <w:sz w:val="32"/>
          <w:szCs w:val="32"/>
          <w:lang w:val="en-US" w:eastAsia="zh-CN"/>
        </w:rPr>
        <w:t>更正公告</w:t>
      </w:r>
    </w:p>
    <w:p w14:paraId="5275BE86">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一、项目基本情况</w:t>
      </w:r>
    </w:p>
    <w:p w14:paraId="750354C4">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原公告的采购项目编号：XJXCT2025-ZB-001</w:t>
      </w:r>
    </w:p>
    <w:p w14:paraId="444BC8B9">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原公告的采购项目名称：乌鲁木齐市沙依巴克区第一养老服务中心建设项目工程监理</w:t>
      </w:r>
    </w:p>
    <w:p w14:paraId="1A4BF4DF">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首次公告日期：2025年01月10日  </w:t>
      </w:r>
    </w:p>
    <w:p w14:paraId="15E9B145">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r>
        <w:rPr>
          <w:rStyle w:val="21"/>
          <w:rFonts w:hint="eastAsia" w:ascii="仿宋" w:hAnsi="仿宋" w:eastAsia="仿宋" w:cs="仿宋"/>
          <w:i w:val="0"/>
          <w:iCs w:val="0"/>
          <w:caps w:val="0"/>
          <w:color w:val="000000"/>
          <w:spacing w:val="0"/>
          <w:sz w:val="24"/>
          <w:szCs w:val="24"/>
        </w:rPr>
        <w:t>二、更正信息</w:t>
      </w:r>
    </w:p>
    <w:p w14:paraId="7582796A">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sz w:val="24"/>
          <w:szCs w:val="24"/>
        </w:rPr>
        <w:t>更正事项：</w:t>
      </w:r>
      <w:r>
        <w:rPr>
          <w:rFonts w:hint="eastAsia" w:ascii="仿宋" w:hAnsi="仿宋" w:eastAsia="仿宋" w:cs="仿宋"/>
          <w:i w:val="0"/>
          <w:iCs w:val="0"/>
          <w:caps w:val="0"/>
          <w:color w:val="000000"/>
          <w:spacing w:val="0"/>
          <w:sz w:val="24"/>
          <w:szCs w:val="24"/>
          <w:lang w:val="en-US" w:eastAsia="zh-CN"/>
        </w:rPr>
        <w:t>磋商文件</w:t>
      </w:r>
    </w:p>
    <w:p w14:paraId="3AF1D09B">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更正内容：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tbl>
      <w:tblPr>
        <w:tblStyle w:val="18"/>
        <w:tblW w:w="6041" w:type="pct"/>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0"/>
        <w:gridCol w:w="1794"/>
        <w:gridCol w:w="3775"/>
        <w:gridCol w:w="4216"/>
      </w:tblGrid>
      <w:tr w14:paraId="145C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9332200">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序号</w:t>
            </w:r>
          </w:p>
        </w:tc>
        <w:tc>
          <w:tcPr>
            <w:tcW w:w="8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602F2E1">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更正项</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B4D21FB">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更正前内容</w:t>
            </w:r>
          </w:p>
        </w:tc>
        <w:tc>
          <w:tcPr>
            <w:tcW w:w="202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3636BD24">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更正后内容</w:t>
            </w:r>
          </w:p>
        </w:tc>
      </w:tr>
      <w:tr w14:paraId="4E91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477082D">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w:t>
            </w:r>
          </w:p>
        </w:tc>
        <w:tc>
          <w:tcPr>
            <w:tcW w:w="8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398E3562">
            <w:pPr>
              <w:pStyle w:val="2"/>
              <w:numPr>
                <w:ilvl w:val="0"/>
                <w:numId w:val="0"/>
              </w:numPr>
              <w:tabs>
                <w:tab w:val="left" w:pos="0"/>
              </w:tabs>
              <w:spacing w:before="0" w:after="0" w:line="360" w:lineRule="auto"/>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磋商文件</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51147F8">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2025年01月1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日</w:t>
            </w:r>
            <w:r>
              <w:rPr>
                <w:rFonts w:hint="eastAsia" w:ascii="仿宋" w:hAnsi="仿宋" w:eastAsia="仿宋" w:cs="仿宋"/>
                <w:i w:val="0"/>
                <w:iCs w:val="0"/>
                <w:caps w:val="0"/>
                <w:color w:val="000000"/>
                <w:spacing w:val="0"/>
                <w:sz w:val="24"/>
                <w:szCs w:val="24"/>
                <w:lang w:val="en-US" w:eastAsia="zh-CN"/>
              </w:rPr>
              <w:t>发布的竞争性磋商文件。</w:t>
            </w:r>
            <w:r>
              <w:rPr>
                <w:rFonts w:hint="eastAsia" w:ascii="仿宋" w:hAnsi="仿宋" w:eastAsia="仿宋" w:cs="仿宋"/>
                <w:i w:val="0"/>
                <w:iCs w:val="0"/>
                <w:caps w:val="0"/>
                <w:color w:val="000000"/>
                <w:spacing w:val="0"/>
                <w:sz w:val="24"/>
                <w:szCs w:val="24"/>
              </w:rPr>
              <w:t> </w:t>
            </w:r>
          </w:p>
          <w:p w14:paraId="50BCB666">
            <w:pPr>
              <w:keepNext w:val="0"/>
              <w:keepLines w:val="0"/>
              <w:widowControl/>
              <w:suppressLineNumbers w:val="0"/>
              <w:wordWrap w:val="0"/>
              <w:jc w:val="left"/>
              <w:rPr>
                <w:rFonts w:hint="default" w:ascii="仿宋" w:hAnsi="仿宋" w:eastAsia="仿宋" w:cs="仿宋"/>
                <w:sz w:val="24"/>
                <w:szCs w:val="24"/>
                <w:highlight w:val="none"/>
                <w:lang w:val="en-US" w:eastAsia="zh-CN"/>
              </w:rPr>
            </w:pPr>
          </w:p>
        </w:tc>
        <w:tc>
          <w:tcPr>
            <w:tcW w:w="202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10165841">
            <w:pPr>
              <w:pStyle w:val="15"/>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highlight w:val="none"/>
                <w:lang w:val="en-US" w:eastAsia="zh-CN"/>
              </w:rPr>
              <w:t>详见2025年01月14日更正公告附件“更正后采购文件”</w:t>
            </w:r>
            <w:r>
              <w:rPr>
                <w:rFonts w:hint="eastAsia" w:ascii="仿宋" w:hAnsi="仿宋" w:eastAsia="仿宋" w:cs="仿宋"/>
                <w:i w:val="0"/>
                <w:iCs w:val="0"/>
                <w:caps w:val="0"/>
                <w:color w:val="000000"/>
                <w:spacing w:val="0"/>
                <w:sz w:val="24"/>
                <w:szCs w:val="24"/>
              </w:rPr>
              <w:t> </w:t>
            </w:r>
          </w:p>
          <w:p w14:paraId="086385F7">
            <w:pPr>
              <w:keepNext w:val="0"/>
              <w:keepLines w:val="0"/>
              <w:widowControl/>
              <w:suppressLineNumbers w:val="0"/>
              <w:wordWrap w:val="0"/>
              <w:jc w:val="left"/>
              <w:rPr>
                <w:rFonts w:hint="default" w:ascii="仿宋" w:hAnsi="仿宋" w:eastAsia="仿宋" w:cs="仿宋"/>
                <w:sz w:val="24"/>
                <w:szCs w:val="24"/>
                <w:highlight w:val="none"/>
                <w:lang w:val="en-US" w:eastAsia="zh-CN"/>
              </w:rPr>
            </w:pPr>
          </w:p>
        </w:tc>
      </w:tr>
    </w:tbl>
    <w:p w14:paraId="58BF500B">
      <w:pPr>
        <w:pStyle w:val="1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更正日期：202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01</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14</w:t>
      </w:r>
      <w:r>
        <w:rPr>
          <w:rFonts w:hint="eastAsia" w:ascii="仿宋" w:hAnsi="仿宋" w:eastAsia="仿宋" w:cs="仿宋"/>
          <w:i w:val="0"/>
          <w:iCs w:val="0"/>
          <w:caps w:val="0"/>
          <w:color w:val="000000"/>
          <w:spacing w:val="0"/>
          <w:sz w:val="24"/>
          <w:szCs w:val="24"/>
          <w:highlight w:val="none"/>
        </w:rPr>
        <w:t>日</w:t>
      </w:r>
    </w:p>
    <w:p w14:paraId="38213B3A">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2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三、其他补充事宜</w:t>
      </w:r>
      <w:r>
        <w:rPr>
          <w:rFonts w:hint="eastAsia" w:ascii="仿宋" w:hAnsi="仿宋" w:eastAsia="仿宋" w:cs="仿宋"/>
          <w:i w:val="0"/>
          <w:iCs w:val="0"/>
          <w:caps w:val="0"/>
          <w:color w:val="000000"/>
          <w:spacing w:val="0"/>
          <w:sz w:val="24"/>
          <w:szCs w:val="24"/>
        </w:rPr>
        <w:t>  </w:t>
      </w:r>
    </w:p>
    <w:p w14:paraId="5F8CF590">
      <w:pPr>
        <w:pStyle w:val="1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eastAsia" w:ascii="仿宋" w:hAnsi="仿宋" w:eastAsia="仿宋" w:cs="仿宋"/>
          <w:i w:val="0"/>
          <w:iCs w:val="0"/>
          <w:caps w:val="0"/>
          <w:color w:val="000000"/>
          <w:spacing w:val="0"/>
          <w:sz w:val="24"/>
          <w:szCs w:val="24"/>
        </w:rPr>
      </w:pPr>
      <w:r>
        <w:rPr>
          <w:rStyle w:val="21"/>
          <w:rFonts w:hint="eastAsia" w:ascii="仿宋" w:hAnsi="仿宋" w:eastAsia="仿宋" w:cs="仿宋"/>
          <w:i w:val="0"/>
          <w:iCs w:val="0"/>
          <w:caps w:val="0"/>
          <w:color w:val="000000"/>
          <w:spacing w:val="0"/>
          <w:sz w:val="24"/>
          <w:szCs w:val="24"/>
        </w:rPr>
        <w:t>四、对本次采购提出询问，请按以下方式联系。</w:t>
      </w:r>
    </w:p>
    <w:p w14:paraId="6487C7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05CB66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称：乌鲁木齐市沙依巴克区民政局</w:t>
      </w:r>
    </w:p>
    <w:p w14:paraId="3E50C0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址：乌鲁木齐市沙依巴克区克拉玛依西街652号</w:t>
      </w:r>
    </w:p>
    <w:p w14:paraId="6A81FE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联系方式：18999909978</w:t>
      </w:r>
    </w:p>
    <w:p w14:paraId="64927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2.采购代理机构信息</w:t>
      </w:r>
    </w:p>
    <w:p w14:paraId="0F8500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 称：新疆新诚泰工程咨询有限公司</w:t>
      </w:r>
    </w:p>
    <w:p w14:paraId="02091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址：乌鲁木齐市水磨沟区鸿泰路66号万科大都会8号综合楼1003室</w:t>
      </w:r>
    </w:p>
    <w:p w14:paraId="0104C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联系方式：15099525728</w:t>
      </w:r>
    </w:p>
    <w:p w14:paraId="61BA71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3.项目联系方式</w:t>
      </w:r>
    </w:p>
    <w:p w14:paraId="31DE42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项目联系人：陈梅</w:t>
      </w:r>
    </w:p>
    <w:p w14:paraId="3B5E47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话：15099525728</w:t>
      </w:r>
    </w:p>
    <w:p w14:paraId="0366BF2D">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0C69CC41">
      <w:pPr>
        <w:rPr>
          <w:rFonts w:hint="eastAsia" w:ascii="仿宋" w:hAnsi="仿宋" w:eastAsia="仿宋" w:cs="仿宋"/>
          <w:color w:val="auto"/>
          <w:kern w:val="0"/>
          <w:sz w:val="24"/>
          <w:highlight w:val="none"/>
        </w:rPr>
      </w:pPr>
    </w:p>
    <w:bookmarkEnd w:id="419"/>
    <w:bookmarkEnd w:id="420"/>
    <w:p w14:paraId="5797C5D3">
      <w:pPr>
        <w:pStyle w:val="2"/>
        <w:tabs>
          <w:tab w:val="left" w:pos="0"/>
        </w:tabs>
        <w:spacing w:before="0" w:after="0" w:line="360" w:lineRule="auto"/>
        <w:rPr>
          <w:rFonts w:hint="eastAsia" w:ascii="仿宋" w:hAnsi="仿宋" w:eastAsia="仿宋"/>
          <w:color w:val="auto"/>
          <w:highlight w:val="none"/>
        </w:rPr>
      </w:pPr>
      <w:bookmarkStart w:id="421" w:name="_Toc532044539"/>
      <w:bookmarkStart w:id="422" w:name="_Toc512937852"/>
      <w:bookmarkStart w:id="423" w:name="_Toc532473754"/>
      <w:r>
        <w:rPr>
          <w:rFonts w:hint="eastAsia" w:ascii="仿宋" w:hAnsi="仿宋" w:eastAsia="仿宋"/>
          <w:color w:val="auto"/>
          <w:highlight w:val="none"/>
        </w:rPr>
        <w:t>第4章 供应商须知前附表</w:t>
      </w:r>
    </w:p>
    <w:p w14:paraId="779B0C97">
      <w:pPr>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本表是本</w:t>
      </w:r>
      <w:r>
        <w:rPr>
          <w:rFonts w:ascii="仿宋" w:hAnsi="仿宋" w:eastAsia="仿宋"/>
          <w:color w:val="auto"/>
          <w:sz w:val="24"/>
          <w:highlight w:val="none"/>
        </w:rPr>
        <w:t>采购项目</w:t>
      </w:r>
      <w:r>
        <w:rPr>
          <w:rFonts w:hint="eastAsia" w:ascii="仿宋" w:hAnsi="仿宋" w:eastAsia="仿宋"/>
          <w:color w:val="auto"/>
          <w:sz w:val="24"/>
          <w:highlight w:val="none"/>
        </w:rPr>
        <w:t>的具体资料，是对供应商须知的具体补充和修改，如有矛盾，应以本资料表为准。</w:t>
      </w:r>
    </w:p>
    <w:tbl>
      <w:tblPr>
        <w:tblStyle w:val="18"/>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7654"/>
      </w:tblGrid>
      <w:tr w14:paraId="46A3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11A8E0A">
            <w:pPr>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条款号</w:t>
            </w:r>
          </w:p>
        </w:tc>
        <w:tc>
          <w:tcPr>
            <w:tcW w:w="7654" w:type="dxa"/>
            <w:vAlign w:val="center"/>
          </w:tcPr>
          <w:p w14:paraId="65B6EE9E">
            <w:pPr>
              <w:spacing w:line="360" w:lineRule="auto"/>
              <w:ind w:left="-48" w:leftChars="-23" w:firstLine="50"/>
              <w:jc w:val="center"/>
              <w:rPr>
                <w:rFonts w:hint="eastAsia" w:ascii="仿宋" w:hAnsi="仿宋" w:eastAsia="仿宋"/>
                <w:b/>
                <w:color w:val="auto"/>
                <w:sz w:val="24"/>
                <w:highlight w:val="none"/>
              </w:rPr>
            </w:pPr>
            <w:r>
              <w:rPr>
                <w:rFonts w:hint="eastAsia" w:ascii="仿宋" w:hAnsi="仿宋" w:eastAsia="仿宋"/>
                <w:b/>
                <w:color w:val="auto"/>
                <w:sz w:val="24"/>
                <w:highlight w:val="none"/>
              </w:rPr>
              <w:t>内</w:t>
            </w:r>
            <w:r>
              <w:rPr>
                <w:rFonts w:ascii="仿宋" w:hAnsi="仿宋" w:eastAsia="仿宋"/>
                <w:b/>
                <w:color w:val="auto"/>
                <w:sz w:val="24"/>
                <w:highlight w:val="none"/>
              </w:rPr>
              <w:t xml:space="preserve">      </w:t>
            </w:r>
            <w:r>
              <w:rPr>
                <w:rFonts w:hint="eastAsia" w:ascii="仿宋" w:hAnsi="仿宋" w:eastAsia="仿宋"/>
                <w:b/>
                <w:color w:val="auto"/>
                <w:sz w:val="24"/>
                <w:highlight w:val="none"/>
              </w:rPr>
              <w:t>容</w:t>
            </w:r>
          </w:p>
        </w:tc>
      </w:tr>
      <w:tr w14:paraId="38C1F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879" w:type="dxa"/>
            <w:vAlign w:val="center"/>
          </w:tcPr>
          <w:p w14:paraId="55BE09F1">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1.1</w:t>
            </w:r>
          </w:p>
        </w:tc>
        <w:tc>
          <w:tcPr>
            <w:tcW w:w="7654" w:type="dxa"/>
            <w:vAlign w:val="center"/>
          </w:tcPr>
          <w:p w14:paraId="54A7110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w:t>
            </w:r>
            <w:r>
              <w:rPr>
                <w:rFonts w:hint="eastAsia" w:ascii="仿宋" w:hAnsi="仿宋" w:eastAsia="仿宋" w:cs="仿宋"/>
                <w:color w:val="auto"/>
                <w:kern w:val="0"/>
                <w:sz w:val="24"/>
                <w:szCs w:val="24"/>
              </w:rPr>
              <w:t>乌鲁木齐市沙依巴克区民政局</w:t>
            </w:r>
          </w:p>
          <w:p w14:paraId="0E8A584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雷志平</w:t>
            </w:r>
            <w:r>
              <w:rPr>
                <w:rFonts w:hint="eastAsia" w:ascii="仿宋" w:hAnsi="仿宋" w:eastAsia="仿宋"/>
                <w:color w:val="auto"/>
                <w:sz w:val="24"/>
                <w:highlight w:val="none"/>
              </w:rPr>
              <w:t xml:space="preserve">      联系电话：18999909978</w:t>
            </w:r>
          </w:p>
        </w:tc>
      </w:tr>
      <w:tr w14:paraId="2C428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0820C625">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1.2</w:t>
            </w:r>
          </w:p>
        </w:tc>
        <w:tc>
          <w:tcPr>
            <w:tcW w:w="7654" w:type="dxa"/>
            <w:vAlign w:val="center"/>
          </w:tcPr>
          <w:p w14:paraId="2A71616B">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采购代理机构：新疆新诚泰工程咨询有限公司</w:t>
            </w:r>
          </w:p>
          <w:p w14:paraId="460299CA">
            <w:pP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陈梅</w:t>
            </w:r>
            <w:r>
              <w:rPr>
                <w:rFonts w:hint="eastAsia" w:ascii="仿宋" w:hAnsi="仿宋" w:eastAsia="仿宋"/>
                <w:color w:val="auto"/>
                <w:sz w:val="24"/>
                <w:highlight w:val="none"/>
              </w:rPr>
              <w:t xml:space="preserve">        联系电话：</w:t>
            </w:r>
            <w:r>
              <w:rPr>
                <w:rFonts w:hint="eastAsia" w:ascii="仿宋" w:hAnsi="仿宋" w:eastAsia="仿宋"/>
                <w:color w:val="auto"/>
                <w:sz w:val="24"/>
                <w:highlight w:val="none"/>
                <w:lang w:val="en-US" w:eastAsia="zh-CN"/>
              </w:rPr>
              <w:t>15099525728</w:t>
            </w:r>
          </w:p>
        </w:tc>
      </w:tr>
      <w:tr w14:paraId="3FB0A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8" w:hRule="atLeast"/>
        </w:trPr>
        <w:tc>
          <w:tcPr>
            <w:tcW w:w="879" w:type="dxa"/>
            <w:vAlign w:val="center"/>
          </w:tcPr>
          <w:p w14:paraId="19684F7C">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1.3.4</w:t>
            </w:r>
          </w:p>
        </w:tc>
        <w:tc>
          <w:tcPr>
            <w:tcW w:w="7654" w:type="dxa"/>
            <w:vAlign w:val="center"/>
          </w:tcPr>
          <w:p w14:paraId="6AD3A28D">
            <w:pPr>
              <w:spacing w:line="360" w:lineRule="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合格供应商的资格要求：</w:t>
            </w:r>
          </w:p>
          <w:p w14:paraId="4A2F2554">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1.满足《中华人民共和国政府采购法》第二十二条规定；</w:t>
            </w:r>
          </w:p>
          <w:p w14:paraId="538939DE">
            <w:pPr>
              <w:spacing w:line="440" w:lineRule="exact"/>
              <w:rPr>
                <w:rFonts w:hint="default" w:eastAsia="仿宋"/>
                <w:color w:val="auto"/>
                <w:highlight w:val="none"/>
                <w:lang w:val="en-US" w:eastAsia="zh-CN"/>
              </w:rPr>
            </w:pPr>
            <w:r>
              <w:rPr>
                <w:rStyle w:val="21"/>
                <w:rFonts w:hint="eastAsia" w:ascii="仿宋" w:hAnsi="仿宋" w:eastAsia="仿宋" w:cs="仿宋"/>
                <w:b w:val="0"/>
                <w:color w:val="auto"/>
                <w:kern w:val="0"/>
                <w:sz w:val="24"/>
                <w:highlight w:val="none"/>
                <w:shd w:val="clear" w:color="auto" w:fill="FFFFFF"/>
              </w:rPr>
              <w:t>2.落实政府采购政策需满足的资格要求: 标项1：</w:t>
            </w:r>
            <w:r>
              <w:rPr>
                <w:rStyle w:val="21"/>
                <w:rFonts w:hint="eastAsia" w:ascii="仿宋" w:hAnsi="仿宋" w:eastAsia="仿宋" w:cs="仿宋"/>
                <w:b w:val="0"/>
                <w:color w:val="auto"/>
                <w:kern w:val="0"/>
                <w:sz w:val="24"/>
                <w:highlight w:val="none"/>
                <w:shd w:val="clear" w:color="auto" w:fill="FFFFFF"/>
                <w:lang w:val="en-US" w:eastAsia="zh-CN"/>
              </w:rPr>
              <w:t>供应商为中小企业</w:t>
            </w:r>
          </w:p>
          <w:p w14:paraId="5BC7D57E">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3.本项目的特定资格要求：</w:t>
            </w:r>
          </w:p>
          <w:p w14:paraId="67520C8D">
            <w:pPr>
              <w:spacing w:line="420" w:lineRule="exact"/>
              <w:rPr>
                <w:rStyle w:val="21"/>
                <w:rFonts w:hint="eastAsia" w:ascii="仿宋" w:hAnsi="仿宋" w:eastAsia="仿宋" w:cs="仿宋"/>
                <w:b w:val="0"/>
                <w:color w:val="auto"/>
                <w:kern w:val="0"/>
                <w:sz w:val="24"/>
                <w:highlight w:val="none"/>
                <w:shd w:val="clear" w:color="auto" w:fill="FFFFFF"/>
              </w:rPr>
            </w:pPr>
            <w:r>
              <w:rPr>
                <w:rStyle w:val="21"/>
                <w:rFonts w:hint="eastAsia" w:ascii="仿宋" w:hAnsi="仿宋" w:eastAsia="仿宋" w:cs="仿宋"/>
                <w:b w:val="0"/>
                <w:color w:val="auto"/>
                <w:kern w:val="0"/>
                <w:sz w:val="24"/>
                <w:highlight w:val="none"/>
                <w:shd w:val="clear" w:color="auto" w:fill="FFFFFF"/>
              </w:rPr>
              <w:t>【标项1】</w:t>
            </w:r>
          </w:p>
          <w:p w14:paraId="0CF9DFE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供应商须具备有效的资质证书且具备工程监理综合资质或房屋建筑工程（专业类监理企业资质）</w:t>
            </w:r>
            <w:r>
              <w:rPr>
                <w:rFonts w:hint="eastAsia" w:ascii="仿宋" w:hAnsi="仿宋" w:eastAsia="仿宋" w:cs="仿宋"/>
                <w:color w:val="auto"/>
                <w:kern w:val="0"/>
                <w:sz w:val="24"/>
                <w:highlight w:val="none"/>
                <w:shd w:val="clear" w:color="auto" w:fill="FFFFFF"/>
                <w:lang w:val="en-US" w:eastAsia="zh-CN"/>
              </w:rPr>
              <w:t>丙</w:t>
            </w:r>
            <w:r>
              <w:rPr>
                <w:rFonts w:hint="eastAsia" w:ascii="仿宋" w:hAnsi="仿宋" w:eastAsia="仿宋" w:cs="仿宋"/>
                <w:color w:val="auto"/>
                <w:kern w:val="0"/>
                <w:sz w:val="24"/>
                <w:highlight w:val="none"/>
                <w:shd w:val="clear" w:color="auto" w:fill="FFFFFF"/>
              </w:rPr>
              <w:t>级及以上资质；</w:t>
            </w:r>
          </w:p>
          <w:p w14:paraId="7068899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shd w:val="clear" w:color="auto" w:fill="FFFFFF"/>
              </w:rPr>
              <w:t>（2）供应商拟派总监理工程师须具有国家注册监理工程师注册证书（房屋建筑工程专业），本单位注册</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且在有效期内；</w:t>
            </w:r>
            <w:r>
              <w:rPr>
                <w:rFonts w:hint="eastAsia" w:ascii="仿宋" w:hAnsi="仿宋" w:eastAsia="仿宋" w:cs="仿宋"/>
                <w:color w:val="auto"/>
                <w:sz w:val="24"/>
                <w:szCs w:val="24"/>
                <w:highlight w:val="none"/>
                <w:lang w:val="en-US" w:eastAsia="zh-CN"/>
              </w:rPr>
              <w:t>现阶段在监项目少于三项。</w:t>
            </w:r>
          </w:p>
          <w:p w14:paraId="46968C0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）凡拟参加本次</w:t>
            </w:r>
            <w:r>
              <w:rPr>
                <w:rFonts w:hint="eastAsia" w:ascii="仿宋" w:hAnsi="仿宋" w:eastAsia="仿宋" w:cs="仿宋"/>
                <w:color w:val="auto"/>
                <w:kern w:val="0"/>
                <w:sz w:val="24"/>
                <w:highlight w:val="none"/>
                <w:shd w:val="clear" w:color="auto" w:fill="FFFFFF"/>
                <w:lang w:val="en-US" w:eastAsia="zh-CN"/>
              </w:rPr>
              <w:t>采购</w:t>
            </w:r>
            <w:r>
              <w:rPr>
                <w:rFonts w:hint="eastAsia" w:ascii="仿宋" w:hAnsi="仿宋" w:eastAsia="仿宋" w:cs="仿宋"/>
                <w:color w:val="auto"/>
                <w:kern w:val="0"/>
                <w:sz w:val="24"/>
                <w:highlight w:val="none"/>
                <w:shd w:val="clear" w:color="auto" w:fill="FFFFFF"/>
              </w:rPr>
              <w:t>项目的供应商，如在 “信用中国”（www.creditchina.gov.cn）、中国政府采购网（www.ccgp.gov.cn）列入失信被执行人、重大税收违法案件当事人名单、政府采购严重违法失信行为记录名单（尚在处罚期内的），将拒绝其参本次政府采购活动。</w:t>
            </w:r>
          </w:p>
        </w:tc>
      </w:tr>
      <w:tr w14:paraId="7656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141381FD">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w:t>
            </w:r>
          </w:p>
        </w:tc>
        <w:tc>
          <w:tcPr>
            <w:tcW w:w="7654" w:type="dxa"/>
            <w:vAlign w:val="center"/>
          </w:tcPr>
          <w:p w14:paraId="1F36ABF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是否为专门面向</w:t>
            </w:r>
            <w:r>
              <w:rPr>
                <w:rFonts w:ascii="仿宋" w:hAnsi="仿宋" w:eastAsia="仿宋"/>
                <w:color w:val="auto"/>
                <w:sz w:val="24"/>
                <w:highlight w:val="none"/>
              </w:rPr>
              <w:t>中小企业采购</w:t>
            </w:r>
            <w:r>
              <w:rPr>
                <w:rFonts w:hint="eastAsia" w:ascii="仿宋" w:hAnsi="仿宋" w:eastAsia="仿宋"/>
                <w:color w:val="auto"/>
                <w:sz w:val="24"/>
                <w:highlight w:val="none"/>
              </w:rPr>
              <w:t>：</w:t>
            </w:r>
            <w:r>
              <w:rPr>
                <w:rFonts w:hint="eastAsia" w:ascii="仿宋" w:hAnsi="仿宋" w:eastAsia="仿宋"/>
                <w:color w:val="auto"/>
                <w:sz w:val="24"/>
                <w:highlight w:val="none"/>
                <w:u w:val="single"/>
              </w:rPr>
              <w:t>是</w:t>
            </w:r>
          </w:p>
        </w:tc>
      </w:tr>
      <w:tr w14:paraId="10948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7C73F61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p>
        </w:tc>
        <w:tc>
          <w:tcPr>
            <w:tcW w:w="7654" w:type="dxa"/>
            <w:vAlign w:val="center"/>
          </w:tcPr>
          <w:p w14:paraId="55927F06">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是否允许联合体竞标：</w:t>
            </w:r>
            <w:r>
              <w:rPr>
                <w:rFonts w:hint="eastAsia" w:ascii="仿宋" w:hAnsi="仿宋" w:eastAsia="仿宋"/>
                <w:color w:val="auto"/>
                <w:sz w:val="24"/>
                <w:highlight w:val="none"/>
                <w:u w:val="single"/>
                <w:lang w:val="en-US" w:eastAsia="zh-CN"/>
              </w:rPr>
              <w:t xml:space="preserve"> 否 </w:t>
            </w:r>
          </w:p>
        </w:tc>
      </w:tr>
      <w:tr w14:paraId="02D8F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79" w:type="dxa"/>
            <w:vAlign w:val="center"/>
          </w:tcPr>
          <w:p w14:paraId="1D2620E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2.2</w:t>
            </w:r>
          </w:p>
        </w:tc>
        <w:tc>
          <w:tcPr>
            <w:tcW w:w="7654" w:type="dxa"/>
            <w:vAlign w:val="center"/>
          </w:tcPr>
          <w:p w14:paraId="32856794">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万元；最高限价：</w:t>
            </w:r>
            <w:r>
              <w:rPr>
                <w:rFonts w:hint="eastAsia" w:ascii="仿宋" w:hAnsi="仿宋" w:eastAsia="仿宋"/>
                <w:color w:val="auto"/>
                <w:sz w:val="24"/>
                <w:highlight w:val="none"/>
                <w:u w:val="single"/>
                <w:lang w:val="en-US" w:eastAsia="zh-CN"/>
              </w:rPr>
              <w:t>55.01</w:t>
            </w:r>
            <w:r>
              <w:rPr>
                <w:rFonts w:hint="eastAsia" w:ascii="仿宋" w:hAnsi="仿宋" w:eastAsia="仿宋"/>
                <w:color w:val="auto"/>
                <w:sz w:val="24"/>
                <w:highlight w:val="none"/>
              </w:rPr>
              <w:t>万元</w:t>
            </w:r>
          </w:p>
        </w:tc>
      </w:tr>
      <w:tr w14:paraId="78F8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145BCE34">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5.4</w:t>
            </w:r>
          </w:p>
        </w:tc>
        <w:tc>
          <w:tcPr>
            <w:tcW w:w="7654" w:type="dxa"/>
            <w:vAlign w:val="center"/>
          </w:tcPr>
          <w:p w14:paraId="1CF74051">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组织现场考察或者召开答疑会</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否  </w:t>
            </w:r>
          </w:p>
        </w:tc>
      </w:tr>
      <w:tr w14:paraId="3627A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2E750DBB">
            <w:pPr>
              <w:spacing w:line="360" w:lineRule="auto"/>
              <w:jc w:val="center"/>
              <w:rPr>
                <w:rFonts w:hint="eastAsia" w:ascii="仿宋" w:hAnsi="仿宋" w:eastAsia="仿宋"/>
                <w:color w:val="auto"/>
                <w:sz w:val="24"/>
                <w:highlight w:val="none"/>
              </w:rPr>
            </w:pPr>
          </w:p>
        </w:tc>
        <w:tc>
          <w:tcPr>
            <w:tcW w:w="7654" w:type="dxa"/>
            <w:vAlign w:val="center"/>
          </w:tcPr>
          <w:p w14:paraId="4E85321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现场踏勘：</w:t>
            </w:r>
            <w:r>
              <w:rPr>
                <w:rFonts w:hint="eastAsia" w:ascii="仿宋" w:hAnsi="仿宋" w:eastAsia="仿宋"/>
                <w:color w:val="auto"/>
                <w:sz w:val="24"/>
                <w:highlight w:val="none"/>
                <w:u w:val="single"/>
              </w:rPr>
              <w:t>不组织</w:t>
            </w:r>
            <w:r>
              <w:rPr>
                <w:rFonts w:hint="eastAsia" w:ascii="仿宋" w:hAnsi="仿宋" w:eastAsia="仿宋"/>
                <w:color w:val="auto"/>
                <w:sz w:val="24"/>
                <w:highlight w:val="none"/>
                <w:u w:val="single"/>
                <w:lang w:eastAsia="zh-CN"/>
              </w:rPr>
              <w:t>，</w:t>
            </w:r>
            <w:r>
              <w:rPr>
                <w:rFonts w:hint="eastAsia" w:ascii="仿宋" w:hAnsi="仿宋" w:eastAsia="仿宋"/>
                <w:color w:val="auto"/>
                <w:sz w:val="24"/>
                <w:highlight w:val="none"/>
                <w:u w:val="single"/>
              </w:rPr>
              <w:t>自行踏勘</w:t>
            </w:r>
            <w:r>
              <w:rPr>
                <w:color w:val="auto"/>
                <w:highlight w:val="none"/>
                <w:u w:val="single"/>
              </w:rPr>
              <w:t xml:space="preserve"> </w:t>
            </w:r>
          </w:p>
        </w:tc>
      </w:tr>
      <w:tr w14:paraId="37BBD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7F07CBEE">
            <w:pPr>
              <w:spacing w:line="360" w:lineRule="auto"/>
              <w:ind w:firstLine="240" w:firstLineChars="100"/>
              <w:jc w:val="both"/>
              <w:rPr>
                <w:rFonts w:hint="eastAsia" w:ascii="仿宋" w:hAnsi="仿宋" w:eastAsia="仿宋"/>
                <w:color w:val="auto"/>
                <w:sz w:val="24"/>
                <w:highlight w:val="none"/>
              </w:rPr>
            </w:pPr>
            <w:r>
              <w:rPr>
                <w:rFonts w:hint="eastAsia" w:ascii="仿宋" w:hAnsi="仿宋" w:eastAsia="仿宋"/>
                <w:color w:val="auto"/>
                <w:sz w:val="24"/>
                <w:highlight w:val="none"/>
              </w:rPr>
              <w:t>8.1</w:t>
            </w:r>
          </w:p>
        </w:tc>
        <w:tc>
          <w:tcPr>
            <w:tcW w:w="7654" w:type="dxa"/>
            <w:vAlign w:val="center"/>
          </w:tcPr>
          <w:p w14:paraId="75C0643D">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如供应商对多个包进行磋商，可以成交</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包</w:t>
            </w:r>
          </w:p>
        </w:tc>
      </w:tr>
      <w:tr w14:paraId="560F6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79" w:type="dxa"/>
            <w:vAlign w:val="center"/>
          </w:tcPr>
          <w:p w14:paraId="4854A97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13.1</w:t>
            </w:r>
          </w:p>
        </w:tc>
        <w:tc>
          <w:tcPr>
            <w:tcW w:w="7654" w:type="dxa"/>
            <w:vAlign w:val="center"/>
          </w:tcPr>
          <w:p w14:paraId="79332EB7">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磋商有效期：提交响应文件截止之日起</w:t>
            </w:r>
            <w:r>
              <w:rPr>
                <w:rFonts w:hint="eastAsia" w:ascii="仿宋" w:hAnsi="仿宋" w:eastAsia="仿宋"/>
                <w:color w:val="auto"/>
                <w:sz w:val="24"/>
                <w:highlight w:val="none"/>
                <w:u w:val="single"/>
              </w:rPr>
              <w:t>　</w:t>
            </w:r>
            <w:r>
              <w:rPr>
                <w:rFonts w:hint="eastAsia" w:ascii="仿宋" w:hAnsi="仿宋" w:eastAsia="仿宋"/>
                <w:color w:val="auto"/>
                <w:sz w:val="24"/>
                <w:highlight w:val="none"/>
                <w:u w:val="single"/>
                <w:lang w:val="en-US" w:eastAsia="zh-CN"/>
              </w:rPr>
              <w:t>60</w:t>
            </w:r>
            <w:r>
              <w:rPr>
                <w:rFonts w:hint="eastAsia" w:ascii="仿宋" w:hAnsi="仿宋" w:eastAsia="仿宋"/>
                <w:color w:val="auto"/>
                <w:sz w:val="24"/>
                <w:highlight w:val="none"/>
                <w:u w:val="single"/>
              </w:rPr>
              <w:t>　</w:t>
            </w:r>
            <w:r>
              <w:rPr>
                <w:rFonts w:hint="eastAsia" w:ascii="仿宋" w:hAnsi="仿宋" w:eastAsia="仿宋"/>
                <w:color w:val="auto"/>
                <w:sz w:val="24"/>
                <w:highlight w:val="none"/>
              </w:rPr>
              <w:t>日历日</w:t>
            </w:r>
          </w:p>
        </w:tc>
      </w:tr>
      <w:tr w14:paraId="331BC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79" w:type="dxa"/>
            <w:vAlign w:val="center"/>
          </w:tcPr>
          <w:p w14:paraId="3E334CF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14.1</w:t>
            </w:r>
          </w:p>
        </w:tc>
        <w:tc>
          <w:tcPr>
            <w:tcW w:w="7654" w:type="dxa"/>
            <w:vAlign w:val="center"/>
          </w:tcPr>
          <w:p w14:paraId="13365BAA">
            <w:pPr>
              <w:spacing w:line="360" w:lineRule="auto"/>
              <w:rPr>
                <w:rFonts w:hint="eastAsia" w:ascii="仿宋" w:hAnsi="仿宋" w:eastAsia="仿宋"/>
                <w:color w:val="auto"/>
                <w:sz w:val="24"/>
                <w:highlight w:val="none"/>
              </w:rPr>
            </w:pPr>
            <w:r>
              <w:rPr>
                <w:rFonts w:ascii="仿宋" w:hAnsi="仿宋" w:eastAsia="仿宋"/>
                <w:color w:val="auto"/>
                <w:sz w:val="24"/>
                <w:highlight w:val="none"/>
              </w:rPr>
              <w:t>响应文件：</w:t>
            </w:r>
          </w:p>
          <w:p w14:paraId="231C0ACC">
            <w:pPr>
              <w:spacing w:line="360" w:lineRule="auto"/>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在政采云平台上传加密的电子响应文件1份。（签字盖章齐全），在响应文件提交截止时间前通过政采云平台上传到指定位置。</w:t>
            </w:r>
          </w:p>
          <w:p w14:paraId="799A2FA5">
            <w:pPr>
              <w:spacing w:line="360" w:lineRule="auto"/>
              <w:rPr>
                <w:rFonts w:hint="eastAsia" w:ascii="仿宋" w:hAnsi="仿宋" w:eastAsia="仿宋"/>
                <w:color w:val="auto"/>
                <w:sz w:val="24"/>
                <w:highlight w:val="none"/>
              </w:rPr>
            </w:pPr>
            <w:r>
              <w:rPr>
                <w:rFonts w:ascii="仿宋" w:hAnsi="仿宋" w:eastAsia="仿宋"/>
                <w:color w:val="auto"/>
                <w:sz w:val="24"/>
                <w:highlight w:val="none"/>
              </w:rPr>
              <w:t>2、成交供应商收到成交通知书后须向</w:t>
            </w:r>
            <w:r>
              <w:rPr>
                <w:rFonts w:hint="eastAsia" w:ascii="仿宋" w:hAnsi="仿宋" w:eastAsia="仿宋"/>
                <w:color w:val="auto"/>
                <w:sz w:val="24"/>
                <w:highlight w:val="none"/>
              </w:rPr>
              <w:t>采购</w:t>
            </w:r>
            <w:r>
              <w:rPr>
                <w:rFonts w:ascii="仿宋" w:hAnsi="仿宋" w:eastAsia="仿宋"/>
                <w:color w:val="auto"/>
                <w:sz w:val="24"/>
                <w:highlight w:val="none"/>
              </w:rPr>
              <w:t>代理机构提供纸质胶装投标响应文件</w:t>
            </w:r>
            <w:r>
              <w:rPr>
                <w:rFonts w:hint="eastAsia" w:ascii="仿宋" w:hAnsi="仿宋" w:eastAsia="仿宋"/>
                <w:color w:val="auto"/>
                <w:sz w:val="24"/>
                <w:highlight w:val="none"/>
              </w:rPr>
              <w:t>三</w:t>
            </w:r>
            <w:r>
              <w:rPr>
                <w:rFonts w:ascii="仿宋" w:hAnsi="仿宋" w:eastAsia="仿宋"/>
                <w:color w:val="auto"/>
                <w:sz w:val="24"/>
                <w:highlight w:val="none"/>
              </w:rPr>
              <w:t xml:space="preserve">套。 </w:t>
            </w:r>
          </w:p>
          <w:p w14:paraId="79C3610C">
            <w:pPr>
              <w:spacing w:line="360" w:lineRule="auto"/>
              <w:rPr>
                <w:rFonts w:hint="eastAsia" w:ascii="仿宋" w:hAnsi="仿宋" w:eastAsia="仿宋"/>
                <w:color w:val="auto"/>
                <w:sz w:val="24"/>
                <w:highlight w:val="none"/>
              </w:rPr>
            </w:pPr>
            <w:r>
              <w:rPr>
                <w:rFonts w:ascii="仿宋" w:hAnsi="仿宋" w:eastAsia="仿宋"/>
                <w:color w:val="auto"/>
                <w:sz w:val="24"/>
                <w:highlight w:val="none"/>
              </w:rPr>
              <w:t>3、参与多个标段（包）的供应商须按标段分别编制响应文件</w:t>
            </w:r>
            <w:r>
              <w:rPr>
                <w:rFonts w:hint="eastAsia" w:ascii="仿宋" w:hAnsi="仿宋" w:eastAsia="仿宋"/>
                <w:color w:val="auto"/>
                <w:sz w:val="24"/>
                <w:highlight w:val="none"/>
              </w:rPr>
              <w:t>。</w:t>
            </w:r>
          </w:p>
        </w:tc>
      </w:tr>
      <w:tr w14:paraId="61C2E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79" w:type="dxa"/>
            <w:vAlign w:val="center"/>
          </w:tcPr>
          <w:p w14:paraId="26D30AF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16.1</w:t>
            </w:r>
          </w:p>
        </w:tc>
        <w:tc>
          <w:tcPr>
            <w:tcW w:w="7654" w:type="dxa"/>
            <w:vAlign w:val="center"/>
          </w:tcPr>
          <w:p w14:paraId="1CBA211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响应文件提交截止时间：</w:t>
            </w:r>
            <w:r>
              <w:rPr>
                <w:rFonts w:hint="eastAsia" w:ascii="仿宋" w:hAnsi="仿宋" w:eastAsia="仿宋"/>
                <w:color w:val="auto"/>
                <w:sz w:val="24"/>
                <w:highlight w:val="none"/>
                <w:u w:val="single"/>
                <w:lang w:eastAsia="zh-CN"/>
              </w:rPr>
              <w:t>202</w:t>
            </w:r>
            <w:r>
              <w:rPr>
                <w:rFonts w:hint="eastAsia" w:ascii="仿宋" w:hAnsi="仿宋" w:eastAsia="仿宋"/>
                <w:color w:val="auto"/>
                <w:sz w:val="24"/>
                <w:highlight w:val="none"/>
                <w:u w:val="single"/>
                <w:lang w:val="en-US" w:eastAsia="zh-CN"/>
              </w:rPr>
              <w:t>5</w:t>
            </w:r>
            <w:r>
              <w:rPr>
                <w:rFonts w:hint="eastAsia" w:ascii="仿宋" w:hAnsi="仿宋" w:eastAsia="仿宋"/>
                <w:color w:val="auto"/>
                <w:sz w:val="24"/>
                <w:highlight w:val="none"/>
                <w:u w:val="single"/>
                <w:lang w:eastAsia="zh-CN"/>
              </w:rPr>
              <w:t>年</w:t>
            </w:r>
            <w:r>
              <w:rPr>
                <w:rFonts w:hint="eastAsia" w:ascii="仿宋" w:hAnsi="仿宋" w:eastAsia="仿宋"/>
                <w:color w:val="auto"/>
                <w:sz w:val="24"/>
                <w:highlight w:val="none"/>
                <w:u w:val="single"/>
                <w:lang w:val="en-US" w:eastAsia="zh-CN"/>
              </w:rPr>
              <w:t>01</w:t>
            </w:r>
            <w:r>
              <w:rPr>
                <w:rFonts w:hint="eastAsia" w:ascii="仿宋" w:hAnsi="仿宋" w:eastAsia="仿宋"/>
                <w:color w:val="auto"/>
                <w:sz w:val="24"/>
                <w:highlight w:val="none"/>
                <w:u w:val="single"/>
                <w:lang w:eastAsia="zh-CN"/>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lang w:eastAsia="zh-CN"/>
              </w:rPr>
              <w:t>日 11:00</w:t>
            </w:r>
            <w:r>
              <w:rPr>
                <w:rFonts w:hint="eastAsia" w:ascii="仿宋" w:hAnsi="仿宋" w:eastAsia="仿宋"/>
                <w:color w:val="auto"/>
                <w:sz w:val="24"/>
                <w:highlight w:val="none"/>
                <w:u w:val="single"/>
              </w:rPr>
              <w:t>（北京时间）</w:t>
            </w:r>
          </w:p>
        </w:tc>
      </w:tr>
      <w:tr w14:paraId="71EDA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5E1CAFC0">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18</w:t>
            </w:r>
            <w:r>
              <w:rPr>
                <w:rFonts w:ascii="仿宋" w:hAnsi="仿宋" w:eastAsia="仿宋"/>
                <w:color w:val="auto"/>
                <w:sz w:val="24"/>
                <w:highlight w:val="none"/>
              </w:rPr>
              <w:t>.1</w:t>
            </w:r>
          </w:p>
        </w:tc>
        <w:tc>
          <w:tcPr>
            <w:tcW w:w="7654" w:type="dxa"/>
            <w:vAlign w:val="center"/>
          </w:tcPr>
          <w:p w14:paraId="2D8A8885">
            <w:pPr>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响应文件开启时间：</w:t>
            </w:r>
            <w:r>
              <w:rPr>
                <w:rFonts w:hint="eastAsia" w:ascii="仿宋" w:hAnsi="仿宋" w:eastAsia="仿宋"/>
                <w:color w:val="auto"/>
                <w:sz w:val="24"/>
                <w:highlight w:val="none"/>
                <w:u w:val="single"/>
              </w:rPr>
              <w:t>　同响应文件提交截止时间　</w:t>
            </w:r>
          </w:p>
          <w:p w14:paraId="05119F29">
            <w:pPr>
              <w:pStyle w:val="15"/>
              <w:widowControl/>
              <w:spacing w:after="0" w:line="360" w:lineRule="auto"/>
              <w:rPr>
                <w:rFonts w:hint="eastAsia" w:ascii="仿宋" w:hAnsi="仿宋" w:eastAsia="仿宋"/>
                <w:color w:val="auto"/>
                <w:highlight w:val="none"/>
              </w:rPr>
            </w:pPr>
            <w:r>
              <w:rPr>
                <w:rFonts w:hint="eastAsia" w:ascii="仿宋" w:hAnsi="仿宋" w:eastAsia="仿宋"/>
                <w:color w:val="auto"/>
                <w:highlight w:val="none"/>
              </w:rPr>
              <w:t>开启地点：</w:t>
            </w:r>
            <w:r>
              <w:rPr>
                <w:rFonts w:hint="eastAsia" w:ascii="仿宋" w:hAnsi="仿宋" w:eastAsia="仿宋"/>
                <w:color w:val="auto"/>
                <w:highlight w:val="none"/>
                <w:lang w:val="en-US" w:eastAsia="zh-CN"/>
              </w:rPr>
              <w:t>供应商</w:t>
            </w:r>
            <w:r>
              <w:rPr>
                <w:rFonts w:hint="eastAsia" w:ascii="仿宋" w:hAnsi="仿宋" w:eastAsia="仿宋"/>
                <w:color w:val="auto"/>
                <w:highlight w:val="none"/>
              </w:rPr>
              <w:t xml:space="preserve">登录政采云平台https://www.zcygov.cn/，进入“项目采购-开标评标-右边选择对应项目点击“进入项目”进入开标大厅。 </w:t>
            </w:r>
          </w:p>
        </w:tc>
      </w:tr>
      <w:tr w14:paraId="1645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7978BFDA">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19.2</w:t>
            </w:r>
          </w:p>
        </w:tc>
        <w:tc>
          <w:tcPr>
            <w:tcW w:w="7654" w:type="dxa"/>
            <w:vAlign w:val="center"/>
          </w:tcPr>
          <w:p w14:paraId="1482707A">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采购人或采购代理机构</w:t>
            </w:r>
            <w:r>
              <w:rPr>
                <w:rFonts w:hint="eastAsia" w:ascii="仿宋" w:hAnsi="仿宋" w:eastAsia="仿宋"/>
                <w:color w:val="auto"/>
                <w:sz w:val="24"/>
                <w:highlight w:val="none"/>
                <w:lang w:val="en-US" w:eastAsia="zh-CN"/>
              </w:rPr>
              <w:t>查询</w:t>
            </w:r>
            <w:r>
              <w:rPr>
                <w:rFonts w:hint="eastAsia" w:ascii="仿宋" w:hAnsi="仿宋" w:eastAsia="仿宋"/>
                <w:color w:val="auto"/>
                <w:sz w:val="24"/>
                <w:highlight w:val="none"/>
              </w:rPr>
              <w:t>信用</w:t>
            </w:r>
            <w:r>
              <w:rPr>
                <w:rFonts w:hint="eastAsia" w:ascii="仿宋" w:hAnsi="仿宋" w:eastAsia="仿宋"/>
                <w:color w:val="auto"/>
                <w:sz w:val="24"/>
                <w:highlight w:val="none"/>
                <w:lang w:val="en-US" w:eastAsia="zh-CN"/>
              </w:rPr>
              <w:t>记录</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响应文件提交截止时间　</w:t>
            </w:r>
          </w:p>
        </w:tc>
      </w:tr>
      <w:tr w14:paraId="347F3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79" w:type="dxa"/>
            <w:vAlign w:val="center"/>
          </w:tcPr>
          <w:p w14:paraId="1C063F15">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24</w:t>
            </w:r>
            <w:r>
              <w:rPr>
                <w:rFonts w:hint="eastAsia" w:ascii="仿宋" w:hAnsi="仿宋" w:eastAsia="仿宋"/>
                <w:color w:val="auto"/>
                <w:sz w:val="24"/>
                <w:highlight w:val="none"/>
              </w:rPr>
              <w:t>.2</w:t>
            </w:r>
          </w:p>
        </w:tc>
        <w:tc>
          <w:tcPr>
            <w:tcW w:w="7654" w:type="dxa"/>
            <w:vAlign w:val="center"/>
          </w:tcPr>
          <w:p w14:paraId="32850D93">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评标方法：</w:t>
            </w:r>
            <w:r>
              <w:rPr>
                <w:rFonts w:hint="eastAsia" w:ascii="仿宋" w:hAnsi="仿宋" w:eastAsia="仿宋"/>
                <w:color w:val="auto"/>
                <w:sz w:val="24"/>
                <w:highlight w:val="none"/>
                <w:u w:val="single"/>
              </w:rPr>
              <w:t>综合评分法</w:t>
            </w:r>
          </w:p>
        </w:tc>
      </w:tr>
      <w:tr w14:paraId="07114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30B055C8">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.1</w:t>
            </w:r>
          </w:p>
        </w:tc>
        <w:tc>
          <w:tcPr>
            <w:tcW w:w="7654" w:type="dxa"/>
            <w:vAlign w:val="center"/>
          </w:tcPr>
          <w:p w14:paraId="2C236DE2">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推荐成交候选人的数量：</w:t>
            </w:r>
            <w:r>
              <w:rPr>
                <w:rFonts w:hint="eastAsia" w:ascii="仿宋" w:hAnsi="仿宋" w:eastAsia="仿宋"/>
                <w:color w:val="auto"/>
                <w:sz w:val="24"/>
                <w:highlight w:val="none"/>
                <w:u w:val="single"/>
              </w:rPr>
              <w:t>　3　</w:t>
            </w:r>
          </w:p>
        </w:tc>
      </w:tr>
      <w:tr w14:paraId="52175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012E597E">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1C2EF8D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采购人是否委托评标委员会直接确定成交供应商： </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 xml:space="preserve"> </w:t>
            </w:r>
          </w:p>
        </w:tc>
      </w:tr>
      <w:tr w14:paraId="7661C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18F00D42">
            <w:pPr>
              <w:spacing w:line="360" w:lineRule="auto"/>
              <w:jc w:val="center"/>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.1</w:t>
            </w:r>
          </w:p>
        </w:tc>
        <w:tc>
          <w:tcPr>
            <w:tcW w:w="7654" w:type="dxa"/>
            <w:vAlign w:val="center"/>
          </w:tcPr>
          <w:p w14:paraId="2C91CE27">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是否</w:t>
            </w:r>
            <w:r>
              <w:rPr>
                <w:rFonts w:ascii="仿宋" w:hAnsi="仿宋" w:eastAsia="仿宋"/>
                <w:color w:val="auto"/>
                <w:sz w:val="24"/>
                <w:highlight w:val="none"/>
              </w:rPr>
              <w:t>提交履约保证金：</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tc>
      </w:tr>
      <w:tr w14:paraId="12740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59F7D9EB">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34.1</w:t>
            </w:r>
          </w:p>
        </w:tc>
        <w:tc>
          <w:tcPr>
            <w:tcW w:w="7654" w:type="dxa"/>
            <w:vAlign w:val="center"/>
          </w:tcPr>
          <w:p w14:paraId="225FBDD5">
            <w:pPr>
              <w:spacing w:line="360" w:lineRule="auto"/>
              <w:rPr>
                <w:rFonts w:hint="eastAsia" w:ascii="仿宋" w:hAnsi="仿宋" w:eastAsia="仿宋"/>
                <w:i/>
                <w:color w:val="auto"/>
                <w:sz w:val="24"/>
                <w:highlight w:val="none"/>
              </w:rPr>
            </w:pPr>
            <w:r>
              <w:rPr>
                <w:rFonts w:hint="eastAsia" w:ascii="仿宋" w:hAnsi="仿宋" w:eastAsia="仿宋"/>
                <w:color w:val="auto"/>
                <w:sz w:val="24"/>
                <w:highlight w:val="none"/>
              </w:rPr>
              <w:t>招标代理</w:t>
            </w:r>
            <w:r>
              <w:rPr>
                <w:rFonts w:ascii="仿宋" w:hAnsi="仿宋" w:eastAsia="仿宋"/>
                <w:color w:val="auto"/>
                <w:sz w:val="24"/>
                <w:highlight w:val="none"/>
              </w:rPr>
              <w:t>费</w:t>
            </w:r>
            <w:r>
              <w:rPr>
                <w:rFonts w:hint="eastAsia" w:ascii="仿宋" w:hAnsi="仿宋" w:eastAsia="仿宋"/>
                <w:color w:val="auto"/>
                <w:sz w:val="24"/>
                <w:highlight w:val="none"/>
              </w:rPr>
              <w:t>：</w:t>
            </w:r>
            <w:r>
              <w:rPr>
                <w:rFonts w:hint="eastAsia" w:ascii="仿宋" w:hAnsi="仿宋" w:eastAsia="仿宋"/>
                <w:color w:val="auto"/>
                <w:sz w:val="24"/>
                <w:szCs w:val="24"/>
                <w:lang w:val="zh-CN"/>
              </w:rPr>
              <w:t>参照原国家计委计价格【2002】1980号文</w:t>
            </w:r>
            <w:r>
              <w:rPr>
                <w:rFonts w:hint="eastAsia" w:ascii="仿宋" w:hAnsi="仿宋" w:eastAsia="仿宋"/>
                <w:color w:val="auto"/>
                <w:sz w:val="24"/>
                <w:szCs w:val="24"/>
                <w:lang w:val="en-US" w:eastAsia="zh-CN"/>
              </w:rPr>
              <w:t>下浮30%</w:t>
            </w:r>
            <w:r>
              <w:rPr>
                <w:rFonts w:hint="eastAsia" w:ascii="仿宋" w:hAnsi="仿宋" w:eastAsia="仿宋"/>
                <w:color w:val="auto"/>
                <w:sz w:val="24"/>
                <w:szCs w:val="24"/>
                <w:lang w:val="zh-CN"/>
              </w:rPr>
              <w:t>收取，成交供应商支付。</w:t>
            </w:r>
          </w:p>
        </w:tc>
      </w:tr>
      <w:tr w14:paraId="57B56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32C34841">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.2</w:t>
            </w:r>
          </w:p>
        </w:tc>
        <w:tc>
          <w:tcPr>
            <w:tcW w:w="7654" w:type="dxa"/>
            <w:vAlign w:val="center"/>
          </w:tcPr>
          <w:p w14:paraId="461DD8B9">
            <w:pPr>
              <w:spacing w:line="360" w:lineRule="auto"/>
              <w:ind w:left="706" w:leftChars="-1" w:hanging="708" w:hangingChars="295"/>
              <w:rPr>
                <w:rFonts w:hint="eastAsia" w:ascii="仿宋" w:hAnsi="仿宋" w:eastAsia="仿宋"/>
                <w:color w:val="auto"/>
                <w:sz w:val="24"/>
                <w:highlight w:val="none"/>
              </w:rPr>
            </w:pPr>
            <w:r>
              <w:rPr>
                <w:rFonts w:hint="eastAsia" w:ascii="仿宋" w:hAnsi="仿宋" w:eastAsia="仿宋"/>
                <w:color w:val="auto"/>
                <w:sz w:val="24"/>
                <w:highlight w:val="none"/>
              </w:rPr>
              <w:t>针对</w:t>
            </w:r>
            <w:r>
              <w:rPr>
                <w:rFonts w:ascii="仿宋" w:hAnsi="仿宋" w:eastAsia="仿宋"/>
                <w:color w:val="auto"/>
                <w:sz w:val="24"/>
                <w:highlight w:val="none"/>
              </w:rPr>
              <w:t>同一采购程序环节的质疑次数：一次性提出</w:t>
            </w:r>
          </w:p>
        </w:tc>
      </w:tr>
      <w:tr w14:paraId="14D13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533" w:type="dxa"/>
            <w:gridSpan w:val="2"/>
            <w:tcBorders>
              <w:top w:val="single" w:color="auto" w:sz="12" w:space="0"/>
              <w:left w:val="single" w:color="auto" w:sz="12" w:space="0"/>
              <w:bottom w:val="single" w:color="auto" w:sz="12" w:space="0"/>
              <w:right w:val="single" w:color="auto" w:sz="12" w:space="0"/>
            </w:tcBorders>
            <w:vAlign w:val="center"/>
          </w:tcPr>
          <w:p w14:paraId="61F79E3A">
            <w:pPr>
              <w:spacing w:line="360" w:lineRule="auto"/>
              <w:ind w:left="1417" w:leftChars="203" w:hanging="991"/>
              <w:rPr>
                <w:rFonts w:hint="eastAsia" w:ascii="仿宋" w:hAnsi="仿宋" w:eastAsia="仿宋"/>
                <w:color w:val="auto"/>
                <w:sz w:val="24"/>
                <w:highlight w:val="none"/>
              </w:rPr>
            </w:pPr>
            <w:r>
              <w:rPr>
                <w:rFonts w:hint="eastAsia" w:ascii="仿宋" w:hAnsi="仿宋" w:eastAsia="仿宋"/>
                <w:color w:val="auto"/>
                <w:sz w:val="24"/>
                <w:highlight w:val="none"/>
              </w:rPr>
              <w:t>适用于本供应商须知的额外增加的变动：</w:t>
            </w:r>
          </w:p>
        </w:tc>
      </w:tr>
      <w:tr w14:paraId="2A05B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29A68997">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1</w:t>
            </w:r>
          </w:p>
        </w:tc>
        <w:tc>
          <w:tcPr>
            <w:tcW w:w="7654" w:type="dxa"/>
            <w:vAlign w:val="center"/>
          </w:tcPr>
          <w:p w14:paraId="6BBC7AEE">
            <w:pPr>
              <w:tabs>
                <w:tab w:val="left" w:pos="5580"/>
              </w:tabs>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合同履约期限：自合同签订之日至工程竣工验收、结算审计、竣工档案移交完成截止。</w:t>
            </w:r>
          </w:p>
        </w:tc>
      </w:tr>
      <w:tr w14:paraId="18E44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514C4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7654" w:type="dxa"/>
            <w:vAlign w:val="center"/>
          </w:tcPr>
          <w:p w14:paraId="23801056">
            <w:pPr>
              <w:rPr>
                <w:rFonts w:hint="eastAsia" w:ascii="仿宋" w:hAnsi="仿宋" w:eastAsia="仿宋"/>
                <w:color w:val="auto"/>
                <w:sz w:val="24"/>
                <w:highlight w:val="none"/>
              </w:rPr>
            </w:pPr>
            <w:r>
              <w:rPr>
                <w:rFonts w:hint="eastAsia" w:ascii="仿宋" w:hAnsi="仿宋" w:eastAsia="仿宋"/>
                <w:color w:val="auto"/>
                <w:sz w:val="24"/>
                <w:highlight w:val="none"/>
              </w:rPr>
              <w:t>付款方式：</w:t>
            </w:r>
            <w:r>
              <w:rPr>
                <w:rFonts w:hint="eastAsia" w:ascii="仿宋" w:hAnsi="仿宋" w:eastAsia="仿宋" w:cs="仿宋"/>
                <w:color w:val="auto"/>
                <w:sz w:val="24"/>
                <w:szCs w:val="24"/>
                <w:highlight w:val="none"/>
              </w:rPr>
              <w:t>合同签订后支付合同总价款的30%，工程主体竣工后支付合同总价款的40%，工程整体竣工后支付合同价款的20%，监理资料移交完毕且保修期结束后支付合同价款的10%。</w:t>
            </w:r>
          </w:p>
        </w:tc>
      </w:tr>
      <w:tr w14:paraId="2AD18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20F59F0">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7654" w:type="dxa"/>
            <w:vAlign w:val="center"/>
          </w:tcPr>
          <w:p w14:paraId="7DC76662">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保证金/电子保函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☑需要缴纳     □不需要缴纳</w:t>
            </w:r>
          </w:p>
          <w:p w14:paraId="49272181">
            <w:pPr>
              <w:pStyle w:val="25"/>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保证金缴纳</w:t>
            </w:r>
            <w:r>
              <w:rPr>
                <w:rFonts w:hint="eastAsia" w:ascii="仿宋" w:hAnsi="仿宋" w:eastAsia="仿宋"/>
                <w:color w:val="auto"/>
                <w:sz w:val="24"/>
                <w:highlight w:val="none"/>
                <w:lang w:val="en-US" w:eastAsia="zh-CN"/>
              </w:rPr>
              <w:t>形式</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银行转账、</w:t>
            </w:r>
            <w:r>
              <w:rPr>
                <w:rFonts w:hint="eastAsia" w:ascii="仿宋" w:hAnsi="仿宋" w:eastAsia="仿宋"/>
                <w:color w:val="auto"/>
                <w:sz w:val="24"/>
                <w:highlight w:val="none"/>
              </w:rPr>
              <w:t>支票、汇票、本票或者金融机构、担保机构出具的保函等非现金形式</w:t>
            </w:r>
            <w:r>
              <w:rPr>
                <w:rFonts w:hint="eastAsia" w:ascii="仿宋" w:hAnsi="仿宋" w:eastAsia="仿宋"/>
                <w:color w:val="auto"/>
                <w:sz w:val="24"/>
                <w:highlight w:val="none"/>
                <w:lang w:val="en-US" w:eastAsia="zh-CN"/>
              </w:rPr>
              <w:t>交纳。</w:t>
            </w:r>
          </w:p>
          <w:p w14:paraId="6A928A8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缴纳维度：☑按项目    □ 按标项</w:t>
            </w:r>
          </w:p>
          <w:p w14:paraId="50BD7C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缴纳响应截止时间</w:t>
            </w:r>
            <w:r>
              <w:rPr>
                <w:rFonts w:hint="eastAsia" w:ascii="仿宋" w:hAnsi="仿宋" w:eastAsia="仿宋"/>
                <w:color w:val="auto"/>
                <w:sz w:val="24"/>
                <w:highlight w:val="none"/>
                <w:lang w:eastAsia="zh-CN"/>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年</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lang w:eastAsia="zh-CN"/>
              </w:rPr>
              <w:t>日 11:00</w:t>
            </w:r>
            <w:r>
              <w:rPr>
                <w:rFonts w:hint="eastAsia" w:ascii="仿宋" w:hAnsi="仿宋" w:eastAsia="仿宋"/>
                <w:color w:val="auto"/>
                <w:sz w:val="24"/>
                <w:highlight w:val="none"/>
                <w:lang w:val="en-US" w:eastAsia="zh-CN"/>
              </w:rPr>
              <w:t>时（北京时间）</w:t>
            </w:r>
          </w:p>
          <w:p w14:paraId="7369FD7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rPr>
              <w:t>保证金金额：</w:t>
            </w:r>
            <w:r>
              <w:rPr>
                <w:rFonts w:hint="eastAsia" w:ascii="仿宋" w:hAnsi="仿宋" w:eastAsia="仿宋"/>
                <w:color w:val="auto"/>
                <w:sz w:val="24"/>
                <w:highlight w:val="none"/>
                <w:lang w:val="en-US" w:eastAsia="zh-CN"/>
              </w:rPr>
              <w:t>伍仟元整</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5000</w:t>
            </w:r>
            <w:r>
              <w:rPr>
                <w:rFonts w:hint="eastAsia" w:ascii="仿宋" w:hAnsi="仿宋" w:eastAsia="仿宋"/>
                <w:color w:val="auto"/>
                <w:sz w:val="24"/>
                <w:highlight w:val="none"/>
              </w:rPr>
              <w:t>.00元）</w:t>
            </w:r>
          </w:p>
          <w:p w14:paraId="72A42543">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 xml:space="preserve">保证金账号信息： </w:t>
            </w:r>
          </w:p>
          <w:p w14:paraId="251B7310">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账户名：新疆新诚泰工程咨询有限公司</w:t>
            </w:r>
          </w:p>
          <w:p w14:paraId="4598E59B">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开户行：中国银行股份有限公司乌鲁木齐市龙盛街支行</w:t>
            </w:r>
          </w:p>
          <w:p w14:paraId="728614BA">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行号：104881004170</w:t>
            </w:r>
          </w:p>
          <w:p w14:paraId="305324F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帐号：107675053625</w:t>
            </w:r>
          </w:p>
          <w:p w14:paraId="2F41741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采购代理服务费缴纳账号：（同上）</w:t>
            </w:r>
          </w:p>
          <w:p w14:paraId="757209FB">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2）保函信息</w:t>
            </w:r>
          </w:p>
          <w:p w14:paraId="46962EF4">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保函承保期限：202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21  </w:t>
            </w:r>
            <w:r>
              <w:rPr>
                <w:rFonts w:hint="eastAsia" w:ascii="仿宋" w:hAnsi="仿宋" w:eastAsia="仿宋"/>
                <w:color w:val="auto"/>
                <w:sz w:val="24"/>
                <w:highlight w:val="none"/>
              </w:rPr>
              <w:t>11:00～202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21 </w:t>
            </w:r>
            <w:r>
              <w:rPr>
                <w:rFonts w:hint="eastAsia" w:ascii="仿宋" w:hAnsi="仿宋" w:eastAsia="仿宋"/>
                <w:color w:val="auto"/>
                <w:sz w:val="24"/>
                <w:highlight w:val="none"/>
              </w:rPr>
              <w:t xml:space="preserve"> 11:00</w:t>
            </w:r>
          </w:p>
          <w:p w14:paraId="39C2FA98">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说明：</w:t>
            </w:r>
          </w:p>
          <w:p w14:paraId="45344DEC">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）磋商保证金必须在</w:t>
            </w:r>
            <w:r>
              <w:rPr>
                <w:rFonts w:hint="eastAsia" w:ascii="仿宋" w:hAnsi="仿宋" w:eastAsia="仿宋"/>
                <w:color w:val="auto"/>
                <w:sz w:val="24"/>
                <w:highlight w:val="none"/>
                <w:lang w:val="en-US" w:eastAsia="zh-CN"/>
              </w:rPr>
              <w:t>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开启</w:t>
            </w:r>
            <w:r>
              <w:rPr>
                <w:rFonts w:hint="eastAsia" w:ascii="仿宋" w:hAnsi="仿宋" w:eastAsia="仿宋"/>
                <w:color w:val="auto"/>
                <w:sz w:val="24"/>
                <w:highlight w:val="none"/>
              </w:rPr>
              <w:t>时间）前缴纳至</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银行账户。</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需自行评估因异地、跨行、公休日等因素造成的磋商保证金到账延迟风险，并承担相应责任。磋商保证金以到账信息为准，</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未按照</w:t>
            </w:r>
            <w:r>
              <w:rPr>
                <w:rFonts w:hint="eastAsia" w:ascii="仿宋" w:hAnsi="仿宋" w:eastAsia="仿宋"/>
                <w:color w:val="auto"/>
                <w:sz w:val="24"/>
                <w:highlight w:val="none"/>
                <w:lang w:eastAsia="zh-CN"/>
              </w:rPr>
              <w:t>竞争性磋商文件</w:t>
            </w:r>
            <w:r>
              <w:rPr>
                <w:rFonts w:hint="eastAsia" w:ascii="仿宋" w:hAnsi="仿宋" w:eastAsia="仿宋"/>
                <w:color w:val="auto"/>
                <w:sz w:val="24"/>
                <w:highlight w:val="none"/>
              </w:rPr>
              <w:t>要求提交磋商保证金的，磋商无效。（以银行记录确认到账为准，备注项目名称及项目编号）。</w:t>
            </w:r>
          </w:p>
          <w:p w14:paraId="30349764">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未按以上要求递交磋商保证金及办理确认手续的，其磋商保证金视为无效，采购人将拒绝其投标。</w:t>
            </w:r>
          </w:p>
          <w:p w14:paraId="3B6313C7">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政采云电子保函须知：</w:t>
            </w:r>
          </w:p>
          <w:p w14:paraId="133BE012">
            <w:pPr>
              <w:pStyle w:val="25"/>
              <w:shd w:val="clear" w:color="auto" w:fill="FFFFFF"/>
              <w:spacing w:line="360" w:lineRule="exact"/>
              <w:ind w:firstLine="0" w:firstLineChars="0"/>
              <w:rPr>
                <w:rFonts w:hint="eastAsia" w:ascii="仿宋" w:hAnsi="仿宋" w:eastAsia="仿宋"/>
                <w:color w:val="auto"/>
                <w:sz w:val="24"/>
                <w:highlight w:val="none"/>
                <w:lang w:val="en-US" w:eastAsia="en-US"/>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val="en-US" w:eastAsia="en-US"/>
              </w:rPr>
              <w:t>为支持和促进中小企业发展，进一步发挥政府采购政策功能，本采购项目适用于政府采购融资优惠、政采贷、电子保函相关政策，鼓励供应商使用电子保函代替现金缴纳各类保证金，在线完成保函的申请、审核、开票、出函等环节，</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lang w:val="en-US" w:eastAsia="en-US"/>
              </w:rPr>
              <w:t>注意区分办理保函类型，并确认</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en-US" w:eastAsia="en-US"/>
              </w:rPr>
              <w:t>有效期。</w:t>
            </w:r>
          </w:p>
          <w:p w14:paraId="4C66821C">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（2）如采用政采云电子保函形式，可按照以下形式进行在线申请，电子保函申请链接</w:t>
            </w:r>
          </w:p>
          <w:p w14:paraId="75079410">
            <w:pPr>
              <w:pStyle w:val="25"/>
              <w:shd w:val="clear" w:color="auto" w:fill="FFFFFF"/>
              <w:spacing w:line="360" w:lineRule="exact"/>
              <w:ind w:firstLine="0" w:firstLineChars="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（https://jinrong.zcygov.cn/luban/finance/letter/xinjiang?pageModelFlag=650000&amp;utm=site.site-PC-42055.1718-block_comp_1709189989843012.6.33f19dd0635411ef9be3cb6599db755d），如遇问题可拨打客服电话：95763。</w:t>
            </w:r>
          </w:p>
          <w:p w14:paraId="69B42DD8">
            <w:pPr>
              <w:pStyle w:val="25"/>
              <w:shd w:val="clear" w:color="auto" w:fill="FFFFFF"/>
              <w:spacing w:line="360" w:lineRule="exact"/>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（3）响应文件提交</w:t>
            </w:r>
            <w:r>
              <w:rPr>
                <w:rFonts w:hint="eastAsia" w:ascii="仿宋" w:hAnsi="仿宋" w:eastAsia="仿宋"/>
                <w:color w:val="auto"/>
                <w:sz w:val="24"/>
                <w:highlight w:val="none"/>
              </w:rPr>
              <w:t>截止时间</w:t>
            </w:r>
            <w:r>
              <w:rPr>
                <w:rFonts w:hint="eastAsia" w:ascii="仿宋" w:hAnsi="仿宋" w:eastAsia="仿宋"/>
                <w:color w:val="auto"/>
                <w:sz w:val="24"/>
                <w:highlight w:val="none"/>
                <w:lang w:val="en-US" w:eastAsia="zh-CN"/>
              </w:rPr>
              <w:t>前将保函制作到电子响应文件即可。</w:t>
            </w:r>
          </w:p>
        </w:tc>
      </w:tr>
      <w:tr w14:paraId="3EBC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6E89E49">
            <w:pPr>
              <w:spacing w:line="36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7654" w:type="dxa"/>
            <w:vAlign w:val="center"/>
          </w:tcPr>
          <w:p w14:paraId="5D555E6D">
            <w:pPr>
              <w:pStyle w:val="25"/>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b/>
                <w:bCs/>
                <w:color w:val="auto"/>
                <w:sz w:val="24"/>
                <w:highlight w:val="none"/>
              </w:rPr>
              <w:t>本项目需要落实的政府采购政策：</w:t>
            </w:r>
            <w:r>
              <w:rPr>
                <w:rFonts w:hint="eastAsia" w:ascii="仿宋" w:hAnsi="仿宋" w:eastAsia="仿宋" w:cs="Times New Roman"/>
                <w:color w:val="auto"/>
                <w:sz w:val="24"/>
                <w:highlight w:val="none"/>
              </w:rPr>
              <w:br w:type="textWrapping"/>
            </w:r>
            <w:r>
              <w:rPr>
                <w:rFonts w:hint="eastAsia" w:ascii="仿宋" w:hAnsi="仿宋" w:eastAsia="仿宋" w:cs="Times New Roman"/>
                <w:b/>
                <w:bCs/>
                <w:color w:val="auto"/>
                <w:sz w:val="24"/>
                <w:highlight w:val="none"/>
                <w:lang w:val="en-US" w:eastAsia="zh-CN"/>
              </w:rPr>
              <w:t>1、本项目专门面向中小企业采购。供应商提供的服务全部由符合政策要求的中小企业或残疾人福利性单位或监狱企业承接。</w:t>
            </w:r>
            <w:r>
              <w:rPr>
                <w:rFonts w:hint="eastAsia" w:ascii="仿宋" w:hAnsi="仿宋" w:eastAsia="仿宋" w:cs="Times New Roman"/>
                <w:b/>
                <w:bCs/>
                <w:color w:val="auto"/>
                <w:sz w:val="24"/>
                <w:highlight w:val="none"/>
              </w:rPr>
              <w:t xml:space="preserve"> </w:t>
            </w:r>
          </w:p>
          <w:p w14:paraId="4B7DA824">
            <w:pPr>
              <w:pStyle w:val="25"/>
              <w:numPr>
                <w:ilvl w:val="0"/>
                <w:numId w:val="7"/>
              </w:numPr>
              <w:shd w:val="clear" w:color="auto" w:fill="FFFFFF"/>
              <w:spacing w:line="360" w:lineRule="exact"/>
              <w:ind w:firstLine="0" w:firstLineChars="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根据工信部等部委发布的《关于印发中小企业划型标准规定的通知》（工信部联企业〔2011〕300号）、财政部、工业和信息化部《政府采购促进中小企业发展管理办法》（财库[2020]46 号文）规定</w:t>
            </w:r>
            <w:r>
              <w:rPr>
                <w:rFonts w:hint="eastAsia" w:ascii="仿宋" w:hAnsi="仿宋" w:eastAsia="仿宋" w:cs="Times New Roman"/>
                <w:color w:val="auto"/>
                <w:sz w:val="24"/>
                <w:highlight w:val="none"/>
                <w:lang w:eastAsia="zh-CN"/>
              </w:rPr>
              <w:t>。</w:t>
            </w:r>
          </w:p>
          <w:p w14:paraId="22C8025C">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kern w:val="0"/>
                <w:sz w:val="24"/>
                <w:szCs w:val="20"/>
                <w:highlight w:val="none"/>
                <w:lang w:val="en-US" w:eastAsia="zh-CN" w:bidi="ar-SA"/>
              </w:rPr>
              <w:t>（1）</w:t>
            </w:r>
            <w:r>
              <w:rPr>
                <w:rFonts w:hint="eastAsia" w:ascii="仿宋" w:hAnsi="仿宋" w:eastAsia="仿宋" w:cs="Times New Roman"/>
                <w:color w:val="auto"/>
                <w:sz w:val="24"/>
                <w:highlight w:val="none"/>
              </w:rPr>
              <w:t xml:space="preserve">本文件所称中小企业，是指在中华人民共和国境内依法设立，依据国务院批准的中小企业划分标准确定的中型企业、小型企业和微型企业，但与大企业的负责人为同一人，或者与大企业存在直接 控股、管理关系的除外。符合中小企业划分标准的个体工商户，在政府采购活动中视同中小企业。 </w:t>
            </w:r>
          </w:p>
          <w:p w14:paraId="0D4E7581">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）对满足以上（1）条件并按照本文件第</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rPr>
              <w:t>章规定格 式提供《中小企业声明函》（须内容填写完整）的</w:t>
            </w:r>
            <w:r>
              <w:rPr>
                <w:rFonts w:hint="eastAsia" w:ascii="仿宋" w:hAnsi="仿宋" w:eastAsia="仿宋" w:cs="Times New Roman"/>
                <w:b w:val="0"/>
                <w:bCs w:val="0"/>
                <w:color w:val="auto"/>
                <w:sz w:val="24"/>
                <w:highlight w:val="none"/>
              </w:rPr>
              <w:t>小微企业</w:t>
            </w:r>
            <w:r>
              <w:rPr>
                <w:rFonts w:hint="eastAsia" w:ascii="仿宋" w:hAnsi="仿宋" w:eastAsia="仿宋" w:cs="Times New Roman"/>
                <w:color w:val="auto"/>
                <w:sz w:val="24"/>
                <w:highlight w:val="none"/>
              </w:rPr>
              <w:t>的</w:t>
            </w:r>
            <w:r>
              <w:rPr>
                <w:rFonts w:hint="eastAsia" w:ascii="仿宋" w:hAnsi="仿宋" w:eastAsia="仿宋" w:cs="Times New Roman"/>
                <w:color w:val="auto"/>
                <w:sz w:val="24"/>
                <w:highlight w:val="none"/>
                <w:lang w:val="en-US" w:eastAsia="zh-CN"/>
              </w:rPr>
              <w:t>竞标</w:t>
            </w:r>
            <w:r>
              <w:rPr>
                <w:rFonts w:hint="eastAsia" w:ascii="仿宋" w:hAnsi="仿宋" w:eastAsia="仿宋" w:cs="Times New Roman"/>
                <w:color w:val="auto"/>
                <w:sz w:val="24"/>
                <w:highlight w:val="none"/>
              </w:rPr>
              <w:t>总报价给予</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u w:val="single"/>
                <w:lang w:val="en-US" w:eastAsia="zh-CN"/>
              </w:rPr>
              <w:t>/</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 xml:space="preserve">%的扣除，用扣除后的价格参与评审。 </w:t>
            </w:r>
          </w:p>
          <w:p w14:paraId="7111EAA9">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 xml:space="preserve">）依据本办法规定享受扶持政策获得政府采购合同的，小微企业不得将合同分包给大中型企业，中型企业不得将合同分包给大型企业。 </w:t>
            </w:r>
          </w:p>
          <w:p w14:paraId="64952C4B">
            <w:pPr>
              <w:pStyle w:val="25"/>
              <w:numPr>
                <w:ilvl w:val="0"/>
                <w:numId w:val="0"/>
              </w:numPr>
              <w:shd w:val="clear" w:color="auto" w:fill="FFFFFF"/>
              <w:spacing w:line="360" w:lineRule="exac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 xml:space="preserve">）提供由省级以上监狱管理局、戒毒管理局（含新疆生产建设兵团）出具的属于监狱企业证明文件的，视同为小型和微型企业。 </w:t>
            </w:r>
          </w:p>
          <w:p w14:paraId="49418E4C">
            <w:pPr>
              <w:pStyle w:val="25"/>
              <w:numPr>
                <w:ilvl w:val="0"/>
                <w:numId w:val="0"/>
              </w:numPr>
              <w:shd w:val="clear" w:color="auto" w:fill="FFFFFF"/>
              <w:spacing w:line="360" w:lineRule="exact"/>
              <w:rPr>
                <w:rFonts w:hint="eastAsia" w:ascii="仿宋" w:hAnsi="仿宋" w:eastAsia="仿宋"/>
                <w:color w:val="auto"/>
                <w:sz w:val="24"/>
                <w:szCs w:val="24"/>
                <w:highlight w:val="none"/>
                <w:lang w:eastAsia="zh-CN"/>
              </w:rPr>
            </w:pP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 xml:space="preserve">）符合享受政府采购支持政策的残疾人福利性单位条件且提供《残疾人福利性单位声明函》的，视同为小型和微型企业。 </w:t>
            </w:r>
          </w:p>
        </w:tc>
      </w:tr>
      <w:tr w14:paraId="62EC5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1FDA884B">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5</w:t>
            </w:r>
          </w:p>
        </w:tc>
        <w:tc>
          <w:tcPr>
            <w:tcW w:w="7654" w:type="dxa"/>
            <w:vAlign w:val="center"/>
          </w:tcPr>
          <w:p w14:paraId="0B2100D1">
            <w:pPr>
              <w:pStyle w:val="25"/>
              <w:shd w:val="clear" w:color="auto" w:fill="FFFFFF"/>
              <w:spacing w:line="360" w:lineRule="exact"/>
              <w:ind w:firstLine="0" w:firstLineChars="0"/>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中小企业声明函(服务)格式中</w:t>
            </w:r>
            <w:r>
              <w:rPr>
                <w:rFonts w:hint="eastAsia" w:ascii="仿宋" w:hAnsi="仿宋" w:eastAsia="仿宋"/>
                <w:b/>
                <w:bCs/>
                <w:color w:val="auto"/>
                <w:sz w:val="24"/>
                <w:szCs w:val="24"/>
                <w:highlight w:val="none"/>
                <w:lang w:eastAsia="zh-CN"/>
              </w:rPr>
              <w:t>竞争性磋商文件</w:t>
            </w:r>
            <w:r>
              <w:rPr>
                <w:rFonts w:hint="eastAsia" w:ascii="仿宋" w:hAnsi="仿宋" w:eastAsia="仿宋"/>
                <w:b/>
                <w:bCs/>
                <w:color w:val="auto"/>
                <w:sz w:val="24"/>
                <w:szCs w:val="24"/>
                <w:highlight w:val="none"/>
              </w:rPr>
              <w:t>中明确的所属行业：</w:t>
            </w:r>
            <w:r>
              <w:rPr>
                <w:rFonts w:hint="eastAsia" w:hAnsi="Calibri"/>
                <w:b/>
                <w:bCs/>
                <w:color w:val="auto"/>
                <w:sz w:val="24"/>
                <w:szCs w:val="24"/>
                <w:highlight w:val="none"/>
                <w:u w:val="single"/>
              </w:rPr>
              <w:t>其他未列明行业</w:t>
            </w:r>
          </w:p>
        </w:tc>
      </w:tr>
      <w:tr w14:paraId="21D6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AEBCC24">
            <w:pPr>
              <w:spacing w:line="36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7654" w:type="dxa"/>
            <w:vAlign w:val="center"/>
          </w:tcPr>
          <w:p w14:paraId="2AEAA155">
            <w:pPr>
              <w:pStyle w:val="25"/>
              <w:shd w:val="clear" w:color="auto" w:fill="FFFFFF"/>
              <w:spacing w:line="360" w:lineRule="exact"/>
              <w:ind w:firstLine="0" w:firstLineChars="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需要补充的其他内容</w:t>
            </w:r>
            <w:r>
              <w:rPr>
                <w:rFonts w:hint="eastAsia" w:ascii="仿宋" w:hAnsi="仿宋" w:eastAsia="仿宋"/>
                <w:b/>
                <w:color w:val="auto"/>
                <w:sz w:val="24"/>
                <w:highlight w:val="none"/>
                <w:lang w:eastAsia="zh-CN"/>
              </w:rPr>
              <w:t>：</w:t>
            </w:r>
          </w:p>
          <w:p w14:paraId="3562ED6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需自行准备电脑笔记本并调试好解密,在政采云远程不见面开标大厅进行响应文件解密，如因供应商自身原因导致在规定时间内无法正常解密的（如：浏览器故障、未安装相关驱动、网络故障、加密CA与解密 CA 不一致等），代理机构不予异常处理，视为供应商自动弃标。</w:t>
            </w:r>
          </w:p>
          <w:p w14:paraId="451D0879">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2、当出现下列情形之一，响应文件将予以退回：</w:t>
            </w:r>
          </w:p>
          <w:p w14:paraId="648A922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1）供应商在响应文件递交截止时间前未成功上传加密电子响应文件（ .bttf）；</w:t>
            </w:r>
          </w:p>
          <w:p w14:paraId="49BFC61F">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2）供应商开标现场携带CA数字证书与上传加密响应文件使用的 CA 数字证书不一致；</w:t>
            </w:r>
          </w:p>
          <w:p w14:paraId="2DC0205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3）供应商解密时 CA 数字证书已过期，导致无法正常解密；</w:t>
            </w:r>
          </w:p>
          <w:p w14:paraId="2E755875">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4）加密响应文件时，CA 数字证书未过期，开标解密时，显示 CA 数字证书已过期，导致无法正常解密；</w:t>
            </w:r>
          </w:p>
          <w:p w14:paraId="1D44C81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5）供应商个人原因导致无法解密的其他情形。</w:t>
            </w:r>
          </w:p>
          <w:p w14:paraId="526074A7">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3 、请各潜在供应商及时在政采云平台 </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"https://www.zcygov.cn"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https://www.zcygov.cn</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 xml:space="preserve"> 上领取最新的竞争性磋商文件制作响应文件。</w:t>
            </w:r>
          </w:p>
          <w:p w14:paraId="747832D8">
            <w:pPr>
              <w:pStyle w:val="25"/>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4、本项目的招标投标活动以及相关当事人须接受财政监督部门依法实施的监督。</w:t>
            </w:r>
          </w:p>
          <w:p w14:paraId="33C8B8A8">
            <w:pPr>
              <w:pStyle w:val="25"/>
              <w:shd w:val="clear" w:color="auto" w:fill="FFFFFF"/>
              <w:spacing w:line="360" w:lineRule="exact"/>
              <w:ind w:firstLine="0" w:firstLineChars="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5、区外企业的总监理工程师需在合同签订前办理有效的区外进疆建筑企业信息报送相关手续。</w:t>
            </w:r>
          </w:p>
        </w:tc>
      </w:tr>
      <w:tr w14:paraId="4A59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7B9EA73A">
            <w:pPr>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7654" w:type="dxa"/>
            <w:vAlign w:val="center"/>
          </w:tcPr>
          <w:p w14:paraId="1F28C240">
            <w:pPr>
              <w:pStyle w:val="25"/>
              <w:shd w:val="clear" w:color="auto" w:fill="FFFFFF"/>
              <w:spacing w:line="360" w:lineRule="exact"/>
              <w:ind w:firstLine="0" w:firstLineChars="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注意事项：</w:t>
            </w:r>
          </w:p>
          <w:p w14:paraId="0D1436B5">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1、本项目采用全流程不见面电子开评标。</w:t>
            </w:r>
          </w:p>
          <w:p w14:paraId="19C7F7F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2、本项目实行网上投标，采用加密电子投标响应文件(供应商须使用CA加密设备通过政采云电子投标客户端制作投标响应文件)。若供应商参与投标，自行承担投标一切费用。</w:t>
            </w:r>
          </w:p>
          <w:p w14:paraId="6E01CF3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3、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12B4F69C">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4、供应商在完成政采云电子交易客户端下载、安装后，可通过账号密码或CA登录客户端进行投标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7C15C5A">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5、本项目采用不见面开标，供应商应当在投标响应文件提交截止时间前,将生成的“电子加密投标响应文件”上传递交至“政府采购云平台”,投标响应文件提交截止时间以后上传递交的将被“政府采购云平台”拒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2819FA69">
            <w:pPr>
              <w:pStyle w:val="25"/>
              <w:shd w:val="clear" w:color="auto" w:fill="FFFFFF"/>
              <w:spacing w:line="360" w:lineRule="exact"/>
              <w:ind w:firstLine="0" w:firstLineChars="0"/>
              <w:rPr>
                <w:rFonts w:hint="eastAsia" w:ascii="仿宋" w:hAnsi="仿宋" w:eastAsia="仿宋"/>
                <w:b/>
                <w:color w:val="auto"/>
                <w:sz w:val="24"/>
                <w:highlight w:val="none"/>
              </w:rPr>
            </w:pPr>
            <w:r>
              <w:rPr>
                <w:rFonts w:hint="eastAsia" w:ascii="仿宋" w:hAnsi="仿宋" w:eastAsia="仿宋"/>
                <w:b/>
                <w:color w:val="auto"/>
                <w:sz w:val="24"/>
                <w:highlight w:val="none"/>
              </w:rPr>
              <w:t>6、供应商在开标前须提前配置好电脑浏览器（建议使用360浏览器或谷歌浏览器）,开标时登录政采云平台，在“项目采购-开标评标”功能中，使用制作加密投标响应文件电子标书的CA锁进行解密及报价确认。本项目投标响应文件的解密时间定为30分钟内,若供应商在规定时间内因自身原因导致无法正常解密,后果由供应商自行承担。</w:t>
            </w:r>
          </w:p>
        </w:tc>
      </w:tr>
    </w:tbl>
    <w:p w14:paraId="6E03708B">
      <w:pPr>
        <w:rPr>
          <w:color w:val="auto"/>
          <w:highlight w:val="none"/>
        </w:rPr>
      </w:pPr>
    </w:p>
    <w:p w14:paraId="733E223B">
      <w:pPr>
        <w:widowControl/>
        <w:tabs>
          <w:tab w:val="left" w:pos="2175"/>
        </w:tabs>
        <w:spacing w:line="360" w:lineRule="auto"/>
        <w:rPr>
          <w:rFonts w:hint="eastAsia" w:ascii="仿宋" w:hAnsi="仿宋" w:eastAsia="仿宋"/>
          <w:color w:val="auto"/>
          <w:highlight w:val="none"/>
        </w:rPr>
        <w:sectPr>
          <w:headerReference r:id="rId16" w:type="default"/>
          <w:footerReference r:id="rId1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4F0DA69">
      <w:pPr>
        <w:pStyle w:val="2"/>
        <w:tabs>
          <w:tab w:val="left" w:pos="0"/>
        </w:tabs>
        <w:spacing w:before="0" w:after="0" w:line="360" w:lineRule="auto"/>
        <w:rPr>
          <w:rFonts w:hint="eastAsia" w:ascii="仿宋" w:hAnsi="仿宋" w:eastAsia="仿宋"/>
          <w:color w:val="auto"/>
          <w:szCs w:val="32"/>
          <w:highlight w:val="none"/>
        </w:rPr>
      </w:pPr>
      <w:bookmarkStart w:id="424" w:name="_Toc133261443"/>
      <w:r>
        <w:rPr>
          <w:rFonts w:hint="eastAsia" w:ascii="仿宋" w:hAnsi="仿宋" w:eastAsia="仿宋"/>
          <w:color w:val="auto"/>
          <w:szCs w:val="32"/>
          <w:highlight w:val="none"/>
        </w:rPr>
        <w:t>第5章  采购需求</w:t>
      </w:r>
      <w:bookmarkEnd w:id="421"/>
      <w:bookmarkEnd w:id="422"/>
      <w:bookmarkEnd w:id="423"/>
      <w:bookmarkEnd w:id="424"/>
    </w:p>
    <w:p w14:paraId="24D0AE84">
      <w:pPr>
        <w:keepNext w:val="0"/>
        <w:keepLines w:val="0"/>
        <w:pageBreakBefore w:val="0"/>
        <w:tabs>
          <w:tab w:val="left" w:pos="2100"/>
          <w:tab w:val="left" w:pos="2310"/>
        </w:tabs>
        <w:kinsoku/>
        <w:wordWrap/>
        <w:overflowPunct/>
        <w:topLinePunct w:val="0"/>
        <w:autoSpaceDE/>
        <w:autoSpaceDN/>
        <w:bidi w:val="0"/>
        <w:adjustRightInd w:val="0"/>
        <w:snapToGrid w:val="0"/>
        <w:spacing w:line="360" w:lineRule="auto"/>
        <w:textAlignment w:val="auto"/>
        <w:rPr>
          <w:rFonts w:hint="eastAsia" w:ascii="仿宋" w:hAnsi="仿宋" w:eastAsia="仿宋" w:cs="宋体"/>
          <w:bCs/>
          <w:color w:val="auto"/>
          <w:kern w:val="0"/>
          <w:sz w:val="24"/>
          <w:highlight w:val="none"/>
          <w:lang w:eastAsia="zh-CN"/>
        </w:rPr>
      </w:pPr>
      <w:bookmarkStart w:id="425" w:name="_Toc532473756"/>
      <w:bookmarkStart w:id="426" w:name="_Toc515647832"/>
      <w:bookmarkStart w:id="427" w:name="_Toc216582826"/>
      <w:bookmarkStart w:id="428" w:name="_Toc218935355"/>
      <w:bookmarkStart w:id="429" w:name="_Toc507399907"/>
      <w:bookmarkStart w:id="430" w:name="_Toc133261478"/>
      <w:bookmarkStart w:id="431" w:name="_Toc532044540"/>
      <w:bookmarkStart w:id="432" w:name="_Toc32647"/>
      <w:bookmarkStart w:id="433" w:name="_Toc7971"/>
      <w:bookmarkStart w:id="434" w:name="_Toc219175639"/>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项目名称：</w:t>
      </w:r>
      <w:r>
        <w:rPr>
          <w:rFonts w:hint="eastAsia" w:ascii="仿宋" w:hAnsi="仿宋" w:eastAsia="仿宋" w:cs="宋体"/>
          <w:bCs/>
          <w:color w:val="auto"/>
          <w:sz w:val="24"/>
          <w:highlight w:val="none"/>
          <w:lang w:eastAsia="zh-CN"/>
        </w:rPr>
        <w:t>乌鲁木齐市沙依巴克区第一养老服务中心建设项目工程监理</w:t>
      </w:r>
    </w:p>
    <w:p w14:paraId="0DC02363">
      <w:pPr>
        <w:pStyle w:val="24"/>
        <w:keepNext w:val="0"/>
        <w:keepLines w:val="0"/>
        <w:pageBreakBefore w:val="0"/>
        <w:kinsoku/>
        <w:wordWrap/>
        <w:overflowPunct/>
        <w:topLinePunct w:val="0"/>
        <w:autoSpaceDE/>
        <w:autoSpaceDN/>
        <w:bidi w:val="0"/>
        <w:spacing w:line="360" w:lineRule="auto"/>
        <w:ind w:right="-57" w:rightChars="-27" w:firstLine="0" w:firstLineChars="0"/>
        <w:textAlignment w:val="auto"/>
        <w:rPr>
          <w:rFonts w:hint="eastAsia" w:ascii="仿宋" w:hAnsi="仿宋" w:eastAsia="仿宋"/>
          <w:color w:val="auto"/>
          <w:sz w:val="24"/>
          <w:szCs w:val="24"/>
          <w:highlight w:val="none"/>
        </w:rPr>
      </w:pPr>
      <w:r>
        <w:rPr>
          <w:rFonts w:hint="eastAsia" w:ascii="仿宋" w:hAnsi="仿宋" w:eastAsia="仿宋" w:cs="宋体"/>
          <w:b/>
          <w:color w:val="auto"/>
          <w:sz w:val="24"/>
          <w:szCs w:val="24"/>
          <w:highlight w:val="none"/>
          <w:lang w:val="en-US" w:eastAsia="zh-CN"/>
        </w:rPr>
        <w:t>2.采购人</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乌鲁木齐市沙依巴克区民政局</w:t>
      </w:r>
    </w:p>
    <w:p w14:paraId="116962F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kern w:val="0"/>
          <w:sz w:val="24"/>
          <w:szCs w:val="24"/>
          <w:highlight w:val="none"/>
        </w:rPr>
      </w:pPr>
      <w:r>
        <w:rPr>
          <w:rFonts w:hint="eastAsia" w:ascii="仿宋" w:hAnsi="仿宋" w:eastAsia="仿宋" w:cs="宋体"/>
          <w:b/>
          <w:color w:val="auto"/>
          <w:sz w:val="24"/>
          <w:szCs w:val="24"/>
          <w:highlight w:val="none"/>
          <w:lang w:val="en-US" w:eastAsia="zh-CN"/>
        </w:rPr>
        <w:t>3.工程概况</w:t>
      </w:r>
      <w:r>
        <w:rPr>
          <w:rFonts w:hint="eastAsia" w:ascii="仿宋" w:hAnsi="仿宋" w:eastAsia="仿宋" w:cs="宋体"/>
          <w:b/>
          <w:color w:val="auto"/>
          <w:sz w:val="24"/>
          <w:szCs w:val="24"/>
          <w:highlight w:val="none"/>
        </w:rPr>
        <w:t>：</w:t>
      </w:r>
      <w:r>
        <w:rPr>
          <w:rFonts w:hint="eastAsia" w:ascii="仿宋" w:hAnsi="仿宋" w:eastAsia="仿宋" w:cs="宋体"/>
          <w:b w:val="0"/>
          <w:bCs/>
          <w:color w:val="auto"/>
          <w:sz w:val="24"/>
          <w:szCs w:val="24"/>
          <w:highlight w:val="none"/>
        </w:rPr>
        <w:t>总建筑面积 7507.97 平方米,其中 1#综合楼建筑面积:7242.68 平方米，建筑面积（地上）:6041.17 平方米，建筑面积（地下）：1201.51平 方 米 ， 建 筑 高 度 :21 米 ， 单 体 跨 度 :19.4 米 ； 立 体 车 库 建 筑 面积:110.25 平方米；消防水池及泵房建筑面积:143.04 平方米；门卫建筑面积:12 平方米。共计六层,地下一层(设备层)，地上五层(局部)，设计床位 200 张。主要建设内容:建筑主体、院内生活、办公、医疗、娱乐设施配套，以及院内场地、道路、绿化、水、电、暖气、燃气、通讯等配套设施等。</w:t>
      </w:r>
    </w:p>
    <w:p w14:paraId="3EBB745C">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color w:val="auto"/>
          <w:kern w:val="0"/>
          <w:sz w:val="24"/>
          <w:szCs w:val="24"/>
          <w:highlight w:val="none"/>
          <w:lang w:val="en-US" w:eastAsia="zh-CN"/>
        </w:rPr>
      </w:pPr>
      <w:r>
        <w:rPr>
          <w:rFonts w:hint="eastAsia" w:ascii="仿宋" w:hAnsi="仿宋" w:eastAsia="仿宋" w:cs="宋体"/>
          <w:b/>
          <w:color w:val="auto"/>
          <w:sz w:val="24"/>
          <w:szCs w:val="24"/>
          <w:highlight w:val="none"/>
          <w:lang w:val="en-US" w:eastAsia="zh-CN"/>
        </w:rPr>
        <w:t>4.施工</w:t>
      </w:r>
      <w:r>
        <w:rPr>
          <w:rFonts w:hint="eastAsia" w:ascii="仿宋" w:hAnsi="仿宋" w:eastAsia="仿宋" w:cs="宋体"/>
          <w:b/>
          <w:color w:val="auto"/>
          <w:sz w:val="24"/>
          <w:szCs w:val="24"/>
          <w:highlight w:val="none"/>
        </w:rPr>
        <w:t>投资概算：</w:t>
      </w:r>
      <w:r>
        <w:rPr>
          <w:rFonts w:hint="eastAsia" w:ascii="仿宋" w:hAnsi="仿宋" w:eastAsia="仿宋" w:cs="宋体"/>
          <w:b w:val="0"/>
          <w:bCs/>
          <w:color w:val="auto"/>
          <w:sz w:val="24"/>
          <w:szCs w:val="24"/>
          <w:highlight w:val="none"/>
        </w:rPr>
        <w:t>5479.71 万元</w:t>
      </w:r>
      <w:r>
        <w:rPr>
          <w:rFonts w:hint="eastAsia" w:ascii="仿宋" w:hAnsi="仿宋" w:eastAsia="仿宋" w:cs="宋体"/>
          <w:b w:val="0"/>
          <w:bCs/>
          <w:color w:val="auto"/>
          <w:kern w:val="0"/>
          <w:sz w:val="24"/>
          <w:szCs w:val="24"/>
          <w:highlight w:val="none"/>
          <w:lang w:val="en-US" w:eastAsia="zh-CN"/>
        </w:rPr>
        <w:t>。</w:t>
      </w:r>
    </w:p>
    <w:p w14:paraId="70953AF4">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color w:val="auto"/>
          <w:sz w:val="24"/>
          <w:szCs w:val="24"/>
          <w:highlight w:val="none"/>
        </w:rPr>
      </w:pPr>
      <w:r>
        <w:rPr>
          <w:rFonts w:hint="eastAsia" w:ascii="仿宋" w:hAnsi="仿宋" w:eastAsia="仿宋" w:cs="宋体"/>
          <w:b/>
          <w:bCs w:val="0"/>
          <w:color w:val="auto"/>
          <w:sz w:val="24"/>
          <w:szCs w:val="24"/>
          <w:highlight w:val="none"/>
          <w:lang w:val="en-US" w:eastAsia="zh-CN"/>
        </w:rPr>
        <w:t>5.采购内容</w:t>
      </w:r>
      <w:r>
        <w:rPr>
          <w:rFonts w:hint="eastAsia" w:ascii="仿宋" w:hAnsi="仿宋" w:eastAsia="仿宋" w:cs="宋体"/>
          <w:b/>
          <w:bCs w:val="0"/>
          <w:color w:val="auto"/>
          <w:sz w:val="24"/>
          <w:szCs w:val="24"/>
          <w:highlight w:val="none"/>
        </w:rPr>
        <w:t>：</w:t>
      </w:r>
      <w:r>
        <w:rPr>
          <w:rFonts w:hint="eastAsia" w:ascii="仿宋" w:hAnsi="仿宋" w:eastAsia="仿宋" w:cs="宋体"/>
          <w:b w:val="0"/>
          <w:bCs/>
          <w:color w:val="auto"/>
          <w:sz w:val="24"/>
          <w:szCs w:val="24"/>
          <w:highlight w:val="none"/>
        </w:rPr>
        <w:t>乌鲁木齐市沙依巴克区第一养老服务中心建设项目全部施工工作范围内的监理咨询工作。</w:t>
      </w:r>
    </w:p>
    <w:p w14:paraId="325088DA">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b w:val="0"/>
          <w:bCs w:val="0"/>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6.</w:t>
      </w:r>
      <w:r>
        <w:rPr>
          <w:rFonts w:hint="eastAsia" w:ascii="仿宋" w:hAnsi="仿宋" w:eastAsia="仿宋" w:cs="宋体"/>
          <w:b/>
          <w:bCs/>
          <w:color w:val="auto"/>
          <w:kern w:val="0"/>
          <w:sz w:val="24"/>
          <w:szCs w:val="24"/>
          <w:highlight w:val="none"/>
        </w:rPr>
        <w:t>合同履约期限：</w:t>
      </w:r>
      <w:r>
        <w:rPr>
          <w:rFonts w:hint="eastAsia" w:ascii="仿宋" w:hAnsi="仿宋" w:eastAsia="仿宋" w:cs="宋体"/>
          <w:b w:val="0"/>
          <w:bCs w:val="0"/>
          <w:color w:val="auto"/>
          <w:kern w:val="0"/>
          <w:sz w:val="24"/>
          <w:szCs w:val="24"/>
          <w:highlight w:val="none"/>
        </w:rPr>
        <w:t>自合同签订之日至工程竣工验收、结算审计、竣工档案移交完成截止。</w:t>
      </w:r>
    </w:p>
    <w:p w14:paraId="625629E3">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5" w:name="_Toc387421068"/>
      <w:r>
        <w:rPr>
          <w:rFonts w:hint="eastAsia" w:ascii="仿宋" w:hAnsi="仿宋" w:eastAsia="仿宋" w:cs="宋体"/>
          <w:b/>
          <w:bCs/>
          <w:color w:val="auto"/>
          <w:kern w:val="0"/>
          <w:sz w:val="24"/>
          <w:szCs w:val="24"/>
          <w:highlight w:val="none"/>
          <w:lang w:val="en-US" w:eastAsia="zh-CN"/>
        </w:rPr>
        <w:t>7.</w:t>
      </w:r>
      <w:r>
        <w:rPr>
          <w:rFonts w:hint="eastAsia" w:ascii="仿宋" w:hAnsi="仿宋" w:eastAsia="仿宋" w:cs="宋体"/>
          <w:b/>
          <w:bCs/>
          <w:color w:val="auto"/>
          <w:kern w:val="0"/>
          <w:sz w:val="24"/>
          <w:szCs w:val="24"/>
          <w:highlight w:val="none"/>
        </w:rPr>
        <w:t>质量要求：</w:t>
      </w:r>
      <w:bookmarkStart w:id="436" w:name="D1质量要求"/>
      <w:r>
        <w:rPr>
          <w:rFonts w:hint="eastAsia" w:ascii="仿宋" w:hAnsi="仿宋" w:eastAsia="仿宋" w:cs="宋体"/>
          <w:color w:val="auto"/>
          <w:kern w:val="0"/>
          <w:sz w:val="24"/>
          <w:szCs w:val="24"/>
          <w:highlight w:val="none"/>
        </w:rPr>
        <w:t>合格</w:t>
      </w:r>
      <w:bookmarkEnd w:id="435"/>
      <w:bookmarkEnd w:id="436"/>
    </w:p>
    <w:p w14:paraId="06305E0F">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default" w:ascii="仿宋" w:hAnsi="仿宋" w:eastAsia="仿宋" w:cs="宋体"/>
          <w:b/>
          <w:bCs/>
          <w:color w:val="auto"/>
          <w:kern w:val="0"/>
          <w:sz w:val="24"/>
          <w:szCs w:val="24"/>
          <w:highlight w:val="yellow"/>
          <w:lang w:val="en-US" w:eastAsia="zh-CN"/>
        </w:rPr>
      </w:pPr>
      <w:r>
        <w:rPr>
          <w:rFonts w:hint="eastAsia" w:ascii="仿宋" w:hAnsi="仿宋" w:eastAsia="仿宋" w:cs="宋体"/>
          <w:b/>
          <w:bCs/>
          <w:color w:val="auto"/>
          <w:kern w:val="0"/>
          <w:sz w:val="24"/>
          <w:szCs w:val="24"/>
          <w:highlight w:val="none"/>
          <w:lang w:val="en-US" w:eastAsia="zh-CN"/>
        </w:rPr>
        <w:t>8.付款方式：</w:t>
      </w:r>
      <w:r>
        <w:rPr>
          <w:rFonts w:hint="eastAsia" w:ascii="仿宋" w:hAnsi="仿宋" w:eastAsia="仿宋"/>
          <w:color w:val="auto"/>
          <w:sz w:val="24"/>
          <w:highlight w:val="none"/>
        </w:rPr>
        <w:t>合同签订后支付合同总价款的30%，工程主体竣工后支付合同总价款的40%，工程整体竣工后支付合同价款的20%，监理资料移交完毕且保修期结束后支付合同价款的10%。</w:t>
      </w:r>
    </w:p>
    <w:p w14:paraId="5129B421">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bookmarkStart w:id="437" w:name="_Toc387421097"/>
      <w:r>
        <w:rPr>
          <w:rFonts w:hint="eastAsia" w:ascii="仿宋" w:hAnsi="仿宋" w:eastAsia="仿宋" w:cs="宋体"/>
          <w:b/>
          <w:bCs/>
          <w:color w:val="auto"/>
          <w:kern w:val="0"/>
          <w:sz w:val="24"/>
          <w:szCs w:val="24"/>
          <w:highlight w:val="none"/>
          <w:lang w:val="en-US" w:eastAsia="zh-CN"/>
        </w:rPr>
        <w:t>9.</w:t>
      </w:r>
      <w:r>
        <w:rPr>
          <w:rFonts w:hint="eastAsia" w:ascii="仿宋" w:hAnsi="仿宋" w:eastAsia="仿宋" w:cs="宋体"/>
          <w:b/>
          <w:bCs/>
          <w:color w:val="auto"/>
          <w:kern w:val="0"/>
          <w:sz w:val="24"/>
          <w:szCs w:val="24"/>
          <w:highlight w:val="none"/>
        </w:rPr>
        <w:t>投标报价的依据：</w:t>
      </w:r>
      <w:bookmarkEnd w:id="437"/>
      <w:r>
        <w:rPr>
          <w:rFonts w:hint="eastAsia" w:ascii="仿宋" w:hAnsi="仿宋" w:eastAsia="仿宋" w:cs="宋体"/>
          <w:color w:val="auto"/>
          <w:kern w:val="0"/>
          <w:sz w:val="24"/>
          <w:szCs w:val="24"/>
          <w:highlight w:val="none"/>
        </w:rPr>
        <w:t>《国家发展改革委关于进一步放开建设项目专业服务价格的通知》（发改价格[2015]299号）</w:t>
      </w:r>
      <w:bookmarkStart w:id="438" w:name="_Toc387421098"/>
      <w:r>
        <w:rPr>
          <w:rFonts w:hint="eastAsia" w:ascii="仿宋" w:hAnsi="仿宋" w:eastAsia="仿宋" w:cs="宋体"/>
          <w:color w:val="auto"/>
          <w:kern w:val="0"/>
          <w:sz w:val="24"/>
          <w:szCs w:val="24"/>
          <w:highlight w:val="none"/>
        </w:rPr>
        <w:t>，投标报价方式：</w:t>
      </w:r>
      <w:bookmarkEnd w:id="438"/>
      <w:r>
        <w:rPr>
          <w:rFonts w:hint="eastAsia" w:ascii="仿宋" w:hAnsi="仿宋" w:eastAsia="仿宋" w:cs="宋体"/>
          <w:color w:val="auto"/>
          <w:kern w:val="0"/>
          <w:sz w:val="24"/>
          <w:szCs w:val="24"/>
          <w:highlight w:val="none"/>
        </w:rPr>
        <w:t>直接报价。</w:t>
      </w:r>
    </w:p>
    <w:p w14:paraId="239FD7A0">
      <w:pPr>
        <w:pStyle w:val="35"/>
        <w:keepNext w:val="0"/>
        <w:keepLines w:val="0"/>
        <w:pageBreakBefore w:val="0"/>
        <w:widowControl/>
        <w:kinsoku/>
        <w:wordWrap/>
        <w:overflowPunct/>
        <w:topLinePunct w:val="0"/>
        <w:autoSpaceDE/>
        <w:autoSpaceDN/>
        <w:bidi w:val="0"/>
        <w:spacing w:line="360" w:lineRule="auto"/>
        <w:ind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lang w:val="en-US" w:eastAsia="zh-CN"/>
        </w:rPr>
        <w:t>10.</w:t>
      </w:r>
      <w:r>
        <w:rPr>
          <w:rFonts w:hint="eastAsia" w:ascii="仿宋" w:hAnsi="仿宋" w:eastAsia="仿宋" w:cs="宋体"/>
          <w:b/>
          <w:bCs/>
          <w:color w:val="auto"/>
          <w:kern w:val="0"/>
          <w:sz w:val="24"/>
          <w:szCs w:val="24"/>
          <w:highlight w:val="none"/>
        </w:rPr>
        <w:t>技术规范：</w:t>
      </w:r>
      <w:r>
        <w:rPr>
          <w:rFonts w:hint="eastAsia" w:ascii="仿宋" w:hAnsi="仿宋" w:eastAsia="仿宋" w:cs="宋体"/>
          <w:color w:val="auto"/>
          <w:kern w:val="0"/>
          <w:sz w:val="24"/>
          <w:szCs w:val="24"/>
          <w:highlight w:val="none"/>
        </w:rPr>
        <w:t>本工程施工监理咨询采用施工图设计中要求的规范及现行国家、地方有关规范和标准执行。</w:t>
      </w:r>
    </w:p>
    <w:p w14:paraId="4DB38F62">
      <w:pPr>
        <w:ind w:firstLine="420" w:firstLineChars="200"/>
        <w:rPr>
          <w:rFonts w:hint="eastAsia" w:ascii="仿宋" w:hAnsi="仿宋" w:eastAsia="仿宋"/>
          <w:color w:val="auto"/>
          <w:highlight w:val="none"/>
        </w:rPr>
      </w:pPr>
      <w:r>
        <w:rPr>
          <w:rFonts w:hint="eastAsia" w:ascii="仿宋" w:hAnsi="仿宋" w:eastAsia="仿宋"/>
          <w:color w:val="auto"/>
          <w:highlight w:val="none"/>
        </w:rPr>
        <w:br w:type="page"/>
      </w:r>
    </w:p>
    <w:p w14:paraId="04B4BA1A">
      <w:pPr>
        <w:pStyle w:val="2"/>
        <w:tabs>
          <w:tab w:val="left" w:pos="0"/>
        </w:tabs>
        <w:spacing w:before="0" w:after="0" w:line="360" w:lineRule="auto"/>
        <w:ind w:left="-15"/>
        <w:rPr>
          <w:rFonts w:hint="eastAsia" w:ascii="仿宋" w:hAnsi="仿宋" w:eastAsia="仿宋"/>
          <w:color w:val="auto"/>
          <w:highlight w:val="none"/>
        </w:rPr>
      </w:pPr>
      <w:r>
        <w:rPr>
          <w:rFonts w:hint="eastAsia" w:ascii="仿宋" w:hAnsi="仿宋" w:eastAsia="仿宋"/>
          <w:color w:val="auto"/>
          <w:highlight w:val="none"/>
        </w:rPr>
        <w:t>第6章  评审方法和标准</w:t>
      </w:r>
      <w:bookmarkEnd w:id="425"/>
      <w:bookmarkEnd w:id="426"/>
      <w:bookmarkEnd w:id="427"/>
      <w:bookmarkEnd w:id="428"/>
      <w:bookmarkEnd w:id="429"/>
      <w:bookmarkEnd w:id="430"/>
      <w:bookmarkEnd w:id="431"/>
      <w:bookmarkEnd w:id="432"/>
      <w:bookmarkEnd w:id="433"/>
      <w:bookmarkEnd w:id="434"/>
    </w:p>
    <w:p w14:paraId="245419E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w:t>
      </w:r>
      <w:r>
        <w:rPr>
          <w:rFonts w:ascii="仿宋" w:hAnsi="仿宋" w:eastAsia="仿宋"/>
          <w:color w:val="auto"/>
          <w:highlight w:val="none"/>
        </w:rPr>
        <w:t>将按照</w:t>
      </w:r>
      <w:r>
        <w:rPr>
          <w:rFonts w:hint="eastAsia" w:ascii="仿宋" w:hAnsi="仿宋" w:eastAsia="仿宋"/>
          <w:color w:val="auto"/>
          <w:highlight w:val="none"/>
        </w:rPr>
        <w:t>本项目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第1章及本章的规定进行评审工作，采购代理机构负责评审的组织工作。工作程序</w:t>
      </w:r>
      <w:r>
        <w:rPr>
          <w:rFonts w:ascii="仿宋" w:hAnsi="仿宋" w:eastAsia="仿宋"/>
          <w:color w:val="auto"/>
          <w:highlight w:val="none"/>
        </w:rPr>
        <w:t>如下：</w:t>
      </w:r>
    </w:p>
    <w:p w14:paraId="4972EEC3">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评审</w:t>
      </w:r>
      <w:r>
        <w:rPr>
          <w:rFonts w:ascii="仿宋" w:hAnsi="仿宋" w:eastAsia="仿宋"/>
          <w:color w:val="auto"/>
          <w:highlight w:val="none"/>
        </w:rPr>
        <w:t>准备工作，由采购代理机构负责</w:t>
      </w:r>
    </w:p>
    <w:p w14:paraId="593E96FD">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核对评审专家身份和采购人代表授权函；</w:t>
      </w:r>
    </w:p>
    <w:p w14:paraId="5133542E">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宣布评审纪律，</w:t>
      </w:r>
      <w:r>
        <w:rPr>
          <w:rFonts w:ascii="仿宋" w:hAnsi="仿宋" w:eastAsia="仿宋"/>
          <w:color w:val="auto"/>
          <w:highlight w:val="none"/>
        </w:rPr>
        <w:t>集中保管通讯工具</w:t>
      </w:r>
      <w:r>
        <w:rPr>
          <w:rFonts w:hint="eastAsia" w:ascii="仿宋" w:hAnsi="仿宋" w:eastAsia="仿宋"/>
          <w:color w:val="auto"/>
          <w:highlight w:val="none"/>
        </w:rPr>
        <w:t>；</w:t>
      </w:r>
    </w:p>
    <w:p w14:paraId="3931549C">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公布供应商名单，告知评审专家应当回避的情形；</w:t>
      </w:r>
    </w:p>
    <w:p w14:paraId="3487ADBA">
      <w:pPr>
        <w:pStyle w:val="7"/>
        <w:numPr>
          <w:ilvl w:val="0"/>
          <w:numId w:val="9"/>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组织磋商小组推选评审组长；</w:t>
      </w:r>
    </w:p>
    <w:p w14:paraId="5420963B">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符合性</w:t>
      </w:r>
      <w:r>
        <w:rPr>
          <w:rFonts w:ascii="仿宋" w:hAnsi="仿宋" w:eastAsia="仿宋"/>
          <w:color w:val="auto"/>
          <w:highlight w:val="none"/>
        </w:rPr>
        <w:t>审查工作</w:t>
      </w:r>
    </w:p>
    <w:p w14:paraId="0130313A">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符合性审查是</w:t>
      </w:r>
      <w:r>
        <w:rPr>
          <w:rFonts w:ascii="仿宋" w:hAnsi="仿宋" w:eastAsia="仿宋"/>
          <w:color w:val="auto"/>
          <w:highlight w:val="none"/>
        </w:rPr>
        <w:t>指</w:t>
      </w:r>
      <w:r>
        <w:rPr>
          <w:rFonts w:hint="eastAsia" w:ascii="仿宋" w:hAnsi="仿宋" w:eastAsia="仿宋"/>
          <w:color w:val="auto"/>
          <w:highlight w:val="none"/>
        </w:rPr>
        <w:t>依据</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的规定，从商务和技术角度对响应文件的有效性和完整性进行审查，以确定是否对</w:t>
      </w:r>
      <w:r>
        <w:rPr>
          <w:rFonts w:hint="eastAsia" w:ascii="仿宋" w:hAnsi="仿宋" w:eastAsia="仿宋"/>
          <w:color w:val="auto"/>
          <w:highlight w:val="none"/>
          <w:lang w:eastAsia="zh-CN"/>
        </w:rPr>
        <w:t>竞争性磋商文件</w:t>
      </w:r>
      <w:r>
        <w:rPr>
          <w:rFonts w:hint="eastAsia" w:ascii="仿宋" w:hAnsi="仿宋" w:eastAsia="仿宋"/>
          <w:color w:val="auto"/>
          <w:highlight w:val="none"/>
        </w:rPr>
        <w:t>的实质性要求做出响应，填写“商务</w:t>
      </w:r>
      <w:r>
        <w:rPr>
          <w:rFonts w:ascii="仿宋" w:hAnsi="仿宋" w:eastAsia="仿宋"/>
          <w:color w:val="auto"/>
          <w:highlight w:val="none"/>
        </w:rPr>
        <w:t>符合性审查表</w:t>
      </w:r>
      <w:r>
        <w:rPr>
          <w:rFonts w:hint="eastAsia" w:ascii="仿宋" w:hAnsi="仿宋" w:eastAsia="仿宋"/>
          <w:color w:val="auto"/>
          <w:highlight w:val="none"/>
        </w:rPr>
        <w:t>”和</w:t>
      </w:r>
      <w:r>
        <w:rPr>
          <w:rFonts w:ascii="仿宋" w:hAnsi="仿宋" w:eastAsia="仿宋"/>
          <w:color w:val="auto"/>
          <w:highlight w:val="none"/>
        </w:rPr>
        <w:t>“</w:t>
      </w:r>
      <w:r>
        <w:rPr>
          <w:rFonts w:hint="eastAsia" w:ascii="仿宋" w:hAnsi="仿宋" w:eastAsia="仿宋"/>
          <w:color w:val="auto"/>
          <w:highlight w:val="none"/>
        </w:rPr>
        <w:t>技术</w:t>
      </w:r>
      <w:r>
        <w:rPr>
          <w:rFonts w:ascii="仿宋" w:hAnsi="仿宋" w:eastAsia="仿宋"/>
          <w:color w:val="auto"/>
          <w:highlight w:val="none"/>
        </w:rPr>
        <w:t>符合性审查表”（</w:t>
      </w:r>
      <w:r>
        <w:rPr>
          <w:rFonts w:hint="eastAsia" w:ascii="仿宋" w:hAnsi="仿宋" w:eastAsia="仿宋"/>
          <w:color w:val="auto"/>
          <w:highlight w:val="none"/>
        </w:rPr>
        <w:t>如有</w:t>
      </w:r>
      <w:r>
        <w:rPr>
          <w:rFonts w:ascii="仿宋" w:hAnsi="仿宋" w:eastAsia="仿宋"/>
          <w:color w:val="auto"/>
          <w:highlight w:val="none"/>
        </w:rPr>
        <w:t>）。</w:t>
      </w:r>
    </w:p>
    <w:p w14:paraId="30DD1EBE">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要求</w:t>
      </w:r>
      <w:r>
        <w:rPr>
          <w:rFonts w:ascii="仿宋" w:hAnsi="仿宋" w:eastAsia="仿宋"/>
          <w:color w:val="auto"/>
          <w:highlight w:val="none"/>
        </w:rPr>
        <w:t>供应商对响应文件有关事项作出澄清或者说明</w:t>
      </w:r>
      <w:r>
        <w:rPr>
          <w:rFonts w:hint="eastAsia" w:ascii="仿宋" w:hAnsi="仿宋" w:eastAsia="仿宋"/>
          <w:color w:val="auto"/>
          <w:highlight w:val="none"/>
        </w:rPr>
        <w:t>（如有）</w:t>
      </w:r>
    </w:p>
    <w:p w14:paraId="2DF119FF">
      <w:pPr>
        <w:pStyle w:val="7"/>
        <w:numPr>
          <w:ilvl w:val="0"/>
          <w:numId w:val="8"/>
        </w:numPr>
        <w:tabs>
          <w:tab w:val="clear" w:pos="567"/>
        </w:tabs>
        <w:spacing w:before="0" w:line="360" w:lineRule="auto"/>
        <w:rPr>
          <w:rFonts w:hint="eastAsia" w:ascii="仿宋" w:hAnsi="仿宋" w:eastAsia="仿宋"/>
          <w:color w:val="auto"/>
          <w:highlight w:val="none"/>
        </w:rPr>
      </w:pPr>
      <w:r>
        <w:rPr>
          <w:rFonts w:hint="eastAsia" w:ascii="仿宋" w:hAnsi="仿宋" w:eastAsia="仿宋"/>
          <w:color w:val="auto"/>
          <w:highlight w:val="none"/>
        </w:rPr>
        <w:t>对</w:t>
      </w:r>
      <w:r>
        <w:rPr>
          <w:rFonts w:ascii="仿宋" w:hAnsi="仿宋" w:eastAsia="仿宋"/>
          <w:color w:val="auto"/>
          <w:highlight w:val="none"/>
        </w:rPr>
        <w:t>响应文件进行比较和评价</w:t>
      </w:r>
    </w:p>
    <w:p w14:paraId="157F08BE">
      <w:pPr>
        <w:pStyle w:val="7"/>
        <w:tabs>
          <w:tab w:val="clear" w:pos="567"/>
        </w:tabs>
        <w:spacing w:before="0" w:line="360" w:lineRule="auto"/>
        <w:ind w:firstLine="540" w:firstLineChars="225"/>
        <w:rPr>
          <w:rFonts w:hint="eastAsia" w:ascii="仿宋" w:hAnsi="仿宋" w:eastAsia="仿宋"/>
          <w:color w:val="auto"/>
          <w:highlight w:val="none"/>
        </w:rPr>
      </w:pPr>
      <w:r>
        <w:rPr>
          <w:rFonts w:ascii="仿宋" w:hAnsi="仿宋" w:eastAsia="仿宋"/>
          <w:color w:val="auto"/>
          <w:highlight w:val="none"/>
        </w:rPr>
        <w:t>本项目</w:t>
      </w:r>
      <w:r>
        <w:rPr>
          <w:rFonts w:hint="eastAsia" w:ascii="仿宋" w:hAnsi="仿宋" w:eastAsia="仿宋"/>
          <w:color w:val="auto"/>
          <w:highlight w:val="none"/>
        </w:rPr>
        <w:t>评审</w:t>
      </w:r>
      <w:r>
        <w:rPr>
          <w:rFonts w:ascii="仿宋" w:hAnsi="仿宋" w:eastAsia="仿宋"/>
          <w:color w:val="auto"/>
          <w:highlight w:val="none"/>
        </w:rPr>
        <w:t>方法为综合评分法，</w:t>
      </w:r>
      <w:r>
        <w:rPr>
          <w:rFonts w:hint="eastAsia" w:ascii="仿宋" w:hAnsi="仿宋" w:eastAsia="仿宋"/>
          <w:color w:val="auto"/>
          <w:highlight w:val="none"/>
        </w:rPr>
        <w:t>磋商小组</w:t>
      </w:r>
      <w:r>
        <w:rPr>
          <w:rFonts w:ascii="仿宋" w:hAnsi="仿宋" w:eastAsia="仿宋"/>
          <w:color w:val="auto"/>
          <w:highlight w:val="none"/>
        </w:rPr>
        <w:t>对满足</w:t>
      </w:r>
      <w:r>
        <w:rPr>
          <w:rFonts w:hint="eastAsia" w:ascii="仿宋" w:hAnsi="仿宋" w:eastAsia="仿宋"/>
          <w:color w:val="auto"/>
          <w:highlight w:val="none"/>
          <w:lang w:eastAsia="zh-CN"/>
        </w:rPr>
        <w:t>竞争性磋商文件</w:t>
      </w:r>
      <w:r>
        <w:rPr>
          <w:rFonts w:ascii="仿宋" w:hAnsi="仿宋" w:eastAsia="仿宋"/>
          <w:color w:val="auto"/>
          <w:highlight w:val="none"/>
        </w:rPr>
        <w:t>全部实质性要求的响应文件，</w:t>
      </w:r>
      <w:r>
        <w:rPr>
          <w:rFonts w:hint="eastAsia" w:ascii="仿宋" w:hAnsi="仿宋" w:eastAsia="仿宋"/>
          <w:color w:val="auto"/>
          <w:highlight w:val="none"/>
        </w:rPr>
        <w:t>按照</w:t>
      </w:r>
      <w:r>
        <w:rPr>
          <w:rFonts w:hint="eastAsia" w:ascii="仿宋" w:hAnsi="仿宋" w:eastAsia="仿宋"/>
          <w:color w:val="auto"/>
          <w:highlight w:val="none"/>
          <w:lang w:eastAsia="zh-CN"/>
        </w:rPr>
        <w:t>竞争性磋商文件</w:t>
      </w:r>
      <w:r>
        <w:rPr>
          <w:rFonts w:ascii="仿宋" w:hAnsi="仿宋" w:eastAsia="仿宋"/>
          <w:color w:val="auto"/>
          <w:highlight w:val="none"/>
        </w:rPr>
        <w:t>规定的评审因素的量化指标进行评审打分，</w:t>
      </w:r>
      <w:r>
        <w:rPr>
          <w:rFonts w:hint="eastAsia" w:ascii="仿宋" w:hAnsi="仿宋" w:eastAsia="仿宋"/>
          <w:color w:val="auto"/>
          <w:highlight w:val="none"/>
        </w:rPr>
        <w:t>以</w:t>
      </w:r>
      <w:r>
        <w:rPr>
          <w:rFonts w:ascii="仿宋" w:hAnsi="仿宋" w:eastAsia="仿宋"/>
          <w:color w:val="auto"/>
          <w:highlight w:val="none"/>
        </w:rPr>
        <w:t>评审得分从高到低顺序确定成交候选人。</w:t>
      </w:r>
    </w:p>
    <w:p w14:paraId="457F2C97">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磋商小组每位成员独立对每个有效供应商的响应文件进行评价、打分；然后汇总每个供应商的得分，计算得分平均值，以平均值由高到低进行排序，按排序顺序推荐成交候选人。分值计算保留小数点后2位，第3位四舍五入。</w:t>
      </w:r>
    </w:p>
    <w:p w14:paraId="3ADE6A98">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确定</w:t>
      </w:r>
      <w:r>
        <w:rPr>
          <w:rFonts w:ascii="仿宋" w:hAnsi="仿宋" w:eastAsia="仿宋"/>
          <w:color w:val="auto"/>
          <w:highlight w:val="none"/>
        </w:rPr>
        <w:t>成交候选人名单</w:t>
      </w:r>
      <w:r>
        <w:rPr>
          <w:rFonts w:hint="eastAsia" w:ascii="仿宋" w:hAnsi="仿宋" w:eastAsia="仿宋"/>
          <w:color w:val="auto"/>
          <w:highlight w:val="none"/>
        </w:rPr>
        <w:t>。</w:t>
      </w:r>
    </w:p>
    <w:p w14:paraId="01AC2130">
      <w:pPr>
        <w:pStyle w:val="7"/>
        <w:numPr>
          <w:ilvl w:val="0"/>
          <w:numId w:val="8"/>
        </w:numPr>
        <w:tabs>
          <w:tab w:val="clear" w:pos="567"/>
        </w:tabs>
        <w:spacing w:before="0" w:line="360" w:lineRule="auto"/>
        <w:ind w:left="0" w:firstLine="630"/>
        <w:rPr>
          <w:rFonts w:hint="eastAsia" w:ascii="仿宋" w:hAnsi="仿宋" w:eastAsia="仿宋"/>
          <w:color w:val="auto"/>
          <w:highlight w:val="none"/>
        </w:rPr>
      </w:pPr>
      <w:r>
        <w:rPr>
          <w:rFonts w:hint="eastAsia" w:ascii="仿宋" w:hAnsi="仿宋" w:eastAsia="仿宋"/>
          <w:color w:val="auto"/>
          <w:highlight w:val="none"/>
        </w:rPr>
        <w:t>采购</w:t>
      </w:r>
      <w:r>
        <w:rPr>
          <w:rFonts w:ascii="仿宋" w:hAnsi="仿宋" w:eastAsia="仿宋"/>
          <w:color w:val="auto"/>
          <w:highlight w:val="none"/>
        </w:rPr>
        <w:t>代理机构核对</w:t>
      </w:r>
      <w:r>
        <w:rPr>
          <w:rFonts w:hint="eastAsia" w:ascii="仿宋" w:hAnsi="仿宋" w:eastAsia="仿宋"/>
          <w:color w:val="auto"/>
          <w:highlight w:val="none"/>
        </w:rPr>
        <w:t>评审结果。</w:t>
      </w:r>
    </w:p>
    <w:p w14:paraId="4381EB5B">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评审标准中应考虑下列因素：</w:t>
      </w:r>
    </w:p>
    <w:p w14:paraId="2FBD4E4D">
      <w:pPr>
        <w:pStyle w:val="7"/>
        <w:tabs>
          <w:tab w:val="clear" w:pos="567"/>
        </w:tabs>
        <w:spacing w:before="0" w:line="360" w:lineRule="auto"/>
        <w:ind w:firstLine="540" w:firstLineChars="225"/>
        <w:rPr>
          <w:rFonts w:hint="eastAsia" w:ascii="仿宋" w:hAnsi="仿宋" w:eastAsia="仿宋"/>
          <w:color w:val="auto"/>
          <w:highlight w:val="none"/>
        </w:rPr>
      </w:pPr>
      <w:r>
        <w:rPr>
          <w:rFonts w:hint="eastAsia" w:ascii="仿宋" w:hAnsi="仿宋" w:eastAsia="仿宋"/>
          <w:color w:val="auto"/>
          <w:highlight w:val="none"/>
        </w:rPr>
        <w:t>1.根据《政府采购促进中小企业发展管理办法》（财库〔2020〕46号）、《</w:t>
      </w:r>
      <w:r>
        <w:rPr>
          <w:rFonts w:ascii="仿宋" w:hAnsi="仿宋" w:eastAsia="仿宋"/>
          <w:color w:val="auto"/>
          <w:highlight w:val="none"/>
        </w:rPr>
        <w:t>财政部 司法部关于政府采购支持监狱企业发展有关问题的通知</w:t>
      </w:r>
      <w:r>
        <w:rPr>
          <w:rFonts w:hint="eastAsia" w:ascii="仿宋" w:hAnsi="仿宋" w:eastAsia="仿宋"/>
          <w:color w:val="auto"/>
          <w:highlight w:val="none"/>
        </w:rPr>
        <w:t>》（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竞标报价扣除</w:t>
      </w:r>
      <w:r>
        <w:rPr>
          <w:rFonts w:ascii="仿宋" w:hAnsi="仿宋" w:eastAsia="仿宋"/>
          <w:color w:val="auto"/>
          <w:highlight w:val="none"/>
          <w:u w:val="single"/>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%后参与评审</w:t>
      </w:r>
      <w:r>
        <w:rPr>
          <w:rFonts w:hint="eastAsia" w:ascii="仿宋" w:hAnsi="仿宋" w:eastAsia="仿宋"/>
          <w:b/>
          <w:bCs/>
          <w:color w:val="auto"/>
          <w:highlight w:val="none"/>
        </w:rPr>
        <w:t>（本项目专门面向中小企业采购，价格不再进行财政政策扣除）。对于同时</w:t>
      </w:r>
      <w:r>
        <w:rPr>
          <w:rFonts w:ascii="仿宋" w:hAnsi="仿宋" w:eastAsia="仿宋"/>
          <w:b/>
          <w:bCs/>
          <w:color w:val="auto"/>
          <w:highlight w:val="none"/>
        </w:rPr>
        <w:t>属于小微企业</w:t>
      </w:r>
      <w:r>
        <w:rPr>
          <w:rFonts w:hint="eastAsia" w:ascii="仿宋" w:hAnsi="仿宋" w:eastAsia="仿宋"/>
          <w:b/>
          <w:bCs/>
          <w:color w:val="auto"/>
          <w:highlight w:val="none"/>
        </w:rPr>
        <w:t>、</w:t>
      </w:r>
      <w:r>
        <w:rPr>
          <w:rFonts w:ascii="仿宋" w:hAnsi="仿宋" w:eastAsia="仿宋"/>
          <w:b/>
          <w:bCs/>
          <w:color w:val="auto"/>
          <w:highlight w:val="none"/>
        </w:rPr>
        <w:t>监狱企业</w:t>
      </w:r>
      <w:r>
        <w:rPr>
          <w:rFonts w:hint="eastAsia" w:ascii="仿宋" w:hAnsi="仿宋" w:eastAsia="仿宋"/>
          <w:b/>
          <w:bCs/>
          <w:color w:val="auto"/>
          <w:highlight w:val="none"/>
        </w:rPr>
        <w:t>或</w:t>
      </w:r>
      <w:r>
        <w:rPr>
          <w:rFonts w:ascii="仿宋" w:hAnsi="仿宋" w:eastAsia="仿宋"/>
          <w:b/>
          <w:bCs/>
          <w:color w:val="auto"/>
          <w:highlight w:val="none"/>
        </w:rPr>
        <w:t>残疾人福利性单位的，不重复进行投标报价扣除。</w:t>
      </w:r>
    </w:p>
    <w:p w14:paraId="2BA84431">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 xml:space="preserve">.成交候选人并列时的处理方式：   </w:t>
      </w:r>
    </w:p>
    <w:p w14:paraId="714CD288">
      <w:pPr>
        <w:pStyle w:val="7"/>
        <w:tabs>
          <w:tab w:val="clear" w:pos="567"/>
        </w:tabs>
        <w:spacing w:before="0" w:line="360" w:lineRule="auto"/>
        <w:ind w:left="-181" w:leftChars="-86" w:firstLine="660" w:firstLineChars="275"/>
        <w:rPr>
          <w:rFonts w:hint="eastAsia" w:ascii="仿宋" w:hAnsi="仿宋" w:eastAsia="仿宋"/>
          <w:color w:val="auto"/>
          <w:highlight w:val="none"/>
        </w:rPr>
      </w:pPr>
      <w:r>
        <w:rPr>
          <w:rFonts w:hint="eastAsia" w:ascii="仿宋" w:hAnsi="仿宋" w:eastAsia="仿宋"/>
          <w:color w:val="auto"/>
          <w:highlight w:val="none"/>
        </w:rPr>
        <w:t>如采用综合评标法，则</w:t>
      </w:r>
      <w:r>
        <w:rPr>
          <w:rFonts w:hint="eastAsia" w:ascii="仿宋" w:hAnsi="仿宋" w:eastAsia="仿宋"/>
          <w:color w:val="auto"/>
          <w:highlight w:val="none"/>
          <w:u w:val="single"/>
        </w:rPr>
        <w:t>：技术得分高的优先</w:t>
      </w:r>
      <w:r>
        <w:rPr>
          <w:rFonts w:ascii="仿宋" w:hAnsi="仿宋" w:eastAsia="仿宋"/>
          <w:color w:val="auto"/>
          <w:highlight w:val="none"/>
          <w:u w:val="single"/>
        </w:rPr>
        <w:t xml:space="preserve"> </w:t>
      </w:r>
      <w:r>
        <w:rPr>
          <w:rFonts w:hint="eastAsia" w:ascii="仿宋" w:hAnsi="仿宋" w:eastAsia="仿宋"/>
          <w:color w:val="auto"/>
          <w:highlight w:val="none"/>
        </w:rPr>
        <w:t>。</w:t>
      </w:r>
    </w:p>
    <w:p w14:paraId="4630CA13">
      <w:pPr>
        <w:rPr>
          <w:rFonts w:hint="eastAsia" w:ascii="仿宋" w:hAnsi="仿宋" w:eastAsia="仿宋"/>
          <w:color w:val="auto"/>
          <w:highlight w:val="none"/>
        </w:rPr>
      </w:pPr>
      <w:r>
        <w:rPr>
          <w:rFonts w:hint="eastAsia" w:ascii="仿宋" w:hAnsi="仿宋" w:eastAsia="仿宋"/>
          <w:color w:val="auto"/>
          <w:highlight w:val="none"/>
        </w:rPr>
        <w:br w:type="page"/>
      </w:r>
    </w:p>
    <w:p w14:paraId="264872E2">
      <w:pPr>
        <w:pStyle w:val="7"/>
        <w:keepNext w:val="0"/>
        <w:keepLines w:val="0"/>
        <w:pageBreakBefore w:val="0"/>
        <w:numPr>
          <w:ilvl w:val="0"/>
          <w:numId w:val="10"/>
        </w:numPr>
        <w:kinsoku/>
        <w:wordWrap/>
        <w:overflowPunct/>
        <w:topLinePunct w:val="0"/>
        <w:autoSpaceDE/>
        <w:autoSpaceDN/>
        <w:bidi w:val="0"/>
        <w:adjustRightInd/>
        <w:snapToGrid/>
        <w:spacing w:line="320" w:lineRule="exact"/>
        <w:jc w:val="left"/>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初步评审</w:t>
      </w:r>
    </w:p>
    <w:p w14:paraId="78B77D3A">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color w:val="auto"/>
          <w:highlight w:val="none"/>
        </w:rPr>
      </w:pPr>
      <w:r>
        <w:rPr>
          <w:rFonts w:hint="eastAsia" w:ascii="仿宋" w:hAnsi="仿宋" w:eastAsia="仿宋" w:cs="宋体"/>
          <w:b/>
          <w:color w:val="auto"/>
          <w:kern w:val="0"/>
          <w:sz w:val="32"/>
          <w:szCs w:val="32"/>
          <w:highlight w:val="none"/>
          <w:lang w:val="en-US" w:eastAsia="zh-CN"/>
        </w:rPr>
        <w:t>1.</w:t>
      </w:r>
      <w:r>
        <w:rPr>
          <w:rFonts w:hint="eastAsia" w:ascii="仿宋" w:hAnsi="仿宋" w:eastAsia="仿宋" w:cs="宋体"/>
          <w:b/>
          <w:color w:val="auto"/>
          <w:kern w:val="0"/>
          <w:sz w:val="32"/>
          <w:szCs w:val="32"/>
          <w:highlight w:val="none"/>
        </w:rPr>
        <w:t>资格性审查</w:t>
      </w:r>
    </w:p>
    <w:tbl>
      <w:tblPr>
        <w:tblStyle w:val="29"/>
        <w:tblpPr w:leftFromText="180" w:rightFromText="180" w:vertAnchor="text" w:horzAnchor="page" w:tblpX="778" w:tblpY="320"/>
        <w:tblOverlap w:val="never"/>
        <w:tblW w:w="103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191"/>
        <w:gridCol w:w="4021"/>
        <w:gridCol w:w="4412"/>
      </w:tblGrid>
      <w:tr w14:paraId="59055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3" w:type="dxa"/>
            <w:vAlign w:val="top"/>
          </w:tcPr>
          <w:p w14:paraId="181F4DCD">
            <w:pPr>
              <w:pStyle w:val="30"/>
              <w:spacing w:before="219" w:line="240"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1191" w:type="dxa"/>
            <w:vAlign w:val="top"/>
          </w:tcPr>
          <w:p w14:paraId="573CB1B7">
            <w:pPr>
              <w:pStyle w:val="30"/>
              <w:spacing w:before="211" w:line="240" w:lineRule="auto"/>
              <w:ind w:left="368"/>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021" w:type="dxa"/>
            <w:tcBorders>
              <w:right w:val="single" w:color="auto" w:sz="4" w:space="0"/>
            </w:tcBorders>
            <w:vAlign w:val="top"/>
          </w:tcPr>
          <w:p w14:paraId="2C97AEE3">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412" w:type="dxa"/>
            <w:tcBorders>
              <w:left w:val="single" w:color="auto" w:sz="4" w:space="0"/>
            </w:tcBorders>
            <w:vAlign w:val="top"/>
          </w:tcPr>
          <w:p w14:paraId="64995686">
            <w:pPr>
              <w:pStyle w:val="30"/>
              <w:spacing w:before="220"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43BE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33" w:type="dxa"/>
            <w:vAlign w:val="center"/>
          </w:tcPr>
          <w:p w14:paraId="64660586">
            <w:pPr>
              <w:pStyle w:val="30"/>
              <w:spacing w:before="71" w:line="24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91" w:type="dxa"/>
            <w:vAlign w:val="center"/>
          </w:tcPr>
          <w:p w14:paraId="079AEF61">
            <w:pPr>
              <w:pStyle w:val="30"/>
              <w:spacing w:before="32" w:line="240" w:lineRule="auto"/>
              <w:ind w:left="115" w:right="106"/>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3DB76A6C">
            <w:pPr>
              <w:pStyle w:val="30"/>
              <w:spacing w:before="32" w:line="240" w:lineRule="auto"/>
              <w:ind w:left="113" w:right="204" w:firstLine="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具有独立承担民事责任的能力</w:t>
            </w:r>
          </w:p>
        </w:tc>
        <w:tc>
          <w:tcPr>
            <w:tcW w:w="4412" w:type="dxa"/>
            <w:tcBorders>
              <w:left w:val="single" w:color="auto" w:sz="4" w:space="0"/>
            </w:tcBorders>
            <w:vAlign w:val="center"/>
          </w:tcPr>
          <w:p w14:paraId="5CDB755C">
            <w:pPr>
              <w:pStyle w:val="9"/>
              <w:tabs>
                <w:tab w:val="left" w:pos="5580"/>
              </w:tabs>
              <w:spacing w:line="360" w:lineRule="auto"/>
              <w:rPr>
                <w:rFonts w:hint="eastAsia" w:ascii="仿宋" w:hAnsi="仿宋" w:eastAsia="仿宋" w:cs="仿宋"/>
                <w:color w:val="auto"/>
                <w:sz w:val="22"/>
                <w:szCs w:val="22"/>
                <w:highlight w:val="none"/>
                <w:lang w:eastAsia="zh-CN"/>
              </w:rPr>
            </w:pPr>
            <w:r>
              <w:rPr>
                <w:rFonts w:hint="eastAsia" w:ascii="仿宋" w:hAnsi="仿宋" w:eastAsia="仿宋"/>
                <w:color w:val="auto"/>
                <w:sz w:val="22"/>
                <w:szCs w:val="18"/>
                <w:highlight w:val="none"/>
              </w:rPr>
              <w:t>提供有效的营业执照等证明文件，加盖公章。</w:t>
            </w:r>
          </w:p>
        </w:tc>
      </w:tr>
      <w:tr w14:paraId="1D5D4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33" w:type="dxa"/>
            <w:vAlign w:val="center"/>
          </w:tcPr>
          <w:p w14:paraId="1A002566">
            <w:pPr>
              <w:pStyle w:val="30"/>
              <w:spacing w:before="184" w:line="240" w:lineRule="auto"/>
              <w:ind w:left="351"/>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191" w:type="dxa"/>
            <w:vAlign w:val="center"/>
          </w:tcPr>
          <w:p w14:paraId="5E6F9D45">
            <w:pPr>
              <w:pStyle w:val="30"/>
              <w:spacing w:before="150"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财务报告</w:t>
            </w:r>
          </w:p>
        </w:tc>
        <w:tc>
          <w:tcPr>
            <w:tcW w:w="4021" w:type="dxa"/>
            <w:tcBorders>
              <w:right w:val="single" w:color="auto" w:sz="4" w:space="0"/>
            </w:tcBorders>
            <w:vAlign w:val="center"/>
          </w:tcPr>
          <w:p w14:paraId="3D49CA34">
            <w:pPr>
              <w:pStyle w:val="30"/>
              <w:spacing w:before="150" w:line="240" w:lineRule="auto"/>
              <w:ind w:left="112"/>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具有良好的商业信誉和健全的财务会计制度</w:t>
            </w:r>
          </w:p>
        </w:tc>
        <w:tc>
          <w:tcPr>
            <w:tcW w:w="4412" w:type="dxa"/>
            <w:tcBorders>
              <w:left w:val="single" w:color="auto" w:sz="4" w:space="0"/>
            </w:tcBorders>
            <w:vAlign w:val="center"/>
          </w:tcPr>
          <w:p w14:paraId="0DC49FD3">
            <w:pPr>
              <w:pStyle w:val="30"/>
              <w:spacing w:before="150" w:line="240" w:lineRule="auto"/>
              <w:ind w:left="112"/>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供应商承诺良好的商业信誉和健全的财务会计制度（格式自拟）</w:t>
            </w:r>
            <w:r>
              <w:rPr>
                <w:rFonts w:hint="eastAsia" w:ascii="仿宋" w:hAnsi="仿宋" w:eastAsia="仿宋" w:cs="仿宋"/>
                <w:color w:val="auto"/>
                <w:sz w:val="22"/>
                <w:szCs w:val="22"/>
                <w:highlight w:val="none"/>
                <w:lang w:eastAsia="zh-CN"/>
              </w:rPr>
              <w:t>。</w:t>
            </w:r>
          </w:p>
        </w:tc>
      </w:tr>
      <w:tr w14:paraId="7B9B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3" w:type="dxa"/>
            <w:vAlign w:val="center"/>
          </w:tcPr>
          <w:p w14:paraId="35309AC1">
            <w:pPr>
              <w:pStyle w:val="30"/>
              <w:spacing w:before="207" w:line="240" w:lineRule="auto"/>
              <w:ind w:left="353"/>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191" w:type="dxa"/>
            <w:vAlign w:val="center"/>
          </w:tcPr>
          <w:p w14:paraId="76BFC3E8">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1AC43ED0">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具有履行合同所必需的设备和专业技术能力</w:t>
            </w:r>
          </w:p>
        </w:tc>
        <w:tc>
          <w:tcPr>
            <w:tcW w:w="4412" w:type="dxa"/>
            <w:tcBorders>
              <w:left w:val="single" w:color="auto" w:sz="4" w:space="0"/>
            </w:tcBorders>
            <w:vAlign w:val="center"/>
          </w:tcPr>
          <w:p w14:paraId="13B9031D">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具有完成本项目所必需的设备和专业技术人员以及后续服务能力（提供承诺书）</w:t>
            </w:r>
            <w:r>
              <w:rPr>
                <w:rFonts w:hint="eastAsia" w:ascii="仿宋" w:hAnsi="仿宋" w:eastAsia="仿宋" w:cs="仿宋"/>
                <w:color w:val="auto"/>
                <w:sz w:val="22"/>
                <w:szCs w:val="22"/>
                <w:highlight w:val="none"/>
                <w:lang w:eastAsia="zh-CN"/>
              </w:rPr>
              <w:t>。</w:t>
            </w:r>
          </w:p>
        </w:tc>
      </w:tr>
      <w:tr w14:paraId="1A9A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33" w:type="dxa"/>
            <w:vAlign w:val="center"/>
          </w:tcPr>
          <w:p w14:paraId="745CEFC3">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1191" w:type="dxa"/>
            <w:vAlign w:val="center"/>
          </w:tcPr>
          <w:p w14:paraId="368071C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68C563FB">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有依法缴纳税收和社会保障资金的良好记录</w:t>
            </w:r>
          </w:p>
        </w:tc>
        <w:tc>
          <w:tcPr>
            <w:tcW w:w="4412" w:type="dxa"/>
            <w:tcBorders>
              <w:left w:val="single" w:color="auto" w:sz="4" w:space="0"/>
            </w:tcBorders>
            <w:vAlign w:val="center"/>
          </w:tcPr>
          <w:p w14:paraId="156E02F0">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供应商承诺依法缴纳社会保障资金和税收（格式自拟）</w:t>
            </w:r>
            <w:r>
              <w:rPr>
                <w:rFonts w:hint="eastAsia" w:ascii="仿宋" w:hAnsi="仿宋" w:eastAsia="仿宋" w:cs="仿宋"/>
                <w:color w:val="auto"/>
                <w:sz w:val="22"/>
                <w:szCs w:val="22"/>
                <w:highlight w:val="none"/>
                <w:lang w:eastAsia="zh-CN"/>
              </w:rPr>
              <w:t>。</w:t>
            </w:r>
          </w:p>
        </w:tc>
      </w:tr>
      <w:tr w14:paraId="09DA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33" w:type="dxa"/>
            <w:vAlign w:val="center"/>
          </w:tcPr>
          <w:p w14:paraId="6F753B9F">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1191" w:type="dxa"/>
            <w:vAlign w:val="center"/>
          </w:tcPr>
          <w:p w14:paraId="674A1403">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基本资质</w:t>
            </w:r>
          </w:p>
        </w:tc>
        <w:tc>
          <w:tcPr>
            <w:tcW w:w="4021" w:type="dxa"/>
            <w:tcBorders>
              <w:right w:val="single" w:color="auto" w:sz="4" w:space="0"/>
            </w:tcBorders>
            <w:vAlign w:val="center"/>
          </w:tcPr>
          <w:p w14:paraId="7DD684FF">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参加政府采购活动前三年内，在经营活动中没有重大违法记录</w:t>
            </w:r>
          </w:p>
        </w:tc>
        <w:tc>
          <w:tcPr>
            <w:tcW w:w="4412" w:type="dxa"/>
            <w:tcBorders>
              <w:left w:val="single" w:color="auto" w:sz="4" w:space="0"/>
            </w:tcBorders>
            <w:vAlign w:val="center"/>
          </w:tcPr>
          <w:p w14:paraId="36EEFA9E">
            <w:pPr>
              <w:pStyle w:val="30"/>
              <w:spacing w:before="32" w:line="240" w:lineRule="auto"/>
              <w:ind w:left="114" w:right="107" w:firstLine="1"/>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供应商提供参加政府采购活动前3年内在经营活动中没有重大违法记录的承诺书（格式自拟）</w:t>
            </w:r>
            <w:r>
              <w:rPr>
                <w:rFonts w:hint="eastAsia" w:ascii="仿宋" w:hAnsi="仿宋" w:eastAsia="仿宋" w:cs="仿宋"/>
                <w:color w:val="auto"/>
                <w:sz w:val="22"/>
                <w:szCs w:val="22"/>
                <w:highlight w:val="none"/>
                <w:lang w:eastAsia="zh-CN"/>
              </w:rPr>
              <w:t>。</w:t>
            </w:r>
          </w:p>
        </w:tc>
      </w:tr>
      <w:tr w14:paraId="5AFE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3" w:type="dxa"/>
            <w:vAlign w:val="center"/>
          </w:tcPr>
          <w:p w14:paraId="29A049D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1191" w:type="dxa"/>
            <w:vAlign w:val="center"/>
          </w:tcPr>
          <w:p w14:paraId="06931F31">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采购政策</w:t>
            </w:r>
          </w:p>
        </w:tc>
        <w:tc>
          <w:tcPr>
            <w:tcW w:w="4021" w:type="dxa"/>
            <w:tcBorders>
              <w:right w:val="single" w:color="auto" w:sz="4" w:space="0"/>
            </w:tcBorders>
            <w:vAlign w:val="center"/>
          </w:tcPr>
          <w:p w14:paraId="4E911B2E">
            <w:pPr>
              <w:pStyle w:val="7"/>
              <w:spacing w:line="24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shd w:val="clear" w:color="auto" w:fill="FFFFFF"/>
              </w:rPr>
              <w:t>供应商为中小企业</w:t>
            </w:r>
            <w:r>
              <w:rPr>
                <w:rFonts w:hint="eastAsia" w:ascii="仿宋" w:hAnsi="仿宋" w:eastAsia="仿宋" w:cs="仿宋"/>
                <w:color w:val="auto"/>
                <w:kern w:val="0"/>
                <w:sz w:val="22"/>
                <w:szCs w:val="22"/>
                <w:highlight w:val="none"/>
                <w:shd w:val="clear" w:color="auto" w:fill="FFFFFF"/>
                <w:lang w:eastAsia="zh-CN"/>
              </w:rPr>
              <w:t>。</w:t>
            </w:r>
          </w:p>
        </w:tc>
        <w:tc>
          <w:tcPr>
            <w:tcW w:w="4412" w:type="dxa"/>
            <w:tcBorders>
              <w:left w:val="single" w:color="auto" w:sz="4" w:space="0"/>
            </w:tcBorders>
            <w:vAlign w:val="center"/>
          </w:tcPr>
          <w:p w14:paraId="57356BD5">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请根据要求单独上传《中小企业声明函》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格式以</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要求为准。</w:t>
            </w:r>
          </w:p>
        </w:tc>
      </w:tr>
      <w:tr w14:paraId="0B79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33" w:type="dxa"/>
            <w:vAlign w:val="center"/>
          </w:tcPr>
          <w:p w14:paraId="0CFD4D04">
            <w:pPr>
              <w:pStyle w:val="30"/>
              <w:spacing w:before="207" w:line="240"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1191" w:type="dxa"/>
            <w:vAlign w:val="center"/>
          </w:tcPr>
          <w:p w14:paraId="1857345F">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B3C4C75">
            <w:pPr>
              <w:spacing w:line="240"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（1）供应商须具备有效的工程监理综合资质证书或房屋建筑工程（专业类监理企业资质）丙级及以上资质证书；</w:t>
            </w:r>
          </w:p>
          <w:p w14:paraId="33015AB9">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（2）供应商拟派总监理工程师须具有国家注册监理工程师注册证书（房屋建筑工程专业），本单位注册，且在有效期内；现阶段在监项目少于三项。</w:t>
            </w:r>
          </w:p>
        </w:tc>
        <w:tc>
          <w:tcPr>
            <w:tcW w:w="4412" w:type="dxa"/>
            <w:tcBorders>
              <w:left w:val="single" w:color="auto" w:sz="4" w:space="0"/>
            </w:tcBorders>
            <w:vAlign w:val="center"/>
          </w:tcPr>
          <w:p w14:paraId="08107F81">
            <w:pPr>
              <w:pStyle w:val="30"/>
              <w:spacing w:before="32" w:line="240" w:lineRule="auto"/>
              <w:ind w:left="114" w:right="107" w:firstLine="1"/>
              <w:jc w:val="left"/>
              <w:rPr>
                <w:rFonts w:hint="eastAsia"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kern w:val="0"/>
                <w:sz w:val="22"/>
                <w:szCs w:val="22"/>
                <w:highlight w:val="none"/>
                <w:shd w:val="clear" w:color="auto" w:fill="FFFFFF"/>
                <w:lang w:val="en-US" w:eastAsia="zh-CN"/>
              </w:rPr>
              <w:t>供应商提供有效的资质证书且具备工程监理综合资质或房屋建筑工程（专业类监理企业资质）丙级及以上资质，加盖公章。</w:t>
            </w:r>
          </w:p>
          <w:p w14:paraId="6440582A">
            <w:pPr>
              <w:pStyle w:val="30"/>
              <w:spacing w:before="32" w:line="240" w:lineRule="auto"/>
              <w:ind w:left="114" w:right="107" w:firstLine="1"/>
              <w:jc w:val="left"/>
              <w:rPr>
                <w:rFonts w:hint="default" w:ascii="仿宋" w:hAnsi="仿宋" w:eastAsia="仿宋" w:cs="仿宋"/>
                <w:color w:val="auto"/>
                <w:kern w:val="0"/>
                <w:sz w:val="22"/>
                <w:szCs w:val="22"/>
                <w:highlight w:val="none"/>
                <w:shd w:val="clear" w:color="auto" w:fill="FFFFFF"/>
                <w:lang w:val="en-US" w:eastAsia="zh-CN" w:bidi="ar-SA"/>
              </w:rPr>
            </w:pPr>
            <w:r>
              <w:rPr>
                <w:rFonts w:hint="eastAsia" w:ascii="仿宋" w:hAnsi="仿宋" w:eastAsia="仿宋" w:cs="仿宋"/>
                <w:color w:val="auto"/>
                <w:kern w:val="0"/>
                <w:sz w:val="22"/>
                <w:szCs w:val="22"/>
                <w:highlight w:val="none"/>
                <w:shd w:val="clear" w:color="auto" w:fill="FFFFFF"/>
                <w:lang w:val="en-US" w:eastAsia="zh-CN" w:bidi="ar-SA"/>
              </w:rPr>
              <w:t>（2）供应商提供项目总监的国家注册监理工程师注册证书（房屋建筑工程专业），本单位注册，且在有效期内；现阶段在监项目少于三项。（须提供承诺，加盖公章）。</w:t>
            </w:r>
          </w:p>
        </w:tc>
      </w:tr>
      <w:tr w14:paraId="4BBA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733" w:type="dxa"/>
            <w:vAlign w:val="center"/>
          </w:tcPr>
          <w:p w14:paraId="4C26C4C4">
            <w:pPr>
              <w:pStyle w:val="30"/>
              <w:spacing w:before="207"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1191" w:type="dxa"/>
            <w:vAlign w:val="center"/>
          </w:tcPr>
          <w:p w14:paraId="607C6FA4">
            <w:pPr>
              <w:pStyle w:val="30"/>
              <w:spacing w:before="173" w:line="24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特定资质</w:t>
            </w:r>
          </w:p>
        </w:tc>
        <w:tc>
          <w:tcPr>
            <w:tcW w:w="4021" w:type="dxa"/>
            <w:tcBorders>
              <w:right w:val="single" w:color="auto" w:sz="4" w:space="0"/>
            </w:tcBorders>
            <w:vAlign w:val="center"/>
          </w:tcPr>
          <w:p w14:paraId="6F348409">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凡拟参加本次采购项目的供应商，如在 “信用中国”（www.creditchina.gov.cn）、中国政府采购网（www.ccgp.gov.cn）列入失信被执行人、重大税收违法案件当事人名单、政府采购严重违法失信行为记录名单（尚在处罚期内的），将拒绝其参本次政府采购活动。</w:t>
            </w:r>
          </w:p>
        </w:tc>
        <w:tc>
          <w:tcPr>
            <w:tcW w:w="4412" w:type="dxa"/>
            <w:tcBorders>
              <w:left w:val="single" w:color="auto" w:sz="4" w:space="0"/>
            </w:tcBorders>
            <w:vAlign w:val="center"/>
          </w:tcPr>
          <w:p w14:paraId="5C4AA8C7">
            <w:pPr>
              <w:pStyle w:val="30"/>
              <w:spacing w:before="32" w:line="240" w:lineRule="auto"/>
              <w:ind w:left="114" w:right="107" w:firstLine="1"/>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信用查询记录</w:t>
            </w:r>
            <w:r>
              <w:rPr>
                <w:rFonts w:hint="eastAsia" w:ascii="仿宋" w:hAnsi="仿宋" w:eastAsia="仿宋" w:cs="仿宋"/>
                <w:color w:val="auto"/>
                <w:sz w:val="22"/>
                <w:szCs w:val="22"/>
                <w:highlight w:val="none"/>
                <w:lang w:eastAsia="zh-CN"/>
              </w:rPr>
              <w:t>。查询渠道： “信用中国”（www.creditchina.gov.cn）及中国政府采购网（www.ccgp.gov.cn）。查询时间为自公告发布之日起至提交响应文件截止时间止（该时间段内任一时间）。</w:t>
            </w:r>
          </w:p>
        </w:tc>
      </w:tr>
      <w:tr w14:paraId="7551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357" w:type="dxa"/>
            <w:gridSpan w:val="4"/>
            <w:vAlign w:val="top"/>
          </w:tcPr>
          <w:p w14:paraId="0E701199">
            <w:pPr>
              <w:pStyle w:val="30"/>
              <w:spacing w:before="75" w:line="24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2"/>
                <w:sz w:val="22"/>
                <w:szCs w:val="22"/>
                <w:highlight w:val="none"/>
              </w:rPr>
              <w:t>说明：以上资格证明文件要求上传提交，供应商必须满足资格性审查表内所有条款，否则被认定为无</w:t>
            </w:r>
            <w:r>
              <w:rPr>
                <w:rFonts w:hint="eastAsia" w:ascii="仿宋" w:hAnsi="仿宋" w:eastAsia="仿宋" w:cs="仿宋"/>
                <w:b/>
                <w:bCs/>
                <w:color w:val="auto"/>
                <w:spacing w:val="-11"/>
                <w:sz w:val="22"/>
                <w:szCs w:val="22"/>
                <w:highlight w:val="none"/>
              </w:rPr>
              <w:t>效响应。</w:t>
            </w:r>
          </w:p>
        </w:tc>
      </w:tr>
    </w:tbl>
    <w:p w14:paraId="2D77F175">
      <w:pPr>
        <w:spacing w:line="360" w:lineRule="auto"/>
        <w:rPr>
          <w:rFonts w:hint="eastAsia" w:ascii="仿宋" w:hAnsi="仿宋" w:eastAsia="仿宋"/>
          <w:color w:val="auto"/>
          <w:highlight w:val="none"/>
        </w:rPr>
      </w:pPr>
      <w:r>
        <w:rPr>
          <w:rFonts w:ascii="仿宋" w:hAnsi="仿宋" w:eastAsia="仿宋"/>
          <w:color w:val="auto"/>
          <w:sz w:val="24"/>
          <w:highlight w:val="none"/>
        </w:rPr>
        <w:t>审核人员签字</w:t>
      </w:r>
      <w:r>
        <w:rPr>
          <w:rFonts w:hint="eastAsia" w:ascii="仿宋" w:hAnsi="仿宋" w:eastAsia="仿宋"/>
          <w:color w:val="auto"/>
          <w:sz w:val="24"/>
          <w:highlight w:val="none"/>
        </w:rPr>
        <w:t>：_________</w:t>
      </w:r>
    </w:p>
    <w:p w14:paraId="16903B95">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注：本表由采购人或采购代理机构核对并如实填写。</w:t>
      </w:r>
    </w:p>
    <w:p w14:paraId="572F3AE6">
      <w:pP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br w:type="page"/>
      </w:r>
    </w:p>
    <w:p w14:paraId="6CFE8475">
      <w:pPr>
        <w:widowControl/>
        <w:spacing w:line="360" w:lineRule="auto"/>
        <w:jc w:val="center"/>
        <w:rPr>
          <w:rFonts w:hint="eastAsia" w:ascii="仿宋" w:hAnsi="仿宋" w:eastAsia="仿宋" w:cs="宋体"/>
          <w:b/>
          <w:color w:val="auto"/>
          <w:kern w:val="0"/>
          <w:sz w:val="32"/>
          <w:szCs w:val="32"/>
          <w:highlight w:val="none"/>
          <w:lang w:val="en-US" w:eastAsia="zh-CN"/>
        </w:rPr>
      </w:pPr>
      <w:r>
        <w:rPr>
          <w:rFonts w:hint="eastAsia" w:ascii="仿宋" w:hAnsi="仿宋" w:eastAsia="仿宋" w:cs="宋体"/>
          <w:b/>
          <w:color w:val="auto"/>
          <w:kern w:val="0"/>
          <w:sz w:val="32"/>
          <w:szCs w:val="32"/>
          <w:highlight w:val="none"/>
          <w:lang w:val="en-US" w:eastAsia="zh-CN"/>
        </w:rPr>
        <w:t>2.符合性审查</w:t>
      </w:r>
    </w:p>
    <w:tbl>
      <w:tblPr>
        <w:tblStyle w:val="29"/>
        <w:tblW w:w="107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62"/>
        <w:gridCol w:w="4719"/>
        <w:gridCol w:w="4537"/>
      </w:tblGrid>
      <w:tr w14:paraId="56BF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jc w:val="center"/>
        </w:trPr>
        <w:tc>
          <w:tcPr>
            <w:tcW w:w="683" w:type="dxa"/>
            <w:vAlign w:val="top"/>
          </w:tcPr>
          <w:p w14:paraId="2BC543C4">
            <w:pPr>
              <w:pStyle w:val="30"/>
              <w:spacing w:before="219" w:line="222" w:lineRule="auto"/>
              <w:ind w:left="182"/>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762" w:type="dxa"/>
            <w:vAlign w:val="top"/>
          </w:tcPr>
          <w:p w14:paraId="591A28DD">
            <w:pPr>
              <w:pStyle w:val="30"/>
              <w:spacing w:before="211" w:line="227" w:lineRule="auto"/>
              <w:ind w:firstLine="220" w:firstLineChars="100"/>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类型</w:t>
            </w:r>
          </w:p>
        </w:tc>
        <w:tc>
          <w:tcPr>
            <w:tcW w:w="4719" w:type="dxa"/>
            <w:tcBorders>
              <w:right w:val="single" w:color="auto" w:sz="4" w:space="0"/>
            </w:tcBorders>
            <w:vAlign w:val="top"/>
          </w:tcPr>
          <w:p w14:paraId="3BAEB5A4">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审查要求</w:t>
            </w:r>
          </w:p>
        </w:tc>
        <w:tc>
          <w:tcPr>
            <w:tcW w:w="4537" w:type="dxa"/>
            <w:tcBorders>
              <w:left w:val="single" w:color="auto" w:sz="4" w:space="0"/>
            </w:tcBorders>
            <w:vAlign w:val="top"/>
          </w:tcPr>
          <w:p w14:paraId="6512F118">
            <w:pPr>
              <w:pStyle w:val="30"/>
              <w:spacing w:before="220" w:line="22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要求说明</w:t>
            </w:r>
          </w:p>
        </w:tc>
      </w:tr>
      <w:tr w14:paraId="1D13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83" w:type="dxa"/>
            <w:vAlign w:val="center"/>
          </w:tcPr>
          <w:p w14:paraId="47F0D6BB">
            <w:pPr>
              <w:pStyle w:val="30"/>
              <w:spacing w:before="71" w:line="184"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762" w:type="dxa"/>
            <w:vAlign w:val="center"/>
          </w:tcPr>
          <w:p w14:paraId="484C1CE9">
            <w:pPr>
              <w:pStyle w:val="30"/>
              <w:spacing w:before="32" w:line="229" w:lineRule="auto"/>
              <w:ind w:left="115" w:right="106"/>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2F15574">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在同一标包内，单位负责人非同一人或者不存在直接控股、管理关系的不同供应商。</w:t>
            </w:r>
          </w:p>
        </w:tc>
        <w:tc>
          <w:tcPr>
            <w:tcW w:w="4537" w:type="dxa"/>
            <w:tcBorders>
              <w:left w:val="single" w:color="auto" w:sz="4" w:space="0"/>
            </w:tcBorders>
            <w:vAlign w:val="center"/>
          </w:tcPr>
          <w:p w14:paraId="5F2F0155">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供应商关联单位的说明要求。</w:t>
            </w:r>
          </w:p>
        </w:tc>
      </w:tr>
      <w:tr w14:paraId="64E2F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524A1E47">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762" w:type="dxa"/>
            <w:vAlign w:val="center"/>
          </w:tcPr>
          <w:p w14:paraId="4B53AC0F">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60A864A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法定代表人身份证明书或者法定代表人授权书。</w:t>
            </w:r>
          </w:p>
        </w:tc>
        <w:tc>
          <w:tcPr>
            <w:tcW w:w="4537" w:type="dxa"/>
            <w:tcBorders>
              <w:left w:val="single" w:color="auto" w:sz="4" w:space="0"/>
            </w:tcBorders>
            <w:vAlign w:val="center"/>
          </w:tcPr>
          <w:p w14:paraId="33FA0DAA">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w:t>
            </w:r>
            <w:r>
              <w:rPr>
                <w:rFonts w:hint="eastAsia" w:ascii="仿宋" w:hAnsi="仿宋" w:eastAsia="仿宋" w:cs="仿宋"/>
                <w:color w:val="auto"/>
                <w:sz w:val="22"/>
                <w:szCs w:val="22"/>
                <w:highlight w:val="none"/>
                <w:lang w:val="en-US" w:eastAsia="zh-CN"/>
              </w:rPr>
              <w:t>竞争性磋商文件</w:t>
            </w:r>
            <w:r>
              <w:rPr>
                <w:rFonts w:hint="eastAsia" w:ascii="仿宋" w:hAnsi="仿宋" w:eastAsia="仿宋" w:cs="仿宋"/>
                <w:color w:val="auto"/>
                <w:sz w:val="22"/>
                <w:szCs w:val="22"/>
                <w:highlight w:val="none"/>
              </w:rPr>
              <w:t>中规定的格式提供法定代表人身份证明书或者法定代表人授权书</w:t>
            </w:r>
            <w:r>
              <w:rPr>
                <w:rFonts w:hint="eastAsia" w:ascii="仿宋" w:hAnsi="仿宋" w:eastAsia="仿宋" w:cs="仿宋"/>
                <w:color w:val="auto"/>
                <w:sz w:val="22"/>
                <w:szCs w:val="22"/>
                <w:highlight w:val="none"/>
                <w:lang w:eastAsia="zh-CN"/>
              </w:rPr>
              <w:t>。</w:t>
            </w:r>
          </w:p>
        </w:tc>
      </w:tr>
      <w:tr w14:paraId="3213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4FF6D3AA">
            <w:pPr>
              <w:pStyle w:val="30"/>
              <w:spacing w:before="184" w:line="184" w:lineRule="auto"/>
              <w:ind w:left="351"/>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762" w:type="dxa"/>
            <w:vAlign w:val="center"/>
          </w:tcPr>
          <w:p w14:paraId="7DB19D24">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7470A833">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eastAsia="zh-CN"/>
              </w:rPr>
              <w:t>供应商按照</w:t>
            </w:r>
            <w:r>
              <w:rPr>
                <w:rFonts w:hint="eastAsia" w:ascii="仿宋" w:hAnsi="仿宋" w:eastAsia="仿宋" w:cs="仿宋"/>
                <w:color w:val="auto"/>
                <w:sz w:val="22"/>
                <w:szCs w:val="22"/>
                <w:highlight w:val="none"/>
                <w:lang w:val="en-US" w:eastAsia="zh-CN"/>
              </w:rPr>
              <w:t>竞争性磋商文件要求</w:t>
            </w:r>
            <w:r>
              <w:rPr>
                <w:rFonts w:hint="eastAsia" w:ascii="仿宋" w:hAnsi="仿宋" w:eastAsia="仿宋" w:cs="仿宋"/>
                <w:color w:val="auto"/>
                <w:sz w:val="22"/>
                <w:szCs w:val="22"/>
                <w:highlight w:val="none"/>
                <w:lang w:eastAsia="zh-CN"/>
              </w:rPr>
              <w:t>缴纳磋商保证金。</w:t>
            </w:r>
          </w:p>
        </w:tc>
        <w:tc>
          <w:tcPr>
            <w:tcW w:w="4537" w:type="dxa"/>
            <w:tcBorders>
              <w:left w:val="single" w:color="auto" w:sz="4" w:space="0"/>
            </w:tcBorders>
            <w:vAlign w:val="center"/>
          </w:tcPr>
          <w:p w14:paraId="0108666F">
            <w:pPr>
              <w:pStyle w:val="30"/>
              <w:spacing w:before="32" w:line="240"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提供磋商保证金缴纳</w:t>
            </w:r>
            <w:bookmarkStart w:id="441" w:name="_GoBack"/>
            <w:bookmarkEnd w:id="441"/>
            <w:r>
              <w:rPr>
                <w:rFonts w:hint="eastAsia" w:ascii="仿宋" w:hAnsi="仿宋" w:eastAsia="仿宋" w:cs="仿宋"/>
                <w:color w:val="auto"/>
                <w:sz w:val="22"/>
                <w:szCs w:val="22"/>
                <w:highlight w:val="none"/>
              </w:rPr>
              <w:t>凭证或电子保函</w:t>
            </w:r>
            <w:r>
              <w:rPr>
                <w:rFonts w:hint="eastAsia" w:ascii="仿宋" w:hAnsi="仿宋" w:eastAsia="仿宋" w:cs="仿宋"/>
                <w:color w:val="auto"/>
                <w:sz w:val="22"/>
                <w:szCs w:val="22"/>
                <w:highlight w:val="none"/>
                <w:lang w:eastAsia="zh-CN"/>
              </w:rPr>
              <w:t>。</w:t>
            </w:r>
          </w:p>
        </w:tc>
      </w:tr>
      <w:tr w14:paraId="372A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3" w:type="dxa"/>
            <w:vAlign w:val="center"/>
          </w:tcPr>
          <w:p w14:paraId="10C4AE7D">
            <w:pPr>
              <w:pStyle w:val="30"/>
              <w:spacing w:before="184" w:line="184" w:lineRule="auto"/>
              <w:ind w:left="351"/>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762" w:type="dxa"/>
            <w:vAlign w:val="center"/>
          </w:tcPr>
          <w:p w14:paraId="4048FB8B">
            <w:pPr>
              <w:pStyle w:val="30"/>
              <w:spacing w:before="150" w:line="219"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5423703C">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c>
          <w:tcPr>
            <w:tcW w:w="4537" w:type="dxa"/>
            <w:tcBorders>
              <w:left w:val="single" w:color="auto" w:sz="4" w:space="0"/>
            </w:tcBorders>
            <w:vAlign w:val="center"/>
          </w:tcPr>
          <w:p w14:paraId="3B100CA7">
            <w:pPr>
              <w:pStyle w:val="30"/>
              <w:spacing w:before="150" w:line="219" w:lineRule="auto"/>
              <w:jc w:val="left"/>
              <w:rPr>
                <w:rFonts w:hint="eastAsia" w:ascii="仿宋" w:hAnsi="仿宋" w:eastAsia="仿宋" w:cs="仿宋"/>
                <w:color w:val="auto"/>
                <w:sz w:val="22"/>
                <w:szCs w:val="22"/>
                <w:highlight w:val="none"/>
              </w:rPr>
            </w:pPr>
            <w:r>
              <w:rPr>
                <w:rFonts w:hint="eastAsia" w:ascii="仿宋" w:hAnsi="仿宋" w:eastAsia="仿宋" w:cs="仿宋"/>
                <w:snapToGrid w:val="0"/>
                <w:color w:val="auto"/>
                <w:kern w:val="0"/>
                <w:sz w:val="22"/>
                <w:szCs w:val="22"/>
                <w:highlight w:val="none"/>
                <w:lang w:val="en-US" w:eastAsia="zh-CN" w:bidi="ar-SA"/>
              </w:rPr>
              <w:t>报价未超过竞争性磋商文件规定的预算金额或最高限价。</w:t>
            </w:r>
          </w:p>
        </w:tc>
      </w:tr>
      <w:tr w14:paraId="1DA8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83" w:type="dxa"/>
            <w:vAlign w:val="center"/>
          </w:tcPr>
          <w:p w14:paraId="6DFD74DE">
            <w:pPr>
              <w:pStyle w:val="30"/>
              <w:spacing w:before="207" w:line="184" w:lineRule="auto"/>
              <w:ind w:left="353"/>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762" w:type="dxa"/>
            <w:vAlign w:val="center"/>
          </w:tcPr>
          <w:p w14:paraId="0DF9B067">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w:t>
            </w:r>
          </w:p>
        </w:tc>
        <w:tc>
          <w:tcPr>
            <w:tcW w:w="4719" w:type="dxa"/>
            <w:tcBorders>
              <w:right w:val="single" w:color="auto" w:sz="4" w:space="0"/>
            </w:tcBorders>
            <w:vAlign w:val="center"/>
          </w:tcPr>
          <w:p w14:paraId="75762BB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供应商对竞争性磋商文件中所列的所有采购内容进行竞标。</w:t>
            </w:r>
          </w:p>
        </w:tc>
        <w:tc>
          <w:tcPr>
            <w:tcW w:w="4537" w:type="dxa"/>
            <w:tcBorders>
              <w:left w:val="single" w:color="auto" w:sz="4" w:space="0"/>
            </w:tcBorders>
            <w:vAlign w:val="center"/>
          </w:tcPr>
          <w:p w14:paraId="523F18C9">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采购需求响应偏离表要求填写。</w:t>
            </w:r>
          </w:p>
        </w:tc>
      </w:tr>
      <w:tr w14:paraId="188F0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683" w:type="dxa"/>
            <w:vAlign w:val="center"/>
          </w:tcPr>
          <w:p w14:paraId="511329B3">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62" w:type="dxa"/>
            <w:vAlign w:val="center"/>
          </w:tcPr>
          <w:p w14:paraId="23F0D0B0">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18495FE7">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所报的各分项竞标报价在合同履行过程中是固定不变的，不得以任何理由予以变更。</w:t>
            </w:r>
          </w:p>
        </w:tc>
        <w:tc>
          <w:tcPr>
            <w:tcW w:w="4537" w:type="dxa"/>
            <w:tcBorders>
              <w:left w:val="single" w:color="auto" w:sz="4" w:space="0"/>
            </w:tcBorders>
            <w:vAlign w:val="center"/>
          </w:tcPr>
          <w:p w14:paraId="19A23FF6">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9FEE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5F4DC451">
            <w:pPr>
              <w:pStyle w:val="30"/>
              <w:spacing w:before="207" w:line="184" w:lineRule="auto"/>
              <w:ind w:left="353"/>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762" w:type="dxa"/>
            <w:vAlign w:val="center"/>
          </w:tcPr>
          <w:p w14:paraId="5C1FA6C5">
            <w:pPr>
              <w:pStyle w:val="30"/>
              <w:spacing w:before="173" w:line="220" w:lineRule="auto"/>
              <w:ind w:left="11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45933B78">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磋商有效期自提交响应文件截止之日起不少于</w:t>
            </w:r>
          </w:p>
          <w:p w14:paraId="2A597742">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u w:val="single"/>
                <w:lang w:val="en-US" w:eastAsia="zh-CN" w:bidi="ar-SA"/>
              </w:rPr>
              <w:t xml:space="preserve"> 60 </w:t>
            </w:r>
            <w:r>
              <w:rPr>
                <w:rFonts w:hint="eastAsia" w:ascii="仿宋" w:hAnsi="仿宋" w:eastAsia="仿宋" w:cs="仿宋"/>
                <w:snapToGrid w:val="0"/>
                <w:color w:val="auto"/>
                <w:kern w:val="0"/>
                <w:sz w:val="22"/>
                <w:szCs w:val="22"/>
                <w:highlight w:val="none"/>
                <w:lang w:val="en-US" w:eastAsia="zh-CN" w:bidi="ar-SA"/>
              </w:rPr>
              <w:t>日历日。</w:t>
            </w:r>
          </w:p>
        </w:tc>
        <w:tc>
          <w:tcPr>
            <w:tcW w:w="4537" w:type="dxa"/>
            <w:tcBorders>
              <w:left w:val="single" w:color="auto" w:sz="4" w:space="0"/>
            </w:tcBorders>
            <w:vAlign w:val="center"/>
          </w:tcPr>
          <w:p w14:paraId="5681084B">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40E3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4327A47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762" w:type="dxa"/>
            <w:vAlign w:val="center"/>
          </w:tcPr>
          <w:p w14:paraId="51584DA2">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65F1D105">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磋商响应文件完整，格式符合竞争性磋商文件要求。</w:t>
            </w:r>
          </w:p>
        </w:tc>
        <w:tc>
          <w:tcPr>
            <w:tcW w:w="4537" w:type="dxa"/>
            <w:tcBorders>
              <w:left w:val="single" w:color="auto" w:sz="4" w:space="0"/>
            </w:tcBorders>
            <w:vAlign w:val="center"/>
          </w:tcPr>
          <w:p w14:paraId="548A45B9">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符合竞争性磋商文件要求。</w:t>
            </w:r>
          </w:p>
        </w:tc>
      </w:tr>
      <w:tr w14:paraId="71B9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83" w:type="dxa"/>
            <w:vAlign w:val="center"/>
          </w:tcPr>
          <w:p w14:paraId="6764B0EB">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762" w:type="dxa"/>
            <w:vAlign w:val="center"/>
          </w:tcPr>
          <w:p w14:paraId="1AC69C5C">
            <w:pPr>
              <w:pStyle w:val="30"/>
              <w:spacing w:before="173" w:line="220" w:lineRule="auto"/>
              <w:ind w:left="111"/>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商务</w:t>
            </w:r>
          </w:p>
        </w:tc>
        <w:tc>
          <w:tcPr>
            <w:tcW w:w="4719" w:type="dxa"/>
            <w:tcBorders>
              <w:right w:val="single" w:color="auto" w:sz="4" w:space="0"/>
            </w:tcBorders>
            <w:vAlign w:val="center"/>
          </w:tcPr>
          <w:p w14:paraId="1C544692">
            <w:pPr>
              <w:widowControl/>
              <w:spacing w:line="360" w:lineRule="auto"/>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c>
          <w:tcPr>
            <w:tcW w:w="4537" w:type="dxa"/>
            <w:tcBorders>
              <w:left w:val="single" w:color="auto" w:sz="4" w:space="0"/>
            </w:tcBorders>
            <w:vAlign w:val="center"/>
          </w:tcPr>
          <w:p w14:paraId="29AE98A7">
            <w:pPr>
              <w:pStyle w:val="30"/>
              <w:spacing w:before="32" w:line="224" w:lineRule="auto"/>
              <w:ind w:right="107" w:rightChars="0"/>
              <w:jc w:val="left"/>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合同履约期限未超过竞争性磋商文件要求。</w:t>
            </w:r>
          </w:p>
        </w:tc>
      </w:tr>
      <w:tr w14:paraId="0A8A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vAlign w:val="center"/>
          </w:tcPr>
          <w:p w14:paraId="52E65A21">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762" w:type="dxa"/>
            <w:vAlign w:val="center"/>
          </w:tcPr>
          <w:p w14:paraId="66390987">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590D2876">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响应文件的签署和盖公章符合要求。</w:t>
            </w:r>
          </w:p>
        </w:tc>
        <w:tc>
          <w:tcPr>
            <w:tcW w:w="4537" w:type="dxa"/>
            <w:tcBorders>
              <w:left w:val="single" w:color="auto" w:sz="4" w:space="0"/>
            </w:tcBorders>
            <w:vAlign w:val="center"/>
          </w:tcPr>
          <w:p w14:paraId="38902EA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上传电子响应文件需要在规定签章处签字和盖章。</w:t>
            </w:r>
          </w:p>
        </w:tc>
      </w:tr>
      <w:tr w14:paraId="73FB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683" w:type="dxa"/>
            <w:vAlign w:val="center"/>
          </w:tcPr>
          <w:p w14:paraId="19DC99C9">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762" w:type="dxa"/>
            <w:vAlign w:val="center"/>
          </w:tcPr>
          <w:p w14:paraId="7AAADA73">
            <w:pPr>
              <w:pStyle w:val="30"/>
              <w:spacing w:before="173" w:line="220" w:lineRule="auto"/>
              <w:ind w:left="11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报价</w:t>
            </w:r>
          </w:p>
        </w:tc>
        <w:tc>
          <w:tcPr>
            <w:tcW w:w="4719" w:type="dxa"/>
            <w:tcBorders>
              <w:right w:val="single" w:color="auto" w:sz="4" w:space="0"/>
            </w:tcBorders>
            <w:vAlign w:val="center"/>
          </w:tcPr>
          <w:p w14:paraId="7D127CF9">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接受价格的算术修正。</w:t>
            </w:r>
          </w:p>
        </w:tc>
        <w:tc>
          <w:tcPr>
            <w:tcW w:w="4537" w:type="dxa"/>
            <w:tcBorders>
              <w:left w:val="single" w:color="auto" w:sz="4" w:space="0"/>
            </w:tcBorders>
            <w:vAlign w:val="center"/>
          </w:tcPr>
          <w:p w14:paraId="0626894F">
            <w:pPr>
              <w:pStyle w:val="30"/>
              <w:spacing w:before="32" w:line="224" w:lineRule="auto"/>
              <w:ind w:left="114" w:leftChars="0" w:right="107" w:rightChars="0" w:firstLine="1"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按照竞争性</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中第2章响应文件格式</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承诺书（一）的要求。</w:t>
            </w:r>
          </w:p>
        </w:tc>
      </w:tr>
      <w:tr w14:paraId="791E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683" w:type="dxa"/>
            <w:vAlign w:val="center"/>
          </w:tcPr>
          <w:p w14:paraId="7FBA07E3">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762" w:type="dxa"/>
            <w:shd w:val="clear" w:color="auto" w:fill="auto"/>
            <w:vAlign w:val="center"/>
          </w:tcPr>
          <w:p w14:paraId="52CCC91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2AB013D0">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未发现串通投标。</w:t>
            </w:r>
          </w:p>
        </w:tc>
        <w:tc>
          <w:tcPr>
            <w:tcW w:w="4537" w:type="dxa"/>
            <w:tcBorders>
              <w:left w:val="single" w:color="auto" w:sz="4" w:space="0"/>
            </w:tcBorders>
            <w:vAlign w:val="center"/>
          </w:tcPr>
          <w:p w14:paraId="55560BE4">
            <w:pPr>
              <w:pStyle w:val="30"/>
              <w:spacing w:before="32" w:line="224" w:lineRule="auto"/>
              <w:ind w:right="107" w:right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未发现串通投标。</w:t>
            </w:r>
          </w:p>
        </w:tc>
      </w:tr>
      <w:tr w14:paraId="1CB6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83" w:type="dxa"/>
            <w:vAlign w:val="center"/>
          </w:tcPr>
          <w:p w14:paraId="69A99B07">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762" w:type="dxa"/>
            <w:shd w:val="clear" w:color="auto" w:fill="auto"/>
            <w:vAlign w:val="center"/>
          </w:tcPr>
          <w:p w14:paraId="7EE8A0F7">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144FCAA1">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无采购人不能接受的附加条件。</w:t>
            </w:r>
          </w:p>
        </w:tc>
        <w:tc>
          <w:tcPr>
            <w:tcW w:w="4537" w:type="dxa"/>
            <w:tcBorders>
              <w:left w:val="single" w:color="auto" w:sz="4" w:space="0"/>
            </w:tcBorders>
            <w:vAlign w:val="center"/>
          </w:tcPr>
          <w:p w14:paraId="3D2D6DE9">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无采购人不能接受的附加条件。</w:t>
            </w:r>
          </w:p>
        </w:tc>
      </w:tr>
      <w:tr w14:paraId="55AC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3" w:type="dxa"/>
            <w:vAlign w:val="center"/>
          </w:tcPr>
          <w:p w14:paraId="19E1773D">
            <w:pPr>
              <w:pStyle w:val="30"/>
              <w:spacing w:before="207" w:line="184" w:lineRule="auto"/>
              <w:ind w:left="353"/>
              <w:jc w:val="both"/>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762" w:type="dxa"/>
            <w:shd w:val="clear" w:color="auto" w:fill="auto"/>
            <w:vAlign w:val="center"/>
          </w:tcPr>
          <w:p w14:paraId="70648B56">
            <w:pPr>
              <w:pStyle w:val="30"/>
              <w:spacing w:before="173" w:line="220" w:lineRule="auto"/>
              <w:ind w:left="111" w:leftChars="0"/>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商务</w:t>
            </w:r>
          </w:p>
        </w:tc>
        <w:tc>
          <w:tcPr>
            <w:tcW w:w="4719" w:type="dxa"/>
            <w:tcBorders>
              <w:right w:val="single" w:color="auto" w:sz="4" w:space="0"/>
            </w:tcBorders>
            <w:vAlign w:val="center"/>
          </w:tcPr>
          <w:p w14:paraId="39D45A9E">
            <w:pPr>
              <w:widowControl/>
              <w:spacing w:line="360" w:lineRule="auto"/>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无法律、法规和竞争性磋商文件规定的其他实质性要求。</w:t>
            </w:r>
          </w:p>
        </w:tc>
        <w:tc>
          <w:tcPr>
            <w:tcW w:w="4537" w:type="dxa"/>
            <w:tcBorders>
              <w:left w:val="single" w:color="auto" w:sz="4" w:space="0"/>
            </w:tcBorders>
            <w:vAlign w:val="center"/>
          </w:tcPr>
          <w:p w14:paraId="23679917">
            <w:pPr>
              <w:pStyle w:val="30"/>
              <w:spacing w:before="32" w:line="224" w:lineRule="auto"/>
              <w:ind w:right="107" w:right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无法律、法规和竞争性磋商文件规定的其他实质性要求。</w:t>
            </w:r>
          </w:p>
        </w:tc>
      </w:tr>
      <w:tr w14:paraId="4757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0701" w:type="dxa"/>
            <w:gridSpan w:val="4"/>
            <w:vAlign w:val="top"/>
          </w:tcPr>
          <w:p w14:paraId="696F3421">
            <w:pPr>
              <w:pStyle w:val="30"/>
              <w:spacing w:before="75" w:line="230" w:lineRule="auto"/>
              <w:ind w:left="120" w:right="222" w:hanging="2"/>
              <w:rPr>
                <w:rFonts w:hint="eastAsia" w:ascii="仿宋" w:hAnsi="仿宋" w:eastAsia="仿宋" w:cs="仿宋"/>
                <w:color w:val="auto"/>
                <w:sz w:val="22"/>
                <w:szCs w:val="22"/>
                <w:highlight w:val="none"/>
              </w:rPr>
            </w:pPr>
            <w:r>
              <w:rPr>
                <w:rFonts w:hint="eastAsia" w:ascii="仿宋" w:hAnsi="仿宋" w:eastAsia="仿宋" w:cs="仿宋"/>
                <w:b/>
                <w:bCs/>
                <w:color w:val="auto"/>
                <w:spacing w:val="-3"/>
                <w:sz w:val="22"/>
                <w:szCs w:val="22"/>
                <w:highlight w:val="none"/>
              </w:rPr>
              <w:t>说明：供应商必须满足符合性审查表内所有条款，否则被认定为无效响应。</w:t>
            </w:r>
          </w:p>
        </w:tc>
      </w:tr>
    </w:tbl>
    <w:p w14:paraId="76332EA4">
      <w:pPr>
        <w:spacing w:line="360" w:lineRule="auto"/>
        <w:rPr>
          <w:rFonts w:ascii="仿宋" w:hAnsi="仿宋" w:eastAsia="仿宋"/>
          <w:b/>
          <w:color w:val="auto"/>
          <w:sz w:val="32"/>
          <w:szCs w:val="32"/>
          <w:highlight w:val="none"/>
        </w:rPr>
      </w:pPr>
      <w:r>
        <w:rPr>
          <w:rFonts w:hint="eastAsia" w:ascii="仿宋" w:hAnsi="仿宋" w:eastAsia="仿宋"/>
          <w:color w:val="auto"/>
          <w:sz w:val="24"/>
          <w:highlight w:val="none"/>
        </w:rPr>
        <w:t>评审专家</w:t>
      </w:r>
      <w:r>
        <w:rPr>
          <w:rFonts w:ascii="仿宋" w:hAnsi="仿宋" w:eastAsia="仿宋"/>
          <w:color w:val="auto"/>
          <w:sz w:val="24"/>
          <w:highlight w:val="none"/>
        </w:rPr>
        <w:t>签字</w:t>
      </w:r>
      <w:r>
        <w:rPr>
          <w:rFonts w:hint="eastAsia" w:ascii="仿宋" w:hAnsi="仿宋" w:eastAsia="仿宋"/>
          <w:color w:val="auto"/>
          <w:sz w:val="24"/>
          <w:highlight w:val="none"/>
        </w:rPr>
        <w:t>：__________</w:t>
      </w:r>
    </w:p>
    <w:p w14:paraId="1BD905E2">
      <w:pPr>
        <w:pStyle w:val="7"/>
        <w:tabs>
          <w:tab w:val="clear" w:pos="567"/>
        </w:tabs>
        <w:spacing w:before="0" w:line="240" w:lineRule="auto"/>
        <w:jc w:val="left"/>
        <w:rPr>
          <w:rFonts w:hint="eastAsia" w:ascii="仿宋" w:hAnsi="仿宋" w:eastAsia="仿宋"/>
          <w:b/>
          <w:color w:val="auto"/>
          <w:sz w:val="32"/>
          <w:szCs w:val="32"/>
          <w:highlight w:val="none"/>
        </w:rPr>
      </w:pPr>
      <w:r>
        <w:rPr>
          <w:rFonts w:ascii="仿宋" w:hAnsi="仿宋" w:eastAsia="仿宋"/>
          <w:b/>
          <w:color w:val="auto"/>
          <w:sz w:val="32"/>
          <w:szCs w:val="32"/>
          <w:highlight w:val="none"/>
        </w:rPr>
        <w:t>二</w:t>
      </w:r>
      <w:r>
        <w:rPr>
          <w:rFonts w:hint="eastAsia" w:ascii="仿宋" w:hAnsi="仿宋" w:eastAsia="仿宋"/>
          <w:b/>
          <w:color w:val="auto"/>
          <w:sz w:val="32"/>
          <w:szCs w:val="32"/>
          <w:highlight w:val="none"/>
        </w:rPr>
        <w:t>、</w:t>
      </w:r>
      <w:r>
        <w:rPr>
          <w:rFonts w:ascii="仿宋" w:hAnsi="仿宋" w:eastAsia="仿宋"/>
          <w:b/>
          <w:color w:val="auto"/>
          <w:sz w:val="32"/>
          <w:szCs w:val="32"/>
          <w:highlight w:val="none"/>
        </w:rPr>
        <w:t>详细</w:t>
      </w:r>
      <w:r>
        <w:rPr>
          <w:rFonts w:hint="eastAsia" w:ascii="仿宋" w:hAnsi="仿宋" w:eastAsia="仿宋"/>
          <w:b/>
          <w:color w:val="auto"/>
          <w:sz w:val="32"/>
          <w:szCs w:val="32"/>
          <w:highlight w:val="none"/>
        </w:rPr>
        <w:t>评审</w:t>
      </w:r>
    </w:p>
    <w:tbl>
      <w:tblPr>
        <w:tblStyle w:val="1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8"/>
        <w:gridCol w:w="958"/>
        <w:gridCol w:w="7058"/>
      </w:tblGrid>
      <w:tr w14:paraId="166C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noWrap w:val="0"/>
            <w:vAlign w:val="center"/>
          </w:tcPr>
          <w:p w14:paraId="3EF0EB5B">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198" w:type="dxa"/>
            <w:noWrap w:val="0"/>
            <w:vAlign w:val="center"/>
          </w:tcPr>
          <w:p w14:paraId="168D3D2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评分因素</w:t>
            </w:r>
          </w:p>
        </w:tc>
        <w:tc>
          <w:tcPr>
            <w:tcW w:w="958" w:type="dxa"/>
            <w:noWrap w:val="0"/>
            <w:vAlign w:val="center"/>
          </w:tcPr>
          <w:p w14:paraId="2ACB40D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标准分</w:t>
            </w:r>
          </w:p>
        </w:tc>
        <w:tc>
          <w:tcPr>
            <w:tcW w:w="7058" w:type="dxa"/>
            <w:noWrap w:val="0"/>
            <w:vAlign w:val="center"/>
          </w:tcPr>
          <w:p w14:paraId="54E84959">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评分细则</w:t>
            </w:r>
          </w:p>
        </w:tc>
      </w:tr>
      <w:tr w14:paraId="2C0E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923" w:type="dxa"/>
            <w:gridSpan w:val="4"/>
            <w:noWrap w:val="0"/>
            <w:vAlign w:val="center"/>
          </w:tcPr>
          <w:p w14:paraId="74AC1D73">
            <w:pPr>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一、价格部分（</w:t>
            </w:r>
            <w:r>
              <w:rPr>
                <w:rFonts w:hint="eastAsia" w:ascii="仿宋" w:hAnsi="仿宋" w:eastAsia="仿宋"/>
                <w:b/>
                <w:color w:val="auto"/>
                <w:sz w:val="24"/>
                <w:szCs w:val="24"/>
                <w:highlight w:val="none"/>
                <w:lang w:val="en-US" w:eastAsia="zh-CN"/>
              </w:rPr>
              <w:t>15</w:t>
            </w:r>
            <w:r>
              <w:rPr>
                <w:rFonts w:hint="eastAsia" w:ascii="仿宋" w:hAnsi="仿宋" w:eastAsia="仿宋"/>
                <w:b/>
                <w:color w:val="auto"/>
                <w:sz w:val="24"/>
                <w:szCs w:val="24"/>
                <w:highlight w:val="none"/>
              </w:rPr>
              <w:t>分）</w:t>
            </w:r>
          </w:p>
        </w:tc>
      </w:tr>
      <w:tr w14:paraId="7EC6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2D7B8D0">
            <w:pPr>
              <w:widowControl/>
              <w:jc w:val="both"/>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198" w:type="dxa"/>
            <w:noWrap w:val="0"/>
            <w:vAlign w:val="center"/>
          </w:tcPr>
          <w:p w14:paraId="2A40F356">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w:t>
            </w:r>
          </w:p>
        </w:tc>
        <w:tc>
          <w:tcPr>
            <w:tcW w:w="958" w:type="dxa"/>
            <w:noWrap w:val="0"/>
            <w:vAlign w:val="center"/>
          </w:tcPr>
          <w:p w14:paraId="25CD37B5">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分</w:t>
            </w:r>
          </w:p>
        </w:tc>
        <w:tc>
          <w:tcPr>
            <w:tcW w:w="7058" w:type="dxa"/>
            <w:noWrap w:val="0"/>
            <w:vAlign w:val="center"/>
          </w:tcPr>
          <w:p w14:paraId="6274C15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采用低价优先法计算，即满足</w:t>
            </w:r>
            <w:r>
              <w:rPr>
                <w:rFonts w:hint="eastAsia" w:ascii="仿宋" w:hAnsi="仿宋" w:eastAsia="仿宋" w:cs="Times New Roman"/>
                <w:color w:val="auto"/>
                <w:sz w:val="24"/>
                <w:szCs w:val="24"/>
                <w:highlight w:val="none"/>
                <w:lang w:eastAsia="zh-CN"/>
              </w:rPr>
              <w:t>竞争性磋商文件</w:t>
            </w:r>
            <w:r>
              <w:rPr>
                <w:rFonts w:hint="eastAsia" w:ascii="仿宋" w:hAnsi="仿宋" w:eastAsia="仿宋" w:cs="Times New Roman"/>
                <w:color w:val="auto"/>
                <w:sz w:val="24"/>
                <w:szCs w:val="24"/>
                <w:highlight w:val="none"/>
              </w:rPr>
              <w:t>要求且最后报价最低的价格为磋商基准价，其价格分为满分。</w:t>
            </w:r>
          </w:p>
          <w:p w14:paraId="71D5DBC3">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其他供应商的价格分统一按照下列公式计算：</w:t>
            </w:r>
          </w:p>
          <w:p w14:paraId="7AD14C4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磋商报价得分=（磋商基准价／最后磋商报价）×价格权值×100（小数点保留两位）。</w:t>
            </w:r>
          </w:p>
        </w:tc>
      </w:tr>
      <w:tr w14:paraId="06C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23" w:type="dxa"/>
            <w:gridSpan w:val="4"/>
            <w:noWrap w:val="0"/>
            <w:vAlign w:val="center"/>
          </w:tcPr>
          <w:p w14:paraId="1247A080">
            <w:pPr>
              <w:adjustRightInd w:val="0"/>
              <w:snapToGrid w:val="0"/>
              <w:jc w:val="center"/>
              <w:rPr>
                <w:rFonts w:ascii="仿宋" w:hAnsi="仿宋" w:eastAsia="仿宋"/>
                <w:color w:val="auto"/>
                <w:sz w:val="24"/>
                <w:szCs w:val="24"/>
                <w:highlight w:val="none"/>
              </w:rPr>
            </w:pPr>
            <w:r>
              <w:rPr>
                <w:rFonts w:hint="eastAsia" w:ascii="仿宋" w:hAnsi="仿宋" w:eastAsia="仿宋"/>
                <w:b/>
                <w:color w:val="auto"/>
                <w:sz w:val="24"/>
                <w:szCs w:val="24"/>
                <w:highlight w:val="none"/>
              </w:rPr>
              <w:t>二、商务部分（</w:t>
            </w:r>
            <w:r>
              <w:rPr>
                <w:rFonts w:hint="eastAsia" w:ascii="仿宋" w:hAnsi="仿宋" w:eastAsia="仿宋"/>
                <w:b/>
                <w:color w:val="auto"/>
                <w:sz w:val="24"/>
                <w:szCs w:val="24"/>
                <w:highlight w:val="none"/>
                <w:lang w:val="en-US" w:eastAsia="zh-CN"/>
              </w:rPr>
              <w:t>25</w:t>
            </w:r>
            <w:r>
              <w:rPr>
                <w:rFonts w:hint="eastAsia" w:ascii="仿宋" w:hAnsi="仿宋" w:eastAsia="仿宋"/>
                <w:b/>
                <w:color w:val="auto"/>
                <w:sz w:val="24"/>
                <w:szCs w:val="24"/>
                <w:highlight w:val="none"/>
              </w:rPr>
              <w:t>分）</w:t>
            </w:r>
          </w:p>
        </w:tc>
      </w:tr>
      <w:tr w14:paraId="7AC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47B47E5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198" w:type="dxa"/>
            <w:noWrap w:val="0"/>
            <w:vAlign w:val="center"/>
          </w:tcPr>
          <w:p w14:paraId="166BA8E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3E5288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5分</w:t>
            </w:r>
          </w:p>
        </w:tc>
        <w:tc>
          <w:tcPr>
            <w:tcW w:w="7058" w:type="dxa"/>
            <w:noWrap w:val="0"/>
            <w:vAlign w:val="center"/>
          </w:tcPr>
          <w:p w14:paraId="5DD3A0B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供应商近三年(2022年1月1日-至今)完成的类似业绩，一项计1分，</w:t>
            </w:r>
            <w:r>
              <w:rPr>
                <w:rFonts w:hint="eastAsia" w:ascii="仿宋" w:hAnsi="仿宋" w:eastAsia="仿宋" w:cs="Times New Roman"/>
                <w:color w:val="auto"/>
                <w:sz w:val="24"/>
                <w:szCs w:val="24"/>
                <w:highlight w:val="none"/>
                <w:lang w:eastAsia="zh-CN"/>
              </w:rPr>
              <w:t>满分</w:t>
            </w:r>
            <w:r>
              <w:rPr>
                <w:rFonts w:hint="eastAsia" w:ascii="仿宋" w:hAnsi="仿宋" w:eastAsia="仿宋" w:cs="Times New Roman"/>
                <w:color w:val="auto"/>
                <w:sz w:val="24"/>
                <w:szCs w:val="24"/>
                <w:highlight w:val="none"/>
                <w:lang w:val="en-US" w:eastAsia="zh-CN"/>
              </w:rPr>
              <w:t>5分。(须提供中标通知书及监理合同)</w:t>
            </w:r>
          </w:p>
        </w:tc>
      </w:tr>
      <w:tr w14:paraId="774B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09" w:type="dxa"/>
            <w:noWrap w:val="0"/>
            <w:vAlign w:val="center"/>
          </w:tcPr>
          <w:p w14:paraId="3BC593E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p>
        </w:tc>
        <w:tc>
          <w:tcPr>
            <w:tcW w:w="1198" w:type="dxa"/>
            <w:noWrap w:val="0"/>
            <w:vAlign w:val="center"/>
          </w:tcPr>
          <w:p w14:paraId="205E281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项目总监</w:t>
            </w:r>
            <w:r>
              <w:rPr>
                <w:rFonts w:hint="eastAsia" w:ascii="仿宋" w:hAnsi="仿宋" w:eastAsia="仿宋" w:cs="Times New Roman"/>
                <w:color w:val="auto"/>
                <w:sz w:val="24"/>
                <w:szCs w:val="24"/>
                <w:highlight w:val="none"/>
              </w:rPr>
              <w:t>近三年类似业绩</w:t>
            </w:r>
          </w:p>
        </w:tc>
        <w:tc>
          <w:tcPr>
            <w:tcW w:w="958" w:type="dxa"/>
            <w:noWrap w:val="0"/>
            <w:vAlign w:val="center"/>
          </w:tcPr>
          <w:p w14:paraId="74BE566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4E4B3AB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项目总监</w:t>
            </w:r>
            <w:r>
              <w:rPr>
                <w:rFonts w:hint="eastAsia" w:ascii="仿宋" w:hAnsi="仿宋" w:eastAsia="仿宋" w:cs="Times New Roman"/>
                <w:color w:val="auto"/>
                <w:sz w:val="24"/>
                <w:szCs w:val="24"/>
                <w:highlight w:val="none"/>
              </w:rPr>
              <w:t>近三年(202</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年1月1日-至今)完成的类似业绩，一项计</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ascii="仿宋" w:hAnsi="仿宋" w:eastAsia="仿宋" w:cs="Times New Roman"/>
                <w:color w:val="auto"/>
                <w:sz w:val="24"/>
                <w:szCs w:val="24"/>
                <w:highlight w:val="none"/>
                <w:lang w:eastAsia="zh-CN"/>
              </w:rPr>
              <w:t>满分</w:t>
            </w:r>
            <w:r>
              <w:rPr>
                <w:rFonts w:hint="eastAsia" w:ascii="仿宋" w:hAnsi="仿宋" w:eastAsia="仿宋" w:cs="Times New Roman"/>
                <w:color w:val="auto"/>
                <w:sz w:val="24"/>
                <w:szCs w:val="24"/>
                <w:highlight w:val="none"/>
                <w:lang w:val="en-US" w:eastAsia="zh-CN"/>
              </w:rPr>
              <w:t>4分。</w:t>
            </w:r>
            <w:r>
              <w:rPr>
                <w:rFonts w:hint="eastAsia" w:ascii="仿宋" w:hAnsi="仿宋" w:eastAsia="仿宋" w:cs="Times New Roman"/>
                <w:color w:val="auto"/>
                <w:sz w:val="24"/>
                <w:szCs w:val="24"/>
                <w:highlight w:val="none"/>
              </w:rPr>
              <w:t>(须提供</w:t>
            </w:r>
            <w:r>
              <w:rPr>
                <w:rFonts w:hint="eastAsia" w:ascii="仿宋" w:hAnsi="仿宋" w:eastAsia="仿宋" w:cs="Times New Roman"/>
                <w:color w:val="auto"/>
                <w:sz w:val="24"/>
                <w:szCs w:val="24"/>
                <w:highlight w:val="none"/>
                <w:lang w:val="en-US" w:eastAsia="zh-CN"/>
              </w:rPr>
              <w:t>中标通知书及监理合同</w:t>
            </w:r>
            <w:r>
              <w:rPr>
                <w:rFonts w:hint="eastAsia" w:ascii="仿宋" w:hAnsi="仿宋" w:eastAsia="仿宋" w:cs="Times New Roman"/>
                <w:color w:val="auto"/>
                <w:sz w:val="24"/>
                <w:szCs w:val="24"/>
                <w:highlight w:val="none"/>
                <w:lang w:eastAsia="zh-CN"/>
              </w:rPr>
              <w:t>，业绩证明材料须反映项目总监</w:t>
            </w:r>
            <w:r>
              <w:rPr>
                <w:rFonts w:hint="eastAsia" w:ascii="仿宋" w:hAnsi="仿宋" w:eastAsia="仿宋" w:cs="Times New Roman"/>
                <w:color w:val="auto"/>
                <w:sz w:val="24"/>
                <w:szCs w:val="24"/>
                <w:highlight w:val="none"/>
              </w:rPr>
              <w:t>)</w:t>
            </w:r>
          </w:p>
        </w:tc>
      </w:tr>
      <w:tr w14:paraId="7C20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09" w:type="dxa"/>
            <w:noWrap w:val="0"/>
            <w:vAlign w:val="center"/>
          </w:tcPr>
          <w:p w14:paraId="1E3EBBF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4</w:t>
            </w:r>
          </w:p>
        </w:tc>
        <w:tc>
          <w:tcPr>
            <w:tcW w:w="1198" w:type="dxa"/>
            <w:noWrap w:val="0"/>
            <w:vAlign w:val="center"/>
          </w:tcPr>
          <w:p w14:paraId="065DE4D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拟派人员</w:t>
            </w:r>
          </w:p>
        </w:tc>
        <w:tc>
          <w:tcPr>
            <w:tcW w:w="958" w:type="dxa"/>
            <w:noWrap w:val="0"/>
            <w:vAlign w:val="center"/>
          </w:tcPr>
          <w:p w14:paraId="6AD786A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noWrap w:val="0"/>
            <w:vAlign w:val="center"/>
          </w:tcPr>
          <w:p w14:paraId="5A02D7F6">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（1）项目总监具有相关专业中级及以上职称得2分，初级职称得1分。</w:t>
            </w:r>
          </w:p>
          <w:p w14:paraId="151558D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（2）其它监理人员具有相关专业中级及以上职称得2分，初级职称得1分；最多计5人。</w:t>
            </w:r>
          </w:p>
          <w:p w14:paraId="5BE310C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注：需提供上述人员身份证、职称证。</w:t>
            </w:r>
          </w:p>
        </w:tc>
      </w:tr>
      <w:tr w14:paraId="6F20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noWrap w:val="0"/>
            <w:vAlign w:val="center"/>
          </w:tcPr>
          <w:p w14:paraId="48821E8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5</w:t>
            </w:r>
          </w:p>
        </w:tc>
        <w:tc>
          <w:tcPr>
            <w:tcW w:w="1198" w:type="dxa"/>
            <w:noWrap w:val="0"/>
            <w:vAlign w:val="center"/>
          </w:tcPr>
          <w:p w14:paraId="68C58306">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服务</w:t>
            </w:r>
            <w:r>
              <w:rPr>
                <w:rFonts w:hint="eastAsia" w:ascii="仿宋" w:hAnsi="仿宋" w:eastAsia="仿宋" w:cs="Times New Roman"/>
                <w:color w:val="auto"/>
                <w:sz w:val="24"/>
                <w:szCs w:val="24"/>
                <w:highlight w:val="none"/>
                <w:lang w:val="en-US" w:eastAsia="zh-CN"/>
              </w:rPr>
              <w:t>保障措施</w:t>
            </w:r>
          </w:p>
        </w:tc>
        <w:tc>
          <w:tcPr>
            <w:tcW w:w="958" w:type="dxa"/>
            <w:noWrap w:val="0"/>
            <w:vAlign w:val="center"/>
          </w:tcPr>
          <w:p w14:paraId="17EF0530">
            <w:pPr>
              <w:adjustRightInd w:val="0"/>
              <w:snapToGrid w:val="0"/>
              <w:spacing w:line="276" w:lineRule="auto"/>
              <w:ind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4分</w:t>
            </w:r>
          </w:p>
        </w:tc>
        <w:tc>
          <w:tcPr>
            <w:tcW w:w="7058" w:type="dxa"/>
            <w:noWrap w:val="0"/>
            <w:vAlign w:val="center"/>
          </w:tcPr>
          <w:p w14:paraId="74A1F99D">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针对该项目提供</w:t>
            </w: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监理服务计划内容、</w:t>
            </w: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服务保证措施、</w:t>
            </w: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人员配备、</w:t>
            </w:r>
            <w:r>
              <w:rPr>
                <w:rFonts w:hint="eastAsia" w:ascii="仿宋" w:hAnsi="仿宋" w:eastAsia="仿宋" w:cs="Times New Roman"/>
                <w:color w:val="auto"/>
                <w:sz w:val="24"/>
                <w:szCs w:val="24"/>
                <w:highlight w:val="none"/>
                <w:lang w:val="en-US" w:eastAsia="zh-CN"/>
              </w:rPr>
              <w:t>④</w:t>
            </w:r>
            <w:r>
              <w:rPr>
                <w:rFonts w:hint="eastAsia" w:ascii="仿宋" w:hAnsi="仿宋" w:eastAsia="仿宋" w:cs="Times New Roman"/>
                <w:color w:val="auto"/>
                <w:sz w:val="24"/>
                <w:szCs w:val="24"/>
                <w:highlight w:val="none"/>
              </w:rPr>
              <w:t>应急管理措施等相关承诺或证明。结合项目实际每</w:t>
            </w:r>
            <w:r>
              <w:rPr>
                <w:rFonts w:hint="eastAsia" w:ascii="仿宋" w:hAnsi="仿宋" w:eastAsia="仿宋" w:cs="Times New Roman"/>
                <w:color w:val="auto"/>
                <w:sz w:val="24"/>
                <w:szCs w:val="24"/>
                <w:highlight w:val="none"/>
                <w:lang w:val="en-US" w:eastAsia="zh-CN"/>
              </w:rPr>
              <w:t>项</w:t>
            </w:r>
            <w:r>
              <w:rPr>
                <w:rFonts w:hint="eastAsia" w:ascii="仿宋" w:hAnsi="仿宋" w:eastAsia="仿宋" w:cs="Times New Roman"/>
                <w:color w:val="auto"/>
                <w:sz w:val="24"/>
                <w:szCs w:val="24"/>
                <w:highlight w:val="none"/>
              </w:rPr>
              <w:t>内容清晰、完整、符合项目实际要求1项内容得1分，共计4分；承诺内容不够清晰完整或未提供不得分。</w:t>
            </w:r>
          </w:p>
        </w:tc>
      </w:tr>
      <w:tr w14:paraId="642A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23" w:type="dxa"/>
            <w:gridSpan w:val="4"/>
            <w:noWrap w:val="0"/>
            <w:vAlign w:val="center"/>
          </w:tcPr>
          <w:p w14:paraId="434CADFC">
            <w:pPr>
              <w:adjustRightInd w:val="0"/>
              <w:snapToGrid w:val="0"/>
              <w:spacing w:line="276" w:lineRule="auto"/>
              <w:jc w:val="center"/>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三、技术部分（</w:t>
            </w:r>
            <w:r>
              <w:rPr>
                <w:rFonts w:hint="eastAsia" w:ascii="仿宋" w:hAnsi="仿宋" w:eastAsia="仿宋" w:cs="Times New Roman"/>
                <w:b/>
                <w:color w:val="auto"/>
                <w:sz w:val="24"/>
                <w:szCs w:val="24"/>
                <w:highlight w:val="none"/>
                <w:lang w:val="en-US" w:eastAsia="zh-CN"/>
              </w:rPr>
              <w:t>60</w:t>
            </w:r>
            <w:r>
              <w:rPr>
                <w:rFonts w:hint="eastAsia" w:ascii="仿宋" w:hAnsi="仿宋" w:eastAsia="仿宋" w:cs="Times New Roman"/>
                <w:b/>
                <w:color w:val="auto"/>
                <w:sz w:val="24"/>
                <w:szCs w:val="24"/>
                <w:highlight w:val="none"/>
              </w:rPr>
              <w:t>分）</w:t>
            </w:r>
          </w:p>
        </w:tc>
      </w:tr>
      <w:tr w14:paraId="6011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noWrap w:val="0"/>
            <w:vAlign w:val="center"/>
          </w:tcPr>
          <w:p w14:paraId="1F26DEAF">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6</w:t>
            </w:r>
          </w:p>
        </w:tc>
        <w:tc>
          <w:tcPr>
            <w:tcW w:w="1198" w:type="dxa"/>
            <w:shd w:val="clear" w:color="auto" w:fill="auto"/>
            <w:noWrap w:val="0"/>
            <w:vAlign w:val="center"/>
          </w:tcPr>
          <w:p w14:paraId="1FBF36AB">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76580470">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A38D81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投资控制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①投资控制目标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②投资控制要点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③投资控制措施。</w:t>
            </w:r>
          </w:p>
          <w:p w14:paraId="6D7CD45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7DCB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499192">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7</w:t>
            </w:r>
          </w:p>
        </w:tc>
        <w:tc>
          <w:tcPr>
            <w:tcW w:w="1198" w:type="dxa"/>
            <w:shd w:val="clear" w:color="auto" w:fill="auto"/>
            <w:noWrap w:val="0"/>
            <w:vAlign w:val="center"/>
          </w:tcPr>
          <w:p w14:paraId="70F7A1D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270468DC">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2B6634B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w:t>
            </w:r>
            <w:r>
              <w:rPr>
                <w:rFonts w:hint="eastAsia" w:ascii="仿宋" w:hAnsi="仿宋" w:eastAsia="仿宋" w:cs="Times New Roman"/>
                <w:color w:val="auto"/>
                <w:sz w:val="24"/>
                <w:szCs w:val="24"/>
                <w:highlight w:val="none"/>
                <w:lang w:val="en-US" w:eastAsia="zh-CN"/>
              </w:rPr>
              <w:t>进度</w:t>
            </w:r>
            <w:r>
              <w:rPr>
                <w:rFonts w:hint="eastAsia" w:ascii="仿宋" w:hAnsi="仿宋" w:eastAsia="仿宋" w:cs="Times New Roman"/>
                <w:color w:val="auto"/>
                <w:sz w:val="24"/>
                <w:szCs w:val="24"/>
                <w:highlight w:val="none"/>
              </w:rPr>
              <w:t>控制措施。</w:t>
            </w:r>
          </w:p>
          <w:p w14:paraId="3298376A">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65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9" w:type="dxa"/>
            <w:noWrap w:val="0"/>
            <w:vAlign w:val="center"/>
          </w:tcPr>
          <w:p w14:paraId="6D8C5E1B">
            <w:pPr>
              <w:adjustRightInd w:val="0"/>
              <w:snapToGrid w:val="0"/>
              <w:spacing w:line="276" w:lineRule="auto"/>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8</w:t>
            </w:r>
          </w:p>
        </w:tc>
        <w:tc>
          <w:tcPr>
            <w:tcW w:w="1198" w:type="dxa"/>
            <w:shd w:val="clear" w:color="auto" w:fill="auto"/>
            <w:noWrap w:val="0"/>
            <w:vAlign w:val="center"/>
          </w:tcPr>
          <w:p w14:paraId="73A67E9E">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42C76588">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12分</w:t>
            </w:r>
          </w:p>
        </w:tc>
        <w:tc>
          <w:tcPr>
            <w:tcW w:w="7058" w:type="dxa"/>
            <w:shd w:val="clear" w:color="auto" w:fill="auto"/>
            <w:noWrap w:val="0"/>
            <w:vAlign w:val="center"/>
          </w:tcPr>
          <w:p w14:paraId="4F29B5A7">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质量控制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①质量控制目标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②质量控制要点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③质量控制措施。</w:t>
            </w:r>
          </w:p>
          <w:p w14:paraId="53A2CC69">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12</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分。</w:t>
            </w:r>
          </w:p>
        </w:tc>
      </w:tr>
      <w:tr w14:paraId="214D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5DD149D0">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w:t>
            </w:r>
          </w:p>
        </w:tc>
        <w:tc>
          <w:tcPr>
            <w:tcW w:w="1198" w:type="dxa"/>
            <w:shd w:val="clear" w:color="auto" w:fill="auto"/>
            <w:noWrap w:val="0"/>
            <w:vAlign w:val="center"/>
          </w:tcPr>
          <w:p w14:paraId="51FEB3EF">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63651FB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365FB608">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安全控制</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①安全控制目标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②安全控制要点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③安全控制措施。</w:t>
            </w:r>
          </w:p>
          <w:p w14:paraId="6519F231">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5EF1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14:paraId="4593A334">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10</w:t>
            </w:r>
          </w:p>
        </w:tc>
        <w:tc>
          <w:tcPr>
            <w:tcW w:w="1198" w:type="dxa"/>
            <w:shd w:val="clear" w:color="auto" w:fill="auto"/>
            <w:noWrap w:val="0"/>
            <w:vAlign w:val="center"/>
          </w:tcPr>
          <w:p w14:paraId="03330A35">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1FB2F62A">
            <w:pPr>
              <w:adjustRightInd w:val="0"/>
              <w:snapToGrid w:val="0"/>
              <w:spacing w:line="276" w:lineRule="auto"/>
              <w:jc w:val="center"/>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7DA88F2E">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合同信息管理与档案管理</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①合同信息管理与档案管理目标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②合同信息管理与档案管理要点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③合同信息管理与档案管理措施。</w:t>
            </w:r>
          </w:p>
          <w:p w14:paraId="61BB59B7">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3048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1044BC38">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11</w:t>
            </w:r>
          </w:p>
        </w:tc>
        <w:tc>
          <w:tcPr>
            <w:tcW w:w="1198" w:type="dxa"/>
            <w:shd w:val="clear" w:color="auto" w:fill="auto"/>
            <w:noWrap w:val="0"/>
            <w:vAlign w:val="center"/>
          </w:tcPr>
          <w:p w14:paraId="4894FCC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tc>
        <w:tc>
          <w:tcPr>
            <w:tcW w:w="958" w:type="dxa"/>
            <w:shd w:val="clear" w:color="auto" w:fill="auto"/>
            <w:noWrap w:val="0"/>
            <w:vAlign w:val="center"/>
          </w:tcPr>
          <w:p w14:paraId="60264051">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c>
          <w:tcPr>
            <w:tcW w:w="7058" w:type="dxa"/>
            <w:shd w:val="clear" w:color="auto" w:fill="auto"/>
            <w:noWrap w:val="0"/>
            <w:vAlign w:val="center"/>
          </w:tcPr>
          <w:p w14:paraId="5BE29142">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根据供应商提供</w:t>
            </w:r>
            <w:r>
              <w:rPr>
                <w:rFonts w:hint="eastAsia" w:ascii="仿宋" w:hAnsi="仿宋" w:eastAsia="仿宋" w:cs="Times New Roman"/>
                <w:color w:val="auto"/>
                <w:sz w:val="24"/>
                <w:szCs w:val="24"/>
                <w:highlight w:val="none"/>
                <w:lang w:val="en-US" w:eastAsia="zh-CN"/>
              </w:rPr>
              <w:t>工程信息化管理</w:t>
            </w:r>
            <w:r>
              <w:rPr>
                <w:rFonts w:hint="eastAsia" w:ascii="仿宋" w:hAnsi="仿宋" w:eastAsia="仿宋" w:cs="Times New Roman"/>
                <w:color w:val="auto"/>
                <w:sz w:val="24"/>
                <w:szCs w:val="24"/>
                <w:highlight w:val="none"/>
              </w:rPr>
              <w:t>方案：</w:t>
            </w:r>
          </w:p>
          <w:p w14:paraId="05CCF9DF">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①</w:t>
            </w:r>
            <w:r>
              <w:rPr>
                <w:rFonts w:hint="eastAsia" w:ascii="仿宋" w:hAnsi="仿宋" w:eastAsia="仿宋" w:cs="Times New Roman"/>
                <w:color w:val="auto"/>
                <w:sz w:val="24"/>
                <w:szCs w:val="24"/>
                <w:highlight w:val="none"/>
              </w:rPr>
              <w:t>结合项目特点，智慧工地建设方案</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措施；</w:t>
            </w:r>
          </w:p>
          <w:p w14:paraId="371FA70A">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②</w:t>
            </w:r>
            <w:r>
              <w:rPr>
                <w:rFonts w:hint="eastAsia" w:ascii="仿宋" w:hAnsi="仿宋" w:eastAsia="仿宋" w:cs="Times New Roman"/>
                <w:color w:val="auto"/>
                <w:sz w:val="24"/>
                <w:szCs w:val="24"/>
                <w:highlight w:val="none"/>
              </w:rPr>
              <w:t xml:space="preserve">智慧工地的应用方式、保障机制； </w:t>
            </w:r>
          </w:p>
          <w:p w14:paraId="401D8320">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③</w:t>
            </w:r>
            <w:r>
              <w:rPr>
                <w:rFonts w:hint="eastAsia" w:ascii="仿宋" w:hAnsi="仿宋" w:eastAsia="仿宋" w:cs="Times New Roman"/>
                <w:color w:val="auto"/>
                <w:sz w:val="24"/>
                <w:szCs w:val="24"/>
                <w:highlight w:val="none"/>
              </w:rPr>
              <w:t>应用于施工现场实际管理的智慧工地专项监督计划；</w:t>
            </w:r>
          </w:p>
          <w:p w14:paraId="747D366B">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w:t>
            </w:r>
          </w:p>
        </w:tc>
      </w:tr>
      <w:tr w14:paraId="688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noWrap w:val="0"/>
            <w:vAlign w:val="center"/>
          </w:tcPr>
          <w:p w14:paraId="3ABBB25B">
            <w:pPr>
              <w:adjustRightInd w:val="0"/>
              <w:snapToGrid w:val="0"/>
              <w:spacing w:line="276" w:lineRule="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12</w:t>
            </w:r>
          </w:p>
        </w:tc>
        <w:tc>
          <w:tcPr>
            <w:tcW w:w="1198" w:type="dxa"/>
            <w:shd w:val="clear" w:color="auto" w:fill="auto"/>
            <w:noWrap w:val="0"/>
            <w:vAlign w:val="center"/>
          </w:tcPr>
          <w:p w14:paraId="64B28F1C">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p>
        </w:tc>
        <w:tc>
          <w:tcPr>
            <w:tcW w:w="958" w:type="dxa"/>
            <w:shd w:val="clear" w:color="auto" w:fill="auto"/>
            <w:noWrap w:val="0"/>
            <w:vAlign w:val="center"/>
          </w:tcPr>
          <w:p w14:paraId="35432D64">
            <w:pPr>
              <w:adjustRightInd w:val="0"/>
              <w:snapToGrid w:val="0"/>
              <w:spacing w:line="276" w:lineRule="auto"/>
              <w:jc w:val="center"/>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9分</w:t>
            </w:r>
          </w:p>
        </w:tc>
        <w:tc>
          <w:tcPr>
            <w:tcW w:w="7058" w:type="dxa"/>
            <w:shd w:val="clear" w:color="auto" w:fill="auto"/>
            <w:noWrap w:val="0"/>
            <w:vAlign w:val="center"/>
          </w:tcPr>
          <w:p w14:paraId="644D81A4">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w:t>
            </w:r>
            <w:r>
              <w:rPr>
                <w:rFonts w:hint="eastAsia" w:ascii="仿宋" w:hAnsi="仿宋" w:eastAsia="仿宋" w:cs="Times New Roman"/>
                <w:color w:val="auto"/>
                <w:sz w:val="24"/>
                <w:szCs w:val="24"/>
                <w:highlight w:val="none"/>
                <w:lang w:val="en-US" w:eastAsia="zh-CN"/>
              </w:rPr>
              <w:t>方案</w:t>
            </w:r>
            <w:r>
              <w:rPr>
                <w:rFonts w:hint="eastAsia" w:ascii="仿宋" w:hAnsi="仿宋" w:eastAsia="仿宋" w:cs="Times New Roman"/>
                <w:color w:val="auto"/>
                <w:sz w:val="24"/>
                <w:szCs w:val="24"/>
                <w:highlight w:val="none"/>
              </w:rPr>
              <w:t>包括但不限于</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①组织协调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环境保护目标</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②组织协调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环境保护要点</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③组织协调</w:t>
            </w:r>
            <w:r>
              <w:rPr>
                <w:rFonts w:hint="eastAsia" w:ascii="仿宋" w:hAnsi="仿宋" w:eastAsia="仿宋" w:cs="Times New Roman"/>
                <w:color w:val="auto"/>
                <w:sz w:val="24"/>
                <w:szCs w:val="24"/>
                <w:highlight w:val="none"/>
                <w:lang w:val="en-US" w:eastAsia="zh-CN"/>
              </w:rPr>
              <w:t>与</w:t>
            </w:r>
            <w:r>
              <w:rPr>
                <w:rFonts w:hint="eastAsia" w:ascii="仿宋" w:hAnsi="仿宋" w:eastAsia="仿宋" w:cs="Times New Roman"/>
                <w:color w:val="auto"/>
                <w:sz w:val="24"/>
                <w:szCs w:val="24"/>
                <w:highlight w:val="none"/>
              </w:rPr>
              <w:t>环境保护措施。</w:t>
            </w:r>
          </w:p>
          <w:p w14:paraId="29659F3D">
            <w:pPr>
              <w:adjustRightInd w:val="0"/>
              <w:snapToGrid w:val="0"/>
              <w:spacing w:line="276"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以上内容完整、科学合理，单项满分</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分，共</w:t>
            </w:r>
            <w:r>
              <w:rPr>
                <w:rFonts w:hint="eastAsia" w:ascii="仿宋" w:hAnsi="仿宋" w:eastAsia="仿宋" w:cs="Times New Roman"/>
                <w:color w:val="auto"/>
                <w:sz w:val="24"/>
                <w:szCs w:val="24"/>
                <w:highlight w:val="none"/>
                <w:lang w:val="en-US" w:eastAsia="zh-CN"/>
              </w:rPr>
              <w:t>9</w:t>
            </w:r>
            <w:r>
              <w:rPr>
                <w:rFonts w:hint="eastAsia" w:ascii="仿宋" w:hAnsi="仿宋" w:eastAsia="仿宋" w:cs="Times New Roman"/>
                <w:color w:val="auto"/>
                <w:sz w:val="24"/>
                <w:szCs w:val="24"/>
                <w:highlight w:val="none"/>
              </w:rPr>
              <w:t>分,存在缺陷或漏洞不利于项目实施的，每有一项扣</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分，单项最多扣</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分。</w:t>
            </w:r>
          </w:p>
        </w:tc>
      </w:tr>
      <w:tr w14:paraId="129E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07" w:type="dxa"/>
            <w:gridSpan w:val="2"/>
            <w:noWrap w:val="0"/>
            <w:vAlign w:val="center"/>
          </w:tcPr>
          <w:p w14:paraId="4E8161E5">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958" w:type="dxa"/>
            <w:noWrap w:val="0"/>
            <w:vAlign w:val="center"/>
          </w:tcPr>
          <w:p w14:paraId="67C16B51">
            <w:pPr>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100分</w:t>
            </w:r>
          </w:p>
        </w:tc>
        <w:tc>
          <w:tcPr>
            <w:tcW w:w="7058" w:type="dxa"/>
            <w:noWrap w:val="0"/>
            <w:vAlign w:val="center"/>
          </w:tcPr>
          <w:p w14:paraId="245B4A79">
            <w:pPr>
              <w:adjustRightInd w:val="0"/>
              <w:snapToGrid w:val="0"/>
              <w:spacing w:line="276" w:lineRule="auto"/>
              <w:rPr>
                <w:rFonts w:hint="eastAsia" w:ascii="仿宋" w:hAnsi="仿宋" w:eastAsia="仿宋" w:cs="Times New Roman"/>
                <w:color w:val="auto"/>
                <w:sz w:val="24"/>
                <w:szCs w:val="24"/>
                <w:highlight w:val="none"/>
              </w:rPr>
            </w:pPr>
          </w:p>
        </w:tc>
      </w:tr>
    </w:tbl>
    <w:p w14:paraId="4E64FE12">
      <w:pPr>
        <w:pStyle w:val="7"/>
        <w:tabs>
          <w:tab w:val="clear" w:pos="567"/>
        </w:tabs>
        <w:spacing w:before="0" w:line="240" w:lineRule="auto"/>
        <w:jc w:val="left"/>
        <w:rPr>
          <w:rFonts w:hint="eastAsia" w:ascii="仿宋" w:hAnsi="仿宋" w:eastAsia="仿宋"/>
          <w:color w:val="auto"/>
          <w:highlight w:val="none"/>
          <w:lang w:val="en-US" w:eastAsia="zh-CN"/>
        </w:rPr>
      </w:pPr>
      <w:r>
        <w:rPr>
          <w:rFonts w:ascii="仿宋" w:hAnsi="仿宋" w:eastAsia="仿宋"/>
          <w:color w:val="auto"/>
          <w:highlight w:val="none"/>
        </w:rPr>
        <w:t>注：</w:t>
      </w:r>
      <w:r>
        <w:rPr>
          <w:rFonts w:hint="eastAsia" w:ascii="仿宋" w:hAnsi="仿宋" w:eastAsia="仿宋"/>
          <w:color w:val="auto"/>
          <w:highlight w:val="none"/>
          <w:lang w:val="en-US" w:eastAsia="zh-CN"/>
        </w:rPr>
        <w:t>1.本评审内容中“存在缺陷或漏洞不利于项目实施的”是指：存在不适用本项目实际情况、内容不完整或缺少关键节点、前后矛盾、涉及的规范及标准错误不可能实现的情形等任意一种情形。</w:t>
      </w:r>
    </w:p>
    <w:p w14:paraId="7DA79E28">
      <w:pPr>
        <w:pStyle w:val="7"/>
        <w:tabs>
          <w:tab w:val="clear" w:pos="567"/>
        </w:tabs>
        <w:spacing w:before="0" w:line="240" w:lineRule="auto"/>
        <w:ind w:firstLine="480" w:firstLineChars="200"/>
        <w:jc w:val="left"/>
        <w:rPr>
          <w:rFonts w:hint="default" w:eastAsia="仿宋"/>
          <w:highlight w:val="none"/>
          <w:lang w:val="en-US" w:eastAsia="zh-CN"/>
        </w:rPr>
      </w:pPr>
      <w:r>
        <w:rPr>
          <w:rFonts w:hint="eastAsia" w:ascii="仿宋" w:hAnsi="仿宋" w:eastAsia="仿宋"/>
          <w:color w:val="auto"/>
          <w:highlight w:val="none"/>
          <w:lang w:val="en-US" w:eastAsia="zh-CN"/>
        </w:rPr>
        <w:t>2.</w:t>
      </w:r>
      <w:r>
        <w:rPr>
          <w:rFonts w:ascii="仿宋" w:hAnsi="仿宋" w:eastAsia="仿宋"/>
          <w:color w:val="auto"/>
          <w:highlight w:val="none"/>
        </w:rPr>
        <w:t>评分分值计算保留小数点后两位，小数点后第三位“四舍五入”</w:t>
      </w:r>
      <w:r>
        <w:rPr>
          <w:rFonts w:hint="eastAsia" w:ascii="仿宋" w:hAnsi="仿宋" w:eastAsia="仿宋"/>
          <w:color w:val="auto"/>
          <w:highlight w:val="none"/>
        </w:rPr>
        <w:t>。</w:t>
      </w:r>
    </w:p>
    <w:p w14:paraId="2ACA707D">
      <w:pPr>
        <w:pageBreakBefore/>
        <w:spacing w:line="360" w:lineRule="auto"/>
        <w:ind w:left="1079" w:leftChars="257" w:hanging="539" w:hangingChars="257"/>
        <w:jc w:val="center"/>
        <w:rPr>
          <w:rFonts w:hint="eastAsia" w:ascii="仿宋" w:hAnsi="仿宋" w:eastAsia="仿宋"/>
          <w:color w:val="auto"/>
          <w:highlight w:val="none"/>
        </w:rPr>
      </w:pPr>
    </w:p>
    <w:p w14:paraId="2772F492">
      <w:pPr>
        <w:pStyle w:val="2"/>
        <w:tabs>
          <w:tab w:val="left" w:pos="0"/>
        </w:tabs>
        <w:spacing w:before="0" w:after="0" w:line="360" w:lineRule="exact"/>
        <w:ind w:left="-15"/>
        <w:rPr>
          <w:rFonts w:hint="eastAsia" w:ascii="仿宋" w:hAnsi="仿宋" w:eastAsia="仿宋"/>
          <w:color w:val="auto"/>
          <w:highlight w:val="none"/>
        </w:rPr>
      </w:pPr>
      <w:r>
        <w:rPr>
          <w:rFonts w:hint="eastAsia" w:ascii="仿宋" w:hAnsi="仿宋" w:eastAsia="仿宋"/>
          <w:color w:val="auto"/>
          <w:highlight w:val="none"/>
        </w:rPr>
        <w:t>第7章   建设工程监理合同</w:t>
      </w:r>
    </w:p>
    <w:p w14:paraId="5A736E76">
      <w:pPr>
        <w:jc w:val="center"/>
        <w:rPr>
          <w:rFonts w:hint="eastAsia" w:ascii="仿宋" w:hAnsi="仿宋" w:eastAsia="仿宋"/>
          <w:b/>
          <w:color w:val="auto"/>
          <w:sz w:val="24"/>
          <w:highlight w:val="none"/>
        </w:rPr>
      </w:pPr>
    </w:p>
    <w:p w14:paraId="2BE1FB05">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（提供的建设工程监理合同仅供参考，以最终签订的合同为准）</w:t>
      </w:r>
    </w:p>
    <w:p w14:paraId="15F47F14">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合同协议书</w:t>
      </w:r>
    </w:p>
    <w:p w14:paraId="3806F31B">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委托人（全称）：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              </w:t>
      </w:r>
    </w:p>
    <w:p w14:paraId="370B71A3">
      <w:pPr>
        <w:spacing w:line="400" w:lineRule="exact"/>
        <w:ind w:firstLine="482"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监理人（全称）：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1986235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14:paraId="220BBC2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一、工程概况</w:t>
      </w:r>
    </w:p>
    <w:p w14:paraId="4EFCFC43">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 工程名称：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182F516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7464FBC5">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 工程规模：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313F36">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工程概算投资额或建筑安装工程费：</w:t>
      </w:r>
      <w:r>
        <w:rPr>
          <w:rFonts w:hint="eastAsia" w:ascii="仿宋" w:hAnsi="仿宋" w:eastAsia="仿宋" w:cs="仿宋"/>
          <w:color w:val="auto"/>
          <w:kern w:val="0"/>
          <w:sz w:val="24"/>
          <w:szCs w:val="24"/>
          <w:highlight w:val="none"/>
          <w:u w:val="single"/>
        </w:rPr>
        <w:t xml:space="preserve">             </w:t>
      </w:r>
    </w:p>
    <w:p w14:paraId="1C5A86D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二、词语限定</w:t>
      </w:r>
    </w:p>
    <w:p w14:paraId="541523C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协议书中相关词语的含义与通用条件中的定义与解释相同。</w:t>
      </w:r>
    </w:p>
    <w:p w14:paraId="4BCECD7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三、组成本合同的文件</w:t>
      </w:r>
    </w:p>
    <w:p w14:paraId="46E4FAE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协议书；</w:t>
      </w:r>
    </w:p>
    <w:p w14:paraId="641F2F32">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中标通知书（适用于招标工程）或委托书（适用于非招标工程）；</w:t>
      </w:r>
    </w:p>
    <w:p w14:paraId="0B88BD5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410E11F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专用条件；</w:t>
      </w:r>
    </w:p>
    <w:p w14:paraId="6A275043">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通用条件；</w:t>
      </w:r>
    </w:p>
    <w:p w14:paraId="1AC99C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附录，即：</w:t>
      </w:r>
    </w:p>
    <w:p w14:paraId="28794DD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附录A  相关服务的范围和内容</w:t>
      </w:r>
    </w:p>
    <w:p w14:paraId="7734DE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附录B  委托人派遣的人员和提供的</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w:t>
      </w:r>
    </w:p>
    <w:p w14:paraId="6745C33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本合同签订后，双方依法签订的补充协议也是本合同文件的组成部分。</w:t>
      </w:r>
    </w:p>
    <w:p w14:paraId="6896781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在实施过程中双方共同签署的补充与修正文件</w:t>
      </w:r>
      <w:r>
        <w:rPr>
          <w:rFonts w:hint="eastAsia" w:ascii="仿宋" w:hAnsi="仿宋" w:eastAsia="仿宋" w:cs="仿宋"/>
          <w:color w:val="auto"/>
          <w:sz w:val="24"/>
          <w:szCs w:val="24"/>
          <w:highlight w:val="none"/>
          <w:lang w:eastAsia="zh-CN"/>
        </w:rPr>
        <w:t>；</w:t>
      </w:r>
    </w:p>
    <w:p w14:paraId="65260154">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四、总监理工程师</w:t>
      </w:r>
    </w:p>
    <w:p w14:paraId="408A75D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，注册号：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C608A2">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五、签约酬金</w:t>
      </w:r>
    </w:p>
    <w:p w14:paraId="55F2CC8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2BA0B64D">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p>
    <w:p w14:paraId="4F06F769">
      <w:pPr>
        <w:spacing w:line="4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1．监理酬金：人民币（小写）：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；（其中：不含税金额</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，税额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（暂控）；               </w:t>
      </w:r>
    </w:p>
    <w:p w14:paraId="67ADAA79">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9ED13C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31A7209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11AC7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BEF34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B3D57">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631D59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0BFD346D">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六、期限</w:t>
      </w:r>
    </w:p>
    <w:p w14:paraId="68694E5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监理期限：</w:t>
      </w:r>
    </w:p>
    <w:p w14:paraId="468FB7F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7D877B9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相关服务期限：</w:t>
      </w:r>
    </w:p>
    <w:p w14:paraId="636381CC">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（1）勘察阶段服务期限自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05BA27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30B9710">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（3）保修阶段服务期限自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D7C988A">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（4）其他相关服务期限自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486BCE38">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七、双方承诺</w:t>
      </w:r>
    </w:p>
    <w:p w14:paraId="7F3286FA">
      <w:pPr>
        <w:spacing w:line="40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 监理人向委托人承诺，按照本合同约定提供监理与相关服务。</w:t>
      </w:r>
    </w:p>
    <w:p w14:paraId="1CE1E6EB">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委托人向监理人承诺，按照本合同约定派遣相应的人员，提供</w:t>
      </w:r>
      <w:r>
        <w:rPr>
          <w:rFonts w:hint="eastAsia" w:ascii="仿宋" w:hAnsi="仿宋" w:eastAsia="仿宋" w:cs="仿宋"/>
          <w:bCs/>
          <w:color w:val="auto"/>
          <w:sz w:val="24"/>
          <w:szCs w:val="24"/>
          <w:highlight w:val="none"/>
        </w:rPr>
        <w:t>房屋、资料</w:t>
      </w:r>
      <w:r>
        <w:rPr>
          <w:rFonts w:hint="eastAsia" w:ascii="仿宋" w:hAnsi="仿宋" w:eastAsia="仿宋" w:cs="仿宋"/>
          <w:color w:val="auto"/>
          <w:sz w:val="24"/>
          <w:szCs w:val="24"/>
          <w:highlight w:val="none"/>
        </w:rPr>
        <w:t>、设备，并按本合同约定支付酬金。</w:t>
      </w:r>
    </w:p>
    <w:p w14:paraId="66AADB43">
      <w:pPr>
        <w:spacing w:line="400" w:lineRule="exact"/>
        <w:ind w:firstLine="482"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八、合同订立</w:t>
      </w:r>
    </w:p>
    <w:p w14:paraId="2E6BDE3E">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049E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订立地点：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2EC74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份，具有同等法律效力，双方各执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F892BB8">
      <w:pPr>
        <w:spacing w:line="400" w:lineRule="exact"/>
        <w:ind w:firstLine="480" w:firstLineChars="200"/>
        <w:outlineLvl w:val="9"/>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本合同双方约定</w:t>
      </w:r>
      <w:r>
        <w:rPr>
          <w:rFonts w:hint="eastAsia" w:ascii="仿宋" w:hAnsi="仿宋" w:eastAsia="仿宋" w:cs="仿宋"/>
          <w:color w:val="auto"/>
          <w:sz w:val="24"/>
          <w:szCs w:val="24"/>
          <w:highlight w:val="none"/>
          <w:u w:val="none"/>
          <w:lang w:val="en-US" w:eastAsia="zh-CN"/>
        </w:rPr>
        <w:t>___________</w:t>
      </w:r>
      <w:r>
        <w:rPr>
          <w:rFonts w:hint="eastAsia" w:ascii="仿宋" w:hAnsi="仿宋" w:eastAsia="仿宋" w:cs="仿宋"/>
          <w:color w:val="auto"/>
          <w:sz w:val="24"/>
          <w:szCs w:val="24"/>
          <w:highlight w:val="none"/>
          <w:u w:val="none"/>
        </w:rPr>
        <w:t>后生效。</w:t>
      </w:r>
    </w:p>
    <w:p w14:paraId="45CC084F">
      <w:pPr>
        <w:spacing w:line="400" w:lineRule="exact"/>
        <w:ind w:firstLine="480" w:firstLineChars="200"/>
        <w:outlineLvl w:val="9"/>
        <w:rPr>
          <w:rFonts w:hint="eastAsia" w:ascii="仿宋" w:hAnsi="仿宋" w:eastAsia="仿宋" w:cs="仿宋"/>
          <w:color w:val="auto"/>
          <w:sz w:val="24"/>
          <w:szCs w:val="24"/>
          <w:highlight w:val="none"/>
        </w:rPr>
      </w:pPr>
    </w:p>
    <w:p w14:paraId="7DCA44A7">
      <w:pPr>
        <w:spacing w:line="400" w:lineRule="exact"/>
        <w:ind w:firstLine="480" w:firstLineChars="200"/>
        <w:outlineLvl w:val="9"/>
        <w:rPr>
          <w:rFonts w:hint="eastAsia" w:ascii="仿宋" w:hAnsi="仿宋" w:eastAsia="仿宋" w:cs="仿宋"/>
          <w:color w:val="auto"/>
          <w:sz w:val="24"/>
          <w:szCs w:val="24"/>
          <w:highlight w:val="none"/>
        </w:rPr>
      </w:pPr>
    </w:p>
    <w:p w14:paraId="162B18F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监理人：</w:t>
      </w:r>
    </w:p>
    <w:p w14:paraId="4BA926E4">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住所：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住所： </w:t>
      </w:r>
    </w:p>
    <w:p w14:paraId="719CB4B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14:paraId="677FE858">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开户银行： </w:t>
      </w:r>
    </w:p>
    <w:p w14:paraId="5290C72F">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账号：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账号： </w:t>
      </w:r>
    </w:p>
    <w:p w14:paraId="535E8CD5">
      <w:pPr>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邮编：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邮编：  </w:t>
      </w:r>
    </w:p>
    <w:p w14:paraId="643A6392">
      <w:pPr>
        <w:spacing w:line="400" w:lineRule="exact"/>
        <w:ind w:firstLine="480" w:firstLineChars="20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p>
    <w:p w14:paraId="6482C6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CFE46C1">
      <w:pPr>
        <w:spacing w:line="400" w:lineRule="exact"/>
        <w:ind w:firstLine="482" w:firstLineChars="200"/>
        <w:jc w:val="center"/>
        <w:outlineLvl w:val="1"/>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第二部分  通用条款</w:t>
      </w:r>
    </w:p>
    <w:p w14:paraId="0FF790C2">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1F49CBB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bCs/>
          <w:color w:val="auto"/>
          <w:sz w:val="24"/>
          <w:szCs w:val="24"/>
          <w:highlight w:val="none"/>
        </w:rPr>
        <w:t>定义</w:t>
      </w:r>
    </w:p>
    <w:p w14:paraId="39145B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除根据上下文另有其意义外，组成本合同的全部文件中的下列名词和用语应具有本款所赋予的含义：</w:t>
      </w:r>
    </w:p>
    <w:p w14:paraId="7CFFBDA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“工程”是指按照本合同约定实施监理与相关服务的建设工程。</w:t>
      </w:r>
    </w:p>
    <w:p w14:paraId="103667B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“委托人”是指本合同中委托监理与相关服务的一方，及其合法的继承人或受让人。</w:t>
      </w:r>
    </w:p>
    <w:p w14:paraId="77B59B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“监理人”是指本合同中提供监理与相关服务的一方，及其合法的继承人。</w:t>
      </w:r>
    </w:p>
    <w:p w14:paraId="7126CF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“承包人”是指在工程范围内与委托人签订勘察、设计、施工等有关合同的当事人，及其合法的继承人。</w:t>
      </w:r>
    </w:p>
    <w:p w14:paraId="037051EC">
      <w:pPr>
        <w:pStyle w:val="9"/>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FA201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“相关服务”是指监理人受委托人的委托 ，按照本合同约定，在勘察、设计、保修等阶段提供的服务活动。</w:t>
      </w:r>
    </w:p>
    <w:p w14:paraId="3185DC2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“正常工作”指本合同订立时通用条件和专用条件中约定的监理人的工作。</w:t>
      </w:r>
    </w:p>
    <w:p w14:paraId="67B29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 “附加工作”是指本合同约定的正常工作以外监理人的工作。</w:t>
      </w:r>
    </w:p>
    <w:p w14:paraId="40AFDC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 “项目监理机构”是指监理人派驻工程负责履行本合同的组织机构。</w:t>
      </w:r>
    </w:p>
    <w:p w14:paraId="7BDC381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1.1.10 “总监理工程师”是指由监理人的法定代表人书面授权，全面负责履行本合同、主持项目监理机构工作的注册监理工程师。</w:t>
      </w:r>
    </w:p>
    <w:p w14:paraId="0F689C4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“酬金”是指监理人履行本合同义务，委托人按照本合同约定给付监理人的金额。</w:t>
      </w:r>
    </w:p>
    <w:p w14:paraId="7AD160A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“正常工作酬金”是指监理人完成正常工作，委托人应给付监理人并在协议书中载明的签约酬金额。</w:t>
      </w:r>
    </w:p>
    <w:p w14:paraId="0B8D81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“附加工作酬金”是指监理人完成附加工作，委托人应给付监理人的金额。</w:t>
      </w:r>
    </w:p>
    <w:p w14:paraId="7BF8383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“一方”是指委托人或监理人；“双方”是指委托人和监理人；“第三方”是指除委托人和监理人以外的有关方。</w:t>
      </w:r>
    </w:p>
    <w:p w14:paraId="6E3B953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1.1.15 “书面形式”是指合同书、信件和数据电文（包括电报、电传、传真、电子数据交换和电子邮件）等可以有形地表现所载内容的形式。</w:t>
      </w:r>
    </w:p>
    <w:p w14:paraId="68A56CD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1.1.16 “天”是指第一天零时至第二天零时的时间。</w:t>
      </w:r>
    </w:p>
    <w:p w14:paraId="268A5E5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1.1.17“月”是指按公历从一个月中任何一天开始的一个公历月时间。</w:t>
      </w:r>
    </w:p>
    <w:p w14:paraId="7EEB873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1D85903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1.2 </w:t>
      </w:r>
      <w:r>
        <w:rPr>
          <w:rFonts w:hint="eastAsia" w:ascii="仿宋" w:hAnsi="仿宋" w:eastAsia="仿宋" w:cs="仿宋"/>
          <w:color w:val="auto"/>
          <w:sz w:val="24"/>
          <w:szCs w:val="24"/>
          <w:highlight w:val="none"/>
        </w:rPr>
        <w:t>解释</w:t>
      </w:r>
    </w:p>
    <w:p w14:paraId="5F495189">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1.2.1本合同使用中文书写、解释和说明。如专用条件约定使用两种及以上语言文字时，应以中文为准。</w:t>
      </w:r>
    </w:p>
    <w:p w14:paraId="5E24B930">
      <w:pPr>
        <w:tabs>
          <w:tab w:val="left" w:pos="6140"/>
        </w:tabs>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组成本合同的下列文件彼此应能相互解释、互为说明。除专用条件另有约定外，本合同文件的解释顺序如下：</w:t>
      </w:r>
    </w:p>
    <w:p w14:paraId="6261E02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（1）协议书；</w:t>
      </w:r>
    </w:p>
    <w:p w14:paraId="5AC9F49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（2）中标通知书（适用于招标工程）或委托书（适用于非招标工程）；</w:t>
      </w:r>
    </w:p>
    <w:p w14:paraId="116B5B7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（3）专用条件及附录A、附录B；</w:t>
      </w:r>
    </w:p>
    <w:p w14:paraId="67C080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（4）通用条件；</w:t>
      </w:r>
    </w:p>
    <w:p w14:paraId="55807A9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（适用于招标工程）或监理与相关服务建议书（适用于非招标工程）。</w:t>
      </w:r>
    </w:p>
    <w:p w14:paraId="3FEB951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双方签订的补充协议与其他文件发生矛盾或歧义时，属于同一类内容的文件，应以最新签署的为准。</w:t>
      </w:r>
    </w:p>
    <w:p w14:paraId="4159C68C">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监理人的义务</w:t>
      </w:r>
    </w:p>
    <w:p w14:paraId="71BCF57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2.1 监理的范围和工作内容</w:t>
      </w:r>
    </w:p>
    <w:p w14:paraId="0DEDD0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监理范围在专用条件中约定。</w:t>
      </w:r>
    </w:p>
    <w:p w14:paraId="3E9274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除专用条件另有约定外，监理工作内容包括：</w:t>
      </w:r>
    </w:p>
    <w:p w14:paraId="428FEF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（1）收到工程设计文件后编制监理规划，并在第一次工地会议7天前报委托人。根据有关规定和监理工作需要，编制监理实施细则；</w:t>
      </w:r>
    </w:p>
    <w:p w14:paraId="7B3F0D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（2）熟悉工程设计文件，并参加由委托人主持的图纸会审和设计交底会议；</w:t>
      </w:r>
    </w:p>
    <w:p w14:paraId="58479F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（3）参加由委托人主持的第一次工地会议；主持监理例会并根据工程需要主持或参加专题会议；</w:t>
      </w:r>
    </w:p>
    <w:p w14:paraId="66DFA5D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（4）审查施工承包人提交的施工组织设计，重点审查其中的质量安全技术措施、专项施工方案与工程建设强制性标准的符合性；</w:t>
      </w:r>
    </w:p>
    <w:p w14:paraId="59753D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（5）检查施工承包人工程质量、安全生产管理制度及组织机构和人员资格； </w:t>
      </w:r>
    </w:p>
    <w:p w14:paraId="4BA6108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（6）检查施工承包人专职安全生产管理人员的配备情况；</w:t>
      </w:r>
    </w:p>
    <w:p w14:paraId="7A60368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（7）审查施工承包人提交的施工进度计划，</w:t>
      </w:r>
      <w:r>
        <w:rPr>
          <w:rFonts w:hint="eastAsia" w:ascii="仿宋" w:hAnsi="仿宋" w:eastAsia="仿宋" w:cs="仿宋"/>
          <w:color w:val="auto"/>
          <w:sz w:val="24"/>
          <w:szCs w:val="24"/>
          <w:highlight w:val="none"/>
          <w:lang w:val="en-US" w:eastAsia="zh-CN"/>
        </w:rPr>
        <w:t>及时提出调整意见，控制工作进度；</w:t>
      </w:r>
      <w:r>
        <w:rPr>
          <w:rFonts w:hint="eastAsia" w:ascii="仿宋" w:hAnsi="仿宋" w:eastAsia="仿宋" w:cs="仿宋"/>
          <w:color w:val="auto"/>
          <w:sz w:val="24"/>
          <w:szCs w:val="24"/>
          <w:highlight w:val="none"/>
        </w:rPr>
        <w:t>核查承包人对施工进度计划的调整；</w:t>
      </w:r>
    </w:p>
    <w:p w14:paraId="26377C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（8）检查施工承包人的试验室；</w:t>
      </w:r>
    </w:p>
    <w:p w14:paraId="3721E1C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（9）审核施工分包人资质条件；</w:t>
      </w:r>
    </w:p>
    <w:p w14:paraId="446022F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（10）查验施工承包人的施工测量放线成果；</w:t>
      </w:r>
    </w:p>
    <w:p w14:paraId="1F65FB8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（11）审查工程开工条件，对条件具备的签发开工令；</w:t>
      </w:r>
    </w:p>
    <w:p w14:paraId="7AD931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（12）审查施工承包人报送的工程材料、构配件、设备质量证明文件的有效性和符合性，并按规定对用于工程的材料采取平行检验或见证取样方式进行抽检；</w:t>
      </w:r>
    </w:p>
    <w:p w14:paraId="37D476EB">
      <w:pPr>
        <w:spacing w:line="490" w:lineRule="exact"/>
        <w:ind w:left="-97" w:leftChars="-46"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（13）审核施工承包人提交的工程款支付申请，签发或出具工程款支付证书，并报委托人审核、批准；</w:t>
      </w:r>
    </w:p>
    <w:p w14:paraId="2474822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（14）在巡视、旁站和检验过程中，发现工程质量、施工安全存在事故隐患的，要求施工承包人整改并报委托人；</w:t>
      </w:r>
    </w:p>
    <w:p w14:paraId="0E8B11A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（15）经委托人同意，签发工程暂停令和复工令；</w:t>
      </w:r>
    </w:p>
    <w:p w14:paraId="3221C19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（16）审查施工承包人提交的采用新材料、新工艺、新技术、新设备的论证材料及相关验收标准；</w:t>
      </w:r>
    </w:p>
    <w:p w14:paraId="2AFCD50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（17）核查施工过程中的主要部位、环节以及验收隐蔽工程、分部分项工程；</w:t>
      </w:r>
    </w:p>
    <w:p w14:paraId="6FBACE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（18）审查施工承包人提交的工程变更申请，协调处理施工进度调整、费用索赔、合同争议等事项；</w:t>
      </w:r>
    </w:p>
    <w:p w14:paraId="3DCC886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（19）审查施工承包人提交的竣工验收申请，编写工程质量评估报告；</w:t>
      </w:r>
    </w:p>
    <w:p w14:paraId="34AF85A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（20）参加工程竣工验收，签署竣工验收意见；</w:t>
      </w:r>
    </w:p>
    <w:p w14:paraId="6F48EE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工程竣工后，</w:t>
      </w:r>
      <w:r>
        <w:rPr>
          <w:rFonts w:hint="eastAsia" w:ascii="仿宋" w:hAnsi="仿宋" w:eastAsia="仿宋" w:cs="仿宋"/>
          <w:color w:val="auto"/>
          <w:sz w:val="24"/>
          <w:szCs w:val="24"/>
          <w:highlight w:val="none"/>
        </w:rPr>
        <w:t>审查施工承包人提交的竣工结算申请并报委托人；</w:t>
      </w:r>
    </w:p>
    <w:p w14:paraId="56C44E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（22）编制、整理工程监理归档文件并报委托人。</w:t>
      </w:r>
    </w:p>
    <w:p w14:paraId="014A29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相关服务的范围和内容在附录A中约定。</w:t>
      </w:r>
    </w:p>
    <w:p w14:paraId="6D7B004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bCs/>
          <w:color w:val="auto"/>
          <w:sz w:val="24"/>
          <w:szCs w:val="24"/>
          <w:highlight w:val="none"/>
        </w:rPr>
        <w:t>监理与相关服务依据</w:t>
      </w:r>
    </w:p>
    <w:p w14:paraId="521AB7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p>
    <w:p w14:paraId="31CD9F2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（1）适用的法律、行政法规及部门规章；</w:t>
      </w:r>
    </w:p>
    <w:p w14:paraId="6690E1A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（2）与工程有关的标准；</w:t>
      </w:r>
    </w:p>
    <w:p w14:paraId="5564081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（3）工程设计及有关文件；</w:t>
      </w:r>
    </w:p>
    <w:p w14:paraId="4FBF204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（4）本合同及委托人与第三方签订的与实施工程有关的其他合同。</w:t>
      </w:r>
    </w:p>
    <w:p w14:paraId="481277B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双方根据工程的行业和地域特点，在专用条件中具体约定监理依据。</w:t>
      </w:r>
    </w:p>
    <w:p w14:paraId="264E5AF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相关服务依据在专用条件中约定。</w:t>
      </w:r>
    </w:p>
    <w:p w14:paraId="504DDE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401944B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监理人应组建满足工作需要的项目监理机构，配备必要的检测设备。项目监理机构的主要人员应具有相应的资格条件。</w:t>
      </w:r>
    </w:p>
    <w:p w14:paraId="2293CDD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2.3.2本合同履行过程中，总监理工程师及重要岗位监理人员应保持相对稳定，以保证监理工作正常进行。</w:t>
      </w:r>
    </w:p>
    <w:p w14:paraId="6C39A5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3805AE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监理人应及时更换有下列情形之一的监理人员：</w:t>
      </w:r>
    </w:p>
    <w:p w14:paraId="7D83BE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（1）严重过失行为的；</w:t>
      </w:r>
    </w:p>
    <w:p w14:paraId="187607A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（2）有违法行为不能履行职责的；</w:t>
      </w:r>
    </w:p>
    <w:p w14:paraId="5B458BC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（3）涉嫌犯罪的；</w:t>
      </w:r>
    </w:p>
    <w:p w14:paraId="79A4C00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（4）不能胜任岗位职责的；</w:t>
      </w:r>
    </w:p>
    <w:p w14:paraId="217B65C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（5）严重违反职业道德的；</w:t>
      </w:r>
    </w:p>
    <w:p w14:paraId="4330D60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（6）专用条件约定的其他情形。</w:t>
      </w:r>
    </w:p>
    <w:p w14:paraId="4DE810C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委托人可要求监理人更换不能胜任本职工作的项目监理机构人员。</w:t>
      </w:r>
    </w:p>
    <w:p w14:paraId="7EE327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00EC495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监理人应遵循职业道德准则和行为规范，严格按照法律法规、工程建设有关标准及本合同履行职责。</w:t>
      </w:r>
    </w:p>
    <w:p w14:paraId="410F8E9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0B577D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当委托人与承包人之间的合同争议提交仲裁机构仲裁或人民法院审理时，监理人应提供必要的证明资料。</w:t>
      </w:r>
    </w:p>
    <w:p w14:paraId="78C3914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监理人应在专用条件约定的授权范围内，处理委托人与承包人所签订合同的变更事宜。如果变更超过授权范围，应以书面形式报委托人批准。</w:t>
      </w:r>
    </w:p>
    <w:p w14:paraId="10A034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在紧急情况下，为了保护财产和人身安全，监理人所发出的指令未能事先报委托人批准时，应在发出指令后的24小时内以书面形式报委托人。</w:t>
      </w:r>
    </w:p>
    <w:p w14:paraId="58423F1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 除专用条件另有约定外，监理人发现承包人的人员不能胜任本职工作的，有权要求承包人予以调换。</w:t>
      </w:r>
    </w:p>
    <w:p w14:paraId="7E0A7A0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3A0D0A1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监理人应按专用条件约定的种类、时间和份数向委托人提交监理与相关服务的报告。</w:t>
      </w:r>
    </w:p>
    <w:p w14:paraId="6C6CC5E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文件资料</w:t>
      </w:r>
    </w:p>
    <w:p w14:paraId="7252F89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在本合同履行期内，监理人应在现场保留工作所用的图纸、报告及记录监理工作的相关文件。工程竣工后，应当按照档案管理规定将监理有关文件归档。</w:t>
      </w:r>
    </w:p>
    <w:p w14:paraId="7CA136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3AA1DCC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94FCBD5">
      <w:pPr>
        <w:spacing w:line="49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3．委托人的义务</w:t>
      </w:r>
    </w:p>
    <w:p w14:paraId="0D0F526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告知</w:t>
      </w:r>
    </w:p>
    <w:p w14:paraId="076D9EF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委托人应在委托人与承包人签订的合同中明确监理人、总监理工程师和授予项目监理机构的权限。如有变更，应及时通知承包人。</w:t>
      </w:r>
    </w:p>
    <w:p w14:paraId="54700CE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提供资料</w:t>
      </w:r>
    </w:p>
    <w:p w14:paraId="421D837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委托人应按照附录B约定，无偿向监理人提供工程有关的资料。在本合同履行过程中，委托人应及时向监理人提供最新的与工程有关的资料。</w:t>
      </w:r>
    </w:p>
    <w:p w14:paraId="7DCD322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提供工作条件</w:t>
      </w:r>
    </w:p>
    <w:p w14:paraId="756BA4A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委托人应为监理人完成监理与相关服务提供必要的条件。</w:t>
      </w:r>
    </w:p>
    <w:p w14:paraId="01DC0D4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委托人应按照附录B约定，派遣相应的人员，提供房屋、设备，供监理人无偿使用。</w:t>
      </w:r>
    </w:p>
    <w:p w14:paraId="6ACBDA7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委托人应负责协调工程建设中所有外部关系，为监理人履行本合同提供必要的外部条件。</w:t>
      </w:r>
    </w:p>
    <w:p w14:paraId="0451B2D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4D73EEC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5EC6F2F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委托人意见或要求</w:t>
      </w:r>
    </w:p>
    <w:p w14:paraId="2DC4B75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在本合同约定的监理与相关服务工作范围内，委托人对承包人的任何意见或要求应通知监理人，由监理人向承包人发出相应指令。</w:t>
      </w:r>
    </w:p>
    <w:p w14:paraId="5D3539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2FAA40A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委托人应在专用条件约定的时间内，对监理人以书面形式提交并要求作出决定的事宜，给予书面答复。逾期未答复的，视为委托人认可。</w:t>
      </w:r>
    </w:p>
    <w:p w14:paraId="463AD48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支付</w:t>
      </w:r>
    </w:p>
    <w:p w14:paraId="7926ED9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委托人应按本合同约定，向监理人支付酬金。</w:t>
      </w:r>
    </w:p>
    <w:p w14:paraId="49C5CC68">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0743C773">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199FFE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监理人未履行本合同义务的，应承担相应的责任。</w:t>
      </w:r>
    </w:p>
    <w:p w14:paraId="1BE60AB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4974F0F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监理人向委托人的索赔不成立时，监理人应赔偿委托人由此发生的费用。</w:t>
      </w:r>
    </w:p>
    <w:p w14:paraId="4B3B2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32A0541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委托人未履行本合同义务的，应承担相应的责任。</w:t>
      </w:r>
    </w:p>
    <w:p w14:paraId="5D56AB0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 委托人违反本合同约定造成监理人损失的，委托人应予以赔偿。</w:t>
      </w:r>
    </w:p>
    <w:p w14:paraId="1DC5EA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委托人向监理人的索赔不成立时，应赔偿监理人由此引起的费用。</w:t>
      </w:r>
    </w:p>
    <w:p w14:paraId="2E3E979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委托人未能按期支付酬金超过28天，应按专用条件约定支付逾期付款利息。</w:t>
      </w:r>
    </w:p>
    <w:p w14:paraId="456E91E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除外责任</w:t>
      </w:r>
    </w:p>
    <w:p w14:paraId="111AA79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因非监理人的原因，且监理人无过错，发生工程质量事故、安全事故、工期延误等造成的损失，监理人不承担赔偿责任。</w:t>
      </w:r>
    </w:p>
    <w:p w14:paraId="4665A0E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14:paraId="10520E30">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0A52A9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bCs/>
          <w:color w:val="auto"/>
          <w:sz w:val="24"/>
          <w:szCs w:val="24"/>
          <w:highlight w:val="none"/>
        </w:rPr>
        <w:t>支付货币</w:t>
      </w:r>
    </w:p>
    <w:p w14:paraId="58780F7A">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除专用条件另有约定外，酬金均以人民币支付。涉及外币支付的，所采用的货币种类、比例和汇率在专用条件中约定。</w:t>
      </w:r>
    </w:p>
    <w:p w14:paraId="7B05361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5.2 支付申请</w:t>
      </w:r>
    </w:p>
    <w:p w14:paraId="299B2E1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监理人应在本合同约定的每次应付款时间的7天前，向委托人提交支付申请书。支付申请书应当说明当期应付款总额，并列出当期应支付的款项及其金额。</w:t>
      </w:r>
    </w:p>
    <w:p w14:paraId="6663C28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064189E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支付的酬金包括正常工作酬金、附加工作酬金、合理化建议奖励金额及费用。</w:t>
      </w:r>
    </w:p>
    <w:p w14:paraId="06B7957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5.4 </w:t>
      </w:r>
      <w:r>
        <w:rPr>
          <w:rFonts w:hint="eastAsia" w:ascii="仿宋" w:hAnsi="仿宋" w:eastAsia="仿宋" w:cs="仿宋"/>
          <w:bCs/>
          <w:color w:val="auto"/>
          <w:sz w:val="24"/>
          <w:szCs w:val="24"/>
          <w:highlight w:val="none"/>
        </w:rPr>
        <w:t>有争议部分的付款</w:t>
      </w:r>
    </w:p>
    <w:p w14:paraId="1254A85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063B4D9">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 合同生效、变更、暂停、解除与终止</w:t>
      </w:r>
    </w:p>
    <w:p w14:paraId="02463738">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6.1生效</w:t>
      </w:r>
    </w:p>
    <w:p w14:paraId="3925DE2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除法律另有规定或者专用条件另有约定外，委托人和监理人的法定代表人或其授权代理人在协议书上签字并盖单位章后本合同生效。</w:t>
      </w:r>
    </w:p>
    <w:p w14:paraId="27996BD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bCs/>
          <w:color w:val="auto"/>
          <w:sz w:val="24"/>
          <w:szCs w:val="24"/>
          <w:highlight w:val="none"/>
        </w:rPr>
        <w:t>变更</w:t>
      </w:r>
    </w:p>
    <w:p w14:paraId="1521E8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任何一方提出变更请求时，双方经协商一致后可进行变更。</w:t>
      </w:r>
    </w:p>
    <w:p w14:paraId="042113FF">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4F2BD80">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57D557E">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52AEF845">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 因非监理人原因造成工程概算投资额或建筑安装工程费增加时，正常工作酬金应作相应调整。调整方法在专用条件中约定。</w:t>
      </w:r>
    </w:p>
    <w:p w14:paraId="17130054">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 因工程规模、监理范围的变化导致监理人的正常工作量减少时，正常工作酬金应作相应调整。调整方法在专用条件中约定。</w:t>
      </w:r>
    </w:p>
    <w:p w14:paraId="36DB09C0">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6.3 暂停与</w:t>
      </w:r>
      <w:r>
        <w:rPr>
          <w:rFonts w:hint="eastAsia" w:ascii="仿宋" w:hAnsi="仿宋" w:eastAsia="仿宋" w:cs="仿宋"/>
          <w:bCs/>
          <w:color w:val="auto"/>
          <w:sz w:val="24"/>
          <w:szCs w:val="24"/>
          <w:highlight w:val="none"/>
        </w:rPr>
        <w:t>解除</w:t>
      </w:r>
    </w:p>
    <w:p w14:paraId="1591183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除双方协商一致可以解除本合同外，当一方无正当理由未履行本合同约定的义务时，另一方可以根据本合同约定暂停履行本合同直至解除本合同。</w:t>
      </w:r>
    </w:p>
    <w:p w14:paraId="0C3A47A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3F0F43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因解除本合同或解除监理人的部分义务导致监理人遭受的损失，除依法可以免除责任的情况外，应由委托人予以补偿，补偿金额由双方协商确定。</w:t>
      </w:r>
    </w:p>
    <w:p w14:paraId="346137FC">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解除本合同的协议必须采取书面形式，协议未达成之前，本合同仍然有效。</w:t>
      </w:r>
    </w:p>
    <w:p w14:paraId="4D0B79C6">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283EA5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42130F5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424E208A">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5C5BC0D">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6.3.5 因不可抗力致使本合同部分或全部不能履行时，一方应立即通知另一方，可暂停或解除本合同。</w:t>
      </w:r>
    </w:p>
    <w:p w14:paraId="76FC875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6.3.6 本合同解除后，本合同约定的有关结算、清理、争议解决方式的条件仍然有效。</w:t>
      </w:r>
    </w:p>
    <w:p w14:paraId="506FBD7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6.4 </w:t>
      </w:r>
      <w:r>
        <w:rPr>
          <w:rFonts w:hint="eastAsia" w:ascii="仿宋" w:hAnsi="仿宋" w:eastAsia="仿宋" w:cs="仿宋"/>
          <w:bCs/>
          <w:color w:val="auto"/>
          <w:sz w:val="24"/>
          <w:szCs w:val="24"/>
          <w:highlight w:val="none"/>
        </w:rPr>
        <w:t>终止</w:t>
      </w:r>
    </w:p>
    <w:p w14:paraId="535C4C4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以下条件全部满足时，本合同即告终止：</w:t>
      </w:r>
    </w:p>
    <w:p w14:paraId="36B7C17B">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（1）监理人完成本合同约定的全部工作；</w:t>
      </w:r>
    </w:p>
    <w:p w14:paraId="27338E7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（2）委托人与监理人结清并支付全部酬金。</w:t>
      </w:r>
    </w:p>
    <w:p w14:paraId="6F9739B6">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0668614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7.1</w:t>
      </w:r>
      <w:r>
        <w:rPr>
          <w:rFonts w:hint="eastAsia" w:ascii="仿宋" w:hAnsi="仿宋" w:eastAsia="仿宋" w:cs="仿宋"/>
          <w:bCs/>
          <w:color w:val="auto"/>
          <w:sz w:val="24"/>
          <w:szCs w:val="24"/>
          <w:highlight w:val="none"/>
        </w:rPr>
        <w:t>协商</w:t>
      </w:r>
    </w:p>
    <w:p w14:paraId="39B3F40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双方应本着诚信原则协商解决彼此间的争议。</w:t>
      </w:r>
    </w:p>
    <w:p w14:paraId="0E21295F">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7.2</w:t>
      </w:r>
      <w:r>
        <w:rPr>
          <w:rFonts w:hint="eastAsia" w:ascii="仿宋" w:hAnsi="仿宋" w:eastAsia="仿宋" w:cs="仿宋"/>
          <w:bCs/>
          <w:color w:val="auto"/>
          <w:sz w:val="24"/>
          <w:szCs w:val="24"/>
          <w:highlight w:val="none"/>
        </w:rPr>
        <w:t>调解</w:t>
      </w:r>
    </w:p>
    <w:p w14:paraId="3A78A952">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如果双方不能在14天内或双方商定的其他时间内解决本合同争议，可以将其提交给专用条件约定的或事后达成协议的调解人进行调解。</w:t>
      </w:r>
    </w:p>
    <w:p w14:paraId="0237568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7.3</w:t>
      </w:r>
      <w:r>
        <w:rPr>
          <w:rFonts w:hint="eastAsia" w:ascii="仿宋" w:hAnsi="仿宋" w:eastAsia="仿宋" w:cs="仿宋"/>
          <w:bCs/>
          <w:color w:val="auto"/>
          <w:sz w:val="24"/>
          <w:szCs w:val="24"/>
          <w:highlight w:val="none"/>
        </w:rPr>
        <w:t>仲裁或诉讼</w:t>
      </w:r>
    </w:p>
    <w:p w14:paraId="6D7A8A62">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双方均有权不经调解直接向专用条件约定的仲裁机构申请仲裁或向有管辖权的人民法院提起诉讼。</w:t>
      </w:r>
    </w:p>
    <w:p w14:paraId="2165E32E">
      <w:pPr>
        <w:spacing w:line="49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394B90CB">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bCs/>
          <w:color w:val="auto"/>
          <w:sz w:val="24"/>
          <w:szCs w:val="24"/>
          <w:highlight w:val="none"/>
        </w:rPr>
        <w:t>外出考察费用</w:t>
      </w:r>
    </w:p>
    <w:p w14:paraId="48A9204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经委托人同意，监理人员外出考察发生的费用由委托人审核后支付。</w:t>
      </w:r>
    </w:p>
    <w:p w14:paraId="4B954D63">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bCs/>
          <w:color w:val="auto"/>
          <w:sz w:val="24"/>
          <w:szCs w:val="24"/>
          <w:highlight w:val="none"/>
        </w:rPr>
        <w:t>检测费用</w:t>
      </w:r>
    </w:p>
    <w:p w14:paraId="49EC796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委托人要求监理人进行的材料和设备检测所发生的费用，由委托人支付，支付时间在专用条件中约定。</w:t>
      </w:r>
    </w:p>
    <w:p w14:paraId="63C9E5E7">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8.3 </w:t>
      </w:r>
      <w:r>
        <w:rPr>
          <w:rFonts w:hint="eastAsia" w:ascii="仿宋" w:hAnsi="仿宋" w:eastAsia="仿宋" w:cs="仿宋"/>
          <w:bCs/>
          <w:color w:val="auto"/>
          <w:sz w:val="24"/>
          <w:szCs w:val="24"/>
          <w:highlight w:val="none"/>
        </w:rPr>
        <w:t>咨询费用</w:t>
      </w:r>
    </w:p>
    <w:p w14:paraId="132A8D4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经委托人同意，根据工程需要由监理人组织的相关咨询论证会以及聘请相关专家等发生的费用由委托人支付，支付时间在专用条件中约定。</w:t>
      </w:r>
    </w:p>
    <w:p w14:paraId="679C76F8">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8.4 </w:t>
      </w:r>
      <w:r>
        <w:rPr>
          <w:rFonts w:hint="eastAsia" w:ascii="仿宋" w:hAnsi="仿宋" w:eastAsia="仿宋" w:cs="仿宋"/>
          <w:bCs/>
          <w:color w:val="auto"/>
          <w:sz w:val="24"/>
          <w:szCs w:val="24"/>
          <w:highlight w:val="none"/>
        </w:rPr>
        <w:t>奖励</w:t>
      </w:r>
    </w:p>
    <w:p w14:paraId="71D1DA59">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3C890AD5">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8.5 </w:t>
      </w:r>
      <w:r>
        <w:rPr>
          <w:rFonts w:hint="eastAsia" w:ascii="仿宋" w:hAnsi="仿宋" w:eastAsia="仿宋" w:cs="仿宋"/>
          <w:bCs/>
          <w:color w:val="auto"/>
          <w:sz w:val="24"/>
          <w:szCs w:val="24"/>
          <w:highlight w:val="none"/>
        </w:rPr>
        <w:t>守法诚信</w:t>
      </w:r>
    </w:p>
    <w:p w14:paraId="699845DE">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监理人及其工作人员不得从与实施工程有关的第三方处获得任何经济利益。</w:t>
      </w:r>
    </w:p>
    <w:p w14:paraId="1C4901A4">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8.6 </w:t>
      </w:r>
      <w:r>
        <w:rPr>
          <w:rFonts w:hint="eastAsia" w:ascii="仿宋" w:hAnsi="仿宋" w:eastAsia="仿宋" w:cs="仿宋"/>
          <w:bCs/>
          <w:color w:val="auto"/>
          <w:sz w:val="24"/>
          <w:szCs w:val="24"/>
          <w:highlight w:val="none"/>
        </w:rPr>
        <w:t>保密</w:t>
      </w:r>
    </w:p>
    <w:p w14:paraId="30C39E5D">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双方不得泄露对方申明的保密资料，亦不得泄露与实施工程有关的第三方所提供的保密资料，保密事项在专用条件中约定。</w:t>
      </w:r>
    </w:p>
    <w:p w14:paraId="525361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8.7 </w:t>
      </w:r>
      <w:r>
        <w:rPr>
          <w:rFonts w:hint="eastAsia" w:ascii="仿宋" w:hAnsi="仿宋" w:eastAsia="仿宋" w:cs="仿宋"/>
          <w:bCs/>
          <w:color w:val="auto"/>
          <w:sz w:val="24"/>
          <w:szCs w:val="24"/>
          <w:highlight w:val="none"/>
        </w:rPr>
        <w:t>通知</w:t>
      </w:r>
    </w:p>
    <w:p w14:paraId="18DC8FE1">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本合同涉及的通知均应当采用书面形式，并在送达对方时生效，收件人应书面签收。</w:t>
      </w:r>
    </w:p>
    <w:p w14:paraId="1A76D676">
      <w:pPr>
        <w:spacing w:line="49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8.8 </w:t>
      </w:r>
      <w:r>
        <w:rPr>
          <w:rFonts w:hint="eastAsia" w:ascii="仿宋" w:hAnsi="仿宋" w:eastAsia="仿宋" w:cs="仿宋"/>
          <w:bCs/>
          <w:color w:val="auto"/>
          <w:sz w:val="24"/>
          <w:szCs w:val="24"/>
          <w:highlight w:val="none"/>
        </w:rPr>
        <w:t>著作权</w:t>
      </w:r>
    </w:p>
    <w:p w14:paraId="461A41B1">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监理人对其编制的文件拥有著作权。</w:t>
      </w:r>
    </w:p>
    <w:p w14:paraId="46B288A7">
      <w:pPr>
        <w:spacing w:line="49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AE23227">
      <w:pPr>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br w:type="page"/>
      </w:r>
    </w:p>
    <w:p w14:paraId="179DC5A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第三部分  专用条款</w:t>
      </w:r>
    </w:p>
    <w:p w14:paraId="6E8865B4">
      <w:pPr>
        <w:spacing w:line="5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定义与解释</w:t>
      </w:r>
    </w:p>
    <w:p w14:paraId="36CA83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解释</w:t>
      </w:r>
    </w:p>
    <w:p w14:paraId="10D6E9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本合同文件除使用中文外，还可用</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DD6EE3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约定本合同文件的解释顺序为：  ：（1）合同协议书；（2）中标通知书；（3）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；（4）专用合同条款；（5）通用合同条款；（6）技术标准和要求；（7）图纸；（8）其他合同文件。</w:t>
      </w:r>
    </w:p>
    <w:p w14:paraId="39081AC9">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监理人义务</w:t>
      </w:r>
    </w:p>
    <w:p w14:paraId="6095EEE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监理的范围和内容</w:t>
      </w:r>
    </w:p>
    <w:p w14:paraId="1BB280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监理范围包括：</w:t>
      </w:r>
      <w:r>
        <w:rPr>
          <w:rFonts w:hint="eastAsia" w:ascii="仿宋" w:hAnsi="仿宋" w:eastAsia="仿宋" w:cs="仿宋"/>
          <w:color w:val="auto"/>
          <w:sz w:val="24"/>
          <w:szCs w:val="24"/>
          <w:highlight w:val="none"/>
          <w:u w:val="single"/>
          <w:lang w:eastAsia="zh-CN"/>
        </w:rPr>
        <w:t>建设本项目相关工程（含与本项目有关的相关工作内容及设计变更签证）的全过程监理，含缺陷责任期全部内容</w:t>
      </w:r>
      <w:r>
        <w:rPr>
          <w:rFonts w:hint="eastAsia" w:ascii="仿宋" w:hAnsi="仿宋" w:eastAsia="仿宋" w:cs="仿宋"/>
          <w:color w:val="auto"/>
          <w:sz w:val="24"/>
          <w:szCs w:val="24"/>
          <w:highlight w:val="none"/>
          <w:u w:val="single"/>
        </w:rPr>
        <w:t>。</w:t>
      </w:r>
    </w:p>
    <w:p w14:paraId="37CBE03C">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2.1.2 监理工作内容还包括：</w:t>
      </w:r>
      <w:r>
        <w:rPr>
          <w:rFonts w:hint="eastAsia" w:ascii="仿宋" w:hAnsi="仿宋" w:eastAsia="仿宋" w:cs="仿宋"/>
          <w:color w:val="auto"/>
          <w:sz w:val="24"/>
          <w:szCs w:val="24"/>
          <w:highlight w:val="none"/>
          <w:u w:val="single"/>
        </w:rPr>
        <w:t xml:space="preserve"> 按通用条款第2.1.2条执行。</w:t>
      </w:r>
    </w:p>
    <w:p w14:paraId="580164C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监理与相关服务依据</w:t>
      </w:r>
    </w:p>
    <w:p w14:paraId="20CD749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监理依据包括：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p>
    <w:p w14:paraId="25778AF7">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2.2.2 相关服务依据包括：</w:t>
      </w:r>
      <w:r>
        <w:rPr>
          <w:rFonts w:hint="eastAsia" w:ascii="仿宋" w:hAnsi="仿宋" w:eastAsia="仿宋" w:cs="仿宋"/>
          <w:color w:val="auto"/>
          <w:sz w:val="24"/>
          <w:szCs w:val="24"/>
          <w:highlight w:val="none"/>
          <w:u w:val="single"/>
        </w:rPr>
        <w:t>（1）适用的法律、行政法规及部门规章；（2）与工程有关的标准；（3）工程设计及有关文件；（4）本合同及委托人与第三方签订的与实施工程有关的其他合同</w:t>
      </w:r>
      <w:r>
        <w:rPr>
          <w:rFonts w:hint="eastAsia" w:ascii="仿宋" w:hAnsi="仿宋" w:eastAsia="仿宋" w:cs="仿宋"/>
          <w:color w:val="auto"/>
          <w:sz w:val="24"/>
          <w:szCs w:val="24"/>
          <w:highlight w:val="none"/>
          <w:u w:val="single"/>
          <w:lang w:eastAsia="zh-CN"/>
        </w:rPr>
        <w:t>。</w:t>
      </w:r>
    </w:p>
    <w:p w14:paraId="74604AC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项目监理机构和人员</w:t>
      </w:r>
    </w:p>
    <w:p w14:paraId="102B8F1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更换监理人员的其他情形：</w:t>
      </w:r>
      <w:r>
        <w:rPr>
          <w:rFonts w:hint="eastAsia" w:ascii="仿宋" w:hAnsi="仿宋" w:eastAsia="仿宋" w:cs="仿宋"/>
          <w:color w:val="auto"/>
          <w:sz w:val="24"/>
          <w:szCs w:val="24"/>
          <w:highlight w:val="none"/>
          <w:u w:val="single"/>
        </w:rPr>
        <w:t>监理人若由于特殊原因更换监理人员时，监理人将以不低于</w:t>
      </w:r>
      <w:r>
        <w:rPr>
          <w:rFonts w:hint="eastAsia" w:ascii="仿宋" w:hAnsi="仿宋" w:eastAsia="仿宋" w:cs="仿宋"/>
          <w:color w:val="auto"/>
          <w:sz w:val="24"/>
          <w:szCs w:val="24"/>
          <w:highlight w:val="none"/>
          <w:u w:val="single"/>
          <w:lang w:eastAsia="zh-CN"/>
        </w:rPr>
        <w:t>响应文件</w:t>
      </w:r>
      <w:r>
        <w:rPr>
          <w:rFonts w:hint="eastAsia" w:ascii="仿宋" w:hAnsi="仿宋" w:eastAsia="仿宋" w:cs="仿宋"/>
          <w:color w:val="auto"/>
          <w:sz w:val="24"/>
          <w:szCs w:val="24"/>
          <w:highlight w:val="none"/>
          <w:u w:val="single"/>
        </w:rPr>
        <w:t>中所报资质的人员替换，并报发包人审查，经审查批准后，方可更换；若未经发包人批准擅自更换，每发现一次处以拾万元人民币的违约金。</w:t>
      </w:r>
      <w:r>
        <w:rPr>
          <w:rFonts w:hint="eastAsia" w:ascii="仿宋" w:hAnsi="仿宋" w:eastAsia="仿宋" w:cs="仿宋"/>
          <w:color w:val="auto"/>
          <w:sz w:val="24"/>
          <w:szCs w:val="24"/>
          <w:highlight w:val="none"/>
        </w:rPr>
        <w:t>。</w:t>
      </w:r>
    </w:p>
    <w:p w14:paraId="69852BA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履行职责</w:t>
      </w:r>
    </w:p>
    <w:p w14:paraId="503C8B11">
      <w:pPr>
        <w:suppressAutoHyphens/>
        <w:adjustRightInd w:val="0"/>
        <w:snapToGrid w:val="0"/>
        <w:spacing w:line="45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2.4.1 对监理人的授权范围：</w:t>
      </w:r>
      <w:r>
        <w:rPr>
          <w:rFonts w:hint="eastAsia" w:ascii="仿宋" w:hAnsi="仿宋" w:eastAsia="仿宋" w:cs="宋体"/>
          <w:color w:val="auto"/>
          <w:kern w:val="0"/>
          <w:sz w:val="24"/>
          <w:highlight w:val="none"/>
          <w:u w:val="single"/>
        </w:rPr>
        <w:t>任何涉及合同实质性内容的变更（包括但不限于：设计、工期、质量、安全、价款、工程量、验收等）应当提交委托人进行确认，监理人不得自行处理与合同变更的相关事宜，否则，委托人对此不予认可，监理人自行承担因此产生的责任</w:t>
      </w:r>
      <w:r>
        <w:rPr>
          <w:rFonts w:hint="eastAsia" w:ascii="仿宋" w:hAnsi="仿宋" w:eastAsia="仿宋" w:cs="宋体"/>
          <w:color w:val="auto"/>
          <w:sz w:val="24"/>
          <w:highlight w:val="none"/>
        </w:rPr>
        <w:t>。</w:t>
      </w:r>
    </w:p>
    <w:p w14:paraId="78EF08BC">
      <w:pPr>
        <w:suppressAutoHyphens/>
        <w:adjustRightInd w:val="0"/>
        <w:snapToGrid w:val="0"/>
        <w:spacing w:line="450" w:lineRule="exact"/>
        <w:ind w:firstLine="480" w:firstLineChars="200"/>
        <w:outlineLvl w:val="0"/>
        <w:rPr>
          <w:rFonts w:ascii="仿宋" w:hAnsi="仿宋" w:eastAsia="仿宋" w:cs="宋体"/>
          <w:color w:val="auto"/>
          <w:sz w:val="24"/>
          <w:highlight w:val="none"/>
        </w:rPr>
      </w:pPr>
      <w:bookmarkStart w:id="439" w:name="_Toc145518917"/>
      <w:bookmarkStart w:id="440" w:name="_Toc145674339"/>
      <w:r>
        <w:rPr>
          <w:rFonts w:hint="eastAsia" w:ascii="仿宋" w:hAnsi="仿宋" w:eastAsia="仿宋" w:cs="宋体"/>
          <w:color w:val="auto"/>
          <w:sz w:val="24"/>
          <w:highlight w:val="none"/>
        </w:rPr>
        <w:t>在涉及工程延期</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天内和（或）金额</w:t>
      </w:r>
      <w:r>
        <w:rPr>
          <w:rFonts w:hint="eastAsia" w:ascii="仿宋" w:hAnsi="仿宋" w:eastAsia="仿宋" w:cs="宋体"/>
          <w:color w:val="auto"/>
          <w:sz w:val="24"/>
          <w:highlight w:val="none"/>
          <w:u w:val="single"/>
        </w:rPr>
        <w:t xml:space="preserve">   /   </w:t>
      </w:r>
      <w:r>
        <w:rPr>
          <w:rFonts w:hint="eastAsia" w:ascii="仿宋" w:hAnsi="仿宋" w:eastAsia="仿宋" w:cs="宋体"/>
          <w:color w:val="auto"/>
          <w:sz w:val="24"/>
          <w:highlight w:val="none"/>
        </w:rPr>
        <w:t>万元内的变更，监理人不需请示委托人即可向承包人发布变更通知。</w:t>
      </w:r>
      <w:bookmarkEnd w:id="439"/>
      <w:bookmarkEnd w:id="440"/>
    </w:p>
    <w:p w14:paraId="452425C7">
      <w:pPr>
        <w:suppressAutoHyphens/>
        <w:adjustRightInd w:val="0"/>
        <w:snapToGrid w:val="0"/>
        <w:spacing w:line="450" w:lineRule="exact"/>
        <w:ind w:firstLine="480" w:firstLineChars="200"/>
        <w:rPr>
          <w:rFonts w:ascii="仿宋" w:hAnsi="仿宋" w:eastAsia="仿宋"/>
          <w:color w:val="auto"/>
          <w:sz w:val="24"/>
          <w:highlight w:val="none"/>
        </w:rPr>
      </w:pPr>
      <w:r>
        <w:rPr>
          <w:rFonts w:hint="eastAsia" w:ascii="仿宋" w:hAnsi="仿宋" w:eastAsia="仿宋" w:cs="宋体"/>
          <w:color w:val="auto"/>
          <w:kern w:val="0"/>
          <w:sz w:val="24"/>
          <w:highlight w:val="none"/>
        </w:rPr>
        <w:t>2.4.2 监理人有权要求承包人调换其人员</w:t>
      </w:r>
      <w:r>
        <w:rPr>
          <w:rFonts w:hint="eastAsia" w:ascii="仿宋" w:hAnsi="仿宋" w:eastAsia="仿宋" w:cs="宋体"/>
          <w:color w:val="auto"/>
          <w:sz w:val="24"/>
          <w:highlight w:val="none"/>
        </w:rPr>
        <w:t>的限制条件：</w:t>
      </w:r>
      <w:r>
        <w:rPr>
          <w:rFonts w:hint="eastAsia" w:ascii="仿宋" w:hAnsi="仿宋" w:eastAsia="仿宋" w:cs="宋体"/>
          <w:color w:val="auto"/>
          <w:sz w:val="24"/>
          <w:highlight w:val="none"/>
          <w:u w:val="single"/>
        </w:rPr>
        <w:t xml:space="preserve"> 按通用条款2.4.4条执行</w:t>
      </w:r>
      <w:r>
        <w:rPr>
          <w:rFonts w:hint="eastAsia" w:ascii="仿宋" w:hAnsi="仿宋" w:eastAsia="仿宋"/>
          <w:color w:val="auto"/>
          <w:sz w:val="24"/>
          <w:highlight w:val="none"/>
        </w:rPr>
        <w:t>。</w:t>
      </w:r>
    </w:p>
    <w:p w14:paraId="39D2B62F">
      <w:pPr>
        <w:suppressAutoHyphens/>
        <w:adjustRightInd w:val="0"/>
        <w:snapToGrid w:val="0"/>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2.4.5监理人（包括监理总工程师、其他监理人员）在施工现场的时间为：每周不得少于 5 天，每天不得少于 8 小时，如不满足上述条件的，监理人应当按照 500 元/次/人向委托人支付违约金。</w:t>
      </w:r>
    </w:p>
    <w:p w14:paraId="395E107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提交报告</w:t>
      </w:r>
    </w:p>
    <w:p w14:paraId="20F44C1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监理人应提交报告的种类(包括监理规划、监理月报及约定的专项报告)、时间和份数：</w:t>
      </w:r>
      <w:r>
        <w:rPr>
          <w:rFonts w:hint="eastAsia" w:ascii="仿宋" w:hAnsi="仿宋" w:eastAsia="仿宋" w:cs="仿宋"/>
          <w:color w:val="auto"/>
          <w:sz w:val="24"/>
          <w:szCs w:val="24"/>
          <w:highlight w:val="none"/>
          <w:u w:val="single"/>
        </w:rPr>
        <w:t>开工时提供监理规划，次月5日前提供监理月报，工程竣工验收合格后7日内提供监理工作总结及质量评估报告，各一套；工程竣工验收后，监理单位所报送全套工程资料，必须报送发包人两套，以供发包人留存 。</w:t>
      </w:r>
    </w:p>
    <w:p w14:paraId="73F7D9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使用委托人的财产</w:t>
      </w:r>
    </w:p>
    <w:p w14:paraId="1F07A8D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附录 B 中由委托人无偿提供的房屋、设备的所有权属于：</w:t>
      </w:r>
      <w:r>
        <w:rPr>
          <w:rFonts w:hint="eastAsia" w:ascii="仿宋" w:hAnsi="仿宋" w:eastAsia="仿宋" w:cs="仿宋"/>
          <w:color w:val="auto"/>
          <w:sz w:val="24"/>
          <w:szCs w:val="24"/>
          <w:highlight w:val="none"/>
          <w:u w:val="single"/>
        </w:rPr>
        <w:t xml:space="preserve">委托人和承包商不提供 </w:t>
      </w:r>
      <w:r>
        <w:rPr>
          <w:rFonts w:hint="eastAsia" w:ascii="仿宋" w:hAnsi="仿宋" w:eastAsia="仿宋" w:cs="仿宋"/>
          <w:color w:val="auto"/>
          <w:sz w:val="24"/>
          <w:szCs w:val="24"/>
          <w:highlight w:val="none"/>
        </w:rPr>
        <w:t>。</w:t>
      </w:r>
    </w:p>
    <w:p w14:paraId="05DA012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监理人应在本合同终止后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天内移交委托人无偿提供的房屋、设备，移交的时间和方式为：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F49ED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委托人义务</w:t>
      </w:r>
    </w:p>
    <w:p w14:paraId="21D3AE2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委托人代表</w:t>
      </w:r>
    </w:p>
    <w:p w14:paraId="7177DD7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委托人代表为：</w:t>
      </w:r>
      <w:r>
        <w:rPr>
          <w:rFonts w:hint="eastAsia" w:ascii="仿宋" w:hAnsi="仿宋" w:eastAsia="仿宋" w:cs="仿宋"/>
          <w:color w:val="auto"/>
          <w:sz w:val="24"/>
          <w:szCs w:val="24"/>
          <w:highlight w:val="none"/>
          <w:u w:val="single"/>
        </w:rPr>
        <w:t xml:space="preserve">签订合同时确定  </w:t>
      </w:r>
      <w:r>
        <w:rPr>
          <w:rFonts w:hint="eastAsia" w:ascii="仿宋" w:hAnsi="仿宋" w:eastAsia="仿宋" w:cs="仿宋"/>
          <w:color w:val="auto"/>
          <w:sz w:val="24"/>
          <w:szCs w:val="24"/>
          <w:highlight w:val="none"/>
        </w:rPr>
        <w:t>。</w:t>
      </w:r>
    </w:p>
    <w:p w14:paraId="2F573F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答复</w:t>
      </w:r>
    </w:p>
    <w:p w14:paraId="68FFEBDE">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委托人同意在 7 天内，对监理人书面提交并要求做出决定的事宜给予书面答复</w:t>
      </w:r>
      <w:r>
        <w:rPr>
          <w:rFonts w:hint="eastAsia" w:ascii="仿宋" w:hAnsi="仿宋" w:eastAsia="仿宋" w:cs="宋体"/>
          <w:color w:val="auto"/>
          <w:sz w:val="24"/>
          <w:highlight w:val="none"/>
          <w:u w:val="single"/>
        </w:rPr>
        <w:t>；在委托人答复之前，不视为同意认可监理人提出的要求或申请</w:t>
      </w:r>
      <w:r>
        <w:rPr>
          <w:rFonts w:hint="eastAsia" w:ascii="仿宋" w:hAnsi="仿宋" w:eastAsia="仿宋" w:cs="仿宋"/>
          <w:color w:val="auto"/>
          <w:sz w:val="24"/>
          <w:szCs w:val="24"/>
          <w:highlight w:val="none"/>
          <w:u w:val="single"/>
        </w:rPr>
        <w:t>。</w:t>
      </w:r>
    </w:p>
    <w:p w14:paraId="7477583C">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违约责任</w:t>
      </w:r>
    </w:p>
    <w:p w14:paraId="6ED3FCF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监理人的违约责任</w:t>
      </w:r>
    </w:p>
    <w:p w14:paraId="6CA7A8C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监理人赔偿金额按下列方法确定：</w:t>
      </w:r>
    </w:p>
    <w:p w14:paraId="3BAD096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赔偿金＝直接经济损失×正常工作酬金÷工程概算投资额（或建筑安装工程费）上述赔偿金无法覆盖委托人全部损失时，监理人应赔偿委托人全部实际损失，包括但不限于委托人用于实现债权的费用（诉讼费、交通费、差旅费等）</w:t>
      </w:r>
    </w:p>
    <w:p w14:paraId="7FF825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委托人的违约责任</w:t>
      </w:r>
    </w:p>
    <w:p w14:paraId="0CB51BC4">
      <w:pPr>
        <w:suppressAutoHyphens/>
        <w:spacing w:line="45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4.2.1 委托人</w:t>
      </w:r>
      <w:r>
        <w:rPr>
          <w:rFonts w:hint="eastAsia" w:ascii="仿宋" w:hAnsi="仿宋" w:eastAsia="仿宋" w:cs="宋体"/>
          <w:color w:val="auto"/>
          <w:kern w:val="0"/>
          <w:sz w:val="24"/>
          <w:highlight w:val="none"/>
        </w:rPr>
        <w:t>逾期付款利息按下列方法确定：</w:t>
      </w:r>
    </w:p>
    <w:p w14:paraId="7D465855">
      <w:pPr>
        <w:suppressAutoHyphens/>
        <w:spacing w:line="45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逾期付款利息＝当期应付款总额×全国银行间同业拆借中心公布的一年期贷款市场报价（LPR）×拖延支付天数</w:t>
      </w:r>
    </w:p>
    <w:p w14:paraId="1B918995">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支付</w:t>
      </w:r>
    </w:p>
    <w:p w14:paraId="4AE5215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支付货币</w:t>
      </w:r>
    </w:p>
    <w:p w14:paraId="0A86017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hint="eastAsia" w:ascii="仿宋" w:hAnsi="仿宋" w:eastAsia="仿宋" w:cs="仿宋"/>
          <w:color w:val="auto"/>
          <w:sz w:val="24"/>
          <w:szCs w:val="24"/>
          <w:highlight w:val="none"/>
          <w:u w:val="single"/>
        </w:rPr>
        <w:t xml:space="preserve"> 人民币 </w:t>
      </w:r>
      <w:r>
        <w:rPr>
          <w:rFonts w:hint="eastAsia" w:ascii="仿宋" w:hAnsi="仿宋" w:eastAsia="仿宋" w:cs="仿宋"/>
          <w:color w:val="auto"/>
          <w:sz w:val="24"/>
          <w:szCs w:val="24"/>
          <w:highlight w:val="none"/>
        </w:rPr>
        <w:t>，比例为：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，汇率为：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1B4B1E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支付酬金</w:t>
      </w:r>
    </w:p>
    <w:p w14:paraId="1504896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正常工作酬金的支付：</w:t>
      </w:r>
    </w:p>
    <w:p w14:paraId="748EAA2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的酬金为总价酬金，监理人的全部酬金应是一个不超过合同价格的固定的总价，包括全部工作人员费用(含工资、奖金、社会福利费（含养老金、医疗保险和人寿保险、生病医疗、按国家有关规定需交纳的基金）、假日工资、管理费、利润、税金)、差旅费、生活补贴、通讯费、超时加班费、节假日加班费、文书杂务费和类似费用，以及在监理过程中发生的其它全部费用（中标人所报的人员酬金、可报销开支、杂项开支的总和）。</w:t>
      </w:r>
    </w:p>
    <w:p w14:paraId="7B65920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（1）合同签订后支付合同总价款的30%，工程主体竣工后支付合同总价款的40%，工程整体竣工后支付合同价款的20%，监理资料移交完毕且保修期结束后支付合同价款的10%。</w:t>
      </w:r>
    </w:p>
    <w:p w14:paraId="597AA9CA">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（2）支付申请表中必须附上经业主签认的监理人员考勤表。</w:t>
      </w:r>
    </w:p>
    <w:p w14:paraId="5CDC232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合同生效、变更、暂停、解除与终止</w:t>
      </w:r>
    </w:p>
    <w:p w14:paraId="11ECADE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生效</w:t>
      </w:r>
    </w:p>
    <w:p w14:paraId="7FB81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本合同生效条件：</w:t>
      </w:r>
      <w:r>
        <w:rPr>
          <w:rFonts w:hint="eastAsia" w:ascii="仿宋" w:hAnsi="仿宋" w:eastAsia="仿宋" w:cs="仿宋"/>
          <w:color w:val="auto"/>
          <w:sz w:val="24"/>
          <w:szCs w:val="24"/>
          <w:highlight w:val="none"/>
          <w:u w:val="single"/>
        </w:rPr>
        <w:t>双方签字盖章之日起生效</w:t>
      </w:r>
      <w:r>
        <w:rPr>
          <w:rFonts w:hint="eastAsia" w:ascii="仿宋" w:hAnsi="仿宋" w:eastAsia="仿宋" w:cs="仿宋"/>
          <w:color w:val="auto"/>
          <w:sz w:val="24"/>
          <w:szCs w:val="24"/>
          <w:highlight w:val="none"/>
        </w:rPr>
        <w:t>。</w:t>
      </w:r>
    </w:p>
    <w:p w14:paraId="4EEDC70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变更</w:t>
      </w:r>
    </w:p>
    <w:p w14:paraId="36ED2EB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 除不可抗力外， 因非监理人原因导致本合同期限延长时，附加工作酬金按下列方法确定：</w:t>
      </w:r>
      <w:r>
        <w:rPr>
          <w:rFonts w:hint="eastAsia" w:ascii="仿宋" w:hAnsi="仿宋" w:eastAsia="仿宋" w:cs="仿宋"/>
          <w:color w:val="auto"/>
          <w:sz w:val="24"/>
          <w:szCs w:val="24"/>
          <w:highlight w:val="none"/>
          <w:u w:val="single"/>
        </w:rPr>
        <w:t>合同酬金不作调整。</w:t>
      </w:r>
    </w:p>
    <w:p w14:paraId="15E65F3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 附加工作酬金按下列方法确定：</w:t>
      </w:r>
    </w:p>
    <w:p w14:paraId="7184AE4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配合业主对前期工程进行计量及结算的审核工作属监理人义务，合同酬金不作调整。另需签订补充协议的附加工作，在补充协议中约定。</w:t>
      </w:r>
    </w:p>
    <w:p w14:paraId="6C0FDF21">
      <w:pPr>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6.2.5 正常工作酬金增加额及因工程规模、监理范围的变化导致监理人的正常工作量减少或增加时，按下列方法确定：</w:t>
      </w:r>
      <w:r>
        <w:rPr>
          <w:rFonts w:hint="eastAsia" w:ascii="仿宋" w:hAnsi="仿宋" w:eastAsia="仿宋" w:cs="仿宋"/>
          <w:color w:val="auto"/>
          <w:sz w:val="24"/>
          <w:szCs w:val="24"/>
          <w:highlight w:val="none"/>
          <w:u w:val="single"/>
        </w:rPr>
        <w:t xml:space="preserve">按国家最新有关规定执行，若无国家相应的规定，则不做调整。 </w:t>
      </w:r>
    </w:p>
    <w:p w14:paraId="340CECBF">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争议解决</w:t>
      </w:r>
    </w:p>
    <w:p w14:paraId="51BB7EA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调解</w:t>
      </w:r>
    </w:p>
    <w:p w14:paraId="465D352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本合同争议进行调解时，可提交</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进行调解。</w:t>
      </w:r>
    </w:p>
    <w:p w14:paraId="1B0A9D7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仲裁或诉讼</w:t>
      </w:r>
    </w:p>
    <w:p w14:paraId="372DB7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种方式：</w:t>
      </w:r>
    </w:p>
    <w:p w14:paraId="18E7BE0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（1）提请合同签订地仲裁委员会进行仲裁。</w:t>
      </w:r>
    </w:p>
    <w:p w14:paraId="2892F3A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人民法院提起诉讼。</w:t>
      </w:r>
    </w:p>
    <w:p w14:paraId="40878693">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 其他</w:t>
      </w:r>
    </w:p>
    <w:p w14:paraId="490A64C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检测费用</w:t>
      </w:r>
    </w:p>
    <w:p w14:paraId="00C564C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委托人应在检测工作完成后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天内支付检测费用。</w:t>
      </w:r>
    </w:p>
    <w:p w14:paraId="7D3BD27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咨询费用</w:t>
      </w:r>
    </w:p>
    <w:p w14:paraId="11E7BFF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委托人应在咨询工作完成后</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天内支付咨询费用。</w:t>
      </w:r>
    </w:p>
    <w:p w14:paraId="3C20CF1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奖励</w:t>
      </w:r>
    </w:p>
    <w:p w14:paraId="5DD528F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合理化建议的奖励金额按下列方法确定为：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9672D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保密</w:t>
      </w:r>
    </w:p>
    <w:p w14:paraId="74DFABB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委托人申明的保密事项和期限：</w:t>
      </w:r>
      <w:r>
        <w:rPr>
          <w:rFonts w:hint="eastAsia" w:ascii="仿宋" w:hAnsi="仿宋" w:eastAsia="仿宋" w:cs="仿宋"/>
          <w:color w:val="auto"/>
          <w:sz w:val="24"/>
          <w:szCs w:val="24"/>
          <w:highlight w:val="none"/>
          <w:u w:val="single"/>
        </w:rPr>
        <w:t xml:space="preserve"> 监理人及监理人相关人员应当对合同履行过程中知悉的委托人相关文件及信息等履行保密义务，未经委托人书面同意，不得擅自向第三方披露，法律、法规规定必须披露的除外，保密期限：至有关文件或信息公开之日止。监理人违反前述约定的，监理人向委托人支付违约金500元并赔偿委托人的全部损失，同时，委托人有权解除本合同。 本条款为独立条款，不论本合同是否签署、变更、解除、终止或无效等，本条款均有效 </w:t>
      </w:r>
      <w:r>
        <w:rPr>
          <w:rFonts w:hint="eastAsia" w:ascii="仿宋" w:hAnsi="仿宋" w:eastAsia="仿宋" w:cs="仿宋"/>
          <w:color w:val="auto"/>
          <w:sz w:val="24"/>
          <w:szCs w:val="24"/>
          <w:highlight w:val="none"/>
        </w:rPr>
        <w:t>。</w:t>
      </w:r>
    </w:p>
    <w:p w14:paraId="39783A5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4A96A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第三方申明的保密事项和期限：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6DF2E8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著作权</w:t>
      </w:r>
    </w:p>
    <w:p w14:paraId="3CAA618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监理人在本合同履行期间及本合同终止后两年内出版涉及本工程的有关监理与相关服务的资料的限制条件：</w:t>
      </w:r>
      <w:r>
        <w:rPr>
          <w:rFonts w:hint="eastAsia" w:ascii="仿宋" w:hAnsi="仿宋" w:eastAsia="仿宋" w:cs="宋体"/>
          <w:color w:val="auto"/>
          <w:kern w:val="0"/>
          <w:sz w:val="24"/>
          <w:highlight w:val="none"/>
          <w:u w:val="single"/>
        </w:rPr>
        <w:t>涉及本工程的有关监理与相关服务的资料经委托人书面同意后方可出版</w:t>
      </w:r>
      <w:r>
        <w:rPr>
          <w:rFonts w:hint="eastAsia" w:ascii="仿宋" w:hAnsi="仿宋" w:eastAsia="仿宋" w:cs="仿宋"/>
          <w:color w:val="auto"/>
          <w:sz w:val="24"/>
          <w:szCs w:val="24"/>
          <w:highlight w:val="none"/>
        </w:rPr>
        <w:t>。</w:t>
      </w:r>
    </w:p>
    <w:p w14:paraId="455E4B1B">
      <w:pPr>
        <w:numPr>
          <w:ilvl w:val="0"/>
          <w:numId w:val="11"/>
        </w:numPr>
        <w:spacing w:line="49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补充条款</w:t>
      </w:r>
    </w:p>
    <w:p w14:paraId="17FA24C8">
      <w:pPr>
        <w:widowControl/>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________________________________________________________________。</w:t>
      </w:r>
      <w:r>
        <w:rPr>
          <w:rFonts w:hint="eastAsia" w:ascii="仿宋" w:hAnsi="仿宋" w:eastAsia="仿宋" w:cs="仿宋"/>
          <w:color w:val="auto"/>
          <w:sz w:val="24"/>
          <w:szCs w:val="24"/>
          <w:highlight w:val="none"/>
          <w:u w:val="single"/>
        </w:rPr>
        <w:br w:type="page"/>
      </w:r>
    </w:p>
    <w:p w14:paraId="124551E6">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附录A  相关服务的范围和内容</w:t>
      </w:r>
    </w:p>
    <w:p w14:paraId="352060D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A-1 勘察阶段：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85DD6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A-2 设计阶段：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41FF392">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A-3 保修阶段：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06E39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A-4 其他（专业技术咨询、外部协调工作等）：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F300E7">
      <w:pPr>
        <w:pageBreakBefore/>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附录B  委托人派遣的人员和提供的房屋、资料、设备</w:t>
      </w:r>
    </w:p>
    <w:p w14:paraId="132223D5">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B-1  委托人派遣的人员</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888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598A54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770" w:type="dxa"/>
            <w:noWrap w:val="0"/>
            <w:vAlign w:val="top"/>
          </w:tcPr>
          <w:p w14:paraId="66EF9EA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25096F2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工作要求</w:t>
            </w:r>
          </w:p>
        </w:tc>
        <w:tc>
          <w:tcPr>
            <w:tcW w:w="1860" w:type="dxa"/>
            <w:noWrap w:val="0"/>
            <w:vAlign w:val="top"/>
          </w:tcPr>
          <w:p w14:paraId="3395D60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173C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1BAFCE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工程技术人员 </w:t>
            </w:r>
          </w:p>
        </w:tc>
        <w:tc>
          <w:tcPr>
            <w:tcW w:w="1770" w:type="dxa"/>
            <w:noWrap w:val="0"/>
            <w:vAlign w:val="top"/>
          </w:tcPr>
          <w:p w14:paraId="276959F4">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21657FF">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2A0CC7E">
            <w:pPr>
              <w:spacing w:line="360" w:lineRule="auto"/>
              <w:outlineLvl w:val="9"/>
              <w:rPr>
                <w:rFonts w:hint="eastAsia" w:ascii="仿宋" w:hAnsi="仿宋" w:eastAsia="仿宋" w:cs="仿宋"/>
                <w:color w:val="auto"/>
                <w:sz w:val="24"/>
                <w:szCs w:val="24"/>
                <w:highlight w:val="none"/>
              </w:rPr>
            </w:pPr>
          </w:p>
        </w:tc>
      </w:tr>
      <w:tr w14:paraId="460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06729C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辅助工作人员</w:t>
            </w:r>
          </w:p>
        </w:tc>
        <w:tc>
          <w:tcPr>
            <w:tcW w:w="1770" w:type="dxa"/>
            <w:noWrap w:val="0"/>
            <w:vAlign w:val="top"/>
          </w:tcPr>
          <w:p w14:paraId="17F211E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69D8FA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7AAA646">
            <w:pPr>
              <w:spacing w:line="360" w:lineRule="auto"/>
              <w:outlineLvl w:val="9"/>
              <w:rPr>
                <w:rFonts w:hint="eastAsia" w:ascii="仿宋" w:hAnsi="仿宋" w:eastAsia="仿宋" w:cs="仿宋"/>
                <w:color w:val="auto"/>
                <w:sz w:val="24"/>
                <w:szCs w:val="24"/>
                <w:highlight w:val="none"/>
              </w:rPr>
            </w:pPr>
          </w:p>
        </w:tc>
      </w:tr>
      <w:tr w14:paraId="7F3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A0516A7">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其他人员</w:t>
            </w:r>
          </w:p>
        </w:tc>
        <w:tc>
          <w:tcPr>
            <w:tcW w:w="1770" w:type="dxa"/>
            <w:noWrap w:val="0"/>
            <w:vAlign w:val="top"/>
          </w:tcPr>
          <w:p w14:paraId="6F5B24C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5952F308">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134E40C0">
            <w:pPr>
              <w:spacing w:line="360" w:lineRule="auto"/>
              <w:outlineLvl w:val="9"/>
              <w:rPr>
                <w:rFonts w:hint="eastAsia" w:ascii="仿宋" w:hAnsi="仿宋" w:eastAsia="仿宋" w:cs="仿宋"/>
                <w:color w:val="auto"/>
                <w:sz w:val="24"/>
                <w:szCs w:val="24"/>
                <w:highlight w:val="none"/>
              </w:rPr>
            </w:pPr>
          </w:p>
        </w:tc>
      </w:tr>
    </w:tbl>
    <w:p w14:paraId="74D0A9A7">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B-2  委托人提供的房屋</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6E9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365EC5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130" w:type="dxa"/>
            <w:noWrap w:val="0"/>
            <w:vAlign w:val="top"/>
          </w:tcPr>
          <w:p w14:paraId="43D8737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5264D5A3">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面积</w:t>
            </w:r>
          </w:p>
        </w:tc>
        <w:tc>
          <w:tcPr>
            <w:tcW w:w="1860" w:type="dxa"/>
            <w:noWrap w:val="0"/>
            <w:vAlign w:val="top"/>
          </w:tcPr>
          <w:p w14:paraId="7033D37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68DB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8B8BF6F">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办公用房</w:t>
            </w:r>
          </w:p>
        </w:tc>
        <w:tc>
          <w:tcPr>
            <w:tcW w:w="2130" w:type="dxa"/>
            <w:noWrap w:val="0"/>
            <w:vAlign w:val="top"/>
          </w:tcPr>
          <w:p w14:paraId="6DF16EC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2130" w:type="dxa"/>
            <w:noWrap w:val="0"/>
            <w:vAlign w:val="top"/>
          </w:tcPr>
          <w:p w14:paraId="366E3238">
            <w:pPr>
              <w:spacing w:line="360" w:lineRule="auto"/>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860" w:type="dxa"/>
            <w:noWrap w:val="0"/>
            <w:vAlign w:val="top"/>
          </w:tcPr>
          <w:p w14:paraId="049259E8">
            <w:pPr>
              <w:spacing w:line="360" w:lineRule="auto"/>
              <w:outlineLvl w:val="9"/>
              <w:rPr>
                <w:rFonts w:hint="eastAsia" w:ascii="仿宋" w:hAnsi="仿宋" w:eastAsia="仿宋" w:cs="仿宋"/>
                <w:color w:val="auto"/>
                <w:sz w:val="24"/>
                <w:szCs w:val="24"/>
                <w:highlight w:val="none"/>
              </w:rPr>
            </w:pPr>
          </w:p>
        </w:tc>
      </w:tr>
      <w:tr w14:paraId="148E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D72A0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生活用房</w:t>
            </w:r>
          </w:p>
        </w:tc>
        <w:tc>
          <w:tcPr>
            <w:tcW w:w="2130" w:type="dxa"/>
            <w:noWrap w:val="0"/>
            <w:vAlign w:val="top"/>
          </w:tcPr>
          <w:p w14:paraId="13C3728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4380520">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3EAF0A4">
            <w:pPr>
              <w:spacing w:line="360" w:lineRule="auto"/>
              <w:outlineLvl w:val="9"/>
              <w:rPr>
                <w:rFonts w:hint="eastAsia" w:ascii="仿宋" w:hAnsi="仿宋" w:eastAsia="仿宋" w:cs="仿宋"/>
                <w:color w:val="auto"/>
                <w:sz w:val="24"/>
                <w:szCs w:val="24"/>
                <w:highlight w:val="none"/>
              </w:rPr>
            </w:pPr>
          </w:p>
        </w:tc>
      </w:tr>
      <w:tr w14:paraId="70B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E488820">
            <w:pPr>
              <w:spacing w:line="360" w:lineRule="auto"/>
              <w:outlineLvl w:val="9"/>
              <w:rPr>
                <w:rFonts w:hint="eastAsia" w:ascii="仿宋" w:hAnsi="仿宋" w:eastAsia="仿宋" w:cs="仿宋"/>
                <w:dstrike/>
                <w:color w:val="auto"/>
                <w:sz w:val="24"/>
                <w:szCs w:val="24"/>
                <w:highlight w:val="none"/>
              </w:rPr>
            </w:pPr>
            <w:r>
              <w:rPr>
                <w:rFonts w:hint="eastAsia" w:ascii="仿宋" w:hAnsi="仿宋" w:eastAsia="仿宋" w:cs="仿宋"/>
                <w:color w:val="auto"/>
                <w:sz w:val="24"/>
                <w:szCs w:val="24"/>
                <w:highlight w:val="none"/>
              </w:rPr>
              <w:t>3. 试验用房</w:t>
            </w:r>
          </w:p>
        </w:tc>
        <w:tc>
          <w:tcPr>
            <w:tcW w:w="2130" w:type="dxa"/>
            <w:noWrap w:val="0"/>
            <w:vAlign w:val="top"/>
          </w:tcPr>
          <w:p w14:paraId="3CCD3EB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BD7B66C">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6A9C7266">
            <w:pPr>
              <w:spacing w:line="360" w:lineRule="auto"/>
              <w:outlineLvl w:val="9"/>
              <w:rPr>
                <w:rFonts w:hint="eastAsia" w:ascii="仿宋" w:hAnsi="仿宋" w:eastAsia="仿宋" w:cs="仿宋"/>
                <w:color w:val="auto"/>
                <w:sz w:val="24"/>
                <w:szCs w:val="24"/>
                <w:highlight w:val="none"/>
              </w:rPr>
            </w:pPr>
          </w:p>
        </w:tc>
      </w:tr>
      <w:tr w14:paraId="1DF7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EFA4D1">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样品用房</w:t>
            </w:r>
          </w:p>
        </w:tc>
        <w:tc>
          <w:tcPr>
            <w:tcW w:w="2130" w:type="dxa"/>
            <w:noWrap w:val="0"/>
            <w:vAlign w:val="top"/>
          </w:tcPr>
          <w:p w14:paraId="563EA2FF">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4AEF7B0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4898CED">
            <w:pPr>
              <w:spacing w:line="360" w:lineRule="auto"/>
              <w:outlineLvl w:val="9"/>
              <w:rPr>
                <w:rFonts w:hint="eastAsia" w:ascii="仿宋" w:hAnsi="仿宋" w:eastAsia="仿宋" w:cs="仿宋"/>
                <w:color w:val="auto"/>
                <w:sz w:val="24"/>
                <w:szCs w:val="24"/>
                <w:highlight w:val="none"/>
              </w:rPr>
            </w:pPr>
          </w:p>
        </w:tc>
      </w:tr>
      <w:tr w14:paraId="1ED2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E845B69">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用餐及其他生活条件</w:t>
            </w:r>
          </w:p>
        </w:tc>
        <w:tc>
          <w:tcPr>
            <w:tcW w:w="6120" w:type="dxa"/>
            <w:gridSpan w:val="3"/>
            <w:noWrap w:val="0"/>
            <w:vAlign w:val="top"/>
          </w:tcPr>
          <w:p w14:paraId="1B52A806">
            <w:pPr>
              <w:spacing w:line="360" w:lineRule="auto"/>
              <w:outlineLvl w:val="9"/>
              <w:rPr>
                <w:rFonts w:hint="eastAsia" w:ascii="仿宋" w:hAnsi="仿宋" w:eastAsia="仿宋" w:cs="仿宋"/>
                <w:color w:val="auto"/>
                <w:sz w:val="24"/>
                <w:szCs w:val="24"/>
                <w:highlight w:val="none"/>
              </w:rPr>
            </w:pPr>
          </w:p>
        </w:tc>
      </w:tr>
    </w:tbl>
    <w:p w14:paraId="71DF5E78">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B-3  委托人提供的资料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701"/>
        <w:gridCol w:w="1468"/>
      </w:tblGrid>
      <w:tr w14:paraId="576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3209DCD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76" w:type="dxa"/>
            <w:noWrap w:val="0"/>
            <w:vAlign w:val="top"/>
          </w:tcPr>
          <w:p w14:paraId="3F49A4B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份数</w:t>
            </w:r>
          </w:p>
        </w:tc>
        <w:tc>
          <w:tcPr>
            <w:tcW w:w="1701" w:type="dxa"/>
            <w:noWrap w:val="0"/>
            <w:vAlign w:val="top"/>
          </w:tcPr>
          <w:p w14:paraId="3A2FDA97">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c>
          <w:tcPr>
            <w:tcW w:w="1468" w:type="dxa"/>
            <w:noWrap w:val="0"/>
            <w:vAlign w:val="top"/>
          </w:tcPr>
          <w:p w14:paraId="5D1A319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F43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5D072F0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工程立项文件</w:t>
            </w:r>
          </w:p>
        </w:tc>
        <w:tc>
          <w:tcPr>
            <w:tcW w:w="1276" w:type="dxa"/>
            <w:noWrap w:val="0"/>
            <w:vAlign w:val="top"/>
          </w:tcPr>
          <w:p w14:paraId="4734F0B7">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F2CDC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0F18ACC7">
            <w:pPr>
              <w:spacing w:line="360" w:lineRule="auto"/>
              <w:outlineLvl w:val="9"/>
              <w:rPr>
                <w:rFonts w:hint="eastAsia" w:ascii="仿宋" w:hAnsi="仿宋" w:eastAsia="仿宋" w:cs="仿宋"/>
                <w:color w:val="auto"/>
                <w:sz w:val="24"/>
                <w:szCs w:val="24"/>
                <w:highlight w:val="none"/>
              </w:rPr>
            </w:pPr>
          </w:p>
        </w:tc>
      </w:tr>
      <w:tr w14:paraId="3A3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78B3C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工程勘察文件</w:t>
            </w:r>
          </w:p>
        </w:tc>
        <w:tc>
          <w:tcPr>
            <w:tcW w:w="1276" w:type="dxa"/>
            <w:noWrap w:val="0"/>
            <w:vAlign w:val="top"/>
          </w:tcPr>
          <w:p w14:paraId="3D86DB1A">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0E4F94B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ED14CF8">
            <w:pPr>
              <w:spacing w:line="360" w:lineRule="auto"/>
              <w:outlineLvl w:val="9"/>
              <w:rPr>
                <w:rFonts w:hint="eastAsia" w:ascii="仿宋" w:hAnsi="仿宋" w:eastAsia="仿宋" w:cs="仿宋"/>
                <w:color w:val="auto"/>
                <w:sz w:val="24"/>
                <w:szCs w:val="24"/>
                <w:highlight w:val="none"/>
              </w:rPr>
            </w:pPr>
          </w:p>
        </w:tc>
      </w:tr>
      <w:tr w14:paraId="2DF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F22CF9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工程设计及施工图纸</w:t>
            </w:r>
          </w:p>
        </w:tc>
        <w:tc>
          <w:tcPr>
            <w:tcW w:w="1276" w:type="dxa"/>
            <w:noWrap w:val="0"/>
            <w:vAlign w:val="top"/>
          </w:tcPr>
          <w:p w14:paraId="73A49C6D">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752E9F5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1284C6A">
            <w:pPr>
              <w:spacing w:line="360" w:lineRule="auto"/>
              <w:outlineLvl w:val="9"/>
              <w:rPr>
                <w:rFonts w:hint="eastAsia" w:ascii="仿宋" w:hAnsi="仿宋" w:eastAsia="仿宋" w:cs="仿宋"/>
                <w:color w:val="auto"/>
                <w:sz w:val="24"/>
                <w:szCs w:val="24"/>
                <w:highlight w:val="none"/>
              </w:rPr>
            </w:pPr>
          </w:p>
        </w:tc>
      </w:tr>
      <w:tr w14:paraId="64E5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73561C7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工程承包合同及其他相关合同</w:t>
            </w:r>
          </w:p>
        </w:tc>
        <w:tc>
          <w:tcPr>
            <w:tcW w:w="1276" w:type="dxa"/>
            <w:noWrap w:val="0"/>
            <w:vAlign w:val="top"/>
          </w:tcPr>
          <w:p w14:paraId="70A3B42B">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693645EF">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24E0AFA5">
            <w:pPr>
              <w:spacing w:line="360" w:lineRule="auto"/>
              <w:outlineLvl w:val="9"/>
              <w:rPr>
                <w:rFonts w:hint="eastAsia" w:ascii="仿宋" w:hAnsi="仿宋" w:eastAsia="仿宋" w:cs="仿宋"/>
                <w:color w:val="auto"/>
                <w:sz w:val="24"/>
                <w:szCs w:val="24"/>
                <w:highlight w:val="none"/>
              </w:rPr>
            </w:pPr>
          </w:p>
        </w:tc>
      </w:tr>
      <w:tr w14:paraId="7D28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693AC6B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施工许可文件</w:t>
            </w:r>
          </w:p>
        </w:tc>
        <w:tc>
          <w:tcPr>
            <w:tcW w:w="1276" w:type="dxa"/>
            <w:noWrap w:val="0"/>
            <w:vAlign w:val="top"/>
          </w:tcPr>
          <w:p w14:paraId="742819F4">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58A50CD4">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1FD95366">
            <w:pPr>
              <w:spacing w:line="360" w:lineRule="auto"/>
              <w:outlineLvl w:val="9"/>
              <w:rPr>
                <w:rFonts w:hint="eastAsia" w:ascii="仿宋" w:hAnsi="仿宋" w:eastAsia="仿宋" w:cs="仿宋"/>
                <w:color w:val="auto"/>
                <w:sz w:val="24"/>
                <w:szCs w:val="24"/>
                <w:highlight w:val="none"/>
              </w:rPr>
            </w:pPr>
          </w:p>
        </w:tc>
      </w:tr>
      <w:tr w14:paraId="6499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46CD64D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其他文件</w:t>
            </w:r>
          </w:p>
        </w:tc>
        <w:tc>
          <w:tcPr>
            <w:tcW w:w="1276" w:type="dxa"/>
            <w:noWrap w:val="0"/>
            <w:vAlign w:val="top"/>
          </w:tcPr>
          <w:p w14:paraId="25C82A66">
            <w:pPr>
              <w:spacing w:line="360" w:lineRule="auto"/>
              <w:outlineLvl w:val="9"/>
              <w:rPr>
                <w:rFonts w:hint="eastAsia" w:ascii="仿宋" w:hAnsi="仿宋" w:eastAsia="仿宋" w:cs="仿宋"/>
                <w:color w:val="auto"/>
                <w:sz w:val="24"/>
                <w:szCs w:val="24"/>
                <w:highlight w:val="none"/>
              </w:rPr>
            </w:pPr>
          </w:p>
        </w:tc>
        <w:tc>
          <w:tcPr>
            <w:tcW w:w="1701" w:type="dxa"/>
            <w:noWrap w:val="0"/>
            <w:vAlign w:val="top"/>
          </w:tcPr>
          <w:p w14:paraId="3A50B228">
            <w:pPr>
              <w:spacing w:line="360" w:lineRule="auto"/>
              <w:outlineLvl w:val="9"/>
              <w:rPr>
                <w:rFonts w:hint="eastAsia" w:ascii="仿宋" w:hAnsi="仿宋" w:eastAsia="仿宋" w:cs="仿宋"/>
                <w:color w:val="auto"/>
                <w:sz w:val="24"/>
                <w:szCs w:val="24"/>
                <w:highlight w:val="none"/>
              </w:rPr>
            </w:pPr>
          </w:p>
        </w:tc>
        <w:tc>
          <w:tcPr>
            <w:tcW w:w="1468" w:type="dxa"/>
            <w:noWrap w:val="0"/>
            <w:vAlign w:val="top"/>
          </w:tcPr>
          <w:p w14:paraId="4BF12EF0">
            <w:pPr>
              <w:spacing w:line="360" w:lineRule="auto"/>
              <w:outlineLvl w:val="9"/>
              <w:rPr>
                <w:rFonts w:hint="eastAsia" w:ascii="仿宋" w:hAnsi="仿宋" w:eastAsia="仿宋" w:cs="仿宋"/>
                <w:color w:val="auto"/>
                <w:sz w:val="24"/>
                <w:szCs w:val="24"/>
                <w:highlight w:val="none"/>
              </w:rPr>
            </w:pPr>
          </w:p>
        </w:tc>
      </w:tr>
    </w:tbl>
    <w:p w14:paraId="107E2786">
      <w:pPr>
        <w:spacing w:before="156" w:beforeLines="50"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B-4 委托人提供的设备</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91C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9E1E0E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590" w:type="dxa"/>
            <w:noWrap w:val="0"/>
            <w:vAlign w:val="top"/>
          </w:tcPr>
          <w:p w14:paraId="02B5D91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noWrap w:val="0"/>
            <w:vAlign w:val="top"/>
          </w:tcPr>
          <w:p w14:paraId="40E651F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型号与规格</w:t>
            </w:r>
          </w:p>
        </w:tc>
        <w:tc>
          <w:tcPr>
            <w:tcW w:w="1860" w:type="dxa"/>
            <w:noWrap w:val="0"/>
            <w:vAlign w:val="top"/>
          </w:tcPr>
          <w:p w14:paraId="3B08D87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提供时间</w:t>
            </w:r>
          </w:p>
        </w:tc>
      </w:tr>
      <w:tr w14:paraId="505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D0785A2">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通讯设备</w:t>
            </w:r>
          </w:p>
        </w:tc>
        <w:tc>
          <w:tcPr>
            <w:tcW w:w="1590" w:type="dxa"/>
            <w:noWrap w:val="0"/>
            <w:vAlign w:val="top"/>
          </w:tcPr>
          <w:p w14:paraId="61F52431">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613B3C7">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1AEE9AC">
            <w:pPr>
              <w:spacing w:line="360" w:lineRule="auto"/>
              <w:outlineLvl w:val="9"/>
              <w:rPr>
                <w:rFonts w:hint="eastAsia" w:ascii="仿宋" w:hAnsi="仿宋" w:eastAsia="仿宋" w:cs="仿宋"/>
                <w:color w:val="auto"/>
                <w:sz w:val="24"/>
                <w:szCs w:val="24"/>
                <w:highlight w:val="none"/>
              </w:rPr>
            </w:pPr>
          </w:p>
        </w:tc>
      </w:tr>
      <w:tr w14:paraId="3F80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74EFF1D">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办公设备</w:t>
            </w:r>
          </w:p>
        </w:tc>
        <w:tc>
          <w:tcPr>
            <w:tcW w:w="1590" w:type="dxa"/>
            <w:noWrap w:val="0"/>
            <w:vAlign w:val="top"/>
          </w:tcPr>
          <w:p w14:paraId="7B989ECA">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0A1311FD">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2572742D">
            <w:pPr>
              <w:spacing w:line="360" w:lineRule="auto"/>
              <w:outlineLvl w:val="9"/>
              <w:rPr>
                <w:rFonts w:hint="eastAsia" w:ascii="仿宋" w:hAnsi="仿宋" w:eastAsia="仿宋" w:cs="仿宋"/>
                <w:color w:val="auto"/>
                <w:sz w:val="24"/>
                <w:szCs w:val="24"/>
                <w:highlight w:val="none"/>
              </w:rPr>
            </w:pPr>
          </w:p>
        </w:tc>
      </w:tr>
      <w:tr w14:paraId="098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42EB3A0">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交通工具</w:t>
            </w:r>
          </w:p>
        </w:tc>
        <w:tc>
          <w:tcPr>
            <w:tcW w:w="1590" w:type="dxa"/>
            <w:noWrap w:val="0"/>
            <w:vAlign w:val="top"/>
          </w:tcPr>
          <w:p w14:paraId="6FC345B0">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39EAC8C2">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8632E88">
            <w:pPr>
              <w:spacing w:line="360" w:lineRule="auto"/>
              <w:outlineLvl w:val="9"/>
              <w:rPr>
                <w:rFonts w:hint="eastAsia" w:ascii="仿宋" w:hAnsi="仿宋" w:eastAsia="仿宋" w:cs="仿宋"/>
                <w:color w:val="auto"/>
                <w:sz w:val="24"/>
                <w:szCs w:val="24"/>
                <w:highlight w:val="none"/>
              </w:rPr>
            </w:pPr>
          </w:p>
        </w:tc>
      </w:tr>
      <w:tr w14:paraId="5CF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8B1FABB">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检测和试验设备</w:t>
            </w:r>
          </w:p>
        </w:tc>
        <w:tc>
          <w:tcPr>
            <w:tcW w:w="1590" w:type="dxa"/>
            <w:noWrap w:val="0"/>
            <w:vAlign w:val="top"/>
          </w:tcPr>
          <w:p w14:paraId="0AFA69D9">
            <w:pPr>
              <w:spacing w:line="360" w:lineRule="auto"/>
              <w:outlineLvl w:val="9"/>
              <w:rPr>
                <w:rFonts w:hint="eastAsia" w:ascii="仿宋" w:hAnsi="仿宋" w:eastAsia="仿宋" w:cs="仿宋"/>
                <w:color w:val="auto"/>
                <w:sz w:val="24"/>
                <w:szCs w:val="24"/>
                <w:highlight w:val="none"/>
              </w:rPr>
            </w:pPr>
          </w:p>
        </w:tc>
        <w:tc>
          <w:tcPr>
            <w:tcW w:w="2130" w:type="dxa"/>
            <w:noWrap w:val="0"/>
            <w:vAlign w:val="top"/>
          </w:tcPr>
          <w:p w14:paraId="1FF1CDE3">
            <w:pPr>
              <w:spacing w:line="360" w:lineRule="auto"/>
              <w:outlineLvl w:val="9"/>
              <w:rPr>
                <w:rFonts w:hint="eastAsia" w:ascii="仿宋" w:hAnsi="仿宋" w:eastAsia="仿宋" w:cs="仿宋"/>
                <w:color w:val="auto"/>
                <w:sz w:val="24"/>
                <w:szCs w:val="24"/>
                <w:highlight w:val="none"/>
              </w:rPr>
            </w:pPr>
          </w:p>
        </w:tc>
        <w:tc>
          <w:tcPr>
            <w:tcW w:w="1860" w:type="dxa"/>
            <w:noWrap w:val="0"/>
            <w:vAlign w:val="top"/>
          </w:tcPr>
          <w:p w14:paraId="42EB03BC">
            <w:pPr>
              <w:spacing w:line="360" w:lineRule="auto"/>
              <w:outlineLvl w:val="9"/>
              <w:rPr>
                <w:rFonts w:hint="eastAsia" w:ascii="仿宋" w:hAnsi="仿宋" w:eastAsia="仿宋" w:cs="仿宋"/>
                <w:color w:val="auto"/>
                <w:sz w:val="24"/>
                <w:szCs w:val="24"/>
                <w:highlight w:val="none"/>
              </w:rPr>
            </w:pPr>
          </w:p>
        </w:tc>
      </w:tr>
    </w:tbl>
    <w:p w14:paraId="17F9D097">
      <w:pPr>
        <w:outlineLvl w:val="9"/>
        <w:rPr>
          <w:rFonts w:hint="eastAsia" w:ascii="仿宋" w:hAnsi="仿宋" w:eastAsia="仿宋" w:cs="仿宋"/>
          <w:color w:val="auto"/>
          <w:sz w:val="24"/>
          <w:szCs w:val="24"/>
          <w:highlight w:val="none"/>
        </w:rPr>
        <w:sectPr>
          <w:footerReference r:id="rId19" w:type="first"/>
          <w:footerReference r:id="rId18" w:type="default"/>
          <w:pgSz w:w="11906" w:h="16838"/>
          <w:pgMar w:top="1440" w:right="1797" w:bottom="1440" w:left="1797" w:header="851" w:footer="992" w:gutter="0"/>
          <w:pgNumType w:fmt="decimal"/>
          <w:cols w:space="720" w:num="1"/>
          <w:titlePg/>
          <w:docGrid w:type="lines" w:linePitch="312" w:charSpace="0"/>
        </w:sectPr>
      </w:pPr>
    </w:p>
    <w:p w14:paraId="6669BFD6">
      <w:pPr>
        <w:pageBreakBefore/>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监理人员名单</w:t>
      </w:r>
    </w:p>
    <w:tbl>
      <w:tblPr>
        <w:tblStyle w:val="1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8"/>
        <w:gridCol w:w="851"/>
        <w:gridCol w:w="850"/>
        <w:gridCol w:w="851"/>
        <w:gridCol w:w="1559"/>
        <w:gridCol w:w="1559"/>
        <w:gridCol w:w="1560"/>
      </w:tblGrid>
      <w:tr w14:paraId="5503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2055433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姓名</w:t>
            </w:r>
          </w:p>
        </w:tc>
        <w:tc>
          <w:tcPr>
            <w:tcW w:w="708" w:type="dxa"/>
            <w:noWrap w:val="0"/>
            <w:vAlign w:val="center"/>
          </w:tcPr>
          <w:p w14:paraId="313D2F62">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年龄</w:t>
            </w:r>
          </w:p>
        </w:tc>
        <w:tc>
          <w:tcPr>
            <w:tcW w:w="851" w:type="dxa"/>
            <w:noWrap w:val="0"/>
            <w:vAlign w:val="center"/>
          </w:tcPr>
          <w:p w14:paraId="1A9A60E4">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性别</w:t>
            </w:r>
          </w:p>
        </w:tc>
        <w:tc>
          <w:tcPr>
            <w:tcW w:w="850" w:type="dxa"/>
            <w:noWrap w:val="0"/>
            <w:vAlign w:val="center"/>
          </w:tcPr>
          <w:p w14:paraId="32273DF9">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职务</w:t>
            </w:r>
          </w:p>
        </w:tc>
        <w:tc>
          <w:tcPr>
            <w:tcW w:w="851" w:type="dxa"/>
            <w:noWrap w:val="0"/>
            <w:vAlign w:val="center"/>
          </w:tcPr>
          <w:p w14:paraId="19B360BE">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职称</w:t>
            </w:r>
          </w:p>
        </w:tc>
        <w:tc>
          <w:tcPr>
            <w:tcW w:w="1559" w:type="dxa"/>
            <w:noWrap w:val="0"/>
            <w:vAlign w:val="center"/>
          </w:tcPr>
          <w:p w14:paraId="6035777D">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从事监理</w:t>
            </w:r>
          </w:p>
          <w:p w14:paraId="4F93D7DC">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工作时间</w:t>
            </w:r>
          </w:p>
        </w:tc>
        <w:tc>
          <w:tcPr>
            <w:tcW w:w="1559" w:type="dxa"/>
            <w:noWrap w:val="0"/>
            <w:vAlign w:val="center"/>
          </w:tcPr>
          <w:p w14:paraId="10565187">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证书编号</w:t>
            </w:r>
          </w:p>
        </w:tc>
        <w:tc>
          <w:tcPr>
            <w:tcW w:w="1560" w:type="dxa"/>
            <w:noWrap w:val="0"/>
            <w:vAlign w:val="center"/>
          </w:tcPr>
          <w:p w14:paraId="56CE4446">
            <w:pPr>
              <w:spacing w:before="100" w:after="100" w:line="400" w:lineRule="exact"/>
              <w:jc w:val="center"/>
              <w:outlineLvl w:val="9"/>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备注</w:t>
            </w:r>
          </w:p>
        </w:tc>
      </w:tr>
      <w:tr w14:paraId="44DC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650B3155">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20022EC5">
            <w:pPr>
              <w:jc w:val="center"/>
              <w:outlineLvl w:val="9"/>
              <w:rPr>
                <w:rFonts w:hint="eastAsia" w:ascii="仿宋" w:hAnsi="仿宋" w:eastAsia="仿宋" w:cs="仿宋"/>
                <w:color w:val="auto"/>
                <w:sz w:val="24"/>
                <w:szCs w:val="24"/>
                <w:highlight w:val="none"/>
              </w:rPr>
            </w:pPr>
          </w:p>
        </w:tc>
        <w:tc>
          <w:tcPr>
            <w:tcW w:w="851" w:type="dxa"/>
            <w:noWrap w:val="0"/>
            <w:vAlign w:val="top"/>
          </w:tcPr>
          <w:p w14:paraId="7ACD4CF8">
            <w:pPr>
              <w:jc w:val="center"/>
              <w:outlineLvl w:val="9"/>
              <w:rPr>
                <w:rFonts w:hint="eastAsia" w:ascii="仿宋" w:hAnsi="仿宋" w:eastAsia="仿宋" w:cs="仿宋"/>
                <w:color w:val="auto"/>
                <w:sz w:val="24"/>
                <w:szCs w:val="24"/>
                <w:highlight w:val="none"/>
              </w:rPr>
            </w:pPr>
          </w:p>
        </w:tc>
        <w:tc>
          <w:tcPr>
            <w:tcW w:w="850" w:type="dxa"/>
            <w:noWrap w:val="0"/>
            <w:vAlign w:val="center"/>
          </w:tcPr>
          <w:p w14:paraId="49AAE430">
            <w:pPr>
              <w:jc w:val="center"/>
              <w:outlineLvl w:val="9"/>
              <w:rPr>
                <w:rFonts w:hint="eastAsia" w:ascii="仿宋" w:hAnsi="仿宋" w:eastAsia="仿宋" w:cs="仿宋"/>
                <w:color w:val="auto"/>
                <w:sz w:val="24"/>
                <w:szCs w:val="24"/>
                <w:highlight w:val="none"/>
              </w:rPr>
            </w:pPr>
          </w:p>
        </w:tc>
        <w:tc>
          <w:tcPr>
            <w:tcW w:w="851" w:type="dxa"/>
            <w:noWrap w:val="0"/>
            <w:vAlign w:val="top"/>
          </w:tcPr>
          <w:p w14:paraId="798330A0">
            <w:pPr>
              <w:jc w:val="center"/>
              <w:outlineLvl w:val="9"/>
              <w:rPr>
                <w:rFonts w:hint="eastAsia" w:ascii="仿宋" w:hAnsi="仿宋" w:eastAsia="仿宋" w:cs="仿宋"/>
                <w:color w:val="auto"/>
                <w:sz w:val="24"/>
                <w:szCs w:val="24"/>
                <w:highlight w:val="none"/>
              </w:rPr>
            </w:pPr>
          </w:p>
        </w:tc>
        <w:tc>
          <w:tcPr>
            <w:tcW w:w="1559" w:type="dxa"/>
            <w:noWrap w:val="0"/>
            <w:vAlign w:val="center"/>
          </w:tcPr>
          <w:p w14:paraId="73995B67">
            <w:pPr>
              <w:jc w:val="center"/>
              <w:outlineLvl w:val="9"/>
              <w:rPr>
                <w:rFonts w:hint="eastAsia" w:ascii="仿宋" w:hAnsi="仿宋" w:eastAsia="仿宋" w:cs="仿宋"/>
                <w:color w:val="auto"/>
                <w:sz w:val="24"/>
                <w:szCs w:val="24"/>
                <w:highlight w:val="none"/>
              </w:rPr>
            </w:pPr>
          </w:p>
        </w:tc>
        <w:tc>
          <w:tcPr>
            <w:tcW w:w="1559" w:type="dxa"/>
            <w:noWrap w:val="0"/>
            <w:vAlign w:val="center"/>
          </w:tcPr>
          <w:p w14:paraId="4DA74179">
            <w:pPr>
              <w:jc w:val="center"/>
              <w:outlineLvl w:val="9"/>
              <w:rPr>
                <w:rFonts w:hint="eastAsia" w:ascii="仿宋" w:hAnsi="仿宋" w:eastAsia="仿宋" w:cs="仿宋"/>
                <w:color w:val="auto"/>
                <w:sz w:val="24"/>
                <w:szCs w:val="24"/>
                <w:highlight w:val="none"/>
              </w:rPr>
            </w:pPr>
          </w:p>
        </w:tc>
        <w:tc>
          <w:tcPr>
            <w:tcW w:w="1560" w:type="dxa"/>
            <w:noWrap w:val="0"/>
            <w:vAlign w:val="center"/>
          </w:tcPr>
          <w:p w14:paraId="1863EEAC">
            <w:pPr>
              <w:spacing w:before="100" w:after="100"/>
              <w:jc w:val="center"/>
              <w:outlineLvl w:val="9"/>
              <w:rPr>
                <w:rFonts w:hint="eastAsia" w:ascii="仿宋" w:hAnsi="仿宋" w:eastAsia="仿宋" w:cs="仿宋"/>
                <w:b/>
                <w:color w:val="auto"/>
                <w:sz w:val="24"/>
                <w:szCs w:val="24"/>
                <w:highlight w:val="none"/>
                <w:lang w:val="zh-CN"/>
              </w:rPr>
            </w:pPr>
          </w:p>
        </w:tc>
      </w:tr>
      <w:tr w14:paraId="4E9F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5720BEE">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65AEEF27">
            <w:pPr>
              <w:jc w:val="center"/>
              <w:outlineLvl w:val="9"/>
              <w:rPr>
                <w:rFonts w:hint="eastAsia" w:ascii="仿宋" w:hAnsi="仿宋" w:eastAsia="仿宋" w:cs="仿宋"/>
                <w:color w:val="auto"/>
                <w:sz w:val="24"/>
                <w:szCs w:val="24"/>
                <w:highlight w:val="none"/>
              </w:rPr>
            </w:pPr>
          </w:p>
        </w:tc>
        <w:tc>
          <w:tcPr>
            <w:tcW w:w="851" w:type="dxa"/>
            <w:noWrap w:val="0"/>
            <w:vAlign w:val="center"/>
          </w:tcPr>
          <w:p w14:paraId="1A29F170">
            <w:pPr>
              <w:jc w:val="center"/>
              <w:outlineLvl w:val="9"/>
              <w:rPr>
                <w:rFonts w:hint="eastAsia" w:ascii="仿宋" w:hAnsi="仿宋" w:eastAsia="仿宋" w:cs="仿宋"/>
                <w:color w:val="auto"/>
                <w:sz w:val="24"/>
                <w:szCs w:val="24"/>
                <w:highlight w:val="none"/>
              </w:rPr>
            </w:pPr>
          </w:p>
        </w:tc>
        <w:tc>
          <w:tcPr>
            <w:tcW w:w="850" w:type="dxa"/>
            <w:noWrap w:val="0"/>
            <w:vAlign w:val="center"/>
          </w:tcPr>
          <w:p w14:paraId="1FC7C65A">
            <w:pPr>
              <w:jc w:val="center"/>
              <w:outlineLvl w:val="9"/>
              <w:rPr>
                <w:rFonts w:hint="eastAsia" w:ascii="仿宋" w:hAnsi="仿宋" w:eastAsia="仿宋" w:cs="仿宋"/>
                <w:color w:val="auto"/>
                <w:sz w:val="24"/>
                <w:szCs w:val="24"/>
                <w:highlight w:val="none"/>
              </w:rPr>
            </w:pPr>
          </w:p>
        </w:tc>
        <w:tc>
          <w:tcPr>
            <w:tcW w:w="851" w:type="dxa"/>
            <w:noWrap w:val="0"/>
            <w:vAlign w:val="center"/>
          </w:tcPr>
          <w:p w14:paraId="4BC65865">
            <w:pPr>
              <w:jc w:val="center"/>
              <w:outlineLvl w:val="9"/>
              <w:rPr>
                <w:rFonts w:hint="eastAsia" w:ascii="仿宋" w:hAnsi="仿宋" w:eastAsia="仿宋" w:cs="仿宋"/>
                <w:color w:val="auto"/>
                <w:sz w:val="24"/>
                <w:szCs w:val="24"/>
                <w:highlight w:val="none"/>
              </w:rPr>
            </w:pPr>
          </w:p>
        </w:tc>
        <w:tc>
          <w:tcPr>
            <w:tcW w:w="1559" w:type="dxa"/>
            <w:noWrap w:val="0"/>
            <w:vAlign w:val="center"/>
          </w:tcPr>
          <w:p w14:paraId="4AB94408">
            <w:pPr>
              <w:jc w:val="center"/>
              <w:outlineLvl w:val="9"/>
              <w:rPr>
                <w:rFonts w:hint="eastAsia" w:ascii="仿宋" w:hAnsi="仿宋" w:eastAsia="仿宋" w:cs="仿宋"/>
                <w:color w:val="auto"/>
                <w:sz w:val="24"/>
                <w:szCs w:val="24"/>
                <w:highlight w:val="none"/>
              </w:rPr>
            </w:pPr>
          </w:p>
        </w:tc>
        <w:tc>
          <w:tcPr>
            <w:tcW w:w="1559" w:type="dxa"/>
            <w:noWrap w:val="0"/>
            <w:vAlign w:val="center"/>
          </w:tcPr>
          <w:p w14:paraId="78C7D167">
            <w:pPr>
              <w:jc w:val="center"/>
              <w:outlineLvl w:val="9"/>
              <w:rPr>
                <w:rFonts w:hint="eastAsia" w:ascii="仿宋" w:hAnsi="仿宋" w:eastAsia="仿宋" w:cs="仿宋"/>
                <w:color w:val="auto"/>
                <w:sz w:val="24"/>
                <w:szCs w:val="24"/>
                <w:highlight w:val="none"/>
              </w:rPr>
            </w:pPr>
          </w:p>
        </w:tc>
        <w:tc>
          <w:tcPr>
            <w:tcW w:w="1560" w:type="dxa"/>
            <w:noWrap w:val="0"/>
            <w:vAlign w:val="center"/>
          </w:tcPr>
          <w:p w14:paraId="4FD6F58E">
            <w:pPr>
              <w:spacing w:before="100" w:after="100"/>
              <w:jc w:val="center"/>
              <w:outlineLvl w:val="9"/>
              <w:rPr>
                <w:rFonts w:hint="eastAsia" w:ascii="仿宋" w:hAnsi="仿宋" w:eastAsia="仿宋" w:cs="仿宋"/>
                <w:b/>
                <w:color w:val="auto"/>
                <w:sz w:val="24"/>
                <w:szCs w:val="24"/>
                <w:highlight w:val="none"/>
                <w:lang w:val="zh-CN"/>
              </w:rPr>
            </w:pPr>
          </w:p>
        </w:tc>
      </w:tr>
      <w:tr w14:paraId="0DF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0" w:type="dxa"/>
            <w:noWrap w:val="0"/>
            <w:vAlign w:val="center"/>
          </w:tcPr>
          <w:p w14:paraId="1CCE1283">
            <w:pPr>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708" w:type="dxa"/>
            <w:noWrap w:val="0"/>
            <w:vAlign w:val="center"/>
          </w:tcPr>
          <w:p w14:paraId="4D25B96C">
            <w:pPr>
              <w:jc w:val="center"/>
              <w:outlineLvl w:val="9"/>
              <w:rPr>
                <w:rFonts w:hint="eastAsia" w:ascii="仿宋" w:hAnsi="仿宋" w:eastAsia="仿宋" w:cs="仿宋"/>
                <w:color w:val="auto"/>
                <w:sz w:val="24"/>
                <w:szCs w:val="24"/>
                <w:highlight w:val="none"/>
              </w:rPr>
            </w:pPr>
          </w:p>
        </w:tc>
        <w:tc>
          <w:tcPr>
            <w:tcW w:w="851" w:type="dxa"/>
            <w:noWrap w:val="0"/>
            <w:vAlign w:val="center"/>
          </w:tcPr>
          <w:p w14:paraId="3A7A0DE9">
            <w:pPr>
              <w:jc w:val="center"/>
              <w:outlineLvl w:val="9"/>
              <w:rPr>
                <w:rFonts w:hint="eastAsia" w:ascii="仿宋" w:hAnsi="仿宋" w:eastAsia="仿宋" w:cs="仿宋"/>
                <w:color w:val="auto"/>
                <w:sz w:val="24"/>
                <w:szCs w:val="24"/>
                <w:highlight w:val="none"/>
              </w:rPr>
            </w:pPr>
          </w:p>
        </w:tc>
        <w:tc>
          <w:tcPr>
            <w:tcW w:w="850" w:type="dxa"/>
            <w:noWrap w:val="0"/>
            <w:vAlign w:val="center"/>
          </w:tcPr>
          <w:p w14:paraId="04ECCC92">
            <w:pPr>
              <w:jc w:val="center"/>
              <w:outlineLvl w:val="9"/>
              <w:rPr>
                <w:rFonts w:hint="eastAsia" w:ascii="仿宋" w:hAnsi="仿宋" w:eastAsia="仿宋" w:cs="仿宋"/>
                <w:color w:val="auto"/>
                <w:sz w:val="24"/>
                <w:szCs w:val="24"/>
                <w:highlight w:val="none"/>
              </w:rPr>
            </w:pPr>
          </w:p>
        </w:tc>
        <w:tc>
          <w:tcPr>
            <w:tcW w:w="851" w:type="dxa"/>
            <w:noWrap w:val="0"/>
            <w:vAlign w:val="center"/>
          </w:tcPr>
          <w:p w14:paraId="6007331A">
            <w:pPr>
              <w:jc w:val="center"/>
              <w:outlineLvl w:val="9"/>
              <w:rPr>
                <w:rFonts w:hint="eastAsia" w:ascii="仿宋" w:hAnsi="仿宋" w:eastAsia="仿宋" w:cs="仿宋"/>
                <w:color w:val="auto"/>
                <w:sz w:val="24"/>
                <w:szCs w:val="24"/>
                <w:highlight w:val="none"/>
              </w:rPr>
            </w:pPr>
          </w:p>
        </w:tc>
        <w:tc>
          <w:tcPr>
            <w:tcW w:w="1559" w:type="dxa"/>
            <w:noWrap w:val="0"/>
            <w:vAlign w:val="center"/>
          </w:tcPr>
          <w:p w14:paraId="2CF24A8E">
            <w:pPr>
              <w:jc w:val="center"/>
              <w:outlineLvl w:val="9"/>
              <w:rPr>
                <w:rFonts w:hint="eastAsia" w:ascii="仿宋" w:hAnsi="仿宋" w:eastAsia="仿宋" w:cs="仿宋"/>
                <w:color w:val="auto"/>
                <w:sz w:val="24"/>
                <w:szCs w:val="24"/>
                <w:highlight w:val="none"/>
              </w:rPr>
            </w:pPr>
          </w:p>
        </w:tc>
        <w:tc>
          <w:tcPr>
            <w:tcW w:w="1559" w:type="dxa"/>
            <w:noWrap w:val="0"/>
            <w:vAlign w:val="center"/>
          </w:tcPr>
          <w:p w14:paraId="7CF61E79">
            <w:pPr>
              <w:jc w:val="center"/>
              <w:outlineLvl w:val="9"/>
              <w:rPr>
                <w:rFonts w:hint="eastAsia" w:ascii="仿宋" w:hAnsi="仿宋" w:eastAsia="仿宋" w:cs="仿宋"/>
                <w:color w:val="auto"/>
                <w:sz w:val="24"/>
                <w:szCs w:val="24"/>
                <w:highlight w:val="none"/>
              </w:rPr>
            </w:pPr>
          </w:p>
        </w:tc>
        <w:tc>
          <w:tcPr>
            <w:tcW w:w="1560" w:type="dxa"/>
            <w:noWrap w:val="0"/>
            <w:vAlign w:val="center"/>
          </w:tcPr>
          <w:p w14:paraId="0D179A1E">
            <w:pPr>
              <w:spacing w:before="100" w:after="100"/>
              <w:jc w:val="center"/>
              <w:outlineLvl w:val="9"/>
              <w:rPr>
                <w:rFonts w:hint="eastAsia" w:ascii="仿宋" w:hAnsi="仿宋" w:eastAsia="仿宋" w:cs="仿宋"/>
                <w:b/>
                <w:color w:val="auto"/>
                <w:sz w:val="24"/>
                <w:szCs w:val="24"/>
                <w:highlight w:val="none"/>
                <w:lang w:val="zh-CN"/>
              </w:rPr>
            </w:pPr>
          </w:p>
        </w:tc>
      </w:tr>
    </w:tbl>
    <w:p w14:paraId="209FD857">
      <w:pPr>
        <w:rPr>
          <w:rFonts w:hint="eastAsia"/>
        </w:rPr>
      </w:pPr>
    </w:p>
    <w:p w14:paraId="5B2AEEC6">
      <w:pPr>
        <w:rPr>
          <w:rFonts w:hint="eastAsia"/>
        </w:rPr>
      </w:pPr>
    </w:p>
    <w:p w14:paraId="30FCC1F4"/>
    <w:p w14:paraId="67D6E346">
      <w:pPr>
        <w:rPr>
          <w:rFonts w:hint="default"/>
          <w:lang w:val="en-US" w:eastAsia="zh-CN"/>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A24E">
    <w:pPr>
      <w:pStyle w:val="10"/>
      <w:tabs>
        <w:tab w:val="center" w:pos="4156"/>
        <w:tab w:val="right" w:pos="7952"/>
        <w:tab w:val="clear" w:pos="4153"/>
      </w:tabs>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214D">
    <w:pPr>
      <w:pStyle w:val="1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6075C">
                          <w:pPr>
                            <w:pStyle w:val="10"/>
                          </w:pPr>
                          <w:r>
                            <w:fldChar w:fldCharType="begin"/>
                          </w:r>
                          <w:r>
                            <w:instrText xml:space="preserve"> PAGE  \* MERGEFORMAT </w:instrText>
                          </w:r>
                          <w:r>
                            <w:fldChar w:fldCharType="separate"/>
                          </w:r>
                          <w:r>
                            <w:t>- 89 -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96075C">
                    <w:pPr>
                      <w:pStyle w:val="10"/>
                    </w:pPr>
                    <w:r>
                      <w:fldChar w:fldCharType="begin"/>
                    </w:r>
                    <w:r>
                      <w:instrText xml:space="preserve"> PAGE  \* MERGEFORMAT </w:instrText>
                    </w:r>
                    <w:r>
                      <w:fldChar w:fldCharType="separate"/>
                    </w:r>
                    <w:r>
                      <w:t>- 89 -</w:t>
                    </w:r>
                    <w:r>
                      <w:fldChar w:fldCharType="end"/>
                    </w:r>
                  </w:p>
                </w:txbxContent>
              </v:textbox>
            </v:shape>
          </w:pict>
        </mc:Fallback>
      </mc:AlternateContent>
    </w:r>
  </w:p>
  <w:p w14:paraId="6B8AE566">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446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C77C">
    <w:pPr>
      <w:pStyle w:val="10"/>
      <w:tabs>
        <w:tab w:val="center" w:pos="4156"/>
        <w:tab w:val="right" w:pos="7952"/>
        <w:tab w:val="clear" w:pos="4153"/>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6558">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B28F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BB28F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EA7B">
    <w:pPr>
      <w:pStyle w:val="10"/>
      <w:tabs>
        <w:tab w:val="center" w:pos="4156"/>
        <w:tab w:val="right" w:pos="7952"/>
        <w:tab w:val="clear" w:pos="4153"/>
      </w:tabs>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C77C3">
                          <w:pPr>
                            <w:pStyle w:val="10"/>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6C77C3">
                    <w:pPr>
                      <w:pStyle w:val="1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3804">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E4174">
                          <w:pPr>
                            <w:pStyle w:val="10"/>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E4174">
                    <w:pPr>
                      <w:pStyle w:val="10"/>
                    </w:pPr>
                    <w:r>
                      <w:fldChar w:fldCharType="begin"/>
                    </w:r>
                    <w:r>
                      <w:instrText xml:space="preserve"> PAGE  \* MERGEFORMAT </w:instrText>
                    </w:r>
                    <w:r>
                      <w:fldChar w:fldCharType="separate"/>
                    </w:r>
                    <w:r>
                      <w:t>- 20 -</w:t>
                    </w:r>
                    <w:r>
                      <w:fldChar w:fldCharType="end"/>
                    </w:r>
                  </w:p>
                </w:txbxContent>
              </v:textbox>
            </v:shape>
          </w:pict>
        </mc:Fallback>
      </mc:AlternateContent>
    </w:r>
  </w:p>
  <w:p w14:paraId="566AD422">
    <w:pPr>
      <w:pStyle w:val="1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3E4E">
    <w:pPr>
      <w:pStyle w:val="7"/>
      <w:spacing w:line="14" w:lineRule="auto"/>
      <w:rPr>
        <w:rFonts w:hint="eastAsia"/>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A077A">
                          <w:pPr>
                            <w:pStyle w:val="10"/>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1A077A">
                    <w:pPr>
                      <w:pStyle w:val="10"/>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79A9">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42FE">
                          <w:pPr>
                            <w:pStyle w:val="10"/>
                          </w:pPr>
                          <w:r>
                            <w:fldChar w:fldCharType="begin"/>
                          </w:r>
                          <w:r>
                            <w:instrText xml:space="preserve"> PAGE  \* MERGEFORMAT </w:instrText>
                          </w:r>
                          <w:r>
                            <w:fldChar w:fldCharType="separate"/>
                          </w:r>
                          <w:r>
                            <w:t>- 60 -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4A42FE">
                    <w:pPr>
                      <w:pStyle w:val="10"/>
                    </w:pPr>
                    <w:r>
                      <w:fldChar w:fldCharType="begin"/>
                    </w:r>
                    <w:r>
                      <w:instrText xml:space="preserve"> PAGE  \* MERGEFORMAT </w:instrText>
                    </w:r>
                    <w:r>
                      <w:fldChar w:fldCharType="separate"/>
                    </w:r>
                    <w:r>
                      <w:t>- 60 -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1CD">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90B19">
                          <w:pPr>
                            <w:pStyle w:val="10"/>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E90B19">
                    <w:pPr>
                      <w:pStyle w:val="10"/>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0A0E">
    <w:pPr>
      <w:pStyle w:val="11"/>
      <w:ind w:firstLine="540" w:firstLineChars="300"/>
      <w:jc w:val="both"/>
    </w:pPr>
    <w:r>
      <w:drawing>
        <wp:anchor distT="0" distB="0" distL="114300" distR="114300" simplePos="0" relativeHeight="251663360"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AB09">
    <w:pPr>
      <w:pStyle w:val="11"/>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141210" cy="297180"/>
              <wp:effectExtent l="3422015" t="0" r="0" b="0"/>
              <wp:wrapNone/>
              <wp:docPr id="1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23.4pt;width:562.3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PDWsXUAAAABQEAAA8AAAAA&#10;AAAAAQAgAAAAIgAAAGRycy9kb3ducmV2LnhtbFBLAQIUABQAAAAIAIdO4kB0yR7KGAIAADcEAAAO&#10;AAAAAAAAAAEAIAAAACMBAABkcnMvZTJvRG9jLnhtbFBLBQYAAAAABgAGAFkBAACtBQAAAAA=&#10;" adj="10800">
              <v:fill on="f" focussize="0,0"/>
              <v:stroke on="f"/>
              <v:imagedata o:title=""/>
              <o:lock v:ext="edit" text="t" aspectratio="f"/>
              <v:textbox style="mso-fit-shape-to-text:t;">
                <w:txbxContent>
                  <w:p w14:paraId="3B7AE334">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D674">
    <w:pPr>
      <w:pStyle w:val="11"/>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141210" cy="297180"/>
              <wp:effectExtent l="3422015" t="0" r="0" b="0"/>
              <wp:wrapNone/>
              <wp:docPr id="11"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wps:spPr>
                    <wps:txbx>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23.4pt;width:562.3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8NaxdQAAAAFAQAADwAAAAAA&#10;AAABACAAAAAiAAAAZHJzL2Rvd25yZXYueG1sUEsBAhQAFAAAAAgAh07iQId39yMXAgAANwQAAA4A&#10;AAAAAAAAAQAgAAAAIwEAAGRycy9lMm9Eb2MueG1sUEsFBgAAAAAGAAYAWQEAAKwFAAAAAA==&#10;" adj="10800">
              <v:fill on="f" focussize="0,0"/>
              <v:stroke on="f"/>
              <v:imagedata o:title=""/>
              <o:lock v:ext="edit" text="t" aspectratio="f"/>
              <v:textbox style="mso-fit-shape-to-text:t;">
                <w:txbxContent>
                  <w:p w14:paraId="4DD9D22C">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新疆师范高等专科学校现代信息技术实训基地建设项目</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3B0B">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2979">
    <w:pPr>
      <w:pStyle w:val="11"/>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068820" cy="371475"/>
              <wp:effectExtent l="3348990" t="0" r="0" b="0"/>
              <wp:wrapNone/>
              <wp:docPr id="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29.25pt;width:556.6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OuJy2QXAgAANgQAAA4A&#10;AAAAAAAAAQAgAAAAIwEAAGRycy9lMm9Eb2MueG1sUEsFBgAAAAAGAAYAWQEAAKwFAAAAAA==&#10;" adj="10800">
              <v:fill on="f" focussize="0,0"/>
              <v:stroke on="f"/>
              <v:imagedata o:title=""/>
              <o:lock v:ext="edit" text="t" aspectratio="f"/>
              <v:textbox style="mso-fit-shape-to-text:t;">
                <w:txbxContent>
                  <w:p w14:paraId="72295E49">
                    <w:pPr>
                      <w:jc w:val="center"/>
                      <w:rPr>
                        <w:rFonts w:hint="eastAsia" w:ascii="仿宋" w:hAnsi="仿宋" w:eastAsia="仿宋"/>
                        <w:color w:val="0070C0"/>
                        <w:kern w:val="0"/>
                        <w:sz w:val="16"/>
                        <w:szCs w:val="16"/>
                        <w14:textFill>
                          <w14:solidFill>
                            <w14:srgbClr w14:val="0070C0">
                              <w14:alpha w14:val="50000"/>
                            </w14:srgbClr>
                          </w14:solidFill>
                        </w14:textFill>
                      </w:rPr>
                    </w:pPr>
                    <w:r>
                      <w:rPr>
                        <w:rFonts w:hint="eastAsia" w:ascii="仿宋" w:hAnsi="仿宋" w:eastAsia="仿宋"/>
                        <w:color w:val="0070C0"/>
                        <w:sz w:val="16"/>
                        <w:szCs w:val="16"/>
                        <w14:textFill>
                          <w14:solidFill>
                            <w14:srgbClr w14:val="0070C0">
                              <w14:alpha w14:val="50000"/>
                            </w14:srgbClr>
                          </w14:solidFill>
                        </w14:textFill>
                      </w:rPr>
                      <w:t>新疆师范高等专科学校2022年图书采购项目</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43D3">
    <w:pPr>
      <w:pStyle w:val="11"/>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068820" cy="371475"/>
              <wp:effectExtent l="3348990" t="0" r="0" b="0"/>
              <wp:wrapNone/>
              <wp:docPr id="6"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wps:spPr>
                    <wps:txbx>
                      <w:txbxContent>
                        <w:p w14:paraId="5019406B">
                          <w:pPr>
                            <w:rPr>
                              <w:rFonts w:hint="eastAsia"/>
                            </w:rPr>
                          </w:pP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29.25pt;width:556.6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TtNQAAAAFAQAADwAAAAAA&#10;AAABACAAAAAiAAAAZHJzL2Rvd25yZXYueG1sUEsBAhQAFAAAAAgAh07iQNx6vFUXAgAANgQAAA4A&#10;AAAAAAAAAQAgAAAAIwEAAGRycy9lMm9Eb2MueG1sUEsFBgAAAAAGAAYAWQEAAKwFAAAAAA==&#10;" adj="10800">
              <v:fill on="f" focussize="0,0"/>
              <v:stroke on="f"/>
              <v:imagedata o:title=""/>
              <o:lock v:ext="edit" text="t" aspectratio="f"/>
              <v:textbox style="mso-fit-shape-to-text:t;">
                <w:txbxContent>
                  <w:p w14:paraId="5019406B">
                    <w:pPr>
                      <w:rPr>
                        <w:rFonts w:hint="eastAs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3EDBA">
    <w:pPr>
      <w:pStyle w:val="11"/>
      <w:widowControl w:val="0"/>
      <w:pBdr>
        <w:top w:val="none" w:color="auto" w:sz="0" w:space="1"/>
        <w:left w:val="none" w:color="auto" w:sz="0" w:space="4"/>
        <w:bottom w:val="none" w:color="auto" w:sz="0" w:space="1"/>
        <w:right w:val="none" w:color="auto" w:sz="0" w:space="4"/>
        <w:between w:val="none" w:color="auto" w:sz="0" w:space="0"/>
      </w:pBdr>
      <w:snapToGrid w:val="0"/>
      <w:ind w:firstLine="540" w:firstLineChars="30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B979">
    <w:pPr>
      <w:pStyle w:val="7"/>
      <w:spacing w:line="14" w:lineRule="auto"/>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8772">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3DD93"/>
    <w:multiLevelType w:val="singleLevel"/>
    <w:tmpl w:val="85E3DD93"/>
    <w:lvl w:ilvl="0" w:tentative="0">
      <w:start w:val="9"/>
      <w:numFmt w:val="decimal"/>
      <w:lvlText w:val="%1."/>
      <w:lvlJc w:val="left"/>
      <w:pPr>
        <w:tabs>
          <w:tab w:val="left" w:pos="312"/>
        </w:tabs>
      </w:pPr>
    </w:lvl>
  </w:abstractNum>
  <w:abstractNum w:abstractNumId="1">
    <w:nsid w:val="A5781776"/>
    <w:multiLevelType w:val="singleLevel"/>
    <w:tmpl w:val="A5781776"/>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00000003"/>
    <w:multiLevelType w:val="multilevel"/>
    <w:tmpl w:val="00000003"/>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5"/>
    <w:multiLevelType w:val="multilevel"/>
    <w:tmpl w:val="00000005"/>
    <w:lvl w:ilvl="0" w:tentative="0">
      <w:start w:val="1"/>
      <w:numFmt w:val="decimal"/>
      <w:lvlText w:val="%1、"/>
      <w:lvlJc w:val="left"/>
      <w:pPr>
        <w:ind w:left="1280" w:hanging="720"/>
      </w:pPr>
      <w:rPr>
        <w:rFonts w:hint="default"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8"/>
    <w:multiLevelType w:val="multilevel"/>
    <w:tmpl w:val="00000008"/>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7">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12D05BF0"/>
    <w:multiLevelType w:val="singleLevel"/>
    <w:tmpl w:val="12D05BF0"/>
    <w:lvl w:ilvl="0" w:tentative="0">
      <w:start w:val="1"/>
      <w:numFmt w:val="decimal"/>
      <w:suff w:val="nothing"/>
      <w:lvlText w:val="%1、"/>
      <w:lvlJc w:val="left"/>
    </w:lvl>
  </w:abstractNum>
  <w:abstractNum w:abstractNumId="9">
    <w:nsid w:val="50D78F2A"/>
    <w:multiLevelType w:val="multilevel"/>
    <w:tmpl w:val="50D78F2A"/>
    <w:lvl w:ilvl="0" w:tentative="0">
      <w:start w:val="1"/>
      <w:numFmt w:val="decimal"/>
      <w:lvlText w:val="%1"/>
      <w:lvlJc w:val="left"/>
      <w:pPr>
        <w:ind w:left="908" w:hanging="368"/>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60A63431"/>
    <w:multiLevelType w:val="singleLevel"/>
    <w:tmpl w:val="60A63431"/>
    <w:lvl w:ilvl="0" w:tentative="0">
      <w:start w:val="2"/>
      <w:numFmt w:val="decimal"/>
      <w:suff w:val="nothing"/>
      <w:lvlText w:val="%1、"/>
      <w:lvlJc w:val="left"/>
    </w:lvl>
  </w:abstractNum>
  <w:num w:numId="1">
    <w:abstractNumId w:val="3"/>
  </w:num>
  <w:num w:numId="2">
    <w:abstractNumId w:val="7"/>
  </w:num>
  <w:num w:numId="3">
    <w:abstractNumId w:val="2"/>
  </w:num>
  <w:num w:numId="4">
    <w:abstractNumId w:val="5"/>
  </w:num>
  <w:num w:numId="5">
    <w:abstractNumId w:val="9"/>
  </w:num>
  <w:num w:numId="6">
    <w:abstractNumId w:val="8"/>
  </w:num>
  <w:num w:numId="7">
    <w:abstractNumId w:val="10"/>
  </w:num>
  <w:num w:numId="8">
    <w:abstractNumId w:val="6"/>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185322B1"/>
    <w:rsid w:val="00101AE9"/>
    <w:rsid w:val="0031380D"/>
    <w:rsid w:val="00351550"/>
    <w:rsid w:val="006F3E92"/>
    <w:rsid w:val="007C717F"/>
    <w:rsid w:val="007D6A53"/>
    <w:rsid w:val="00AB29D5"/>
    <w:rsid w:val="00CB77BE"/>
    <w:rsid w:val="00DB6090"/>
    <w:rsid w:val="01057174"/>
    <w:rsid w:val="01255120"/>
    <w:rsid w:val="015123B9"/>
    <w:rsid w:val="0167332F"/>
    <w:rsid w:val="016814B1"/>
    <w:rsid w:val="01730582"/>
    <w:rsid w:val="01804694"/>
    <w:rsid w:val="01892980"/>
    <w:rsid w:val="01910A08"/>
    <w:rsid w:val="0196601E"/>
    <w:rsid w:val="01F571E8"/>
    <w:rsid w:val="023D293E"/>
    <w:rsid w:val="02693733"/>
    <w:rsid w:val="0270061D"/>
    <w:rsid w:val="029A1B3E"/>
    <w:rsid w:val="031B60F3"/>
    <w:rsid w:val="032D650E"/>
    <w:rsid w:val="03321D76"/>
    <w:rsid w:val="035C5388"/>
    <w:rsid w:val="0365214C"/>
    <w:rsid w:val="037E320E"/>
    <w:rsid w:val="03AC7B89"/>
    <w:rsid w:val="03C21D4F"/>
    <w:rsid w:val="04484531"/>
    <w:rsid w:val="04BC223F"/>
    <w:rsid w:val="05017C52"/>
    <w:rsid w:val="05542955"/>
    <w:rsid w:val="05852170"/>
    <w:rsid w:val="05926AFC"/>
    <w:rsid w:val="05BE3D95"/>
    <w:rsid w:val="05D435B9"/>
    <w:rsid w:val="05E80E12"/>
    <w:rsid w:val="061351B8"/>
    <w:rsid w:val="064249C6"/>
    <w:rsid w:val="06563FCE"/>
    <w:rsid w:val="065D22E0"/>
    <w:rsid w:val="06824DC3"/>
    <w:rsid w:val="06A047F1"/>
    <w:rsid w:val="06C23411"/>
    <w:rsid w:val="06C5576B"/>
    <w:rsid w:val="06E22110"/>
    <w:rsid w:val="070E48A8"/>
    <w:rsid w:val="072B545A"/>
    <w:rsid w:val="07697D31"/>
    <w:rsid w:val="082C148A"/>
    <w:rsid w:val="083420ED"/>
    <w:rsid w:val="089B03BE"/>
    <w:rsid w:val="089D4136"/>
    <w:rsid w:val="08B17BE1"/>
    <w:rsid w:val="08BF4690"/>
    <w:rsid w:val="08D062B9"/>
    <w:rsid w:val="0911242E"/>
    <w:rsid w:val="09554A11"/>
    <w:rsid w:val="09AB4631"/>
    <w:rsid w:val="09CD75BE"/>
    <w:rsid w:val="09E31E39"/>
    <w:rsid w:val="09EC4437"/>
    <w:rsid w:val="09FE29B2"/>
    <w:rsid w:val="0A1246B0"/>
    <w:rsid w:val="0A6C0264"/>
    <w:rsid w:val="0A8A06EA"/>
    <w:rsid w:val="0ABB6AF5"/>
    <w:rsid w:val="0AC50FFD"/>
    <w:rsid w:val="0AD6392F"/>
    <w:rsid w:val="0AED56EA"/>
    <w:rsid w:val="0AF838A6"/>
    <w:rsid w:val="0B7A0DF9"/>
    <w:rsid w:val="0BD065D0"/>
    <w:rsid w:val="0BE502CE"/>
    <w:rsid w:val="0C376AAA"/>
    <w:rsid w:val="0C605BA6"/>
    <w:rsid w:val="0CBC5D8B"/>
    <w:rsid w:val="0D2766C4"/>
    <w:rsid w:val="0D556D8D"/>
    <w:rsid w:val="0D666D0A"/>
    <w:rsid w:val="0D907DC5"/>
    <w:rsid w:val="0D9C2C0E"/>
    <w:rsid w:val="0E1E10D9"/>
    <w:rsid w:val="0E407A3D"/>
    <w:rsid w:val="0E79524F"/>
    <w:rsid w:val="0E7E2314"/>
    <w:rsid w:val="0E7F00DE"/>
    <w:rsid w:val="0E903DF5"/>
    <w:rsid w:val="0ED951BB"/>
    <w:rsid w:val="0EE4486D"/>
    <w:rsid w:val="0F114F36"/>
    <w:rsid w:val="0F3A448D"/>
    <w:rsid w:val="0F781459"/>
    <w:rsid w:val="0F7B4AA5"/>
    <w:rsid w:val="0FAB7138"/>
    <w:rsid w:val="0FCF4880"/>
    <w:rsid w:val="0FD026AC"/>
    <w:rsid w:val="10233173"/>
    <w:rsid w:val="108160EB"/>
    <w:rsid w:val="10976AF5"/>
    <w:rsid w:val="10B4026F"/>
    <w:rsid w:val="10BE4C49"/>
    <w:rsid w:val="10EF574B"/>
    <w:rsid w:val="10F66AD9"/>
    <w:rsid w:val="112879A7"/>
    <w:rsid w:val="115D4462"/>
    <w:rsid w:val="11800151"/>
    <w:rsid w:val="11875983"/>
    <w:rsid w:val="11A46535"/>
    <w:rsid w:val="11E1640E"/>
    <w:rsid w:val="11FA43A7"/>
    <w:rsid w:val="123C051C"/>
    <w:rsid w:val="12AD31C8"/>
    <w:rsid w:val="12B96010"/>
    <w:rsid w:val="13440840"/>
    <w:rsid w:val="134468BF"/>
    <w:rsid w:val="134F0723"/>
    <w:rsid w:val="135950FD"/>
    <w:rsid w:val="138F0B1F"/>
    <w:rsid w:val="13C702B9"/>
    <w:rsid w:val="13E175CD"/>
    <w:rsid w:val="13EE5846"/>
    <w:rsid w:val="14107EB2"/>
    <w:rsid w:val="14171240"/>
    <w:rsid w:val="143811B7"/>
    <w:rsid w:val="1461426A"/>
    <w:rsid w:val="14661880"/>
    <w:rsid w:val="147F6B20"/>
    <w:rsid w:val="14C8253B"/>
    <w:rsid w:val="14DC1F06"/>
    <w:rsid w:val="150B2427"/>
    <w:rsid w:val="15115C90"/>
    <w:rsid w:val="152139F9"/>
    <w:rsid w:val="15A76263"/>
    <w:rsid w:val="15C40F54"/>
    <w:rsid w:val="15E1332D"/>
    <w:rsid w:val="15F86E50"/>
    <w:rsid w:val="15FA4976"/>
    <w:rsid w:val="162163A6"/>
    <w:rsid w:val="16267C8F"/>
    <w:rsid w:val="163E3F62"/>
    <w:rsid w:val="165F2A2B"/>
    <w:rsid w:val="166E0EC0"/>
    <w:rsid w:val="16AE4C6B"/>
    <w:rsid w:val="16DC407B"/>
    <w:rsid w:val="170D0C21"/>
    <w:rsid w:val="1761002E"/>
    <w:rsid w:val="176A5B2B"/>
    <w:rsid w:val="177D585E"/>
    <w:rsid w:val="17AD5A18"/>
    <w:rsid w:val="17AE3C6A"/>
    <w:rsid w:val="17C90AA4"/>
    <w:rsid w:val="17D15BAA"/>
    <w:rsid w:val="17FF44C5"/>
    <w:rsid w:val="1816180F"/>
    <w:rsid w:val="181B5D03"/>
    <w:rsid w:val="183028D1"/>
    <w:rsid w:val="183D0B4A"/>
    <w:rsid w:val="184B14B9"/>
    <w:rsid w:val="184E0FA9"/>
    <w:rsid w:val="185322B1"/>
    <w:rsid w:val="18581E27"/>
    <w:rsid w:val="186E33F9"/>
    <w:rsid w:val="18707171"/>
    <w:rsid w:val="18A46E1B"/>
    <w:rsid w:val="18CB227F"/>
    <w:rsid w:val="18FF27E4"/>
    <w:rsid w:val="19081158"/>
    <w:rsid w:val="19202945"/>
    <w:rsid w:val="19405C20"/>
    <w:rsid w:val="195902ED"/>
    <w:rsid w:val="1994148B"/>
    <w:rsid w:val="19C23097"/>
    <w:rsid w:val="1A1B4A20"/>
    <w:rsid w:val="1A911621"/>
    <w:rsid w:val="1A9D7FC6"/>
    <w:rsid w:val="1AF51BB0"/>
    <w:rsid w:val="1B046FC7"/>
    <w:rsid w:val="1B560553"/>
    <w:rsid w:val="1B66485B"/>
    <w:rsid w:val="1BB43819"/>
    <w:rsid w:val="1BE22134"/>
    <w:rsid w:val="1C315A91"/>
    <w:rsid w:val="1C991A9B"/>
    <w:rsid w:val="1D7E40DE"/>
    <w:rsid w:val="1D8611E5"/>
    <w:rsid w:val="1DA9410D"/>
    <w:rsid w:val="1DC3449F"/>
    <w:rsid w:val="1DD612B2"/>
    <w:rsid w:val="1DE33F41"/>
    <w:rsid w:val="1E0839A8"/>
    <w:rsid w:val="1E3D5D47"/>
    <w:rsid w:val="1E49383C"/>
    <w:rsid w:val="1E6C706C"/>
    <w:rsid w:val="1E7B6870"/>
    <w:rsid w:val="1E9F255E"/>
    <w:rsid w:val="1EFD7285"/>
    <w:rsid w:val="1F1B1095"/>
    <w:rsid w:val="1F3233D2"/>
    <w:rsid w:val="1F4117A4"/>
    <w:rsid w:val="1F51312D"/>
    <w:rsid w:val="1F9000F9"/>
    <w:rsid w:val="1F9E2816"/>
    <w:rsid w:val="1FA94D17"/>
    <w:rsid w:val="20387439"/>
    <w:rsid w:val="20457135"/>
    <w:rsid w:val="20476A09"/>
    <w:rsid w:val="20517888"/>
    <w:rsid w:val="205E3D53"/>
    <w:rsid w:val="20651585"/>
    <w:rsid w:val="20711CD8"/>
    <w:rsid w:val="207672EF"/>
    <w:rsid w:val="209D2ACD"/>
    <w:rsid w:val="20BA367F"/>
    <w:rsid w:val="20C444FE"/>
    <w:rsid w:val="20C718F8"/>
    <w:rsid w:val="20CF69FF"/>
    <w:rsid w:val="20EA55E7"/>
    <w:rsid w:val="21244F9D"/>
    <w:rsid w:val="213B0D7F"/>
    <w:rsid w:val="214F27DA"/>
    <w:rsid w:val="21945A35"/>
    <w:rsid w:val="21AB2FC8"/>
    <w:rsid w:val="21C135B4"/>
    <w:rsid w:val="21FB1B96"/>
    <w:rsid w:val="222C5B8B"/>
    <w:rsid w:val="22590868"/>
    <w:rsid w:val="225B7C4D"/>
    <w:rsid w:val="22853819"/>
    <w:rsid w:val="22925F36"/>
    <w:rsid w:val="22D60519"/>
    <w:rsid w:val="22D84291"/>
    <w:rsid w:val="22E26EBD"/>
    <w:rsid w:val="2306052A"/>
    <w:rsid w:val="23076924"/>
    <w:rsid w:val="2369138D"/>
    <w:rsid w:val="23A108C7"/>
    <w:rsid w:val="23A10B26"/>
    <w:rsid w:val="23CB16FF"/>
    <w:rsid w:val="23F0560A"/>
    <w:rsid w:val="24294413"/>
    <w:rsid w:val="242B6642"/>
    <w:rsid w:val="24431BDE"/>
    <w:rsid w:val="244D65B8"/>
    <w:rsid w:val="24577437"/>
    <w:rsid w:val="245F009A"/>
    <w:rsid w:val="2480073C"/>
    <w:rsid w:val="24831FDA"/>
    <w:rsid w:val="24C34ACD"/>
    <w:rsid w:val="24CD2D93"/>
    <w:rsid w:val="25102EC3"/>
    <w:rsid w:val="253634F0"/>
    <w:rsid w:val="258E0EDE"/>
    <w:rsid w:val="25C32FD6"/>
    <w:rsid w:val="25D52D09"/>
    <w:rsid w:val="25F413E1"/>
    <w:rsid w:val="25FD3A8B"/>
    <w:rsid w:val="261D1FBA"/>
    <w:rsid w:val="26213859"/>
    <w:rsid w:val="262F241A"/>
    <w:rsid w:val="26451185"/>
    <w:rsid w:val="2652435A"/>
    <w:rsid w:val="265C2558"/>
    <w:rsid w:val="26D97AF5"/>
    <w:rsid w:val="27037402"/>
    <w:rsid w:val="27286E69"/>
    <w:rsid w:val="273D0B66"/>
    <w:rsid w:val="275E288B"/>
    <w:rsid w:val="279544FE"/>
    <w:rsid w:val="279B588D"/>
    <w:rsid w:val="279D7857"/>
    <w:rsid w:val="27D843EB"/>
    <w:rsid w:val="28017DE6"/>
    <w:rsid w:val="283E4B96"/>
    <w:rsid w:val="289E5635"/>
    <w:rsid w:val="28FB09F0"/>
    <w:rsid w:val="297C698C"/>
    <w:rsid w:val="29A21154"/>
    <w:rsid w:val="2A317647"/>
    <w:rsid w:val="2A353D77"/>
    <w:rsid w:val="2A3C3357"/>
    <w:rsid w:val="2A3F4BF5"/>
    <w:rsid w:val="2A68414C"/>
    <w:rsid w:val="2B083239"/>
    <w:rsid w:val="2B5D17D7"/>
    <w:rsid w:val="2B9B40AD"/>
    <w:rsid w:val="2BD355F5"/>
    <w:rsid w:val="2BDD46C6"/>
    <w:rsid w:val="2BE47802"/>
    <w:rsid w:val="2BE85A4C"/>
    <w:rsid w:val="2C15347E"/>
    <w:rsid w:val="2C1D4AC2"/>
    <w:rsid w:val="2C4958B7"/>
    <w:rsid w:val="2C7316E0"/>
    <w:rsid w:val="2C7E7C57"/>
    <w:rsid w:val="2C8D1C48"/>
    <w:rsid w:val="2CA13945"/>
    <w:rsid w:val="2CDE46F9"/>
    <w:rsid w:val="2D1041A4"/>
    <w:rsid w:val="2D200D0E"/>
    <w:rsid w:val="2D3E5380"/>
    <w:rsid w:val="2D45178C"/>
    <w:rsid w:val="2D5047BA"/>
    <w:rsid w:val="2D810BFA"/>
    <w:rsid w:val="2D86600E"/>
    <w:rsid w:val="2DA07759"/>
    <w:rsid w:val="2DBF0527"/>
    <w:rsid w:val="2DD438A6"/>
    <w:rsid w:val="2DD9710F"/>
    <w:rsid w:val="2E150147"/>
    <w:rsid w:val="2E4C2321"/>
    <w:rsid w:val="2E76495E"/>
    <w:rsid w:val="2E9A689E"/>
    <w:rsid w:val="2EA8720D"/>
    <w:rsid w:val="2ECD0A22"/>
    <w:rsid w:val="2ED94DE1"/>
    <w:rsid w:val="2EDE026D"/>
    <w:rsid w:val="2EE93382"/>
    <w:rsid w:val="2F195A15"/>
    <w:rsid w:val="2F480EB0"/>
    <w:rsid w:val="2F68074A"/>
    <w:rsid w:val="2F6A44C2"/>
    <w:rsid w:val="2FB13E9F"/>
    <w:rsid w:val="2FC35981"/>
    <w:rsid w:val="2FCB24C4"/>
    <w:rsid w:val="30142680"/>
    <w:rsid w:val="301B5CEE"/>
    <w:rsid w:val="304F337D"/>
    <w:rsid w:val="30874C00"/>
    <w:rsid w:val="30C95219"/>
    <w:rsid w:val="314B7930"/>
    <w:rsid w:val="31501496"/>
    <w:rsid w:val="318F333A"/>
    <w:rsid w:val="319320DC"/>
    <w:rsid w:val="31F140E7"/>
    <w:rsid w:val="31FB58A6"/>
    <w:rsid w:val="3214691B"/>
    <w:rsid w:val="32171FB4"/>
    <w:rsid w:val="32292413"/>
    <w:rsid w:val="326A2A2B"/>
    <w:rsid w:val="326C67A3"/>
    <w:rsid w:val="327F5799"/>
    <w:rsid w:val="32BA750F"/>
    <w:rsid w:val="32C157C1"/>
    <w:rsid w:val="331D184C"/>
    <w:rsid w:val="33242BDA"/>
    <w:rsid w:val="33C80251"/>
    <w:rsid w:val="34237F5D"/>
    <w:rsid w:val="343432F1"/>
    <w:rsid w:val="347A52C4"/>
    <w:rsid w:val="348B70ED"/>
    <w:rsid w:val="348E2A01"/>
    <w:rsid w:val="349D49F2"/>
    <w:rsid w:val="34A57D4B"/>
    <w:rsid w:val="34D2328A"/>
    <w:rsid w:val="34F54AEF"/>
    <w:rsid w:val="34F8431E"/>
    <w:rsid w:val="35052FCD"/>
    <w:rsid w:val="350E3B42"/>
    <w:rsid w:val="3529092E"/>
    <w:rsid w:val="354C604B"/>
    <w:rsid w:val="3569521C"/>
    <w:rsid w:val="35A77AE8"/>
    <w:rsid w:val="35AD6EB7"/>
    <w:rsid w:val="360867E3"/>
    <w:rsid w:val="36513CE6"/>
    <w:rsid w:val="36631C6B"/>
    <w:rsid w:val="368546F5"/>
    <w:rsid w:val="36A4758F"/>
    <w:rsid w:val="36BB1AA7"/>
    <w:rsid w:val="36C73FA8"/>
    <w:rsid w:val="37352DCD"/>
    <w:rsid w:val="37734130"/>
    <w:rsid w:val="37976D95"/>
    <w:rsid w:val="37F60FE9"/>
    <w:rsid w:val="3810372D"/>
    <w:rsid w:val="38132E2F"/>
    <w:rsid w:val="382F62A9"/>
    <w:rsid w:val="38561A88"/>
    <w:rsid w:val="388163D9"/>
    <w:rsid w:val="38E86458"/>
    <w:rsid w:val="39317DFF"/>
    <w:rsid w:val="393578EF"/>
    <w:rsid w:val="394E275F"/>
    <w:rsid w:val="395F671A"/>
    <w:rsid w:val="3995038E"/>
    <w:rsid w:val="399D36E6"/>
    <w:rsid w:val="39A607ED"/>
    <w:rsid w:val="39DF3CFF"/>
    <w:rsid w:val="39EA48C9"/>
    <w:rsid w:val="3A033549"/>
    <w:rsid w:val="3A0E0140"/>
    <w:rsid w:val="3A540249"/>
    <w:rsid w:val="3A6E2866"/>
    <w:rsid w:val="3A8C79E3"/>
    <w:rsid w:val="3AB72586"/>
    <w:rsid w:val="3ADB4431"/>
    <w:rsid w:val="3AF61300"/>
    <w:rsid w:val="3B0F23C2"/>
    <w:rsid w:val="3BC66F24"/>
    <w:rsid w:val="3C090BBF"/>
    <w:rsid w:val="3C4D4F50"/>
    <w:rsid w:val="3CF33D49"/>
    <w:rsid w:val="3D2F28A7"/>
    <w:rsid w:val="3D3A7A2D"/>
    <w:rsid w:val="3D483969"/>
    <w:rsid w:val="3D54230E"/>
    <w:rsid w:val="3D78549F"/>
    <w:rsid w:val="3D791D75"/>
    <w:rsid w:val="3E155F41"/>
    <w:rsid w:val="3E391C30"/>
    <w:rsid w:val="3E536236"/>
    <w:rsid w:val="3EB372B6"/>
    <w:rsid w:val="3EE37DED"/>
    <w:rsid w:val="3EEA2F2A"/>
    <w:rsid w:val="3EEB0A50"/>
    <w:rsid w:val="3EF67B21"/>
    <w:rsid w:val="3F115584"/>
    <w:rsid w:val="3F171845"/>
    <w:rsid w:val="3F310B59"/>
    <w:rsid w:val="3F312907"/>
    <w:rsid w:val="3F626F64"/>
    <w:rsid w:val="3F650802"/>
    <w:rsid w:val="3F696545"/>
    <w:rsid w:val="3F714FE8"/>
    <w:rsid w:val="3F812ED7"/>
    <w:rsid w:val="3FC01EDD"/>
    <w:rsid w:val="3FE47979"/>
    <w:rsid w:val="3FFA0F4B"/>
    <w:rsid w:val="40093884"/>
    <w:rsid w:val="403F0834"/>
    <w:rsid w:val="4093139F"/>
    <w:rsid w:val="40E165AE"/>
    <w:rsid w:val="40E808A1"/>
    <w:rsid w:val="4114428E"/>
    <w:rsid w:val="41171FD0"/>
    <w:rsid w:val="411B561D"/>
    <w:rsid w:val="415A7CD3"/>
    <w:rsid w:val="41792343"/>
    <w:rsid w:val="42091919"/>
    <w:rsid w:val="4226071D"/>
    <w:rsid w:val="423B584A"/>
    <w:rsid w:val="423C1CEE"/>
    <w:rsid w:val="42672AE3"/>
    <w:rsid w:val="42701998"/>
    <w:rsid w:val="42D33CD5"/>
    <w:rsid w:val="42D9578F"/>
    <w:rsid w:val="42DF267A"/>
    <w:rsid w:val="430D531C"/>
    <w:rsid w:val="43210EE4"/>
    <w:rsid w:val="4359242C"/>
    <w:rsid w:val="43615785"/>
    <w:rsid w:val="43803E5D"/>
    <w:rsid w:val="438576C5"/>
    <w:rsid w:val="43A86F10"/>
    <w:rsid w:val="43F839F3"/>
    <w:rsid w:val="44110F59"/>
    <w:rsid w:val="441A7E0D"/>
    <w:rsid w:val="44562E10"/>
    <w:rsid w:val="44604507"/>
    <w:rsid w:val="448636F5"/>
    <w:rsid w:val="44937BC0"/>
    <w:rsid w:val="44B244EA"/>
    <w:rsid w:val="44BD69EB"/>
    <w:rsid w:val="44D81A76"/>
    <w:rsid w:val="45043FE6"/>
    <w:rsid w:val="45062140"/>
    <w:rsid w:val="45196317"/>
    <w:rsid w:val="453B44DF"/>
    <w:rsid w:val="45505AB1"/>
    <w:rsid w:val="45B94D73"/>
    <w:rsid w:val="45C06792"/>
    <w:rsid w:val="45C30031"/>
    <w:rsid w:val="45ED3300"/>
    <w:rsid w:val="46184820"/>
    <w:rsid w:val="462C207A"/>
    <w:rsid w:val="46362EF9"/>
    <w:rsid w:val="464078D3"/>
    <w:rsid w:val="46D00C57"/>
    <w:rsid w:val="46FE3A16"/>
    <w:rsid w:val="4729480B"/>
    <w:rsid w:val="479C6D8B"/>
    <w:rsid w:val="47B30F81"/>
    <w:rsid w:val="47BE4F54"/>
    <w:rsid w:val="47D01EDF"/>
    <w:rsid w:val="47E10D1F"/>
    <w:rsid w:val="47F340D8"/>
    <w:rsid w:val="47F646ED"/>
    <w:rsid w:val="47FB1D04"/>
    <w:rsid w:val="48272AF9"/>
    <w:rsid w:val="48286871"/>
    <w:rsid w:val="483B65A4"/>
    <w:rsid w:val="48496F13"/>
    <w:rsid w:val="485B6C46"/>
    <w:rsid w:val="486D24D6"/>
    <w:rsid w:val="487D4E0F"/>
    <w:rsid w:val="488A3088"/>
    <w:rsid w:val="4893018E"/>
    <w:rsid w:val="489A151D"/>
    <w:rsid w:val="48B932C6"/>
    <w:rsid w:val="48D56FCF"/>
    <w:rsid w:val="48D80297"/>
    <w:rsid w:val="48E72288"/>
    <w:rsid w:val="49902920"/>
    <w:rsid w:val="49D46CB0"/>
    <w:rsid w:val="49DA5158"/>
    <w:rsid w:val="49E8450A"/>
    <w:rsid w:val="49F11610"/>
    <w:rsid w:val="49FD1143"/>
    <w:rsid w:val="4A25750C"/>
    <w:rsid w:val="4A565917"/>
    <w:rsid w:val="4A600544"/>
    <w:rsid w:val="4A914BA1"/>
    <w:rsid w:val="4AE03433"/>
    <w:rsid w:val="4B054C48"/>
    <w:rsid w:val="4B06733D"/>
    <w:rsid w:val="4B0E1D4E"/>
    <w:rsid w:val="4B7C7600"/>
    <w:rsid w:val="4B983D0E"/>
    <w:rsid w:val="4B9D07D7"/>
    <w:rsid w:val="4BA95F1B"/>
    <w:rsid w:val="4BB072A9"/>
    <w:rsid w:val="4BC30D8B"/>
    <w:rsid w:val="4BD034A7"/>
    <w:rsid w:val="4C1E2465"/>
    <w:rsid w:val="4C2F6420"/>
    <w:rsid w:val="4C4B417C"/>
    <w:rsid w:val="4C96649F"/>
    <w:rsid w:val="4CBB7CB4"/>
    <w:rsid w:val="4CDB65A8"/>
    <w:rsid w:val="4CE4545C"/>
    <w:rsid w:val="4D037CED"/>
    <w:rsid w:val="4D693BB4"/>
    <w:rsid w:val="4D73058E"/>
    <w:rsid w:val="4D994499"/>
    <w:rsid w:val="4D9A5B1B"/>
    <w:rsid w:val="4DAA242C"/>
    <w:rsid w:val="4DCB03CA"/>
    <w:rsid w:val="4E21448E"/>
    <w:rsid w:val="4E6525CD"/>
    <w:rsid w:val="4E6A1188"/>
    <w:rsid w:val="4E8F2CC1"/>
    <w:rsid w:val="4EB1136E"/>
    <w:rsid w:val="4EB330D2"/>
    <w:rsid w:val="4EC1128C"/>
    <w:rsid w:val="4EDE7C89"/>
    <w:rsid w:val="4EF37BD9"/>
    <w:rsid w:val="4EF86F9D"/>
    <w:rsid w:val="4F026C35"/>
    <w:rsid w:val="4F0F04BA"/>
    <w:rsid w:val="4F471CD3"/>
    <w:rsid w:val="4F822D0B"/>
    <w:rsid w:val="4FEE4CA1"/>
    <w:rsid w:val="4FFA084A"/>
    <w:rsid w:val="4FFF25AD"/>
    <w:rsid w:val="5006393C"/>
    <w:rsid w:val="501F0559"/>
    <w:rsid w:val="50462624"/>
    <w:rsid w:val="5055041F"/>
    <w:rsid w:val="507C775A"/>
    <w:rsid w:val="50964CC0"/>
    <w:rsid w:val="50B33DE7"/>
    <w:rsid w:val="51246583"/>
    <w:rsid w:val="5145396D"/>
    <w:rsid w:val="515D3A2F"/>
    <w:rsid w:val="51874608"/>
    <w:rsid w:val="5201260D"/>
    <w:rsid w:val="522C69DA"/>
    <w:rsid w:val="523227C6"/>
    <w:rsid w:val="523302EC"/>
    <w:rsid w:val="52460BB4"/>
    <w:rsid w:val="52990A97"/>
    <w:rsid w:val="52F91536"/>
    <w:rsid w:val="530313CF"/>
    <w:rsid w:val="5305612D"/>
    <w:rsid w:val="53185E60"/>
    <w:rsid w:val="532742F5"/>
    <w:rsid w:val="5327486F"/>
    <w:rsid w:val="53283BC9"/>
    <w:rsid w:val="532F31A9"/>
    <w:rsid w:val="536E3CD2"/>
    <w:rsid w:val="53852DE5"/>
    <w:rsid w:val="53C0052E"/>
    <w:rsid w:val="53F61A11"/>
    <w:rsid w:val="54224ABC"/>
    <w:rsid w:val="54444A33"/>
    <w:rsid w:val="544B4013"/>
    <w:rsid w:val="548C4B7B"/>
    <w:rsid w:val="54C0055D"/>
    <w:rsid w:val="54D538DD"/>
    <w:rsid w:val="54E3492E"/>
    <w:rsid w:val="551E7EDF"/>
    <w:rsid w:val="552F56E3"/>
    <w:rsid w:val="555E7D76"/>
    <w:rsid w:val="55766E6E"/>
    <w:rsid w:val="557E5D22"/>
    <w:rsid w:val="55BD684B"/>
    <w:rsid w:val="55E66E07"/>
    <w:rsid w:val="55EA33B8"/>
    <w:rsid w:val="55F71C3C"/>
    <w:rsid w:val="560C1580"/>
    <w:rsid w:val="561B17C3"/>
    <w:rsid w:val="563D3E2F"/>
    <w:rsid w:val="566118CC"/>
    <w:rsid w:val="567F7FA4"/>
    <w:rsid w:val="568B7726"/>
    <w:rsid w:val="56AD2D63"/>
    <w:rsid w:val="56BA722E"/>
    <w:rsid w:val="56D71B8E"/>
    <w:rsid w:val="56E57FF1"/>
    <w:rsid w:val="572F19CA"/>
    <w:rsid w:val="5730129E"/>
    <w:rsid w:val="57405985"/>
    <w:rsid w:val="57596A47"/>
    <w:rsid w:val="578C6666"/>
    <w:rsid w:val="583C439E"/>
    <w:rsid w:val="58A67A6A"/>
    <w:rsid w:val="58AB5080"/>
    <w:rsid w:val="58B54151"/>
    <w:rsid w:val="58DA5965"/>
    <w:rsid w:val="58EA249C"/>
    <w:rsid w:val="59036C6A"/>
    <w:rsid w:val="59133B15"/>
    <w:rsid w:val="592D018B"/>
    <w:rsid w:val="59875AED"/>
    <w:rsid w:val="59A55F73"/>
    <w:rsid w:val="59B9557B"/>
    <w:rsid w:val="59C503C4"/>
    <w:rsid w:val="59E00D5A"/>
    <w:rsid w:val="59E7658C"/>
    <w:rsid w:val="5A19426B"/>
    <w:rsid w:val="5A315A59"/>
    <w:rsid w:val="5A406331"/>
    <w:rsid w:val="5A820063"/>
    <w:rsid w:val="5A8A6760"/>
    <w:rsid w:val="5A971387"/>
    <w:rsid w:val="5B386973"/>
    <w:rsid w:val="5B4672E2"/>
    <w:rsid w:val="5B767BC7"/>
    <w:rsid w:val="5BAF30D9"/>
    <w:rsid w:val="5BEC60E1"/>
    <w:rsid w:val="5BFD3E45"/>
    <w:rsid w:val="5C090A3C"/>
    <w:rsid w:val="5C125416"/>
    <w:rsid w:val="5C2C0286"/>
    <w:rsid w:val="5CE2128D"/>
    <w:rsid w:val="5D080CF3"/>
    <w:rsid w:val="5D283143"/>
    <w:rsid w:val="5D3A4C25"/>
    <w:rsid w:val="5D3D64C3"/>
    <w:rsid w:val="5D414205"/>
    <w:rsid w:val="5DA30A1C"/>
    <w:rsid w:val="5DB1138B"/>
    <w:rsid w:val="5DC57EF6"/>
    <w:rsid w:val="5DED1ED3"/>
    <w:rsid w:val="5E2C6C63"/>
    <w:rsid w:val="5E4A70E9"/>
    <w:rsid w:val="5E5D506F"/>
    <w:rsid w:val="5EE17A4E"/>
    <w:rsid w:val="5EF01554"/>
    <w:rsid w:val="5F0A24B4"/>
    <w:rsid w:val="5F20170C"/>
    <w:rsid w:val="5FB17DDF"/>
    <w:rsid w:val="5FBB3A44"/>
    <w:rsid w:val="60261490"/>
    <w:rsid w:val="6051475F"/>
    <w:rsid w:val="608B78E2"/>
    <w:rsid w:val="609D5BF6"/>
    <w:rsid w:val="60A07495"/>
    <w:rsid w:val="60BB1300"/>
    <w:rsid w:val="60BB7E2A"/>
    <w:rsid w:val="60D31618"/>
    <w:rsid w:val="60EC6236"/>
    <w:rsid w:val="61137C66"/>
    <w:rsid w:val="61211680"/>
    <w:rsid w:val="613F6CAD"/>
    <w:rsid w:val="61587D6F"/>
    <w:rsid w:val="6166248C"/>
    <w:rsid w:val="618A502A"/>
    <w:rsid w:val="61BA4586"/>
    <w:rsid w:val="61F335F4"/>
    <w:rsid w:val="62134E52"/>
    <w:rsid w:val="624B1238"/>
    <w:rsid w:val="626C3AD2"/>
    <w:rsid w:val="62756925"/>
    <w:rsid w:val="62C54F90"/>
    <w:rsid w:val="62D16988"/>
    <w:rsid w:val="63497970"/>
    <w:rsid w:val="63864720"/>
    <w:rsid w:val="63C16FAA"/>
    <w:rsid w:val="642575A2"/>
    <w:rsid w:val="644F5459"/>
    <w:rsid w:val="645C7B76"/>
    <w:rsid w:val="646A2293"/>
    <w:rsid w:val="64745B49"/>
    <w:rsid w:val="649015CE"/>
    <w:rsid w:val="64993265"/>
    <w:rsid w:val="649E018F"/>
    <w:rsid w:val="64C40539"/>
    <w:rsid w:val="64D92102"/>
    <w:rsid w:val="652E1513"/>
    <w:rsid w:val="65984BDE"/>
    <w:rsid w:val="65B7163F"/>
    <w:rsid w:val="65CC4888"/>
    <w:rsid w:val="65FA31A3"/>
    <w:rsid w:val="65FF6A0B"/>
    <w:rsid w:val="661E3C27"/>
    <w:rsid w:val="66240220"/>
    <w:rsid w:val="662F5543"/>
    <w:rsid w:val="66442670"/>
    <w:rsid w:val="66682803"/>
    <w:rsid w:val="66CA7019"/>
    <w:rsid w:val="66CF2882"/>
    <w:rsid w:val="66E6103B"/>
    <w:rsid w:val="671D539B"/>
    <w:rsid w:val="6747066A"/>
    <w:rsid w:val="67584625"/>
    <w:rsid w:val="6759039D"/>
    <w:rsid w:val="67BD092C"/>
    <w:rsid w:val="680E1188"/>
    <w:rsid w:val="681349F0"/>
    <w:rsid w:val="68210EBB"/>
    <w:rsid w:val="68265A2B"/>
    <w:rsid w:val="68273FF7"/>
    <w:rsid w:val="682D5AB2"/>
    <w:rsid w:val="687234C5"/>
    <w:rsid w:val="68A45648"/>
    <w:rsid w:val="68B03FED"/>
    <w:rsid w:val="68B1654A"/>
    <w:rsid w:val="68C1444C"/>
    <w:rsid w:val="68ED5241"/>
    <w:rsid w:val="69074555"/>
    <w:rsid w:val="691427CE"/>
    <w:rsid w:val="69270753"/>
    <w:rsid w:val="69344C1E"/>
    <w:rsid w:val="694D7A8E"/>
    <w:rsid w:val="695452C0"/>
    <w:rsid w:val="696C68E7"/>
    <w:rsid w:val="69746191"/>
    <w:rsid w:val="698E07D2"/>
    <w:rsid w:val="69B47B0D"/>
    <w:rsid w:val="69DA57C5"/>
    <w:rsid w:val="69F04FE9"/>
    <w:rsid w:val="6A070584"/>
    <w:rsid w:val="6A1231B1"/>
    <w:rsid w:val="6A4946F9"/>
    <w:rsid w:val="6A890F99"/>
    <w:rsid w:val="6AC64386"/>
    <w:rsid w:val="6AD14E1A"/>
    <w:rsid w:val="6AF24D91"/>
    <w:rsid w:val="6B321631"/>
    <w:rsid w:val="6BAE515B"/>
    <w:rsid w:val="6BFA214F"/>
    <w:rsid w:val="6C1B20C5"/>
    <w:rsid w:val="6C1F5711"/>
    <w:rsid w:val="6C25069C"/>
    <w:rsid w:val="6C4038DA"/>
    <w:rsid w:val="6C5555D7"/>
    <w:rsid w:val="6C5C0714"/>
    <w:rsid w:val="6D0019E7"/>
    <w:rsid w:val="6D162FB8"/>
    <w:rsid w:val="6D1C7EA3"/>
    <w:rsid w:val="6D1F412E"/>
    <w:rsid w:val="6D723C4E"/>
    <w:rsid w:val="6D995997"/>
    <w:rsid w:val="6DB12CE1"/>
    <w:rsid w:val="6DB141CC"/>
    <w:rsid w:val="6DE27C96"/>
    <w:rsid w:val="6DE44E65"/>
    <w:rsid w:val="6DF56935"/>
    <w:rsid w:val="6E153270"/>
    <w:rsid w:val="6E5A6ED5"/>
    <w:rsid w:val="6E777A87"/>
    <w:rsid w:val="6E7855AD"/>
    <w:rsid w:val="6E9248C1"/>
    <w:rsid w:val="6ED529FF"/>
    <w:rsid w:val="6F0F5F11"/>
    <w:rsid w:val="6F255735"/>
    <w:rsid w:val="6F35349E"/>
    <w:rsid w:val="6F896F89"/>
    <w:rsid w:val="6FA077A9"/>
    <w:rsid w:val="70027824"/>
    <w:rsid w:val="70047EE3"/>
    <w:rsid w:val="704900D5"/>
    <w:rsid w:val="70545BA6"/>
    <w:rsid w:val="70C525FF"/>
    <w:rsid w:val="70F33611"/>
    <w:rsid w:val="71145A61"/>
    <w:rsid w:val="71463740"/>
    <w:rsid w:val="716B159E"/>
    <w:rsid w:val="71881FAB"/>
    <w:rsid w:val="71A010A2"/>
    <w:rsid w:val="71E22B8D"/>
    <w:rsid w:val="71E76CD1"/>
    <w:rsid w:val="71EA0570"/>
    <w:rsid w:val="72200435"/>
    <w:rsid w:val="724C124B"/>
    <w:rsid w:val="72587BCF"/>
    <w:rsid w:val="727D13E4"/>
    <w:rsid w:val="728C5ACB"/>
    <w:rsid w:val="729624A5"/>
    <w:rsid w:val="72B017B9"/>
    <w:rsid w:val="72C60FDD"/>
    <w:rsid w:val="72D03C09"/>
    <w:rsid w:val="73010267"/>
    <w:rsid w:val="73125FD0"/>
    <w:rsid w:val="73836ECE"/>
    <w:rsid w:val="73944C37"/>
    <w:rsid w:val="73B54BAD"/>
    <w:rsid w:val="73CC2623"/>
    <w:rsid w:val="73D03795"/>
    <w:rsid w:val="741B0EB4"/>
    <w:rsid w:val="745919DD"/>
    <w:rsid w:val="74CF0D9A"/>
    <w:rsid w:val="74FA6D1C"/>
    <w:rsid w:val="75047B9A"/>
    <w:rsid w:val="7531117B"/>
    <w:rsid w:val="75746C28"/>
    <w:rsid w:val="75A60C51"/>
    <w:rsid w:val="75A82C1C"/>
    <w:rsid w:val="75B55338"/>
    <w:rsid w:val="75BF1D13"/>
    <w:rsid w:val="75E52AA4"/>
    <w:rsid w:val="7608190C"/>
    <w:rsid w:val="760C71B7"/>
    <w:rsid w:val="762047F9"/>
    <w:rsid w:val="762F0C47"/>
    <w:rsid w:val="76524935"/>
    <w:rsid w:val="769B452E"/>
    <w:rsid w:val="774E334F"/>
    <w:rsid w:val="7750356B"/>
    <w:rsid w:val="777059BB"/>
    <w:rsid w:val="77884AB3"/>
    <w:rsid w:val="77C875A5"/>
    <w:rsid w:val="77F24622"/>
    <w:rsid w:val="77FB0FEB"/>
    <w:rsid w:val="78191BAF"/>
    <w:rsid w:val="785726D7"/>
    <w:rsid w:val="78A26AF3"/>
    <w:rsid w:val="78B418D7"/>
    <w:rsid w:val="78FB7506"/>
    <w:rsid w:val="790243F1"/>
    <w:rsid w:val="791B3704"/>
    <w:rsid w:val="79254583"/>
    <w:rsid w:val="79627585"/>
    <w:rsid w:val="79E93803"/>
    <w:rsid w:val="79ED50A1"/>
    <w:rsid w:val="79FC3536"/>
    <w:rsid w:val="7A1563A6"/>
    <w:rsid w:val="7A2C3ED4"/>
    <w:rsid w:val="7A4E3781"/>
    <w:rsid w:val="7A664E53"/>
    <w:rsid w:val="7A6C3628"/>
    <w:rsid w:val="7AA02113"/>
    <w:rsid w:val="7AB922A1"/>
    <w:rsid w:val="7AF43703"/>
    <w:rsid w:val="7B0A1C83"/>
    <w:rsid w:val="7B256ABC"/>
    <w:rsid w:val="7B4231CA"/>
    <w:rsid w:val="7B4A02D1"/>
    <w:rsid w:val="7B603119"/>
    <w:rsid w:val="7B6E2211"/>
    <w:rsid w:val="7BB3231A"/>
    <w:rsid w:val="7BBA5457"/>
    <w:rsid w:val="7BBD4F47"/>
    <w:rsid w:val="7BDD1C51"/>
    <w:rsid w:val="7BFA5853"/>
    <w:rsid w:val="7C0B3F04"/>
    <w:rsid w:val="7C26489A"/>
    <w:rsid w:val="7C3572C6"/>
    <w:rsid w:val="7C4A67DB"/>
    <w:rsid w:val="7C4D0F59"/>
    <w:rsid w:val="7C647170"/>
    <w:rsid w:val="7C683105"/>
    <w:rsid w:val="7C7A7851"/>
    <w:rsid w:val="7DB639FC"/>
    <w:rsid w:val="7E2968C4"/>
    <w:rsid w:val="7E301A00"/>
    <w:rsid w:val="7E3C03A5"/>
    <w:rsid w:val="7E851D4C"/>
    <w:rsid w:val="7E9C4B39"/>
    <w:rsid w:val="7EA45F4A"/>
    <w:rsid w:val="7EBE525E"/>
    <w:rsid w:val="7ED81537"/>
    <w:rsid w:val="7ED83A3E"/>
    <w:rsid w:val="7F2521E5"/>
    <w:rsid w:val="7F5A0768"/>
    <w:rsid w:val="7F686F78"/>
    <w:rsid w:val="7F7731D8"/>
    <w:rsid w:val="7FA2692E"/>
    <w:rsid w:val="7FA3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index 5"/>
    <w:basedOn w:val="1"/>
    <w:next w:val="1"/>
    <w:qFormat/>
    <w:uiPriority w:val="99"/>
    <w:pPr>
      <w:ind w:left="800" w:leftChars="800"/>
    </w:pPr>
  </w:style>
  <w:style w:type="paragraph" w:styleId="7">
    <w:name w:val="Body Text"/>
    <w:basedOn w:val="1"/>
    <w:next w:val="1"/>
    <w:qFormat/>
    <w:uiPriority w:val="99"/>
    <w:pPr>
      <w:tabs>
        <w:tab w:val="left" w:pos="567"/>
      </w:tabs>
      <w:spacing w:before="120" w:line="22" w:lineRule="atLeast"/>
    </w:pPr>
    <w:rPr>
      <w:rFonts w:ascii="宋体" w:hAnsi="宋体"/>
      <w:sz w:val="24"/>
    </w:rPr>
  </w:style>
  <w:style w:type="paragraph" w:styleId="8">
    <w:name w:val="Body Text Indent"/>
    <w:basedOn w:val="1"/>
    <w:qFormat/>
    <w:uiPriority w:val="0"/>
    <w:pPr>
      <w:widowControl/>
      <w:spacing w:after="120"/>
      <w:ind w:left="420"/>
    </w:pPr>
    <w:rPr>
      <w:rFonts w:ascii="??" w:hAnsi="??" w:eastAsia="宋体" w:cs="Arial"/>
      <w:kern w:val="0"/>
      <w:sz w:val="24"/>
      <w:szCs w:val="24"/>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footnote text"/>
    <w:basedOn w:val="1"/>
    <w:next w:val="6"/>
    <w:qFormat/>
    <w:uiPriority w:val="99"/>
    <w:pPr>
      <w:snapToGrid w:val="0"/>
      <w:jc w:val="left"/>
    </w:pPr>
    <w:rPr>
      <w:sz w:val="18"/>
      <w:szCs w:val="18"/>
    </w:rPr>
  </w:style>
  <w:style w:type="paragraph" w:styleId="15">
    <w:name w:val="Normal (Web)"/>
    <w:basedOn w:val="1"/>
    <w:qFormat/>
    <w:uiPriority w:val="99"/>
    <w:pPr>
      <w:spacing w:after="210"/>
      <w:jc w:val="left"/>
    </w:pPr>
    <w:rPr>
      <w:kern w:val="0"/>
      <w:sz w:val="24"/>
    </w:rPr>
  </w:style>
  <w:style w:type="paragraph" w:styleId="16">
    <w:name w:val="Body Text First Indent"/>
    <w:basedOn w:val="7"/>
    <w:next w:val="1"/>
    <w:qFormat/>
    <w:uiPriority w:val="0"/>
    <w:pPr>
      <w:ind w:firstLine="420" w:firstLineChars="100"/>
    </w:pPr>
    <w:rPr>
      <w:rFonts w:ascii="Times New Roman" w:hAnsi="Times New Roman" w:eastAsia="宋体" w:cs="Times New Roman"/>
    </w:rPr>
  </w:style>
  <w:style w:type="paragraph" w:styleId="17">
    <w:name w:val="Body Text First Indent 2"/>
    <w:basedOn w:val="8"/>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rFonts w:ascii="Times New Roman" w:hAnsi="Times New Roman" w:eastAsia="宋体" w:cs="Times New Roman"/>
      <w:b/>
    </w:rPr>
  </w:style>
  <w:style w:type="character" w:styleId="22">
    <w:name w:val="page number"/>
    <w:qFormat/>
    <w:uiPriority w:val="0"/>
    <w:rPr>
      <w:rFonts w:ascii="Times New Roman" w:hAnsi="Times New Roman" w:eastAsia="宋体" w:cs="Times New Roman"/>
    </w:rPr>
  </w:style>
  <w:style w:type="character" w:styleId="23">
    <w:name w:val="Hyperlink"/>
    <w:qFormat/>
    <w:uiPriority w:val="0"/>
    <w:rPr>
      <w:rFonts w:ascii="Times New Roman" w:hAnsi="Times New Roman" w:eastAsia="宋体" w:cs="Times New Roman"/>
      <w:color w:val="0000FF"/>
      <w:u w:val="single"/>
    </w:rPr>
  </w:style>
  <w:style w:type="paragraph" w:styleId="24">
    <w:name w:val="List Paragraph"/>
    <w:basedOn w:val="1"/>
    <w:qFormat/>
    <w:uiPriority w:val="99"/>
    <w:pPr>
      <w:widowControl/>
      <w:ind w:firstLine="420" w:firstLineChars="200"/>
      <w:jc w:val="left"/>
    </w:pPr>
    <w:rPr>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26">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27">
    <w:name w:val="p0"/>
    <w:basedOn w:val="1"/>
    <w:qFormat/>
    <w:uiPriority w:val="99"/>
    <w:pPr>
      <w:widowControl/>
    </w:pPr>
    <w:rPr>
      <w:kern w:val="0"/>
      <w:szCs w:val="21"/>
    </w:rPr>
  </w:style>
  <w:style w:type="paragraph" w:customStyle="1" w:styleId="28">
    <w:name w:val="Table Paragraph"/>
    <w:basedOn w:val="1"/>
    <w:qFormat/>
    <w:uiPriority w:val="99"/>
    <w:pPr>
      <w:autoSpaceDE w:val="0"/>
      <w:autoSpaceDN w:val="0"/>
      <w:jc w:val="left"/>
    </w:pPr>
    <w:rPr>
      <w:rFonts w:ascii="宋体" w:hAnsi="宋体" w:cs="宋体"/>
      <w:kern w:val="0"/>
      <w:sz w:val="22"/>
      <w:szCs w:val="22"/>
      <w:lang w:val="zh-CN" w:bidi="zh-CN"/>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3"/>
      <w:szCs w:val="23"/>
      <w:lang w:val="en-US" w:eastAsia="en-US" w:bidi="ar-SA"/>
    </w:rPr>
  </w:style>
  <w:style w:type="paragraph" w:customStyle="1" w:styleId="31">
    <w:name w:val="样式 样式 标题 3 + 首行缩进:  0.99 厘米 + 首行缩进:  0.99 厘米"/>
    <w:basedOn w:val="1"/>
    <w:qFormat/>
    <w:uiPriority w:val="0"/>
    <w:pPr>
      <w:keepNext/>
      <w:keepLines/>
      <w:spacing w:line="360" w:lineRule="auto"/>
      <w:jc w:val="left"/>
      <w:outlineLvl w:val="2"/>
    </w:pPr>
    <w:rPr>
      <w:rFonts w:ascii="Calibri" w:hAnsi="Calibri" w:eastAsia="楷体_GB2312" w:cs="宋体"/>
      <w:b/>
      <w:bCs/>
      <w:color w:val="000000"/>
    </w:rPr>
  </w:style>
  <w:style w:type="paragraph" w:customStyle="1" w:styleId="32">
    <w:name w:val="Normal_0"/>
    <w:basedOn w:val="1"/>
    <w:next w:val="14"/>
    <w:qFormat/>
    <w:uiPriority w:val="0"/>
    <w:pPr>
      <w:adjustRightInd w:val="0"/>
      <w:spacing w:before="100" w:beforeAutospacing="1" w:after="120" w:line="312" w:lineRule="atLeast"/>
      <w:ind w:firstLine="420" w:firstLineChars="100"/>
      <w:textAlignment w:val="baseline"/>
    </w:pPr>
    <w:rPr>
      <w:rFonts w:ascii="Calibri" w:hAnsi="Calibri"/>
      <w:szCs w:val="21"/>
    </w:rPr>
  </w:style>
  <w:style w:type="paragraph" w:customStyle="1" w:styleId="3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BodyText"/>
    <w:basedOn w:val="1"/>
    <w:qFormat/>
    <w:uiPriority w:val="0"/>
    <w:pPr>
      <w:textAlignment w:val="baseline"/>
    </w:pPr>
    <w:rPr>
      <w:rFonts w:ascii="Calibri" w:hAnsi="Calibri" w:eastAsia="黑体" w:cs="Calibri"/>
      <w:sz w:val="40"/>
      <w:szCs w:val="24"/>
    </w:rPr>
  </w:style>
  <w:style w:type="paragraph" w:customStyle="1" w:styleId="35">
    <w:name w:val="msolist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14299</Words>
  <Characters>15201</Characters>
  <Lines>0</Lines>
  <Paragraphs>0</Paragraphs>
  <TotalTime>37</TotalTime>
  <ScaleCrop>false</ScaleCrop>
  <LinksUpToDate>false</LinksUpToDate>
  <CharactersWithSpaces>16100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2024-09-18T05:37:00Z</dcterms:created>
  <dc:creator>Administrator</dc:creator>
  <cp:lastModifiedBy>Lie。</cp:lastModifiedBy>
  <cp:lastPrinted>2024-09-18T12:47:00Z</cp:lastPrinted>
  <dcterms:modified xsi:type="dcterms:W3CDTF">2025-01-14T04:18:20Z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E87D85A438A54E1BAFE5251D9A4F2FC8_13</vt:lpwstr>
  </property>
  <property fmtid="{D5CDD505-2E9C-101B-9397-08002B2CF9AE}" pid="4" name="KSOTemplateDocerSaveRecord">
    <vt:lpwstr>eyJoZGlkIjoiMWQwODFmNGRlYzM5ZjA1MDI2NWNiNGJhYTE5NjFkYTMiLCJ1c2VySWQiOiI0MDM1NzEzOTEifQ==</vt:lpwstr>
  </property>
</Properties>
</file>