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45EE9B">
      <w:pPr>
        <w:rPr>
          <w:rFonts w:hint="eastAsia" w:ascii="仿宋" w:hAnsi="仿宋" w:eastAsia="仿宋" w:cs="仿宋"/>
          <w:highlight w:val="none"/>
        </w:rPr>
      </w:pPr>
    </w:p>
    <w:p w14:paraId="3504F100">
      <w:pPr>
        <w:rPr>
          <w:rFonts w:hint="eastAsia" w:ascii="仿宋" w:hAnsi="仿宋" w:eastAsia="仿宋" w:cs="仿宋"/>
          <w:highlight w:val="none"/>
        </w:rPr>
      </w:pPr>
      <w:r>
        <w:rPr>
          <w:rFonts w:hint="eastAsia" w:ascii="仿宋" w:hAnsi="仿宋" w:eastAsia="仿宋" w:cs="仿宋"/>
          <w:sz w:val="21"/>
          <w:highlight w:val="none"/>
        </w:rPr>
        <mc:AlternateContent>
          <mc:Choice Requires="wps">
            <w:drawing>
              <wp:anchor distT="0" distB="0" distL="114300" distR="114300" simplePos="0" relativeHeight="251662336" behindDoc="0" locked="0" layoutInCell="1" allowOverlap="1">
                <wp:simplePos x="0" y="0"/>
                <wp:positionH relativeFrom="column">
                  <wp:posOffset>-1172845</wp:posOffset>
                </wp:positionH>
                <wp:positionV relativeFrom="paragraph">
                  <wp:posOffset>167640</wp:posOffset>
                </wp:positionV>
                <wp:extent cx="7621270" cy="2546985"/>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25469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4432B7">
                            <w:pPr>
                              <w:ind w:firstLine="883"/>
                              <w:jc w:val="center"/>
                              <w:rPr>
                                <w:rFonts w:hint="eastAsia" w:ascii="微软雅黑" w:hAnsi="微软雅黑" w:eastAsia="微软雅黑" w:cs="微软雅黑"/>
                                <w:b/>
                                <w:bCs/>
                                <w:color w:val="2E93B0"/>
                                <w:kern w:val="2"/>
                                <w:sz w:val="72"/>
                                <w:szCs w:val="72"/>
                                <w:lang w:val="en-US" w:eastAsia="zh-CN" w:bidi="ar-SA"/>
                              </w:rPr>
                            </w:pPr>
                            <w:r>
                              <w:rPr>
                                <w:rFonts w:hint="eastAsia" w:ascii="微软雅黑" w:hAnsi="微软雅黑" w:eastAsia="微软雅黑" w:cs="微软雅黑"/>
                                <w:b/>
                                <w:bCs/>
                                <w:color w:val="2E93B0"/>
                                <w:kern w:val="2"/>
                                <w:sz w:val="72"/>
                                <w:szCs w:val="72"/>
                                <w:lang w:val="en-US" w:eastAsia="zh-CN" w:bidi="ar-SA"/>
                              </w:rPr>
                              <w:t>自治区地理信息公共服务平台系统功能优化及运维服务</w:t>
                            </w:r>
                          </w:p>
                          <w:p w14:paraId="7E2FE76C">
                            <w:pPr>
                              <w:adjustRightInd w:val="0"/>
                              <w:snapToGrid w:val="0"/>
                              <w:spacing w:line="360" w:lineRule="auto"/>
                              <w:ind w:firstLine="560" w:firstLineChars="200"/>
                              <w:jc w:val="center"/>
                              <w:rPr>
                                <w:rFonts w:hint="eastAsia" w:ascii="宋体" w:hAnsi="宋体" w:eastAsia="宋体" w:cs="宋体"/>
                                <w:color w:val="000000"/>
                                <w:kern w:val="0"/>
                                <w:sz w:val="30"/>
                                <w:szCs w:val="30"/>
                                <w:lang w:eastAsia="zh-CN"/>
                              </w:rPr>
                            </w:pPr>
                            <w:r>
                              <w:rPr>
                                <w:rFonts w:hint="eastAsia" w:ascii="微软雅黑" w:hAnsi="微软雅黑" w:eastAsia="微软雅黑" w:cs="微软雅黑"/>
                                <w:b/>
                                <w:bCs/>
                                <w:color w:val="237085"/>
                                <w:sz w:val="28"/>
                                <w:szCs w:val="28"/>
                                <w:lang w:val="en-US" w:eastAsia="zh-CN"/>
                              </w:rPr>
                              <w:t>（项目编号：HSH2025-ZB-02）</w:t>
                            </w:r>
                          </w:p>
                          <w:p w14:paraId="27829FE3">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13.2pt;height:200.55pt;width:600.1pt;z-index:251662336;mso-width-relative:page;mso-height-relative:page;" filled="f" stroked="f" coordsize="21600,21600" o:gfxdata="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qezqt3QAAAAwBAAAPAAAAAAAAAAEAIAAAACIA&#10;AABkcnMvZG93bnJldi54bWxQSwECFAAUAAAACACHTuJAwS3ECT0CAABnBAAADgAAAAAAAAABACAA&#10;AAAsAQAAZHJzL2Uyb0RvYy54bWxQSwUGAAAAAAYABgBZAQAA2wUAAAAA&#10;">
                <v:fill on="f" focussize="0,0"/>
                <v:stroke on="f" weight="0.5pt"/>
                <v:imagedata o:title=""/>
                <o:lock v:ext="edit" aspectratio="f"/>
                <v:textbox>
                  <w:txbxContent>
                    <w:p w14:paraId="4A4432B7">
                      <w:pPr>
                        <w:ind w:firstLine="883"/>
                        <w:jc w:val="center"/>
                        <w:rPr>
                          <w:rFonts w:hint="eastAsia" w:ascii="微软雅黑" w:hAnsi="微软雅黑" w:eastAsia="微软雅黑" w:cs="微软雅黑"/>
                          <w:b/>
                          <w:bCs/>
                          <w:color w:val="2E93B0"/>
                          <w:kern w:val="2"/>
                          <w:sz w:val="72"/>
                          <w:szCs w:val="72"/>
                          <w:lang w:val="en-US" w:eastAsia="zh-CN" w:bidi="ar-SA"/>
                        </w:rPr>
                      </w:pPr>
                      <w:r>
                        <w:rPr>
                          <w:rFonts w:hint="eastAsia" w:ascii="微软雅黑" w:hAnsi="微软雅黑" w:eastAsia="微软雅黑" w:cs="微软雅黑"/>
                          <w:b/>
                          <w:bCs/>
                          <w:color w:val="2E93B0"/>
                          <w:kern w:val="2"/>
                          <w:sz w:val="72"/>
                          <w:szCs w:val="72"/>
                          <w:lang w:val="en-US" w:eastAsia="zh-CN" w:bidi="ar-SA"/>
                        </w:rPr>
                        <w:t>自治区地理信息公共服务平台系统功能优化及运维服务</w:t>
                      </w:r>
                    </w:p>
                    <w:p w14:paraId="7E2FE76C">
                      <w:pPr>
                        <w:adjustRightInd w:val="0"/>
                        <w:snapToGrid w:val="0"/>
                        <w:spacing w:line="360" w:lineRule="auto"/>
                        <w:ind w:firstLine="560" w:firstLineChars="200"/>
                        <w:jc w:val="center"/>
                        <w:rPr>
                          <w:rFonts w:hint="eastAsia" w:ascii="宋体" w:hAnsi="宋体" w:eastAsia="宋体" w:cs="宋体"/>
                          <w:color w:val="000000"/>
                          <w:kern w:val="0"/>
                          <w:sz w:val="30"/>
                          <w:szCs w:val="30"/>
                          <w:lang w:eastAsia="zh-CN"/>
                        </w:rPr>
                      </w:pPr>
                      <w:r>
                        <w:rPr>
                          <w:rFonts w:hint="eastAsia" w:ascii="微软雅黑" w:hAnsi="微软雅黑" w:eastAsia="微软雅黑" w:cs="微软雅黑"/>
                          <w:b/>
                          <w:bCs/>
                          <w:color w:val="237085"/>
                          <w:sz w:val="28"/>
                          <w:szCs w:val="28"/>
                          <w:lang w:val="en-US" w:eastAsia="zh-CN"/>
                        </w:rPr>
                        <w:t>（项目编号：HSH2025-ZB-02）</w:t>
                      </w:r>
                    </w:p>
                    <w:p w14:paraId="27829FE3">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w:t>
                      </w:r>
                    </w:p>
                  </w:txbxContent>
                </v:textbox>
              </v:shape>
            </w:pict>
          </mc:Fallback>
        </mc:AlternateContent>
      </w:r>
    </w:p>
    <w:p w14:paraId="711BFBF5">
      <w:pPr>
        <w:tabs>
          <w:tab w:val="left" w:pos="5196"/>
        </w:tabs>
        <w:jc w:val="left"/>
        <w:rPr>
          <w:rFonts w:hint="eastAsia" w:ascii="仿宋" w:hAnsi="仿宋" w:eastAsia="仿宋" w:cs="仿宋"/>
          <w:sz w:val="36"/>
          <w:szCs w:val="36"/>
          <w:highlight w:val="none"/>
          <w:lang w:eastAsia="zh-CN"/>
        </w:rPr>
      </w:pPr>
      <w:r>
        <w:rPr>
          <w:rFonts w:hint="eastAsia" w:ascii="仿宋" w:hAnsi="仿宋" w:eastAsia="仿宋" w:cs="仿宋"/>
          <w:sz w:val="36"/>
          <w:szCs w:val="36"/>
          <w:highlight w:val="none"/>
          <w:lang w:eastAsia="zh-CN"/>
        </w:rPr>
        <w:tab/>
      </w:r>
    </w:p>
    <w:p w14:paraId="348900FE">
      <w:pPr>
        <w:jc w:val="center"/>
        <w:rPr>
          <w:rFonts w:hint="eastAsia" w:ascii="仿宋" w:hAnsi="仿宋" w:eastAsia="仿宋" w:cs="仿宋"/>
          <w:sz w:val="32"/>
          <w:szCs w:val="32"/>
          <w:highlight w:val="none"/>
        </w:rPr>
        <w:sectPr>
          <w:footerReference r:id="rId3" w:type="default"/>
          <w:pgSz w:w="11906" w:h="16838"/>
          <w:pgMar w:top="1440" w:right="1800" w:bottom="1440" w:left="1800" w:header="851" w:footer="992" w:gutter="0"/>
          <w:pgNumType w:fmt="numberInDash"/>
          <w:cols w:space="0" w:num="1"/>
          <w:rtlGutter w:val="0"/>
          <w:docGrid w:type="lines" w:linePitch="387" w:charSpace="0"/>
        </w:sectPr>
      </w:pPr>
      <w:r>
        <w:rPr>
          <w:rFonts w:hint="eastAsia" w:ascii="仿宋" w:hAnsi="仿宋" w:eastAsia="仿宋" w:cs="仿宋"/>
          <w:sz w:val="21"/>
          <w:highlight w:val="none"/>
        </w:rPr>
        <mc:AlternateContent>
          <mc:Choice Requires="wps">
            <w:drawing>
              <wp:anchor distT="0" distB="0" distL="114300" distR="114300" simplePos="0" relativeHeight="251665408" behindDoc="0" locked="0" layoutInCell="1" allowOverlap="1">
                <wp:simplePos x="0" y="0"/>
                <wp:positionH relativeFrom="column">
                  <wp:posOffset>-119380</wp:posOffset>
                </wp:positionH>
                <wp:positionV relativeFrom="paragraph">
                  <wp:posOffset>4523105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3C44CA">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采购人：新疆维吾尔自治区测绘成果中心（盖章）</w:t>
                            </w:r>
                          </w:p>
                          <w:p w14:paraId="6E2A1857">
                            <w:pPr>
                              <w:jc w:val="left"/>
                              <w:rPr>
                                <w:rFonts w:hint="eastAsia" w:ascii="微软雅黑" w:hAnsi="微软雅黑" w:eastAsia="微软雅黑" w:cs="微软雅黑"/>
                                <w:b/>
                                <w:bCs/>
                                <w:color w:val="237085"/>
                                <w:sz w:val="32"/>
                                <w:szCs w:val="32"/>
                                <w:lang w:val="en-US" w:eastAsia="zh-CN"/>
                              </w:rPr>
                            </w:pPr>
                          </w:p>
                          <w:p w14:paraId="3A058652">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采购代理机构：新疆恒晟华工程项目管理有限公司</w:t>
                            </w:r>
                            <w:r>
                              <w:rPr>
                                <w:rFonts w:hint="eastAsia" w:ascii="宋体" w:hAnsi="宋体" w:eastAsia="宋体" w:cs="宋体"/>
                                <w:color w:val="000000"/>
                                <w:kern w:val="0"/>
                                <w:sz w:val="24"/>
                                <w:szCs w:val="21"/>
                                <w:lang w:bidi="ar"/>
                              </w:rPr>
                              <w:t xml:space="preserve"> </w:t>
                            </w:r>
                            <w:r>
                              <w:rPr>
                                <w:rFonts w:hint="eastAsia" w:ascii="微软雅黑" w:hAnsi="微软雅黑" w:eastAsia="微软雅黑" w:cs="微软雅黑"/>
                                <w:b/>
                                <w:bCs/>
                                <w:color w:val="237085"/>
                                <w:sz w:val="32"/>
                                <w:szCs w:val="32"/>
                                <w:lang w:val="en-US" w:eastAsia="zh-CN"/>
                              </w:rPr>
                              <w:t>（盖章）</w:t>
                            </w:r>
                          </w:p>
                          <w:p w14:paraId="14C4BF03">
                            <w:pPr>
                              <w:jc w:val="center"/>
                              <w:rPr>
                                <w:rFonts w:hint="eastAsia" w:ascii="微软雅黑" w:hAnsi="微软雅黑" w:eastAsia="微软雅黑" w:cs="微软雅黑"/>
                                <w:b/>
                                <w:bCs/>
                                <w:color w:val="237085"/>
                                <w:sz w:val="32"/>
                                <w:szCs w:val="32"/>
                                <w:lang w:val="en-US" w:eastAsia="zh-CN"/>
                              </w:rPr>
                            </w:pPr>
                          </w:p>
                          <w:p w14:paraId="698DE28A">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日期：2025年04月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4pt;margin-top:356.15pt;height:195.75pt;width:430.25pt;z-index:251665408;mso-width-relative:page;mso-height-relative:page;" filled="f" stroked="f" coordsize="21600,21600" o:gfxdata="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PjhpMNwAAAAMAQAADwAAAAAAAAABACAAAAAiAAAA&#10;ZHJzL2Rvd25yZXYueG1sUEsBAhQAFAAAAAgAh07iQL0H0aI8AgAAZwQAAA4AAAAAAAAAAQAgAAAA&#10;KwEAAGRycy9lMm9Eb2MueG1sUEsFBgAAAAAGAAYAWQEAANkFAAAAAA==&#10;">
                <v:fill on="f" focussize="0,0"/>
                <v:stroke on="f" weight="0.5pt"/>
                <v:imagedata o:title=""/>
                <o:lock v:ext="edit" aspectratio="f"/>
                <v:textbox>
                  <w:txbxContent>
                    <w:p w14:paraId="393C44CA">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采购人：新疆维吾尔自治区测绘成果中心（盖章）</w:t>
                      </w:r>
                    </w:p>
                    <w:p w14:paraId="6E2A1857">
                      <w:pPr>
                        <w:jc w:val="left"/>
                        <w:rPr>
                          <w:rFonts w:hint="eastAsia" w:ascii="微软雅黑" w:hAnsi="微软雅黑" w:eastAsia="微软雅黑" w:cs="微软雅黑"/>
                          <w:b/>
                          <w:bCs/>
                          <w:color w:val="237085"/>
                          <w:sz w:val="32"/>
                          <w:szCs w:val="32"/>
                          <w:lang w:val="en-US" w:eastAsia="zh-CN"/>
                        </w:rPr>
                      </w:pPr>
                    </w:p>
                    <w:p w14:paraId="3A058652">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采购代理机构：新疆恒晟华工程项目管理有限公司</w:t>
                      </w:r>
                      <w:r>
                        <w:rPr>
                          <w:rFonts w:hint="eastAsia" w:ascii="宋体" w:hAnsi="宋体" w:eastAsia="宋体" w:cs="宋体"/>
                          <w:color w:val="000000"/>
                          <w:kern w:val="0"/>
                          <w:sz w:val="24"/>
                          <w:szCs w:val="21"/>
                          <w:lang w:bidi="ar"/>
                        </w:rPr>
                        <w:t xml:space="preserve"> </w:t>
                      </w:r>
                      <w:r>
                        <w:rPr>
                          <w:rFonts w:hint="eastAsia" w:ascii="微软雅黑" w:hAnsi="微软雅黑" w:eastAsia="微软雅黑" w:cs="微软雅黑"/>
                          <w:b/>
                          <w:bCs/>
                          <w:color w:val="237085"/>
                          <w:sz w:val="32"/>
                          <w:szCs w:val="32"/>
                          <w:lang w:val="en-US" w:eastAsia="zh-CN"/>
                        </w:rPr>
                        <w:t>（盖章）</w:t>
                      </w:r>
                    </w:p>
                    <w:p w14:paraId="14C4BF03">
                      <w:pPr>
                        <w:jc w:val="center"/>
                        <w:rPr>
                          <w:rFonts w:hint="eastAsia" w:ascii="微软雅黑" w:hAnsi="微软雅黑" w:eastAsia="微软雅黑" w:cs="微软雅黑"/>
                          <w:b/>
                          <w:bCs/>
                          <w:color w:val="237085"/>
                          <w:sz w:val="32"/>
                          <w:szCs w:val="32"/>
                          <w:lang w:val="en-US" w:eastAsia="zh-CN"/>
                        </w:rPr>
                      </w:pPr>
                    </w:p>
                    <w:p w14:paraId="698DE28A">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日期：2025年04月</w:t>
                      </w:r>
                    </w:p>
                  </w:txbxContent>
                </v:textbox>
              </v:shape>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4384"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51.6pt;height:7.85pt;width:208.55pt;z-index:251664384;v-text-anchor:middle;mso-width-relative:page;mso-height-relative:page;" fillcolor="#2E93B0" filled="t" stroked="f" coordsize="21600,21600" o:gfxdata="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jSgl9t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3360"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EE101">
                            <w:pPr>
                              <w:pStyle w:val="2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3360;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14:paraId="281EE101">
                      <w:pPr>
                        <w:pStyle w:val="2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v:textbox>
              </v:shape>
            </w:pict>
          </mc:Fallback>
        </mc:AlternateContent>
      </w:r>
      <w:r>
        <w:rPr>
          <w:rFonts w:hint="eastAsia" w:ascii="仿宋" w:hAnsi="仿宋" w:eastAsia="仿宋" w:cs="仿宋"/>
          <w:highlight w:val="none"/>
        </w:rPr>
        <w:drawing>
          <wp:anchor distT="0" distB="0" distL="114300" distR="114300" simplePos="0" relativeHeight="251661312" behindDoc="1" locked="0" layoutInCell="1" allowOverlap="1">
            <wp:simplePos x="0" y="0"/>
            <wp:positionH relativeFrom="column">
              <wp:posOffset>-1240155</wp:posOffset>
            </wp:positionH>
            <wp:positionV relativeFrom="paragraph">
              <wp:posOffset>-1894205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9"/>
                    <a:stretch>
                      <a:fillRect/>
                    </a:stretch>
                  </pic:blipFill>
                  <pic:spPr>
                    <a:xfrm>
                      <a:off x="0" y="0"/>
                      <a:ext cx="7769225" cy="10739755"/>
                    </a:xfrm>
                    <a:prstGeom prst="rect">
                      <a:avLst/>
                    </a:prstGeom>
                    <a:noFill/>
                    <a:ln>
                      <a:noFill/>
                    </a:ln>
                  </pic:spPr>
                </pic:pic>
              </a:graphicData>
            </a:graphic>
          </wp:anchor>
        </w:drawing>
      </w:r>
    </w:p>
    <w:p w14:paraId="278D1279">
      <w:pPr>
        <w:pStyle w:val="25"/>
        <w:rPr>
          <w:rFonts w:hint="eastAsia" w:ascii="仿宋" w:hAnsi="仿宋" w:eastAsia="仿宋" w:cs="仿宋"/>
          <w:highlight w:val="none"/>
        </w:rPr>
      </w:pPr>
    </w:p>
    <w:tbl>
      <w:tblPr>
        <w:tblStyle w:val="26"/>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70B25E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noWrap w:val="0"/>
            <w:vAlign w:val="top"/>
          </w:tcPr>
          <w:p w14:paraId="5703B929">
            <w:pPr>
              <w:spacing w:line="360" w:lineRule="auto"/>
              <w:ind w:right="36" w:rightChars="15"/>
              <w:jc w:val="center"/>
              <w:rPr>
                <w:rFonts w:hint="eastAsia" w:ascii="仿宋" w:hAnsi="仿宋" w:eastAsia="仿宋" w:cs="仿宋"/>
                <w:b/>
                <w:bCs/>
                <w:sz w:val="32"/>
                <w:szCs w:val="32"/>
                <w:highlight w:val="none"/>
              </w:rPr>
            </w:pPr>
          </w:p>
          <w:p w14:paraId="70D4F4F3">
            <w:pPr>
              <w:spacing w:line="360" w:lineRule="auto"/>
              <w:ind w:right="36" w:rightChars="15"/>
              <w:jc w:val="center"/>
              <w:rPr>
                <w:rFonts w:hint="eastAsia" w:ascii="仿宋" w:hAnsi="仿宋" w:eastAsia="仿宋" w:cs="仿宋"/>
                <w:b/>
                <w:bCs/>
                <w:sz w:val="32"/>
                <w:szCs w:val="32"/>
                <w:highlight w:val="none"/>
              </w:rPr>
            </w:pPr>
          </w:p>
          <w:p w14:paraId="0EED8477">
            <w:pPr>
              <w:spacing w:line="360" w:lineRule="auto"/>
              <w:ind w:right="36" w:rightChars="15"/>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采购文件确认</w:t>
            </w:r>
            <w:r>
              <w:rPr>
                <w:rFonts w:hint="eastAsia" w:ascii="仿宋" w:hAnsi="仿宋" w:eastAsia="仿宋" w:cs="仿宋"/>
                <w:b/>
                <w:bCs/>
                <w:sz w:val="32"/>
                <w:szCs w:val="32"/>
                <w:highlight w:val="none"/>
                <w:lang w:val="en-US" w:eastAsia="zh-CN"/>
              </w:rPr>
              <w:t>表</w:t>
            </w:r>
          </w:p>
          <w:p w14:paraId="1EDB5CDC">
            <w:pPr>
              <w:spacing w:line="360" w:lineRule="auto"/>
              <w:ind w:firstLine="720" w:firstLineChars="300"/>
              <w:jc w:val="both"/>
              <w:rPr>
                <w:rFonts w:hint="eastAsia" w:ascii="仿宋" w:hAnsi="仿宋" w:eastAsia="仿宋" w:cs="仿宋"/>
                <w:sz w:val="24"/>
                <w:szCs w:val="24"/>
                <w:highlight w:val="none"/>
                <w:lang w:val="en-US" w:eastAsia="zh-CN"/>
              </w:rPr>
            </w:pPr>
          </w:p>
          <w:p w14:paraId="1014454E">
            <w:pPr>
              <w:spacing w:line="360" w:lineRule="auto"/>
              <w:jc w:val="both"/>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新疆恒晟华工程项目管理有限公司</w:t>
            </w:r>
            <w:r>
              <w:rPr>
                <w:rFonts w:hint="eastAsia" w:ascii="宋体" w:hAnsi="宋体" w:eastAsia="宋体" w:cs="宋体"/>
                <w:color w:val="000000"/>
                <w:kern w:val="0"/>
                <w:sz w:val="24"/>
                <w:szCs w:val="21"/>
                <w:highlight w:val="none"/>
                <w:lang w:bidi="ar"/>
              </w:rPr>
              <w:t xml:space="preserve"> </w:t>
            </w:r>
            <w:r>
              <w:rPr>
                <w:rFonts w:hint="eastAsia" w:ascii="仿宋" w:hAnsi="仿宋" w:eastAsia="仿宋" w:cs="仿宋"/>
                <w:sz w:val="28"/>
                <w:szCs w:val="28"/>
                <w:highlight w:val="none"/>
                <w:lang w:val="en-US" w:eastAsia="zh-CN"/>
              </w:rPr>
              <w:t>：</w:t>
            </w:r>
          </w:p>
          <w:p w14:paraId="4D8C3CDC">
            <w:pPr>
              <w:pStyle w:val="12"/>
              <w:kinsoku w:val="0"/>
              <w:overflowPunct w:val="0"/>
              <w:spacing w:before="14" w:line="360" w:lineRule="auto"/>
              <w:ind w:firstLine="840" w:firstLineChars="300"/>
              <w:jc w:val="both"/>
              <w:rPr>
                <w:rFonts w:hint="eastAsia" w:ascii="仿宋" w:hAnsi="仿宋" w:eastAsia="仿宋" w:cs="仿宋"/>
                <w:sz w:val="28"/>
                <w:szCs w:val="28"/>
                <w:highlight w:val="none"/>
                <w:lang w:val="en-US" w:eastAsia="zh-CN"/>
              </w:rPr>
            </w:pPr>
            <w:r>
              <w:rPr>
                <w:rFonts w:hint="eastAsia" w:ascii="仿宋" w:hAnsi="仿宋" w:eastAsia="仿宋" w:cs="Arial"/>
                <w:color w:val="auto"/>
                <w:sz w:val="28"/>
                <w:szCs w:val="28"/>
                <w:highlight w:val="none"/>
                <w:u w:val="single"/>
                <w:lang w:val="en-US" w:eastAsia="zh-CN"/>
              </w:rPr>
              <w:t>自治区地理信息公共服务平台系统功能优化及运维服务</w:t>
            </w:r>
            <w:r>
              <w:rPr>
                <w:rFonts w:hint="eastAsia" w:ascii="仿宋" w:hAnsi="仿宋" w:eastAsia="仿宋" w:cs="仿宋"/>
                <w:sz w:val="28"/>
                <w:szCs w:val="28"/>
                <w:highlight w:val="none"/>
                <w:u w:val="single"/>
                <w:lang w:val="en-US" w:eastAsia="zh-CN"/>
              </w:rPr>
              <w:t>（项目编号:</w:t>
            </w:r>
            <w:r>
              <w:rPr>
                <w:rFonts w:hint="eastAsia" w:ascii="仿宋" w:hAnsi="仿宋" w:eastAsia="仿宋" w:cs="仿宋"/>
                <w:kern w:val="2"/>
                <w:sz w:val="28"/>
                <w:szCs w:val="28"/>
                <w:highlight w:val="none"/>
                <w:u w:val="single"/>
                <w:lang w:val="en-US" w:eastAsia="zh-CN" w:bidi="ar-SA"/>
              </w:rPr>
              <w:t>HSH2025-ZB-02</w:t>
            </w:r>
            <w:r>
              <w:rPr>
                <w:rFonts w:hint="eastAsia" w:ascii="仿宋" w:hAnsi="仿宋" w:eastAsia="仿宋" w:cs="仿宋"/>
                <w:sz w:val="28"/>
                <w:szCs w:val="28"/>
                <w:highlight w:val="none"/>
                <w:u w:val="single"/>
                <w:lang w:val="en-US" w:eastAsia="zh-CN"/>
              </w:rPr>
              <w:t>）</w:t>
            </w:r>
            <w:r>
              <w:rPr>
                <w:rFonts w:hint="eastAsia" w:ascii="仿宋" w:hAnsi="仿宋" w:eastAsia="仿宋" w:cs="仿宋"/>
                <w:sz w:val="28"/>
                <w:szCs w:val="28"/>
                <w:highlight w:val="none"/>
                <w:lang w:val="en-US" w:eastAsia="zh-CN"/>
              </w:rPr>
              <w:t>采购文件，经我单位审核符合我单位提出的招标（采购）要求，同意对外发布。</w:t>
            </w:r>
          </w:p>
          <w:p w14:paraId="17A411B9">
            <w:pPr>
              <w:spacing w:line="360" w:lineRule="auto"/>
              <w:ind w:right="240"/>
              <w:jc w:val="both"/>
              <w:rPr>
                <w:rFonts w:hint="eastAsia" w:ascii="仿宋" w:hAnsi="仿宋" w:eastAsia="仿宋" w:cs="仿宋"/>
                <w:sz w:val="28"/>
                <w:szCs w:val="28"/>
                <w:highlight w:val="none"/>
              </w:rPr>
            </w:pPr>
          </w:p>
          <w:p w14:paraId="0B1910C1">
            <w:pPr>
              <w:spacing w:line="360" w:lineRule="auto"/>
              <w:ind w:right="240"/>
              <w:jc w:val="both"/>
              <w:rPr>
                <w:rFonts w:hint="eastAsia" w:ascii="仿宋" w:hAnsi="仿宋" w:eastAsia="仿宋" w:cs="仿宋"/>
                <w:sz w:val="28"/>
                <w:szCs w:val="28"/>
                <w:highlight w:val="none"/>
              </w:rPr>
            </w:pPr>
          </w:p>
          <w:p w14:paraId="29B0B72D">
            <w:pPr>
              <w:spacing w:line="360" w:lineRule="auto"/>
              <w:ind w:right="840"/>
              <w:jc w:val="both"/>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采购人：</w:t>
            </w:r>
            <w:r>
              <w:rPr>
                <w:rFonts w:hint="eastAsia" w:ascii="仿宋" w:hAnsi="仿宋" w:eastAsia="仿宋" w:cs="仿宋"/>
                <w:sz w:val="28"/>
                <w:szCs w:val="28"/>
                <w:highlight w:val="none"/>
                <w:u w:val="single"/>
                <w:lang w:val="en-US" w:eastAsia="zh-CN"/>
              </w:rPr>
              <w:t xml:space="preserve">        </w:t>
            </w:r>
            <w:r>
              <w:rPr>
                <w:rFonts w:hint="eastAsia" w:ascii="仿宋" w:hAnsi="仿宋" w:eastAsia="仿宋" w:cs="仿宋"/>
                <w:sz w:val="28"/>
                <w:szCs w:val="28"/>
                <w:highlight w:val="none"/>
                <w:u w:val="single"/>
              </w:rPr>
              <w:t>（盖章）</w:t>
            </w:r>
          </w:p>
          <w:p w14:paraId="46C03B7F">
            <w:pPr>
              <w:spacing w:line="360" w:lineRule="auto"/>
              <w:ind w:right="960"/>
              <w:jc w:val="both"/>
              <w:rPr>
                <w:rFonts w:hint="eastAsia" w:ascii="仿宋" w:hAnsi="仿宋" w:eastAsia="仿宋" w:cs="仿宋"/>
                <w:b/>
                <w:sz w:val="40"/>
                <w:szCs w:val="32"/>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04</w:t>
            </w:r>
            <w:r>
              <w:rPr>
                <w:rFonts w:hint="eastAsia" w:ascii="仿宋" w:hAnsi="仿宋" w:eastAsia="仿宋" w:cs="仿宋"/>
                <w:sz w:val="28"/>
                <w:szCs w:val="28"/>
                <w:highlight w:val="none"/>
              </w:rPr>
              <w:t>月</w:t>
            </w:r>
          </w:p>
        </w:tc>
      </w:tr>
    </w:tbl>
    <w:p w14:paraId="2BDC7A1E">
      <w:pPr>
        <w:jc w:val="center"/>
        <w:rPr>
          <w:rFonts w:hint="eastAsia" w:ascii="仿宋" w:hAnsi="仿宋" w:eastAsia="仿宋" w:cs="仿宋"/>
          <w:sz w:val="32"/>
          <w:szCs w:val="32"/>
          <w:highlight w:val="none"/>
          <w:lang w:val="en-US" w:eastAsia="zh-CN"/>
        </w:rPr>
        <w:sectPr>
          <w:headerReference r:id="rId4" w:type="default"/>
          <w:pgSz w:w="11906" w:h="16838"/>
          <w:pgMar w:top="1440" w:right="1800" w:bottom="1440" w:left="1800" w:header="851" w:footer="992" w:gutter="0"/>
          <w:pgNumType w:fmt="numberInDash"/>
          <w:cols w:space="0" w:num="1"/>
          <w:rtlGutter w:val="0"/>
          <w:docGrid w:type="lines" w:linePitch="387" w:charSpace="0"/>
        </w:sectPr>
      </w:pPr>
    </w:p>
    <w:p w14:paraId="46C94C5E">
      <w:pPr>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目 录</w:t>
      </w:r>
    </w:p>
    <w:p w14:paraId="7D471AB0">
      <w:pPr>
        <w:jc w:val="both"/>
        <w:rPr>
          <w:rFonts w:hint="eastAsia" w:ascii="仿宋" w:hAnsi="仿宋" w:eastAsia="仿宋" w:cs="仿宋"/>
          <w:sz w:val="24"/>
          <w:szCs w:val="24"/>
          <w:highlight w:val="none"/>
          <w:lang w:val="en-US" w:eastAsia="zh-CN"/>
        </w:rPr>
      </w:pPr>
    </w:p>
    <w:sdt>
      <w:sdtPr>
        <w:rPr>
          <w:rFonts w:hint="eastAsia" w:ascii="仿宋" w:hAnsi="仿宋" w:eastAsia="仿宋" w:cs="仿宋"/>
          <w:kern w:val="2"/>
          <w:sz w:val="21"/>
          <w:szCs w:val="24"/>
          <w:highlight w:val="none"/>
          <w:lang w:val="en-US" w:eastAsia="zh-CN" w:bidi="ar-SA"/>
        </w:rPr>
        <w:id w:val="147458556"/>
        <w15:color w:val="DBDBDB"/>
        <w:docPartObj>
          <w:docPartGallery w:val="Table of Contents"/>
          <w:docPartUnique/>
        </w:docPartObj>
      </w:sdtPr>
      <w:sdtEndPr>
        <w:rPr>
          <w:rFonts w:hint="eastAsia" w:ascii="仿宋" w:hAnsi="仿宋" w:eastAsia="仿宋" w:cs="仿宋"/>
          <w:b/>
          <w:kern w:val="2"/>
          <w:sz w:val="21"/>
          <w:szCs w:val="24"/>
          <w:highlight w:val="none"/>
          <w:lang w:val="en-US" w:eastAsia="zh-CN" w:bidi="ar-SA"/>
        </w:rPr>
      </w:sdtEndPr>
      <w:sdtContent>
        <w:p w14:paraId="4ED0E08E">
          <w:pPr>
            <w:jc w:val="both"/>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lang w:val="en-US" w:eastAsia="zh-CN"/>
            </w:rPr>
            <w:fldChar w:fldCharType="begin"/>
          </w:r>
          <w:r>
            <w:rPr>
              <w:rFonts w:hint="eastAsia" w:ascii="仿宋" w:hAnsi="仿宋" w:eastAsia="仿宋" w:cs="仿宋"/>
              <w:sz w:val="24"/>
              <w:szCs w:val="24"/>
              <w:highlight w:val="none"/>
              <w:lang w:val="en-US" w:eastAsia="zh-CN"/>
            </w:rPr>
            <w:instrText xml:space="preserve">TOC \o "1-2" \h \u </w:instrText>
          </w:r>
          <w:r>
            <w:rPr>
              <w:rFonts w:hint="eastAsia" w:ascii="仿宋" w:hAnsi="仿宋" w:eastAsia="仿宋" w:cs="仿宋"/>
              <w:sz w:val="24"/>
              <w:szCs w:val="24"/>
              <w:highlight w:val="none"/>
              <w:lang w:val="en-US" w:eastAsia="zh-CN"/>
            </w:rPr>
            <w:fldChar w:fldCharType="separate"/>
          </w:r>
        </w:p>
        <w:p w14:paraId="01C37899">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_Toc30793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rPr>
            <w:t xml:space="preserve">第一章 </w:t>
          </w:r>
          <w:r>
            <w:rPr>
              <w:rFonts w:hint="eastAsia" w:ascii="仿宋" w:hAnsi="仿宋" w:eastAsia="仿宋" w:cs="仿宋"/>
              <w:b/>
              <w:bCs/>
              <w:sz w:val="28"/>
              <w:szCs w:val="28"/>
              <w:highlight w:val="none"/>
              <w:lang w:val="en-US" w:eastAsia="zh-CN"/>
            </w:rPr>
            <w:t>竞争性磋商</w:t>
          </w:r>
          <w:r>
            <w:rPr>
              <w:rFonts w:hint="eastAsia" w:ascii="仿宋" w:hAnsi="仿宋" w:eastAsia="仿宋" w:cs="仿宋"/>
              <w:b/>
              <w:bCs/>
              <w:sz w:val="28"/>
              <w:szCs w:val="28"/>
              <w:highlight w:val="none"/>
            </w:rPr>
            <w:t>公告</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_Toc30793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4</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0B132D4E">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_Toc17816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第二章 供应商须知前附表</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_Toc17816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7</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2670587B">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_Toc13270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第三章 供应商须知</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_Toc13270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12</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55A5F904">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_Toc19762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第四章 政府采购合同</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_Toc19762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29</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1D3EADA7">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_Toc32043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第五章 采购需求</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_Toc32043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36</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51B9C283">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_Toc20162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第六章 评标程序、评标方法和评标标准</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_Toc20162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36</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75BC1F2B">
          <w:pPr>
            <w:pStyle w:val="20"/>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_Toc9602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第七章 响应文件格式</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_Toc9602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49</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16DF578E">
          <w:pPr>
            <w:pStyle w:val="22"/>
            <w:tabs>
              <w:tab w:val="right" w:leader="dot" w:pos="8306"/>
            </w:tabs>
            <w:rPr>
              <w:highlight w:val="none"/>
            </w:rPr>
          </w:pPr>
        </w:p>
        <w:p w14:paraId="1E43B93B">
          <w:pPr>
            <w:spacing w:before="0" w:beforeLines="0" w:after="0" w:afterLines="0" w:line="240" w:lineRule="auto"/>
            <w:ind w:left="0" w:leftChars="0" w:right="0" w:rightChars="0" w:firstLine="0" w:firstLineChars="0"/>
            <w:jc w:val="center"/>
            <w:rPr>
              <w:rFonts w:hint="eastAsia" w:ascii="仿宋" w:hAnsi="仿宋" w:eastAsia="仿宋" w:cs="仿宋"/>
              <w:sz w:val="24"/>
              <w:szCs w:val="24"/>
              <w:highlight w:val="none"/>
              <w:lang w:val="en-US" w:eastAsia="zh-CN"/>
            </w:rPr>
          </w:pPr>
          <w:r>
            <w:rPr>
              <w:rFonts w:hint="eastAsia" w:ascii="仿宋" w:hAnsi="仿宋" w:eastAsia="仿宋" w:cs="仿宋"/>
              <w:b/>
              <w:szCs w:val="24"/>
              <w:highlight w:val="none"/>
              <w:lang w:val="en-US" w:eastAsia="zh-CN"/>
            </w:rPr>
            <w:fldChar w:fldCharType="end"/>
          </w:r>
        </w:p>
      </w:sdtContent>
    </w:sdt>
    <w:p w14:paraId="007B5D88">
      <w:pPr>
        <w:pStyle w:val="2"/>
        <w:numPr>
          <w:ilvl w:val="0"/>
          <w:numId w:val="1"/>
        </w:numPr>
        <w:bidi w:val="0"/>
        <w:jc w:val="center"/>
        <w:rPr>
          <w:rFonts w:hint="eastAsia" w:ascii="仿宋" w:hAnsi="仿宋" w:eastAsia="仿宋" w:cs="仿宋"/>
          <w:sz w:val="32"/>
          <w:szCs w:val="32"/>
          <w:highlight w:val="none"/>
        </w:rPr>
        <w:sectPr>
          <w:footerReference r:id="rId5" w:type="default"/>
          <w:pgSz w:w="11906" w:h="16838"/>
          <w:pgMar w:top="1440" w:right="1800" w:bottom="1440" w:left="1800" w:header="851" w:footer="992" w:gutter="0"/>
          <w:pgNumType w:fmt="numberInDash"/>
          <w:cols w:space="0" w:num="1"/>
          <w:rtlGutter w:val="0"/>
          <w:docGrid w:type="lines" w:linePitch="387" w:charSpace="0"/>
        </w:sectPr>
      </w:pPr>
    </w:p>
    <w:p w14:paraId="2AE8F726">
      <w:pPr>
        <w:pStyle w:val="2"/>
        <w:numPr>
          <w:ilvl w:val="0"/>
          <w:numId w:val="1"/>
        </w:numPr>
        <w:bidi w:val="0"/>
        <w:jc w:val="center"/>
        <w:rPr>
          <w:rFonts w:hint="eastAsia" w:ascii="仿宋" w:hAnsi="仿宋" w:eastAsia="仿宋" w:cs="仿宋"/>
          <w:sz w:val="32"/>
          <w:szCs w:val="32"/>
          <w:highlight w:val="none"/>
        </w:rPr>
      </w:pPr>
      <w:bookmarkStart w:id="0" w:name="_Toc30793"/>
      <w:r>
        <w:rPr>
          <w:rFonts w:hint="eastAsia" w:ascii="仿宋" w:hAnsi="仿宋" w:eastAsia="仿宋" w:cs="仿宋"/>
          <w:sz w:val="32"/>
          <w:szCs w:val="32"/>
          <w:highlight w:val="none"/>
          <w:lang w:val="en-US" w:eastAsia="zh-CN"/>
        </w:rPr>
        <w:t>竞争性磋商</w:t>
      </w:r>
      <w:r>
        <w:rPr>
          <w:rFonts w:hint="eastAsia" w:ascii="仿宋" w:hAnsi="仿宋" w:eastAsia="仿宋" w:cs="仿宋"/>
          <w:sz w:val="32"/>
          <w:szCs w:val="32"/>
          <w:highlight w:val="none"/>
        </w:rPr>
        <w:t>公告</w:t>
      </w:r>
      <w:bookmarkEnd w:id="0"/>
    </w:p>
    <w:p w14:paraId="20F6053C">
      <w:pPr>
        <w:keepNext w:val="0"/>
        <w:keepLines w:val="0"/>
        <w:pageBreakBefore w:val="0"/>
        <w:widowControl w:val="0"/>
        <w:kinsoku/>
        <w:wordWrap/>
        <w:overflowPunct/>
        <w:topLinePunct w:val="0"/>
        <w:bidi w:val="0"/>
        <w:adjustRightInd/>
        <w:snapToGrid/>
        <w:spacing w:line="500" w:lineRule="exact"/>
        <w:textAlignment w:val="auto"/>
        <w:rPr>
          <w:rFonts w:hint="eastAsia" w:ascii="仿宋" w:hAnsi="仿宋" w:eastAsia="仿宋" w:cs="仿宋"/>
          <w:color w:val="auto"/>
          <w:highlight w:val="none"/>
        </w:rPr>
      </w:pPr>
      <w:r>
        <w:rPr>
          <w:rFonts w:hint="eastAsia" w:ascii="仿宋" w:hAnsi="仿宋" w:eastAsia="仿宋" w:cs="仿宋"/>
          <w:b/>
          <w:bCs/>
          <w:color w:val="auto"/>
          <w:highlight w:val="none"/>
        </w:rPr>
        <w:t xml:space="preserve">项目概况 </w:t>
      </w:r>
      <w:r>
        <w:rPr>
          <w:rFonts w:hint="eastAsia" w:ascii="仿宋" w:hAnsi="仿宋" w:eastAsia="仿宋" w:cs="仿宋"/>
          <w:color w:val="auto"/>
          <w:highlight w:val="none"/>
        </w:rPr>
        <w:t xml:space="preserve">                                                   </w:t>
      </w:r>
    </w:p>
    <w:p w14:paraId="418BE60F">
      <w:pPr>
        <w:pStyle w:val="12"/>
        <w:kinsoku w:val="0"/>
        <w:overflowPunct w:val="0"/>
        <w:spacing w:before="14" w:line="360" w:lineRule="auto"/>
        <w:ind w:firstLine="480" w:firstLineChars="200"/>
        <w:jc w:val="both"/>
        <w:rPr>
          <w:rFonts w:hint="eastAsia" w:ascii="仿宋" w:hAnsi="仿宋" w:eastAsia="仿宋" w:cs="仿宋"/>
          <w:sz w:val="32"/>
          <w:szCs w:val="32"/>
          <w:highlight w:val="none"/>
        </w:rPr>
      </w:pPr>
      <w:r>
        <w:rPr>
          <w:rFonts w:hint="eastAsia" w:ascii="仿宋" w:hAnsi="仿宋" w:eastAsia="仿宋" w:cs="仿宋"/>
          <w:i w:val="0"/>
          <w:iCs w:val="0"/>
          <w:caps w:val="0"/>
          <w:color w:val="auto"/>
          <w:spacing w:val="0"/>
          <w:sz w:val="24"/>
          <w:szCs w:val="24"/>
          <w:highlight w:val="none"/>
          <w:lang w:val="en-US" w:eastAsia="zh-CN"/>
        </w:rPr>
        <w:t>自治区地理信息公共服务平台系统功能优化及运维服务</w:t>
      </w:r>
      <w:r>
        <w:rPr>
          <w:rFonts w:hint="eastAsia" w:ascii="仿宋" w:hAnsi="仿宋" w:eastAsia="仿宋" w:cs="仿宋"/>
          <w:color w:val="auto"/>
          <w:highlight w:val="none"/>
        </w:rPr>
        <w:t>的潜在供应商应在政采云平台http://www.zcygov.cn/获取采购文件，并于</w:t>
      </w:r>
      <w:r>
        <w:rPr>
          <w:rFonts w:hint="eastAsia" w:ascii="仿宋" w:hAnsi="仿宋" w:eastAsia="仿宋" w:cs="仿宋"/>
          <w:color w:val="auto"/>
          <w:highlight w:val="none"/>
          <w:lang w:eastAsia="zh-CN"/>
        </w:rPr>
        <w:t>2025年04月21日</w:t>
      </w:r>
      <w:r>
        <w:rPr>
          <w:rFonts w:hint="eastAsia" w:ascii="仿宋" w:hAnsi="仿宋" w:eastAsia="仿宋" w:cs="仿宋"/>
          <w:color w:val="auto"/>
          <w:highlight w:val="none"/>
        </w:rPr>
        <w:t>11:00（北京时间）前提交响应性文件。</w:t>
      </w:r>
    </w:p>
    <w:p w14:paraId="3BEC9193">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1" w:name="_Toc6343"/>
      <w:r>
        <w:rPr>
          <w:rFonts w:hint="eastAsia" w:ascii="仿宋" w:hAnsi="仿宋" w:eastAsia="仿宋" w:cs="仿宋"/>
          <w:b/>
          <w:bCs/>
          <w:sz w:val="24"/>
          <w:szCs w:val="24"/>
          <w:highlight w:val="none"/>
        </w:rPr>
        <w:t>项目基本情况</w:t>
      </w:r>
      <w:bookmarkEnd w:id="1"/>
    </w:p>
    <w:p w14:paraId="34A0683A">
      <w:pPr>
        <w:pStyle w:val="23"/>
        <w:adjustRightInd w:val="0"/>
        <w:snapToGrid w:val="0"/>
        <w:spacing w:before="0" w:beforeAutospacing="0" w:after="0" w:afterAutospacing="0" w:line="440" w:lineRule="exact"/>
        <w:jc w:val="both"/>
        <w:rPr>
          <w:rFonts w:hint="eastAsia" w:eastAsia="宋体"/>
          <w:color w:val="000000"/>
          <w:highlight w:val="none"/>
          <w:lang w:eastAsia="zh-CN"/>
        </w:rPr>
      </w:pPr>
      <w:r>
        <w:rPr>
          <w:rFonts w:hint="eastAsia" w:ascii="仿宋" w:hAnsi="仿宋" w:eastAsia="仿宋" w:cs="仿宋"/>
          <w:sz w:val="24"/>
          <w:szCs w:val="24"/>
          <w:highlight w:val="none"/>
        </w:rPr>
        <w:t>项目编号</w:t>
      </w:r>
      <w:r>
        <w:rPr>
          <w:rFonts w:hint="eastAsia" w:ascii="仿宋" w:hAnsi="仿宋" w:eastAsia="仿宋" w:cs="仿宋"/>
          <w:kern w:val="2"/>
          <w:sz w:val="24"/>
          <w:szCs w:val="24"/>
          <w:highlight w:val="none"/>
          <w:lang w:val="en-US" w:eastAsia="zh-CN" w:bidi="ar-SA"/>
        </w:rPr>
        <w:t>：HSH2025-ZB-02</w:t>
      </w:r>
    </w:p>
    <w:p w14:paraId="68DFE290">
      <w:pPr>
        <w:pStyle w:val="12"/>
        <w:kinsoku w:val="0"/>
        <w:overflowPunct w:val="0"/>
        <w:spacing w:before="14" w:line="360" w:lineRule="auto"/>
        <w:jc w:val="both"/>
        <w:rPr>
          <w:rFonts w:hint="eastAsia" w:ascii="宋体" w:hAnsi="宋体" w:eastAsia="宋体" w:cs="宋体"/>
          <w:color w:val="000000"/>
          <w:szCs w:val="21"/>
          <w:highlight w:val="none"/>
          <w:lang w:bidi="ar"/>
        </w:rPr>
      </w:pPr>
      <w:r>
        <w:rPr>
          <w:rFonts w:hint="eastAsia" w:ascii="仿宋" w:hAnsi="仿宋" w:eastAsia="仿宋" w:cs="仿宋"/>
          <w:sz w:val="24"/>
          <w:szCs w:val="24"/>
          <w:highlight w:val="none"/>
        </w:rPr>
        <w:t>项目名称：</w:t>
      </w:r>
      <w:r>
        <w:rPr>
          <w:rFonts w:hint="eastAsia" w:ascii="仿宋" w:hAnsi="仿宋" w:eastAsia="仿宋" w:cs="仿宋"/>
          <w:i w:val="0"/>
          <w:iCs w:val="0"/>
          <w:caps w:val="0"/>
          <w:color w:val="auto"/>
          <w:spacing w:val="0"/>
          <w:sz w:val="24"/>
          <w:szCs w:val="24"/>
          <w:highlight w:val="none"/>
          <w:lang w:val="en-US" w:eastAsia="zh-CN"/>
        </w:rPr>
        <w:t>自治区地理信息公共服务平台系统功能优化及运维服务</w:t>
      </w:r>
    </w:p>
    <w:p w14:paraId="1CF67F1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采购方式：</w:t>
      </w:r>
      <w:r>
        <w:rPr>
          <w:rFonts w:hint="eastAsia" w:ascii="仿宋" w:hAnsi="仿宋" w:eastAsia="仿宋" w:cs="仿宋"/>
          <w:sz w:val="24"/>
          <w:szCs w:val="24"/>
          <w:highlight w:val="none"/>
          <w:lang w:val="en-US" w:eastAsia="zh-CN"/>
        </w:rPr>
        <w:t>竞争性磋商</w:t>
      </w:r>
    </w:p>
    <w:p w14:paraId="31C9F117">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 xml:space="preserve"> </w:t>
      </w:r>
      <w:r>
        <w:rPr>
          <w:rStyle w:val="45"/>
          <w:rFonts w:hint="eastAsia"/>
          <w:color w:val="000000"/>
          <w:highlight w:val="none"/>
          <w:lang w:val="en-US" w:eastAsia="zh-CN"/>
        </w:rPr>
        <w:t>600000</w:t>
      </w:r>
      <w:r>
        <w:rPr>
          <w:rFonts w:hint="eastAsia" w:ascii="仿宋" w:hAnsi="仿宋" w:eastAsia="仿宋" w:cs="仿宋"/>
          <w:sz w:val="24"/>
          <w:szCs w:val="24"/>
          <w:highlight w:val="none"/>
          <w:lang w:val="en-US" w:eastAsia="zh-CN"/>
        </w:rPr>
        <w:t>元</w:t>
      </w:r>
    </w:p>
    <w:p w14:paraId="29B25EE1">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eastAsia="zh-CN"/>
        </w:rPr>
        <w:t xml:space="preserve"> </w:t>
      </w:r>
      <w:r>
        <w:rPr>
          <w:rStyle w:val="45"/>
          <w:rFonts w:hint="eastAsia"/>
          <w:color w:val="000000"/>
          <w:highlight w:val="none"/>
          <w:lang w:val="en-US" w:eastAsia="zh-CN"/>
        </w:rPr>
        <w:t>600000</w:t>
      </w:r>
      <w:r>
        <w:rPr>
          <w:rFonts w:hint="eastAsia" w:ascii="仿宋" w:hAnsi="仿宋" w:eastAsia="仿宋" w:cs="仿宋"/>
          <w:sz w:val="24"/>
          <w:szCs w:val="24"/>
          <w:highlight w:val="none"/>
          <w:lang w:val="en-US" w:eastAsia="zh-CN"/>
        </w:rPr>
        <w:t>元</w:t>
      </w:r>
    </w:p>
    <w:p w14:paraId="7A828A2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采购需求：</w:t>
      </w:r>
    </w:p>
    <w:p w14:paraId="0DD8FFE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标项一:</w:t>
      </w:r>
    </w:p>
    <w:p w14:paraId="62DDC6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sz w:val="24"/>
          <w:szCs w:val="24"/>
          <w:highlight w:val="none"/>
        </w:rPr>
        <w:t>标项名称:</w:t>
      </w:r>
      <w:r>
        <w:rPr>
          <w:rFonts w:hint="eastAsia" w:ascii="仿宋" w:hAnsi="仿宋" w:eastAsia="仿宋" w:cs="仿宋"/>
          <w:i w:val="0"/>
          <w:iCs w:val="0"/>
          <w:caps w:val="0"/>
          <w:color w:val="auto"/>
          <w:spacing w:val="0"/>
          <w:sz w:val="24"/>
          <w:szCs w:val="24"/>
          <w:highlight w:val="none"/>
          <w:lang w:val="en-US" w:eastAsia="zh-CN"/>
        </w:rPr>
        <w:t>自治区地理信息公共服务平台系统功能优化及运维服务</w:t>
      </w:r>
    </w:p>
    <w:p w14:paraId="3A341E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数量:</w:t>
      </w:r>
      <w:r>
        <w:rPr>
          <w:rFonts w:hint="eastAsia" w:ascii="仿宋" w:hAnsi="仿宋" w:eastAsia="仿宋" w:cs="仿宋"/>
          <w:sz w:val="24"/>
          <w:szCs w:val="24"/>
          <w:highlight w:val="none"/>
          <w:lang w:val="en-US" w:eastAsia="zh-CN"/>
        </w:rPr>
        <w:t>不限</w:t>
      </w:r>
    </w:p>
    <w:p w14:paraId="0D6008F2">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 xml:space="preserve"> </w:t>
      </w:r>
      <w:r>
        <w:rPr>
          <w:rStyle w:val="45"/>
          <w:rFonts w:hint="eastAsia"/>
          <w:color w:val="000000"/>
          <w:highlight w:val="none"/>
          <w:lang w:val="en-US" w:eastAsia="zh-CN"/>
        </w:rPr>
        <w:t>600000</w:t>
      </w:r>
    </w:p>
    <w:p w14:paraId="4DD3E7FB">
      <w:pPr>
        <w:widowControl/>
        <w:adjustRightInd w:val="0"/>
        <w:snapToGrid w:val="0"/>
        <w:spacing w:line="440" w:lineRule="exact"/>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sz w:val="24"/>
          <w:szCs w:val="24"/>
          <w:highlight w:val="none"/>
        </w:rPr>
        <w:t>简要规格描述或项目基本概况介绍、用途：</w:t>
      </w:r>
      <w:r>
        <w:rPr>
          <w:rFonts w:hint="eastAsia" w:ascii="仿宋" w:hAnsi="仿宋" w:eastAsia="仿宋" w:cs="仿宋"/>
          <w:sz w:val="24"/>
          <w:szCs w:val="24"/>
          <w:highlight w:val="none"/>
          <w:lang w:val="en-US" w:eastAsia="zh-CN"/>
        </w:rPr>
        <w:t>为更好的开展2025年自治区地理信息公共服务平台运维工作，需对平台在线协同更新云数据库、自治区在线协同更新云数据库管理工具、在线制图等功能进行优化；定制开发平台服务巡检系统，对政务版进行国产化适配改造及门户升级工作。</w:t>
      </w:r>
      <w:r>
        <w:rPr>
          <w:rFonts w:hint="eastAsia" w:ascii="仿宋" w:hAnsi="仿宋" w:eastAsia="仿宋" w:cs="微软雅黑"/>
          <w:color w:val="auto"/>
          <w:sz w:val="24"/>
          <w:highlight w:val="none"/>
          <w:lang w:eastAsia="zh-CN"/>
        </w:rPr>
        <w:t>具体详见招标文件</w:t>
      </w:r>
      <w:r>
        <w:rPr>
          <w:rFonts w:hint="eastAsia" w:ascii="仿宋" w:hAnsi="仿宋" w:eastAsia="仿宋" w:cs="宋体"/>
          <w:color w:val="auto"/>
          <w:sz w:val="24"/>
          <w:highlight w:val="none"/>
        </w:rPr>
        <w:t>采购需求。</w:t>
      </w:r>
    </w:p>
    <w:p w14:paraId="2F0782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备注：</w:t>
      </w:r>
      <w:r>
        <w:rPr>
          <w:rFonts w:hint="eastAsia" w:ascii="仿宋" w:hAnsi="仿宋" w:eastAsia="仿宋" w:cs="仿宋"/>
          <w:sz w:val="24"/>
          <w:szCs w:val="24"/>
          <w:highlight w:val="none"/>
          <w:lang w:val="en-US" w:eastAsia="zh-CN"/>
        </w:rPr>
        <w:t>/</w:t>
      </w:r>
    </w:p>
    <w:p w14:paraId="203972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合同履约期限：</w:t>
      </w:r>
      <w:r>
        <w:rPr>
          <w:rFonts w:hint="eastAsia" w:ascii="仿宋" w:hAnsi="仿宋" w:eastAsia="仿宋" w:cs="仿宋"/>
          <w:sz w:val="24"/>
          <w:szCs w:val="24"/>
          <w:highlight w:val="none"/>
          <w:lang w:val="en-US" w:eastAsia="zh-CN"/>
        </w:rPr>
        <w:t>以甲乙双方签订合同为准</w:t>
      </w:r>
    </w:p>
    <w:p w14:paraId="56A8BE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14:paraId="067B3CB8">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2" w:name="_Toc7676"/>
      <w:r>
        <w:rPr>
          <w:rFonts w:hint="eastAsia" w:ascii="仿宋" w:hAnsi="仿宋" w:eastAsia="仿宋" w:cs="仿宋"/>
          <w:b/>
          <w:bCs/>
          <w:sz w:val="24"/>
          <w:szCs w:val="24"/>
          <w:highlight w:val="none"/>
        </w:rPr>
        <w:t>申请人的资格要求：</w:t>
      </w:r>
      <w:bookmarkEnd w:id="2"/>
    </w:p>
    <w:p w14:paraId="50B7A37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1.满足《中华人民共和国政府采购法》第二十二条规定；</w:t>
      </w:r>
    </w:p>
    <w:p w14:paraId="6E85F888">
      <w:pPr>
        <w:pStyle w:val="25"/>
        <w:keepNext w:val="0"/>
        <w:keepLines w:val="0"/>
        <w:pageBreakBefore w:val="0"/>
        <w:widowControl w:val="0"/>
        <w:kinsoku/>
        <w:wordWrap/>
        <w:overflowPunct/>
        <w:topLinePunct w:val="0"/>
        <w:bidi w:val="0"/>
        <w:adjustRightInd/>
        <w:snapToGrid/>
        <w:spacing w:after="0" w:line="500" w:lineRule="exact"/>
        <w:ind w:left="0" w:leftChars="0" w:firstLine="0" w:firstLineChars="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2.落实政府采购政策需满足的资格要求：</w:t>
      </w:r>
      <w:r>
        <w:rPr>
          <w:rFonts w:hint="eastAsia" w:ascii="仿宋" w:hAnsi="仿宋" w:eastAsia="仿宋" w:cs="仿宋"/>
          <w:b w:val="0"/>
          <w:bCs w:val="0"/>
          <w:color w:val="auto"/>
          <w:sz w:val="24"/>
          <w:szCs w:val="24"/>
          <w:highlight w:val="none"/>
          <w:lang w:val="en-US" w:eastAsia="zh-CN"/>
        </w:rPr>
        <w:t>本项目专门面向中小企业采购，投标单位应符合《政府采购促进中小企业发展管理办法》(财库〔2020〕46号) 第四条规定的情形，且应当提供《政府采购促进中小企业发展管理办法》(财库〔2020〕46号)规定的《中小企业声明函》。</w:t>
      </w:r>
    </w:p>
    <w:p w14:paraId="096E9D73">
      <w:pPr>
        <w:widowControl/>
        <w:adjustRightInd w:val="0"/>
        <w:snapToGrid w:val="0"/>
        <w:spacing w:line="440" w:lineRule="exact"/>
        <w:ind w:firstLine="480" w:firstLineChars="200"/>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3.本项目的特定资格要求：具备测绘乙级（含乙级）及以上资质</w:t>
      </w:r>
    </w:p>
    <w:p w14:paraId="0B3A7FB3">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3" w:name="_Toc19394"/>
      <w:r>
        <w:rPr>
          <w:rFonts w:hint="eastAsia" w:ascii="仿宋" w:hAnsi="仿宋" w:eastAsia="仿宋" w:cs="仿宋"/>
          <w:b/>
          <w:bCs/>
          <w:sz w:val="24"/>
          <w:szCs w:val="24"/>
          <w:highlight w:val="none"/>
          <w:lang w:val="en-US" w:eastAsia="zh-CN"/>
        </w:rPr>
        <w:t>获取采购文件</w:t>
      </w:r>
      <w:bookmarkEnd w:id="3"/>
    </w:p>
    <w:p w14:paraId="7FC3EAA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时间：</w:t>
      </w:r>
      <w:r>
        <w:rPr>
          <w:rFonts w:hint="eastAsia" w:ascii="仿宋" w:hAnsi="仿宋" w:eastAsia="仿宋" w:cs="仿宋"/>
          <w:sz w:val="24"/>
          <w:szCs w:val="24"/>
          <w:highlight w:val="none"/>
          <w:lang w:eastAsia="zh-CN"/>
        </w:rPr>
        <w:t>2025年04月10日至2025年04月17日</w:t>
      </w:r>
      <w:r>
        <w:rPr>
          <w:rFonts w:hint="eastAsia" w:ascii="仿宋" w:hAnsi="仿宋" w:eastAsia="仿宋" w:cs="仿宋"/>
          <w:sz w:val="24"/>
          <w:szCs w:val="24"/>
          <w:highlight w:val="none"/>
        </w:rPr>
        <w:t>，每天上午</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rPr>
        <w:t>:00至12:00，下午12:00至</w:t>
      </w:r>
      <w:r>
        <w:rPr>
          <w:rFonts w:hint="eastAsia" w:ascii="仿宋" w:hAnsi="仿宋" w:eastAsia="仿宋" w:cs="仿宋"/>
          <w:sz w:val="24"/>
          <w:szCs w:val="24"/>
          <w:highlight w:val="none"/>
          <w:lang w:val="en-US" w:eastAsia="zh-CN"/>
        </w:rPr>
        <w:t>23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59</w:t>
      </w:r>
      <w:r>
        <w:rPr>
          <w:rFonts w:hint="eastAsia" w:ascii="仿宋" w:hAnsi="仿宋" w:eastAsia="仿宋" w:cs="仿宋"/>
          <w:sz w:val="24"/>
          <w:szCs w:val="24"/>
          <w:highlight w:val="none"/>
        </w:rPr>
        <w:t>（北京时间，法定节假日除外）</w:t>
      </w:r>
    </w:p>
    <w:p w14:paraId="51A1EA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地点：政采云平台（https://www.zcygov.cn/）</w:t>
      </w:r>
    </w:p>
    <w:p w14:paraId="437F03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方式：供应商登录政采云平台https://www.zcygov.cn/在线申请获取采购文件（进入“项目采购”应用，在获取采购文件菜单中选择项目，申请获取采购文件）本次招标不提供纸质版采购文件。</w:t>
      </w:r>
    </w:p>
    <w:p w14:paraId="0DCA4A9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rPr>
      </w:pPr>
      <w:r>
        <w:rPr>
          <w:rFonts w:hint="eastAsia" w:ascii="仿宋" w:hAnsi="仿宋" w:eastAsia="仿宋" w:cs="仿宋"/>
          <w:b w:val="0"/>
          <w:bCs w:val="0"/>
          <w:sz w:val="24"/>
          <w:szCs w:val="24"/>
          <w:highlight w:val="none"/>
          <w:lang w:val="en-US" w:eastAsia="zh-CN"/>
        </w:rPr>
        <w:t xml:space="preserve">售价（元）：0元 </w:t>
      </w:r>
    </w:p>
    <w:p w14:paraId="382DADB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4" w:name="_Toc30188"/>
      <w:r>
        <w:rPr>
          <w:rFonts w:hint="eastAsia" w:ascii="仿宋" w:hAnsi="仿宋" w:eastAsia="仿宋" w:cs="仿宋"/>
          <w:b/>
          <w:bCs/>
          <w:sz w:val="24"/>
          <w:szCs w:val="24"/>
          <w:highlight w:val="none"/>
          <w:lang w:val="en-US" w:eastAsia="zh-CN"/>
        </w:rPr>
        <w:t>响应文件提交</w:t>
      </w:r>
      <w:bookmarkEnd w:id="4"/>
      <w:r>
        <w:rPr>
          <w:rFonts w:hint="eastAsia" w:ascii="仿宋" w:hAnsi="仿宋" w:eastAsia="仿宋" w:cs="仿宋"/>
          <w:b/>
          <w:bCs/>
          <w:sz w:val="24"/>
          <w:szCs w:val="24"/>
          <w:highlight w:val="none"/>
          <w:lang w:val="en-US" w:eastAsia="zh-CN"/>
        </w:rPr>
        <w:t xml:space="preserve"> </w:t>
      </w:r>
    </w:p>
    <w:p w14:paraId="4E1EF57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截止时间：</w:t>
      </w:r>
      <w:r>
        <w:rPr>
          <w:rFonts w:hint="eastAsia" w:ascii="仿宋" w:hAnsi="仿宋" w:eastAsia="仿宋" w:cs="仿宋"/>
          <w:sz w:val="24"/>
          <w:szCs w:val="24"/>
          <w:highlight w:val="none"/>
          <w:lang w:eastAsia="zh-CN"/>
        </w:rPr>
        <w:t>2025年04月21日</w:t>
      </w:r>
      <w:r>
        <w:rPr>
          <w:rFonts w:hint="eastAsia" w:ascii="仿宋" w:hAnsi="仿宋" w:eastAsia="仿宋" w:cs="仿宋"/>
          <w:sz w:val="24"/>
          <w:szCs w:val="24"/>
          <w:highlight w:val="none"/>
        </w:rPr>
        <w:t xml:space="preserve"> 11:00（北京时间）</w:t>
      </w:r>
    </w:p>
    <w:p w14:paraId="6FAAA6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地    点：政采云平台（https://www.zcygov.cn/），本项目采用不见面开标，加密的电子响应文件在响应截止时间前在政采云平台上传。</w:t>
      </w:r>
    </w:p>
    <w:p w14:paraId="4677515F">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5" w:name="_Toc23021"/>
      <w:r>
        <w:rPr>
          <w:rFonts w:hint="eastAsia" w:ascii="仿宋" w:hAnsi="仿宋" w:eastAsia="仿宋" w:cs="仿宋"/>
          <w:b/>
          <w:bCs/>
          <w:sz w:val="24"/>
          <w:szCs w:val="24"/>
          <w:highlight w:val="none"/>
          <w:lang w:val="en-US" w:eastAsia="zh-CN"/>
        </w:rPr>
        <w:t>响应文件开启</w:t>
      </w:r>
      <w:bookmarkEnd w:id="5"/>
    </w:p>
    <w:p w14:paraId="12EE44D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开标时间：</w:t>
      </w:r>
      <w:r>
        <w:rPr>
          <w:rFonts w:hint="eastAsia" w:ascii="仿宋" w:hAnsi="仿宋" w:eastAsia="仿宋" w:cs="仿宋"/>
          <w:sz w:val="24"/>
          <w:szCs w:val="24"/>
          <w:highlight w:val="none"/>
          <w:lang w:eastAsia="zh-CN"/>
        </w:rPr>
        <w:t>2025年04月21日</w:t>
      </w:r>
      <w:r>
        <w:rPr>
          <w:rFonts w:hint="eastAsia" w:ascii="仿宋" w:hAnsi="仿宋" w:eastAsia="仿宋" w:cs="仿宋"/>
          <w:sz w:val="24"/>
          <w:szCs w:val="24"/>
          <w:highlight w:val="none"/>
        </w:rPr>
        <w:t xml:space="preserve"> 11:00（北京时间）</w:t>
      </w:r>
    </w:p>
    <w:p w14:paraId="68ADB42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开标地点：政采云平台（https://www.zcygov.cn/）不见面开标系统</w:t>
      </w:r>
    </w:p>
    <w:p w14:paraId="41231FE2">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6" w:name="_Toc20378"/>
      <w:r>
        <w:rPr>
          <w:rFonts w:hint="eastAsia" w:ascii="仿宋" w:hAnsi="仿宋" w:eastAsia="仿宋" w:cs="仿宋"/>
          <w:b/>
          <w:bCs/>
          <w:sz w:val="24"/>
          <w:szCs w:val="24"/>
          <w:highlight w:val="none"/>
          <w:lang w:val="en-US" w:eastAsia="zh-CN"/>
        </w:rPr>
        <w:t>公告期限</w:t>
      </w:r>
      <w:bookmarkEnd w:id="6"/>
      <w:r>
        <w:rPr>
          <w:rFonts w:hint="eastAsia" w:ascii="仿宋" w:hAnsi="仿宋" w:eastAsia="仿宋" w:cs="仿宋"/>
          <w:b/>
          <w:bCs/>
          <w:sz w:val="24"/>
          <w:szCs w:val="24"/>
          <w:highlight w:val="none"/>
          <w:lang w:val="en-US" w:eastAsia="zh-CN"/>
        </w:rPr>
        <w:t xml:space="preserve"> </w:t>
      </w:r>
    </w:p>
    <w:p w14:paraId="15341A9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自本公告发布之日起</w:t>
      </w:r>
      <w:r>
        <w:rPr>
          <w:rFonts w:hint="eastAsia" w:ascii="仿宋" w:hAnsi="仿宋" w:eastAsia="仿宋" w:cs="仿宋"/>
          <w:b w:val="0"/>
          <w:bCs w:val="0"/>
          <w:sz w:val="24"/>
          <w:szCs w:val="24"/>
          <w:highlight w:val="none"/>
          <w:lang w:val="en-US" w:eastAsia="zh-CN"/>
        </w:rPr>
        <w:t>3</w:t>
      </w:r>
      <w:r>
        <w:rPr>
          <w:rFonts w:hint="eastAsia" w:ascii="仿宋" w:hAnsi="仿宋" w:eastAsia="仿宋" w:cs="仿宋"/>
          <w:b w:val="0"/>
          <w:bCs w:val="0"/>
          <w:sz w:val="24"/>
          <w:szCs w:val="24"/>
          <w:highlight w:val="none"/>
        </w:rPr>
        <w:t>个工作日。</w:t>
      </w:r>
    </w:p>
    <w:p w14:paraId="68639AB3">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7" w:name="_Toc28152"/>
      <w:r>
        <w:rPr>
          <w:rFonts w:hint="eastAsia" w:ascii="仿宋" w:hAnsi="仿宋" w:eastAsia="仿宋" w:cs="仿宋"/>
          <w:b/>
          <w:bCs/>
          <w:sz w:val="24"/>
          <w:szCs w:val="24"/>
          <w:highlight w:val="none"/>
          <w:lang w:val="en-US" w:eastAsia="zh-CN"/>
        </w:rPr>
        <w:t>其他补充事宜</w:t>
      </w:r>
      <w:bookmarkEnd w:id="7"/>
      <w:r>
        <w:rPr>
          <w:rFonts w:hint="eastAsia" w:ascii="仿宋" w:hAnsi="仿宋" w:eastAsia="仿宋" w:cs="仿宋"/>
          <w:b/>
          <w:bCs/>
          <w:sz w:val="24"/>
          <w:szCs w:val="24"/>
          <w:highlight w:val="none"/>
          <w:lang w:val="en-US" w:eastAsia="zh-CN"/>
        </w:rPr>
        <w:t xml:space="preserve"> </w:t>
      </w:r>
    </w:p>
    <w:p w14:paraId="1554A61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1、关于本项目所有公告、公示在新疆政府采购网发布。</w:t>
      </w:r>
    </w:p>
    <w:p w14:paraId="23CF50D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2、请</w:t>
      </w:r>
      <w:r>
        <w:rPr>
          <w:rFonts w:hint="eastAsia" w:ascii="仿宋" w:hAnsi="仿宋" w:eastAsia="仿宋" w:cs="仿宋"/>
          <w:b w:val="0"/>
          <w:bCs w:val="0"/>
          <w:sz w:val="24"/>
          <w:szCs w:val="24"/>
          <w:highlight w:val="none"/>
          <w:lang w:eastAsia="zh-CN"/>
        </w:rPr>
        <w:t>磋商</w:t>
      </w:r>
      <w:r>
        <w:rPr>
          <w:rFonts w:hint="eastAsia" w:ascii="仿宋" w:hAnsi="仿宋" w:eastAsia="仿宋" w:cs="仿宋"/>
          <w:b w:val="0"/>
          <w:bCs w:val="0"/>
          <w:sz w:val="24"/>
          <w:szCs w:val="24"/>
          <w:highlight w:val="none"/>
        </w:rPr>
        <w:t>供应商随时关注本项目的澄清、答疑、变更事项。</w:t>
      </w:r>
    </w:p>
    <w:p w14:paraId="6FC1BF4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3、本项目实行电子招投标，供应商须登录政采云平台申请获取</w:t>
      </w:r>
      <w:r>
        <w:rPr>
          <w:rFonts w:hint="eastAsia" w:ascii="仿宋" w:hAnsi="仿宋" w:eastAsia="仿宋" w:cs="仿宋"/>
          <w:b w:val="0"/>
          <w:bCs w:val="0"/>
          <w:sz w:val="24"/>
          <w:szCs w:val="24"/>
          <w:highlight w:val="none"/>
          <w:lang w:eastAsia="zh-CN"/>
        </w:rPr>
        <w:t>采购文件</w:t>
      </w:r>
      <w:r>
        <w:rPr>
          <w:rFonts w:hint="eastAsia" w:ascii="仿宋" w:hAnsi="仿宋" w:eastAsia="仿宋" w:cs="仿宋"/>
          <w:b w:val="0"/>
          <w:bCs w:val="0"/>
          <w:sz w:val="24"/>
          <w:szCs w:val="24"/>
          <w:highlight w:val="none"/>
        </w:rPr>
        <w:t>，并通过政采云电子投标客户端制作响应文件，同时自行承担与投标有关的一切费用。</w:t>
      </w:r>
    </w:p>
    <w:p w14:paraId="68F7801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4、各供应商应在开标前确保成为新疆</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兵团</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政府采购网正式注册入库供应商，并完成CA数字证书申领。因未注册入库、未办理CA数字证书等原因造成无法投标或投标失败等后果由供应商自行承担。</w:t>
      </w:r>
    </w:p>
    <w:p w14:paraId="72D270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086B277B">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8" w:name="_Toc10078"/>
      <w:r>
        <w:rPr>
          <w:rFonts w:hint="eastAsia" w:ascii="仿宋" w:hAnsi="仿宋" w:eastAsia="仿宋" w:cs="仿宋"/>
          <w:b/>
          <w:bCs/>
          <w:sz w:val="24"/>
          <w:szCs w:val="24"/>
          <w:highlight w:val="none"/>
        </w:rPr>
        <w:t>对本次采购提出询问，请按以下方式联系</w:t>
      </w:r>
      <w:bookmarkEnd w:id="8"/>
    </w:p>
    <w:p w14:paraId="1668CE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14:paraId="2049E8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名称：</w:t>
      </w:r>
      <w:r>
        <w:rPr>
          <w:rFonts w:hint="eastAsia" w:ascii="仿宋" w:hAnsi="仿宋" w:eastAsia="仿宋" w:cs="仿宋"/>
          <w:b w:val="0"/>
          <w:bCs w:val="0"/>
          <w:color w:val="auto"/>
          <w:kern w:val="0"/>
          <w:sz w:val="24"/>
          <w:szCs w:val="24"/>
          <w:highlight w:val="none"/>
          <w:u w:val="none"/>
          <w:vertAlign w:val="baseline"/>
          <w:lang w:val="en-US" w:eastAsia="zh-CN" w:bidi="ar"/>
        </w:rPr>
        <w:t>新疆维吾尔自治区测绘成果中心</w:t>
      </w:r>
      <w:r>
        <w:rPr>
          <w:rFonts w:hint="eastAsia" w:ascii="仿宋" w:hAnsi="仿宋" w:eastAsia="仿宋" w:cs="仿宋"/>
          <w:sz w:val="24"/>
          <w:szCs w:val="24"/>
          <w:highlight w:val="none"/>
          <w:lang w:val="en-US" w:eastAsia="zh-CN"/>
        </w:rPr>
        <w:t>　　　　　　　　　　　　</w:t>
      </w:r>
    </w:p>
    <w:p w14:paraId="67E4767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sz w:val="24"/>
          <w:szCs w:val="24"/>
          <w:highlight w:val="none"/>
          <w:lang w:val="en-US" w:eastAsia="zh-CN"/>
        </w:rPr>
        <w:t>地址：</w:t>
      </w:r>
      <w:r>
        <w:rPr>
          <w:rFonts w:hint="default" w:ascii="仿宋" w:hAnsi="仿宋" w:eastAsia="仿宋" w:cs="仿宋"/>
          <w:b w:val="0"/>
          <w:bCs w:val="0"/>
          <w:color w:val="auto"/>
          <w:kern w:val="0"/>
          <w:sz w:val="24"/>
          <w:szCs w:val="24"/>
          <w:highlight w:val="none"/>
          <w:u w:val="none"/>
          <w:vertAlign w:val="baseline"/>
          <w:lang w:val="en-US" w:eastAsia="zh-CN" w:bidi="ar"/>
        </w:rPr>
        <w:t>乌鲁木齐市天山区中山路462号</w:t>
      </w:r>
    </w:p>
    <w:p w14:paraId="64B2F6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b w:val="0"/>
          <w:bCs w:val="0"/>
          <w:color w:val="auto"/>
          <w:kern w:val="0"/>
          <w:sz w:val="24"/>
          <w:szCs w:val="24"/>
          <w:highlight w:val="none"/>
          <w:u w:val="none"/>
          <w:vertAlign w:val="baseline"/>
          <w:lang w:val="en-US" w:eastAsia="zh-CN" w:bidi="ar"/>
        </w:rPr>
        <w:t>联系人：祁晨</w:t>
      </w:r>
    </w:p>
    <w:p w14:paraId="302A19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sz w:val="24"/>
          <w:szCs w:val="24"/>
          <w:highlight w:val="none"/>
        </w:rPr>
        <w:t>联系方式：</w:t>
      </w:r>
      <w:r>
        <w:rPr>
          <w:rFonts w:hint="default" w:ascii="仿宋" w:hAnsi="仿宋" w:eastAsia="仿宋" w:cs="仿宋"/>
          <w:b w:val="0"/>
          <w:bCs w:val="0"/>
          <w:color w:val="auto"/>
          <w:kern w:val="0"/>
          <w:sz w:val="24"/>
          <w:szCs w:val="24"/>
          <w:highlight w:val="none"/>
          <w:u w:val="none"/>
          <w:vertAlign w:val="baseline"/>
          <w:lang w:val="en-US" w:eastAsia="zh-CN" w:bidi="ar"/>
        </w:rPr>
        <w:t>0991-2839271</w:t>
      </w:r>
      <w:r>
        <w:rPr>
          <w:rFonts w:hint="eastAsia" w:ascii="仿宋" w:hAnsi="仿宋" w:eastAsia="仿宋" w:cs="仿宋"/>
          <w:b w:val="0"/>
          <w:bCs w:val="0"/>
          <w:color w:val="auto"/>
          <w:kern w:val="0"/>
          <w:sz w:val="24"/>
          <w:szCs w:val="24"/>
          <w:highlight w:val="none"/>
          <w:u w:val="none"/>
          <w:vertAlign w:val="baseline"/>
          <w:lang w:val="en-US" w:eastAsia="zh-CN" w:bidi="ar"/>
        </w:rPr>
        <w:t>.</w:t>
      </w:r>
    </w:p>
    <w:p w14:paraId="7DF065A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采购代理机构信息</w:t>
      </w:r>
    </w:p>
    <w:p w14:paraId="18A537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称：新疆恒晟华工程项目管理有限公司</w:t>
      </w:r>
    </w:p>
    <w:p w14:paraId="4BCF84D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lang w:eastAsia="zh-CN"/>
        </w:rPr>
        <w:t>乌鲁木齐市水磨沟区南湖北路913号（南湖大厦）1单元401室</w:t>
      </w:r>
      <w:r>
        <w:rPr>
          <w:rFonts w:hint="eastAsia" w:ascii="宋体" w:hAnsi="宋体" w:eastAsia="宋体" w:cs="宋体"/>
          <w:color w:val="000000"/>
          <w:kern w:val="0"/>
          <w:sz w:val="24"/>
          <w:szCs w:val="21"/>
          <w:highlight w:val="none"/>
          <w:lang w:bidi="ar"/>
        </w:rPr>
        <w:t xml:space="preserve">  </w:t>
      </w:r>
    </w:p>
    <w:p w14:paraId="7140784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eastAsia="zh-CN"/>
        </w:rPr>
        <w:t>13999819885</w:t>
      </w:r>
    </w:p>
    <w:p w14:paraId="49ABB7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3.项目联系方式</w:t>
      </w:r>
    </w:p>
    <w:p w14:paraId="231F10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项目联系人：</w:t>
      </w:r>
      <w:r>
        <w:rPr>
          <w:rFonts w:hint="eastAsia" w:ascii="仿宋" w:hAnsi="仿宋" w:eastAsia="仿宋" w:cs="仿宋"/>
          <w:sz w:val="24"/>
          <w:szCs w:val="24"/>
          <w:highlight w:val="none"/>
          <w:lang w:val="en-US" w:eastAsia="zh-CN"/>
        </w:rPr>
        <w:t>吴潇</w:t>
      </w:r>
    </w:p>
    <w:p w14:paraId="2274F85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电话</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13999819885</w:t>
      </w:r>
    </w:p>
    <w:p w14:paraId="51EF893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p>
    <w:p w14:paraId="3D40F6DD">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387C6B3C">
      <w:pPr>
        <w:pStyle w:val="2"/>
        <w:numPr>
          <w:ilvl w:val="0"/>
          <w:numId w:val="3"/>
        </w:numPr>
        <w:bidi w:val="0"/>
        <w:jc w:val="center"/>
        <w:rPr>
          <w:rFonts w:hint="eastAsia" w:ascii="仿宋" w:hAnsi="仿宋" w:eastAsia="仿宋" w:cs="仿宋"/>
          <w:sz w:val="32"/>
          <w:szCs w:val="32"/>
          <w:highlight w:val="none"/>
          <w:lang w:val="en-US" w:eastAsia="zh-CN"/>
        </w:rPr>
      </w:pPr>
      <w:bookmarkStart w:id="9" w:name="_Toc17816"/>
      <w:r>
        <w:rPr>
          <w:rFonts w:hint="eastAsia" w:ascii="仿宋" w:hAnsi="仿宋" w:eastAsia="仿宋" w:cs="仿宋"/>
          <w:sz w:val="32"/>
          <w:szCs w:val="32"/>
          <w:highlight w:val="none"/>
          <w:lang w:val="en-US" w:eastAsia="zh-CN"/>
        </w:rPr>
        <w:t>供应商须知前附表</w:t>
      </w:r>
      <w:bookmarkEnd w:id="9"/>
    </w:p>
    <w:p w14:paraId="60844E05">
      <w:pPr>
        <w:rPr>
          <w:rFonts w:hint="eastAsia" w:ascii="仿宋" w:hAnsi="仿宋" w:eastAsia="仿宋" w:cs="仿宋"/>
          <w:sz w:val="24"/>
          <w:szCs w:val="24"/>
          <w:highlight w:val="none"/>
          <w:lang w:val="en-US" w:eastAsia="zh-CN"/>
        </w:rPr>
      </w:pPr>
    </w:p>
    <w:p w14:paraId="22CBF0DF">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本表是本采购项目的具体资料，是对供应商须知的具体补充和修改，如有矛盾，应以本前附表为准。</w:t>
      </w:r>
    </w:p>
    <w:tbl>
      <w:tblPr>
        <w:tblStyle w:val="27"/>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757"/>
        <w:gridCol w:w="6765"/>
      </w:tblGrid>
      <w:tr w14:paraId="1BE796D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A50B2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条款号</w:t>
            </w:r>
          </w:p>
        </w:tc>
        <w:tc>
          <w:tcPr>
            <w:tcW w:w="7126" w:type="dxa"/>
            <w:tcBorders>
              <w:tl2br w:val="nil"/>
              <w:tr2bl w:val="nil"/>
            </w:tcBorders>
          </w:tcPr>
          <w:p w14:paraId="344745D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内容</w:t>
            </w:r>
          </w:p>
        </w:tc>
      </w:tr>
      <w:tr w14:paraId="2785BEB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6440F3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w:t>
            </w:r>
          </w:p>
        </w:tc>
        <w:tc>
          <w:tcPr>
            <w:tcW w:w="7126" w:type="dxa"/>
            <w:tcBorders>
              <w:tl2br w:val="nil"/>
              <w:tr2bl w:val="nil"/>
            </w:tcBorders>
            <w:vAlign w:val="center"/>
          </w:tcPr>
          <w:p w14:paraId="04DE7130">
            <w:pPr>
              <w:pStyle w:val="12"/>
              <w:tabs>
                <w:tab w:val="left" w:pos="1590"/>
                <w:tab w:val="left" w:pos="2948"/>
              </w:tabs>
              <w:kinsoku w:val="0"/>
              <w:overflowPunct w:val="0"/>
              <w:autoSpaceDE w:val="0"/>
              <w:autoSpaceDN w:val="0"/>
              <w:adjustRightInd w:val="0"/>
              <w:snapToGrid/>
              <w:spacing w:line="288" w:lineRule="auto"/>
              <w:jc w:val="both"/>
              <w:rPr>
                <w:rFonts w:ascii="宋体" w:hAnsi="宋体" w:eastAsia="宋体" w:cs="宋体"/>
                <w:color w:val="000000"/>
                <w:szCs w:val="21"/>
                <w:highlight w:val="none"/>
                <w:lang w:bidi="ar"/>
              </w:rPr>
            </w:pPr>
            <w:r>
              <w:rPr>
                <w:rFonts w:hint="eastAsia" w:ascii="仿宋" w:hAnsi="仿宋" w:eastAsia="仿宋" w:cs="仿宋"/>
                <w:color w:val="auto"/>
                <w:sz w:val="24"/>
                <w:szCs w:val="24"/>
                <w:highlight w:val="none"/>
                <w:vertAlign w:val="baseline"/>
                <w:lang w:val="en-US" w:eastAsia="zh-CN"/>
              </w:rPr>
              <w:t>采购人：</w:t>
            </w:r>
            <w:r>
              <w:rPr>
                <w:rFonts w:hint="eastAsia" w:ascii="仿宋" w:hAnsi="仿宋" w:eastAsia="仿宋" w:cs="仿宋"/>
                <w:b w:val="0"/>
                <w:bCs w:val="0"/>
                <w:color w:val="auto"/>
                <w:kern w:val="0"/>
                <w:sz w:val="24"/>
                <w:szCs w:val="24"/>
                <w:highlight w:val="none"/>
                <w:u w:val="none"/>
                <w:vertAlign w:val="baseline"/>
                <w:lang w:val="en-US" w:eastAsia="zh-CN" w:bidi="ar"/>
              </w:rPr>
              <w:t>新疆维吾尔自治区测绘成果中心</w:t>
            </w:r>
          </w:p>
          <w:p w14:paraId="6459237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地  址：</w:t>
            </w:r>
            <w:r>
              <w:rPr>
                <w:rFonts w:hint="default" w:ascii="仿宋" w:hAnsi="仿宋" w:eastAsia="仿宋" w:cs="仿宋"/>
                <w:b w:val="0"/>
                <w:bCs w:val="0"/>
                <w:color w:val="auto"/>
                <w:kern w:val="0"/>
                <w:sz w:val="24"/>
                <w:szCs w:val="24"/>
                <w:highlight w:val="none"/>
                <w:u w:val="none"/>
                <w:vertAlign w:val="baseline"/>
                <w:lang w:val="en-US" w:eastAsia="zh-CN" w:bidi="ar"/>
              </w:rPr>
              <w:t>乌鲁木齐市天山区中山路462号</w:t>
            </w:r>
            <w:r>
              <w:rPr>
                <w:rFonts w:hint="eastAsia" w:ascii="仿宋" w:hAnsi="仿宋" w:eastAsia="仿宋" w:cs="仿宋"/>
                <w:color w:val="auto"/>
                <w:sz w:val="24"/>
                <w:szCs w:val="24"/>
                <w:highlight w:val="none"/>
                <w:vertAlign w:val="baseline"/>
                <w:lang w:val="en-US" w:eastAsia="zh-CN"/>
              </w:rPr>
              <w:t xml:space="preserve"> </w:t>
            </w:r>
          </w:p>
          <w:p w14:paraId="4916C50C">
            <w:pPr>
              <w:keepNext w:val="0"/>
              <w:keepLines w:val="0"/>
              <w:pageBreakBefore w:val="0"/>
              <w:widowControl/>
              <w:suppressLineNumbers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b w:val="0"/>
                <w:bCs w:val="0"/>
                <w:color w:val="auto"/>
                <w:kern w:val="0"/>
                <w:sz w:val="24"/>
                <w:szCs w:val="24"/>
                <w:highlight w:val="none"/>
                <w:u w:val="none"/>
                <w:vertAlign w:val="baseline"/>
                <w:lang w:val="en-US" w:eastAsia="zh-CN" w:bidi="ar"/>
              </w:rPr>
              <w:t xml:space="preserve">联系人：祁晨  </w:t>
            </w:r>
          </w:p>
          <w:p w14:paraId="31F55D1E">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b w:val="0"/>
                <w:bCs w:val="0"/>
                <w:color w:val="auto"/>
                <w:kern w:val="0"/>
                <w:sz w:val="24"/>
                <w:szCs w:val="24"/>
                <w:highlight w:val="none"/>
                <w:u w:val="none"/>
                <w:vertAlign w:val="baseline"/>
                <w:lang w:val="en-US" w:eastAsia="zh-CN" w:bidi="ar"/>
              </w:rPr>
              <w:t>联系电话：</w:t>
            </w:r>
            <w:r>
              <w:rPr>
                <w:rFonts w:hint="default" w:ascii="仿宋" w:hAnsi="仿宋" w:eastAsia="仿宋" w:cs="仿宋"/>
                <w:b w:val="0"/>
                <w:bCs w:val="0"/>
                <w:color w:val="auto"/>
                <w:kern w:val="0"/>
                <w:sz w:val="24"/>
                <w:szCs w:val="24"/>
                <w:highlight w:val="none"/>
                <w:u w:val="none"/>
                <w:vertAlign w:val="baseline"/>
                <w:lang w:val="en-US" w:eastAsia="zh-CN" w:bidi="ar"/>
              </w:rPr>
              <w:t>0991-2839271</w:t>
            </w:r>
            <w:bookmarkStart w:id="129" w:name="_GoBack"/>
            <w:bookmarkEnd w:id="129"/>
          </w:p>
        </w:tc>
      </w:tr>
      <w:tr w14:paraId="1E1E11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AA097B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7126" w:type="dxa"/>
            <w:tcBorders>
              <w:tl2br w:val="nil"/>
              <w:tr2bl w:val="nil"/>
            </w:tcBorders>
            <w:vAlign w:val="center"/>
          </w:tcPr>
          <w:p w14:paraId="2579CA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vertAlign w:val="baseline"/>
              </w:rPr>
              <w:t>采购代理机构：</w:t>
            </w:r>
            <w:r>
              <w:rPr>
                <w:rFonts w:hint="eastAsia" w:ascii="仿宋" w:hAnsi="仿宋" w:eastAsia="仿宋" w:cs="仿宋"/>
                <w:sz w:val="24"/>
                <w:szCs w:val="24"/>
                <w:highlight w:val="none"/>
              </w:rPr>
              <w:t>新疆恒晟华工程项目管理有限公司</w:t>
            </w:r>
          </w:p>
          <w:p w14:paraId="3B6A981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地址：</w:t>
            </w:r>
            <w:r>
              <w:rPr>
                <w:rFonts w:hint="eastAsia" w:ascii="仿宋" w:hAnsi="仿宋" w:eastAsia="仿宋" w:cs="仿宋"/>
                <w:sz w:val="24"/>
                <w:szCs w:val="24"/>
                <w:highlight w:val="none"/>
                <w:lang w:eastAsia="zh-CN"/>
              </w:rPr>
              <w:t>乌鲁木齐市水磨沟区南湖北路913号（南湖大厦）1单元401室</w:t>
            </w:r>
            <w:r>
              <w:rPr>
                <w:rFonts w:hint="eastAsia" w:ascii="宋体" w:hAnsi="宋体" w:eastAsia="宋体" w:cs="宋体"/>
                <w:color w:val="000000"/>
                <w:kern w:val="0"/>
                <w:sz w:val="24"/>
                <w:szCs w:val="21"/>
                <w:highlight w:val="none"/>
                <w:lang w:bidi="ar"/>
              </w:rPr>
              <w:t xml:space="preserve">  </w:t>
            </w:r>
          </w:p>
          <w:p w14:paraId="79FA1C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联系人：</w:t>
            </w:r>
            <w:r>
              <w:rPr>
                <w:rFonts w:hint="eastAsia" w:ascii="仿宋" w:hAnsi="仿宋" w:eastAsia="仿宋" w:cs="仿宋"/>
                <w:sz w:val="24"/>
                <w:szCs w:val="24"/>
                <w:highlight w:val="none"/>
                <w:lang w:val="en-US" w:eastAsia="zh-CN"/>
              </w:rPr>
              <w:t>吴潇</w:t>
            </w:r>
            <w:r>
              <w:rPr>
                <w:rFonts w:hint="eastAsia" w:ascii="仿宋" w:hAnsi="仿宋" w:eastAsia="仿宋" w:cs="仿宋"/>
                <w:sz w:val="24"/>
                <w:szCs w:val="24"/>
                <w:highlight w:val="none"/>
                <w:vertAlign w:val="baseline"/>
              </w:rPr>
              <w:t xml:space="preserve">      </w:t>
            </w:r>
            <w:r>
              <w:rPr>
                <w:rFonts w:hint="eastAsia" w:ascii="仿宋" w:hAnsi="仿宋" w:eastAsia="仿宋" w:cs="仿宋"/>
                <w:sz w:val="24"/>
                <w:szCs w:val="24"/>
                <w:highlight w:val="none"/>
                <w:vertAlign w:val="baseline"/>
                <w:lang w:val="en-US" w:eastAsia="zh-CN"/>
              </w:rPr>
              <w:t xml:space="preserve">  </w:t>
            </w:r>
          </w:p>
          <w:p w14:paraId="7931D92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vertAlign w:val="baseline"/>
                <w:lang w:val="en-US"/>
              </w:rPr>
            </w:pPr>
            <w:r>
              <w:rPr>
                <w:rFonts w:hint="eastAsia" w:ascii="仿宋" w:hAnsi="仿宋" w:eastAsia="仿宋" w:cs="仿宋"/>
                <w:sz w:val="24"/>
                <w:szCs w:val="24"/>
                <w:highlight w:val="none"/>
                <w:vertAlign w:val="baseline"/>
                <w:lang w:val="en-US" w:eastAsia="zh-CN"/>
              </w:rPr>
              <w:t>联系</w:t>
            </w:r>
            <w:r>
              <w:rPr>
                <w:rFonts w:hint="eastAsia" w:ascii="仿宋" w:hAnsi="仿宋" w:eastAsia="仿宋" w:cs="仿宋"/>
                <w:sz w:val="24"/>
                <w:szCs w:val="24"/>
                <w:highlight w:val="none"/>
                <w:vertAlign w:val="baseline"/>
              </w:rPr>
              <w:t>电话：</w:t>
            </w:r>
            <w:r>
              <w:rPr>
                <w:rFonts w:hint="eastAsia" w:ascii="仿宋" w:hAnsi="仿宋" w:eastAsia="仿宋" w:cs="仿宋"/>
                <w:sz w:val="24"/>
                <w:szCs w:val="24"/>
                <w:highlight w:val="none"/>
                <w:vertAlign w:val="baseline"/>
                <w:lang w:val="en-US" w:eastAsia="zh-CN"/>
              </w:rPr>
              <w:t>13999819885</w:t>
            </w:r>
          </w:p>
          <w:p w14:paraId="50BB83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电子邮箱：</w:t>
            </w:r>
            <w:r>
              <w:rPr>
                <w:rFonts w:hint="eastAsia" w:ascii="仿宋" w:hAnsi="仿宋" w:eastAsia="仿宋" w:cs="仿宋"/>
                <w:sz w:val="24"/>
                <w:szCs w:val="24"/>
                <w:highlight w:val="none"/>
                <w:lang w:val="en-US" w:eastAsia="zh-CN"/>
              </w:rPr>
              <w:t>271892368@qq.com</w:t>
            </w:r>
          </w:p>
        </w:tc>
      </w:tr>
      <w:tr w14:paraId="0302E29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25A266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1.3.3</w:t>
            </w:r>
          </w:p>
        </w:tc>
        <w:tc>
          <w:tcPr>
            <w:tcW w:w="7126" w:type="dxa"/>
            <w:tcBorders>
              <w:tl2br w:val="nil"/>
              <w:tr2bl w:val="nil"/>
            </w:tcBorders>
            <w:vAlign w:val="center"/>
          </w:tcPr>
          <w:p w14:paraId="685258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rPr>
              <w:t>合格</w:t>
            </w:r>
            <w:r>
              <w:rPr>
                <w:rFonts w:hint="eastAsia" w:ascii="仿宋" w:hAnsi="仿宋" w:eastAsia="仿宋" w:cs="仿宋"/>
                <w:sz w:val="24"/>
                <w:szCs w:val="24"/>
                <w:highlight w:val="none"/>
                <w:vertAlign w:val="baseline"/>
                <w:lang w:val="en-US" w:eastAsia="zh-CN"/>
              </w:rPr>
              <w:t>供应商</w:t>
            </w:r>
            <w:r>
              <w:rPr>
                <w:rFonts w:hint="eastAsia" w:ascii="仿宋" w:hAnsi="仿宋" w:eastAsia="仿宋" w:cs="仿宋"/>
                <w:sz w:val="24"/>
                <w:szCs w:val="24"/>
                <w:highlight w:val="none"/>
                <w:vertAlign w:val="baseline"/>
              </w:rPr>
              <w:t>的其他资格要求：</w:t>
            </w:r>
            <w:r>
              <w:rPr>
                <w:rFonts w:hint="eastAsia" w:ascii="仿宋" w:hAnsi="仿宋" w:eastAsia="仿宋" w:cs="仿宋_GB2312"/>
                <w:sz w:val="24"/>
                <w:highlight w:val="none"/>
              </w:rPr>
              <w:t>供应商未被列入“信用中国”网站（ www.creditchina.gov.cn）信用记录失信被执行人、税收违法黑名单以及政府采购严重违法失信行为记录名单。</w:t>
            </w:r>
          </w:p>
        </w:tc>
      </w:tr>
      <w:tr w14:paraId="20BD302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1ADFDD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w:t>
            </w:r>
          </w:p>
        </w:tc>
        <w:tc>
          <w:tcPr>
            <w:tcW w:w="7126" w:type="dxa"/>
            <w:tcBorders>
              <w:tl2br w:val="nil"/>
              <w:tr2bl w:val="nil"/>
            </w:tcBorders>
            <w:vAlign w:val="center"/>
          </w:tcPr>
          <w:p w14:paraId="06956D4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是否允许采购进口产品：否</w:t>
            </w:r>
          </w:p>
        </w:tc>
      </w:tr>
      <w:tr w14:paraId="201078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0EFE57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1.5.1</w:t>
            </w:r>
          </w:p>
        </w:tc>
        <w:tc>
          <w:tcPr>
            <w:tcW w:w="7126" w:type="dxa"/>
            <w:tcBorders>
              <w:tl2br w:val="nil"/>
              <w:tr2bl w:val="nil"/>
            </w:tcBorders>
            <w:vAlign w:val="center"/>
          </w:tcPr>
          <w:p w14:paraId="3B86D50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所属行业：</w:t>
            </w:r>
            <w:r>
              <w:rPr>
                <w:rFonts w:hint="eastAsia" w:ascii="仿宋" w:hAnsi="仿宋" w:eastAsia="仿宋" w:cs="仿宋_GB2312"/>
                <w:color w:val="auto"/>
                <w:sz w:val="24"/>
                <w:highlight w:val="none"/>
                <w:lang w:val="en-US" w:eastAsia="zh-CN"/>
              </w:rPr>
              <w:t>租赁和商务</w:t>
            </w:r>
            <w:r>
              <w:rPr>
                <w:rFonts w:hint="eastAsia" w:ascii="仿宋" w:hAnsi="仿宋" w:eastAsia="仿宋" w:cs="仿宋_GB2312"/>
                <w:color w:val="auto"/>
                <w:sz w:val="24"/>
                <w:highlight w:val="none"/>
              </w:rPr>
              <w:t>服务业</w:t>
            </w:r>
          </w:p>
        </w:tc>
      </w:tr>
      <w:tr w14:paraId="08046D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5F121DA">
            <w:pPr>
              <w:spacing w:line="500" w:lineRule="exact"/>
              <w:jc w:val="center"/>
              <w:rPr>
                <w:rFonts w:hint="eastAsia"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rPr>
              <w:t>1.5.2</w:t>
            </w:r>
          </w:p>
        </w:tc>
        <w:tc>
          <w:tcPr>
            <w:tcW w:w="7126" w:type="dxa"/>
            <w:tcBorders>
              <w:tl2br w:val="nil"/>
              <w:tr2bl w:val="nil"/>
            </w:tcBorders>
            <w:vAlign w:val="center"/>
          </w:tcPr>
          <w:p w14:paraId="5BA9A896">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标项1 非</w:t>
            </w:r>
            <w:r>
              <w:rPr>
                <w:rFonts w:hint="eastAsia" w:ascii="仿宋" w:hAnsi="仿宋" w:eastAsia="仿宋" w:cs="仿宋_GB2312"/>
                <w:color w:val="auto"/>
                <w:sz w:val="24"/>
                <w:highlight w:val="none"/>
              </w:rPr>
              <w:t>专门面向中小企业预留采购份额。</w:t>
            </w:r>
          </w:p>
          <w:p w14:paraId="6D2D3B9D">
            <w:pPr>
              <w:pStyle w:val="25"/>
              <w:keepNext w:val="0"/>
              <w:keepLines w:val="0"/>
              <w:pageBreakBefore w:val="0"/>
              <w:widowControl w:val="0"/>
              <w:kinsoku/>
              <w:wordWrap/>
              <w:overflowPunct/>
              <w:topLinePunct w:val="0"/>
              <w:bidi w:val="0"/>
              <w:adjustRightInd/>
              <w:snapToGrid/>
              <w:spacing w:after="0" w:line="500" w:lineRule="exact"/>
              <w:ind w:left="0" w:leftChars="0"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标项1</w:t>
            </w:r>
            <w:r>
              <w:rPr>
                <w:rFonts w:hint="eastAsia" w:ascii="仿宋" w:hAnsi="仿宋" w:eastAsia="仿宋" w:cs="仿宋"/>
                <w:b w:val="0"/>
                <w:bCs w:val="0"/>
                <w:color w:val="auto"/>
                <w:sz w:val="24"/>
                <w:szCs w:val="24"/>
                <w:highlight w:val="none"/>
                <w:lang w:val="en-US" w:eastAsia="zh-CN"/>
              </w:rPr>
              <w:t>专门面向中小企业采购，投标单位应符合《政府采购促进中小企业发展管理办法》(财库〔2020〕46号) 第四条规定的情形，且应当提供《政府采购促进中小企业发展管理办法》(财库〔2020〕46号)规定的《中小企业声明函》。</w:t>
            </w:r>
          </w:p>
          <w:p w14:paraId="5A65BF66">
            <w:pPr>
              <w:pStyle w:val="25"/>
              <w:keepNext w:val="0"/>
              <w:keepLines w:val="0"/>
              <w:pageBreakBefore w:val="0"/>
              <w:widowControl w:val="0"/>
              <w:kinsoku/>
              <w:wordWrap/>
              <w:overflowPunct/>
              <w:topLinePunct w:val="0"/>
              <w:bidi w:val="0"/>
              <w:adjustRightInd/>
              <w:snapToGrid/>
              <w:spacing w:after="0" w:line="500" w:lineRule="exact"/>
              <w:ind w:left="0" w:leftChars="0"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标项1</w:t>
            </w:r>
            <w:r>
              <w:rPr>
                <w:rFonts w:hint="eastAsia" w:ascii="仿宋" w:hAnsi="仿宋" w:eastAsia="仿宋" w:cs="仿宋"/>
                <w:b w:val="0"/>
                <w:bCs w:val="0"/>
                <w:color w:val="auto"/>
                <w:sz w:val="24"/>
                <w:szCs w:val="24"/>
                <w:highlight w:val="none"/>
                <w:lang w:val="en-US" w:eastAsia="zh-CN"/>
              </w:rPr>
              <w:t>专门面向小微企业采购，投标单位应符合《政府采购促进中小企业发展管理办法》(财库〔2020〕46号) 第四条规定的情形，且应当提供《政府采购促进中小企业发展管理办法》(财库〔2020〕46号)规定的《中小企业声明函》。</w:t>
            </w:r>
          </w:p>
          <w:p w14:paraId="4776185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lang w:eastAsia="zh-CN"/>
              </w:rPr>
            </w:pPr>
          </w:p>
          <w:p w14:paraId="1225577C">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本项目预留部分采购项目预算专门面向中小企业采购。对于预留份额，</w:t>
            </w:r>
            <w:r>
              <w:rPr>
                <w:rFonts w:hint="eastAsia" w:ascii="仿宋" w:hAnsi="仿宋" w:eastAsia="仿宋" w:cs="仿宋_GB2312"/>
                <w:color w:val="auto"/>
                <w:sz w:val="24"/>
                <w:highlight w:val="none"/>
                <w:lang w:val="en-US" w:eastAsia="zh-CN"/>
              </w:rPr>
              <w:t>【货物类项目】</w:t>
            </w:r>
            <w:r>
              <w:rPr>
                <w:rFonts w:hint="eastAsia" w:ascii="仿宋" w:hAnsi="仿宋" w:eastAsia="仿宋" w:cs="仿宋_GB2312"/>
                <w:color w:val="auto"/>
                <w:sz w:val="24"/>
                <w:highlight w:val="none"/>
              </w:rPr>
              <w:t>提供的货物由符合政策要求的中小企业</w:t>
            </w:r>
            <w:r>
              <w:rPr>
                <w:rFonts w:hint="eastAsia" w:ascii="仿宋" w:hAnsi="仿宋" w:eastAsia="仿宋" w:cs="仿宋"/>
                <w:b w:val="0"/>
                <w:bCs w:val="0"/>
                <w:color w:val="auto"/>
                <w:sz w:val="24"/>
                <w:szCs w:val="24"/>
                <w:highlight w:val="none"/>
                <w:lang w:val="en-US" w:eastAsia="zh-CN"/>
              </w:rPr>
              <w:t>或监狱企业或残疾人福利性单位所</w:t>
            </w:r>
            <w:r>
              <w:rPr>
                <w:rFonts w:hint="eastAsia" w:ascii="仿宋" w:hAnsi="仿宋" w:eastAsia="仿宋" w:cs="仿宋_GB2312"/>
                <w:color w:val="auto"/>
                <w:sz w:val="24"/>
                <w:highlight w:val="none"/>
              </w:rPr>
              <w:t>制造</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服务</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工程类项目】</w:t>
            </w:r>
            <w:r>
              <w:rPr>
                <w:rFonts w:hint="eastAsia" w:ascii="仿宋" w:hAnsi="仿宋" w:eastAsia="仿宋" w:cs="仿宋_GB2312"/>
                <w:color w:val="auto"/>
                <w:sz w:val="24"/>
                <w:highlight w:val="none"/>
              </w:rPr>
              <w:t>服务(或工程) 由符合政策要求的中小企业</w:t>
            </w:r>
            <w:r>
              <w:rPr>
                <w:rFonts w:hint="eastAsia" w:ascii="仿宋" w:hAnsi="仿宋" w:eastAsia="仿宋" w:cs="仿宋_GB2312"/>
                <w:color w:val="auto"/>
                <w:sz w:val="24"/>
                <w:highlight w:val="none"/>
                <w:lang w:val="en-US" w:eastAsia="zh-CN"/>
              </w:rPr>
              <w:t>或监狱企业或残疾人福利性单位</w:t>
            </w:r>
            <w:r>
              <w:rPr>
                <w:rFonts w:hint="eastAsia" w:ascii="仿宋" w:hAnsi="仿宋" w:eastAsia="仿宋" w:cs="仿宋_GB2312"/>
                <w:color w:val="auto"/>
                <w:sz w:val="24"/>
                <w:highlight w:val="none"/>
              </w:rPr>
              <w:t>承接。预留份额通过以下措施进行</w:t>
            </w:r>
            <w:r>
              <w:rPr>
                <w:rFonts w:hint="eastAsia" w:ascii="仿宋" w:hAnsi="仿宋" w:eastAsia="仿宋" w:cs="仿宋_GB2312"/>
                <w:color w:val="auto"/>
                <w:sz w:val="24"/>
                <w:highlight w:val="none"/>
                <w:lang w:eastAsia="zh-CN"/>
              </w:rPr>
              <w:t>：</w:t>
            </w:r>
          </w:p>
          <w:p w14:paraId="080A6E5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textAlignment w:val="auto"/>
              <w:rPr>
                <w:rFonts w:hint="eastAsia" w:ascii="Arial" w:hAnsi="Arial" w:cs="Times New Roman" w:eastAsiaTheme="minorEastAsia"/>
                <w:kern w:val="2"/>
                <w:sz w:val="24"/>
                <w:szCs w:val="24"/>
                <w:highlight w:val="none"/>
                <w:lang w:val="en-US" w:eastAsia="zh-CN" w:bidi="ar-SA"/>
              </w:rPr>
            </w:pPr>
            <w:r>
              <w:rPr>
                <w:rFonts w:hint="eastAsia" w:ascii="仿宋" w:hAnsi="仿宋" w:eastAsia="仿宋" w:cs="仿宋_GB2312"/>
                <w:color w:val="auto"/>
                <w:sz w:val="24"/>
                <w:highlight w:val="none"/>
                <w:u w:val="single"/>
                <w:lang w:val="en-US" w:eastAsia="zh-CN"/>
              </w:rPr>
              <w:t xml:space="preserve">                    </w:t>
            </w:r>
          </w:p>
        </w:tc>
      </w:tr>
      <w:tr w14:paraId="57E1AD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A9D60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1.10</w:t>
            </w:r>
          </w:p>
        </w:tc>
        <w:tc>
          <w:tcPr>
            <w:tcW w:w="7126" w:type="dxa"/>
            <w:tcBorders>
              <w:tl2br w:val="nil"/>
              <w:tr2bl w:val="nil"/>
            </w:tcBorders>
            <w:vAlign w:val="center"/>
          </w:tcPr>
          <w:p w14:paraId="5B12B5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是否允许联合体参加</w:t>
            </w:r>
            <w:r>
              <w:rPr>
                <w:rFonts w:hint="eastAsia" w:ascii="仿宋" w:hAnsi="仿宋" w:eastAsia="仿宋" w:cs="仿宋"/>
                <w:sz w:val="24"/>
                <w:szCs w:val="24"/>
                <w:highlight w:val="none"/>
                <w:vertAlign w:val="baseline"/>
                <w:lang w:eastAsia="zh-CN"/>
              </w:rPr>
              <w:t>磋商</w:t>
            </w:r>
            <w:r>
              <w:rPr>
                <w:rFonts w:hint="eastAsia" w:ascii="仿宋" w:hAnsi="仿宋" w:eastAsia="仿宋" w:cs="仿宋"/>
                <w:sz w:val="24"/>
                <w:szCs w:val="24"/>
                <w:highlight w:val="none"/>
                <w:vertAlign w:val="baseline"/>
              </w:rPr>
              <w:t>：否</w:t>
            </w:r>
          </w:p>
          <w:p w14:paraId="3ACBB63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联合体的其他资格要求：无</w:t>
            </w:r>
          </w:p>
        </w:tc>
      </w:tr>
      <w:tr w14:paraId="253D89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F3441B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w:t>
            </w:r>
          </w:p>
        </w:tc>
        <w:tc>
          <w:tcPr>
            <w:tcW w:w="7126" w:type="dxa"/>
            <w:tcBorders>
              <w:tl2br w:val="nil"/>
              <w:tr2bl w:val="nil"/>
            </w:tcBorders>
            <w:vAlign w:val="center"/>
          </w:tcPr>
          <w:p w14:paraId="4F87C3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600000元</w:t>
            </w:r>
          </w:p>
          <w:p w14:paraId="7A23381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eastAsia="zh-CN"/>
              </w:rPr>
              <w:t xml:space="preserve"> </w:t>
            </w:r>
            <w:r>
              <w:rPr>
                <w:rFonts w:hint="eastAsia" w:ascii="仿宋" w:hAnsi="仿宋" w:eastAsia="仿宋" w:cs="仿宋"/>
                <w:sz w:val="24"/>
                <w:szCs w:val="24"/>
                <w:highlight w:val="none"/>
                <w:lang w:val="en-US" w:eastAsia="zh-CN"/>
              </w:rPr>
              <w:t>600000元</w:t>
            </w:r>
          </w:p>
        </w:tc>
      </w:tr>
      <w:tr w14:paraId="296967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F1248B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5.4</w:t>
            </w:r>
          </w:p>
        </w:tc>
        <w:tc>
          <w:tcPr>
            <w:tcW w:w="7126" w:type="dxa"/>
            <w:tcBorders>
              <w:tl2br w:val="nil"/>
              <w:tr2bl w:val="nil"/>
            </w:tcBorders>
            <w:vAlign w:val="center"/>
          </w:tcPr>
          <w:p w14:paraId="0EDE09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是否组织现场考察或者召开答疑会：否 </w:t>
            </w:r>
          </w:p>
          <w:p w14:paraId="69242C2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组织现场考察或者召开答疑会相关要求：/</w:t>
            </w:r>
          </w:p>
        </w:tc>
      </w:tr>
      <w:tr w14:paraId="3690F7F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DB041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5.7 </w:t>
            </w:r>
          </w:p>
        </w:tc>
        <w:tc>
          <w:tcPr>
            <w:tcW w:w="7126" w:type="dxa"/>
            <w:tcBorders>
              <w:tl2br w:val="nil"/>
              <w:tr2bl w:val="nil"/>
            </w:tcBorders>
            <w:vAlign w:val="center"/>
          </w:tcPr>
          <w:p w14:paraId="688113E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是否需要提供样品：否 </w:t>
            </w:r>
          </w:p>
          <w:p w14:paraId="2D47C37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提供样品要求包括：（样品的制作标准和要求、接收及退还，样品检测报告，检测机构、检测内容等内容）</w:t>
            </w:r>
          </w:p>
        </w:tc>
      </w:tr>
      <w:tr w14:paraId="2B108F5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DC0BE4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7.1 </w:t>
            </w:r>
          </w:p>
        </w:tc>
        <w:tc>
          <w:tcPr>
            <w:tcW w:w="7126" w:type="dxa"/>
            <w:tcBorders>
              <w:tl2br w:val="nil"/>
              <w:tr2bl w:val="nil"/>
            </w:tcBorders>
            <w:vAlign w:val="center"/>
          </w:tcPr>
          <w:p w14:paraId="27EEE956">
            <w:pPr>
              <w:spacing w:line="500" w:lineRule="exact"/>
              <w:rPr>
                <w:rFonts w:hint="eastAsia" w:ascii="仿宋" w:hAnsi="仿宋" w:eastAsia="仿宋" w:cs="仿宋"/>
                <w:sz w:val="24"/>
                <w:szCs w:val="24"/>
                <w:highlight w:val="none"/>
                <w:vertAlign w:val="baseline"/>
              </w:rPr>
            </w:pPr>
            <w:r>
              <w:rPr>
                <w:rFonts w:hint="eastAsia" w:ascii="仿宋" w:hAnsi="仿宋" w:eastAsia="仿宋" w:cs="仿宋_GB2312"/>
                <w:sz w:val="24"/>
                <w:highlight w:val="none"/>
              </w:rPr>
              <w:t>如供应商对多个包进行投标，可以中标</w:t>
            </w:r>
            <w:r>
              <w:rPr>
                <w:rFonts w:hint="eastAsia" w:ascii="仿宋" w:hAnsi="仿宋" w:eastAsia="仿宋" w:cs="仿宋_GB2312"/>
                <w:b/>
                <w:bCs/>
                <w:sz w:val="24"/>
                <w:highlight w:val="none"/>
                <w:u w:val="single"/>
              </w:rPr>
              <w:t>多</w:t>
            </w:r>
            <w:r>
              <w:rPr>
                <w:rFonts w:hint="eastAsia" w:ascii="仿宋" w:hAnsi="仿宋" w:eastAsia="仿宋" w:cs="仿宋_GB2312"/>
                <w:sz w:val="24"/>
                <w:highlight w:val="none"/>
              </w:rPr>
              <w:t>包（本项目不适用</w:t>
            </w:r>
            <w:r>
              <w:rPr>
                <w:rFonts w:hint="eastAsia" w:ascii="仿宋" w:hAnsi="仿宋" w:eastAsia="仿宋" w:cs="仿宋_GB2312"/>
                <w:sz w:val="24"/>
                <w:highlight w:val="none"/>
                <w:lang w:eastAsia="zh-CN"/>
              </w:rPr>
              <w:t>）</w:t>
            </w:r>
          </w:p>
        </w:tc>
      </w:tr>
      <w:tr w14:paraId="2AC4FC1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D00AC9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w:t>
            </w:r>
          </w:p>
        </w:tc>
        <w:tc>
          <w:tcPr>
            <w:tcW w:w="7126" w:type="dxa"/>
            <w:tcBorders>
              <w:tl2br w:val="nil"/>
              <w:tr2bl w:val="nil"/>
            </w:tcBorders>
            <w:vAlign w:val="center"/>
          </w:tcPr>
          <w:p w14:paraId="7CCC4A92">
            <w:pPr>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保证金形式：电汇或银行转账或投标保函</w:t>
            </w:r>
            <w:r>
              <w:rPr>
                <w:rFonts w:hint="eastAsia" w:ascii="仿宋" w:hAnsi="仿宋" w:eastAsia="仿宋" w:cs="仿宋"/>
                <w:sz w:val="24"/>
                <w:szCs w:val="24"/>
                <w:highlight w:val="none"/>
                <w:vertAlign w:val="baseline"/>
                <w:lang w:val="en-US" w:eastAsia="zh-CN"/>
              </w:rPr>
              <w:t>等非现金方式</w:t>
            </w:r>
          </w:p>
          <w:p w14:paraId="65E4E5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保证金数额：</w:t>
            </w:r>
            <w:r>
              <w:rPr>
                <w:rFonts w:hint="eastAsia" w:ascii="仿宋" w:hAnsi="仿宋" w:eastAsia="仿宋" w:cs="仿宋"/>
                <w:sz w:val="24"/>
                <w:szCs w:val="24"/>
                <w:highlight w:val="none"/>
                <w:vertAlign w:val="baseline"/>
                <w:lang w:val="en-US" w:eastAsia="zh-CN"/>
              </w:rPr>
              <w:t>1</w:t>
            </w:r>
            <w:r>
              <w:rPr>
                <w:rFonts w:hint="eastAsia" w:ascii="仿宋" w:hAnsi="仿宋" w:eastAsia="仿宋" w:cs="仿宋"/>
                <w:sz w:val="24"/>
                <w:szCs w:val="24"/>
                <w:highlight w:val="none"/>
                <w:vertAlign w:val="baseline"/>
              </w:rPr>
              <w:t>.</w:t>
            </w:r>
            <w:r>
              <w:rPr>
                <w:rFonts w:hint="eastAsia" w:ascii="仿宋" w:hAnsi="仿宋" w:eastAsia="仿宋" w:cs="仿宋"/>
                <w:sz w:val="24"/>
                <w:szCs w:val="24"/>
                <w:highlight w:val="none"/>
                <w:vertAlign w:val="baseline"/>
                <w:lang w:val="en-US" w:eastAsia="zh-CN"/>
              </w:rPr>
              <w:t>00</w:t>
            </w:r>
            <w:r>
              <w:rPr>
                <w:rFonts w:hint="eastAsia" w:ascii="仿宋" w:hAnsi="仿宋" w:eastAsia="仿宋" w:cs="仿宋"/>
                <w:sz w:val="24"/>
                <w:szCs w:val="24"/>
                <w:highlight w:val="none"/>
                <w:vertAlign w:val="baseline"/>
              </w:rPr>
              <w:t xml:space="preserve">万元 </w:t>
            </w:r>
          </w:p>
          <w:p w14:paraId="77B3D06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一、电汇或银行转账方式信息</w:t>
            </w:r>
          </w:p>
          <w:p w14:paraId="3904C92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rPr>
              <w:t>保证金收款人：</w:t>
            </w:r>
            <w:r>
              <w:rPr>
                <w:rFonts w:hint="eastAsia" w:ascii="仿宋" w:hAnsi="仿宋" w:eastAsia="仿宋" w:cs="仿宋"/>
                <w:sz w:val="24"/>
                <w:szCs w:val="24"/>
                <w:highlight w:val="none"/>
                <w:vertAlign w:val="baseline"/>
                <w:lang w:eastAsia="zh-CN"/>
              </w:rPr>
              <w:t>新疆恒晟华工程项目管理有限公司</w:t>
            </w:r>
          </w:p>
          <w:p w14:paraId="72A88AFC">
            <w:pPr>
              <w:spacing w:line="360" w:lineRule="auto"/>
              <w:rPr>
                <w:color w:val="000000"/>
                <w:szCs w:val="21"/>
                <w:highlight w:val="none"/>
              </w:rPr>
            </w:pPr>
            <w:r>
              <w:rPr>
                <w:rFonts w:hint="eastAsia" w:ascii="仿宋" w:hAnsi="仿宋" w:eastAsia="仿宋" w:cs="仿宋"/>
                <w:sz w:val="24"/>
                <w:szCs w:val="24"/>
                <w:highlight w:val="none"/>
                <w:vertAlign w:val="baseline"/>
              </w:rPr>
              <w:t>保证金收款账号：</w:t>
            </w:r>
            <w:r>
              <w:rPr>
                <w:rFonts w:hint="eastAsia" w:ascii="仿宋" w:hAnsi="仿宋" w:eastAsia="仿宋" w:cs="仿宋"/>
                <w:sz w:val="24"/>
                <w:szCs w:val="24"/>
                <w:highlight w:val="none"/>
                <w:vertAlign w:val="baseline"/>
                <w:lang w:eastAsia="zh-CN"/>
              </w:rPr>
              <w:t>0000020070110051237322</w:t>
            </w:r>
          </w:p>
          <w:p w14:paraId="420C290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sz w:val="24"/>
                <w:szCs w:val="24"/>
                <w:highlight w:val="none"/>
              </w:rPr>
            </w:pPr>
            <w:r>
              <w:rPr>
                <w:rFonts w:hint="eastAsia" w:ascii="仿宋" w:hAnsi="仿宋" w:eastAsia="仿宋" w:cs="仿宋"/>
                <w:sz w:val="24"/>
                <w:szCs w:val="24"/>
                <w:highlight w:val="none"/>
                <w:vertAlign w:val="baseline"/>
              </w:rPr>
              <w:t xml:space="preserve">保证收款银行: </w:t>
            </w:r>
            <w:r>
              <w:rPr>
                <w:rFonts w:hint="eastAsia" w:ascii="仿宋" w:hAnsi="仿宋" w:eastAsia="仿宋" w:cs="仿宋"/>
                <w:sz w:val="24"/>
                <w:szCs w:val="24"/>
                <w:highlight w:val="none"/>
                <w:vertAlign w:val="baseline"/>
                <w:lang w:eastAsia="zh-CN"/>
              </w:rPr>
              <w:t>乌鲁木齐银行股份有限公司乌鲁木齐振华街支行</w:t>
            </w:r>
          </w:p>
          <w:p w14:paraId="44A1A6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以电汇或银行转账形式缴纳保证金的</w:t>
            </w:r>
            <w:r>
              <w:rPr>
                <w:rFonts w:hint="eastAsia" w:ascii="仿宋" w:hAnsi="仿宋" w:eastAsia="仿宋" w:cs="仿宋"/>
                <w:sz w:val="24"/>
                <w:szCs w:val="24"/>
                <w:highlight w:val="none"/>
                <w:vertAlign w:val="baseline"/>
                <w:lang w:eastAsia="zh-CN"/>
              </w:rPr>
              <w:t>供应商</w:t>
            </w:r>
            <w:r>
              <w:rPr>
                <w:rFonts w:hint="eastAsia" w:ascii="仿宋" w:hAnsi="仿宋" w:eastAsia="仿宋" w:cs="仿宋"/>
                <w:sz w:val="24"/>
                <w:szCs w:val="24"/>
                <w:highlight w:val="none"/>
                <w:vertAlign w:val="baseline"/>
              </w:rPr>
              <w:t>注意事项：</w:t>
            </w:r>
          </w:p>
          <w:p w14:paraId="58EDD32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lang w:val="en-US" w:eastAsia="zh-CN"/>
              </w:rPr>
              <w:t>1</w:t>
            </w: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在汇款附言（或银行摘要）中，标明项目编号、包号（如分包）。每个项目须按照分包分别提交</w:t>
            </w:r>
            <w:r>
              <w:rPr>
                <w:rFonts w:hint="eastAsia" w:ascii="仿宋" w:hAnsi="仿宋" w:eastAsia="仿宋" w:cs="仿宋"/>
                <w:sz w:val="24"/>
                <w:szCs w:val="24"/>
                <w:highlight w:val="none"/>
                <w:vertAlign w:val="baseline"/>
                <w:lang w:eastAsia="zh-CN"/>
              </w:rPr>
              <w:t>磋商保证金</w:t>
            </w:r>
            <w:r>
              <w:rPr>
                <w:rFonts w:hint="eastAsia" w:ascii="仿宋" w:hAnsi="仿宋" w:eastAsia="仿宋" w:cs="仿宋"/>
                <w:sz w:val="24"/>
                <w:szCs w:val="24"/>
                <w:highlight w:val="none"/>
                <w:vertAlign w:val="baseline"/>
              </w:rPr>
              <w:t>。</w:t>
            </w:r>
          </w:p>
          <w:p w14:paraId="1B361E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(2)磋商保证金必须以网银、电汇、银行柜台公对公等转账的形式由供应商的企业基本账户汇出(个体工商户除外) ，并开具银行汇款凭证。 </w:t>
            </w:r>
          </w:p>
          <w:p w14:paraId="3D849F0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(3)磋商保证金的提交以招标公司账户到账时间为准，开标时若查询不到，视同未交纳磋商保证金，不允许参加投标。</w:t>
            </w:r>
          </w:p>
          <w:p w14:paraId="5D40793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二、</w:t>
            </w:r>
            <w:r>
              <w:rPr>
                <w:rFonts w:hint="eastAsia" w:ascii="仿宋" w:hAnsi="仿宋" w:eastAsia="仿宋" w:cs="仿宋"/>
                <w:sz w:val="24"/>
                <w:szCs w:val="24"/>
                <w:highlight w:val="none"/>
                <w:vertAlign w:val="baseline"/>
              </w:rPr>
              <w:t>投标保函提交方式：供应商可通过"政采云平台金融服务中心"(https://jinrong.zcygov.cn/)，申请办理投标电子保函，成功出函的等效于缴纳</w:t>
            </w:r>
            <w:r>
              <w:rPr>
                <w:rFonts w:hint="eastAsia" w:ascii="仿宋" w:hAnsi="仿宋" w:eastAsia="仿宋" w:cs="仿宋"/>
                <w:sz w:val="24"/>
                <w:szCs w:val="24"/>
                <w:highlight w:val="none"/>
                <w:vertAlign w:val="baseline"/>
                <w:lang w:eastAsia="zh-CN"/>
              </w:rPr>
              <w:t>磋商保证金</w:t>
            </w:r>
            <w:r>
              <w:rPr>
                <w:rFonts w:hint="eastAsia" w:ascii="仿宋" w:hAnsi="仿宋" w:eastAsia="仿宋" w:cs="仿宋"/>
                <w:sz w:val="24"/>
                <w:szCs w:val="24"/>
                <w:highlight w:val="none"/>
                <w:vertAlign w:val="baseline"/>
              </w:rPr>
              <w:t>。</w:t>
            </w:r>
          </w:p>
          <w:p w14:paraId="3524CFE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b/>
                <w:bCs/>
                <w:sz w:val="24"/>
                <w:szCs w:val="24"/>
                <w:highlight w:val="none"/>
                <w:vertAlign w:val="baseline"/>
                <w:lang w:eastAsia="zh-CN"/>
              </w:rPr>
              <w:t>磋商保证金</w:t>
            </w:r>
            <w:r>
              <w:rPr>
                <w:rFonts w:hint="eastAsia" w:ascii="仿宋" w:hAnsi="仿宋" w:eastAsia="仿宋" w:cs="仿宋"/>
                <w:b/>
                <w:bCs/>
                <w:sz w:val="24"/>
                <w:szCs w:val="24"/>
                <w:highlight w:val="none"/>
                <w:vertAlign w:val="baseline"/>
              </w:rPr>
              <w:t>（投标电子保函）有效期与</w:t>
            </w:r>
            <w:r>
              <w:rPr>
                <w:rFonts w:hint="eastAsia" w:ascii="仿宋" w:hAnsi="仿宋" w:eastAsia="仿宋" w:cs="仿宋"/>
                <w:b/>
                <w:bCs/>
                <w:sz w:val="24"/>
                <w:szCs w:val="24"/>
                <w:highlight w:val="none"/>
                <w:vertAlign w:val="baseline"/>
                <w:lang w:eastAsia="zh-CN"/>
              </w:rPr>
              <w:t>响应有效期</w:t>
            </w:r>
            <w:r>
              <w:rPr>
                <w:rFonts w:hint="eastAsia" w:ascii="仿宋" w:hAnsi="仿宋" w:eastAsia="仿宋" w:cs="仿宋"/>
                <w:b/>
                <w:bCs/>
                <w:sz w:val="24"/>
                <w:szCs w:val="24"/>
                <w:highlight w:val="none"/>
                <w:vertAlign w:val="baseline"/>
              </w:rPr>
              <w:t>一致。</w:t>
            </w:r>
          </w:p>
        </w:tc>
      </w:tr>
      <w:tr w14:paraId="166DFAC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453CEB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tc>
        <w:tc>
          <w:tcPr>
            <w:tcW w:w="7126" w:type="dxa"/>
            <w:tcBorders>
              <w:tl2br w:val="nil"/>
              <w:tr2bl w:val="nil"/>
            </w:tcBorders>
            <w:vAlign w:val="center"/>
          </w:tcPr>
          <w:p w14:paraId="79FC67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vertAlign w:val="baseline"/>
              </w:rPr>
            </w:pPr>
            <w:r>
              <w:rPr>
                <w:rFonts w:hint="eastAsia" w:ascii="仿宋" w:hAnsi="仿宋" w:eastAsia="仿宋" w:cs="仿宋"/>
                <w:b w:val="0"/>
                <w:bCs w:val="0"/>
                <w:sz w:val="24"/>
                <w:szCs w:val="24"/>
                <w:highlight w:val="none"/>
                <w:vertAlign w:val="baseline"/>
                <w:lang w:val="en-US" w:eastAsia="zh-CN"/>
              </w:rPr>
              <w:t>响应文件</w:t>
            </w:r>
            <w:r>
              <w:rPr>
                <w:rFonts w:hint="eastAsia" w:ascii="仿宋" w:hAnsi="仿宋" w:eastAsia="仿宋" w:cs="仿宋"/>
                <w:b w:val="0"/>
                <w:bCs w:val="0"/>
                <w:sz w:val="24"/>
                <w:szCs w:val="24"/>
                <w:highlight w:val="none"/>
                <w:vertAlign w:val="baseline"/>
              </w:rPr>
              <w:t>有效期：90 日历日</w:t>
            </w:r>
          </w:p>
        </w:tc>
      </w:tr>
      <w:tr w14:paraId="7D45907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0F9217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13.1</w:t>
            </w:r>
          </w:p>
        </w:tc>
        <w:tc>
          <w:tcPr>
            <w:tcW w:w="7126" w:type="dxa"/>
            <w:tcBorders>
              <w:tl2br w:val="nil"/>
              <w:tr2bl w:val="nil"/>
            </w:tcBorders>
            <w:vAlign w:val="center"/>
          </w:tcPr>
          <w:p w14:paraId="10EA4A0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响应截止时间：</w:t>
            </w:r>
            <w:r>
              <w:rPr>
                <w:rFonts w:hint="eastAsia" w:ascii="仿宋" w:hAnsi="仿宋" w:eastAsia="仿宋" w:cs="仿宋"/>
                <w:sz w:val="24"/>
                <w:szCs w:val="24"/>
                <w:highlight w:val="none"/>
                <w:lang w:eastAsia="zh-CN"/>
              </w:rPr>
              <w:t>2025年04月21日</w:t>
            </w:r>
            <w:r>
              <w:rPr>
                <w:rFonts w:hint="eastAsia" w:ascii="仿宋" w:hAnsi="仿宋" w:eastAsia="仿宋" w:cs="仿宋"/>
                <w:sz w:val="24"/>
                <w:szCs w:val="24"/>
                <w:highlight w:val="none"/>
              </w:rPr>
              <w:t xml:space="preserve"> 11:00（北京时间）</w:t>
            </w:r>
          </w:p>
        </w:tc>
      </w:tr>
      <w:tr w14:paraId="5DAB2C3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0E0091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14.1</w:t>
            </w:r>
          </w:p>
        </w:tc>
        <w:tc>
          <w:tcPr>
            <w:tcW w:w="7126" w:type="dxa"/>
            <w:tcBorders>
              <w:tl2br w:val="nil"/>
              <w:tr2bl w:val="nil"/>
            </w:tcBorders>
            <w:vAlign w:val="center"/>
          </w:tcPr>
          <w:p w14:paraId="068297C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开标时间：同响应截止时间 </w:t>
            </w:r>
          </w:p>
          <w:p w14:paraId="016E80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开标地点：政采云平台（https://www.zcygov.cn/）不见面开标系统</w:t>
            </w:r>
          </w:p>
        </w:tc>
      </w:tr>
      <w:tr w14:paraId="2629DE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14:paraId="382746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18.1</w:t>
            </w:r>
          </w:p>
        </w:tc>
        <w:tc>
          <w:tcPr>
            <w:tcW w:w="7126" w:type="dxa"/>
            <w:tcBorders>
              <w:tl2br w:val="nil"/>
              <w:tr2bl w:val="nil"/>
            </w:tcBorders>
            <w:vAlign w:val="center"/>
          </w:tcPr>
          <w:p w14:paraId="444145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采购人是否委托磋商小组直接确定中标人：否 </w:t>
            </w:r>
          </w:p>
        </w:tc>
      </w:tr>
      <w:tr w14:paraId="35BD7AD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863ACF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22.1</w:t>
            </w:r>
          </w:p>
        </w:tc>
        <w:tc>
          <w:tcPr>
            <w:tcW w:w="7126" w:type="dxa"/>
            <w:tcBorders>
              <w:tl2br w:val="nil"/>
              <w:tr2bl w:val="nil"/>
            </w:tcBorders>
            <w:vAlign w:val="center"/>
          </w:tcPr>
          <w:p w14:paraId="2FDE51F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提交履约保证金的时间：/</w:t>
            </w:r>
          </w:p>
          <w:p w14:paraId="4E6D81A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履约保证金金额：/</w:t>
            </w:r>
          </w:p>
          <w:p w14:paraId="4A0B27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履约保证金形式：/</w:t>
            </w:r>
          </w:p>
        </w:tc>
      </w:tr>
      <w:tr w14:paraId="4E7BB7F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79" w:hRule="atLeast"/>
        </w:trPr>
        <w:tc>
          <w:tcPr>
            <w:tcW w:w="1870" w:type="dxa"/>
            <w:tcBorders>
              <w:tl2br w:val="nil"/>
              <w:tr2bl w:val="nil"/>
            </w:tcBorders>
            <w:vAlign w:val="center"/>
          </w:tcPr>
          <w:p w14:paraId="66E60BE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23.1</w:t>
            </w:r>
          </w:p>
        </w:tc>
        <w:tc>
          <w:tcPr>
            <w:tcW w:w="7126" w:type="dxa"/>
            <w:tcBorders>
              <w:tl2br w:val="nil"/>
              <w:tr2bl w:val="nil"/>
            </w:tcBorders>
            <w:vAlign w:val="center"/>
          </w:tcPr>
          <w:p w14:paraId="61BEAB60">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1、是否由中标人缴纳招标代理费：是 </w:t>
            </w:r>
          </w:p>
          <w:p w14:paraId="480E2ECF">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招标代理费：</w:t>
            </w:r>
            <w:r>
              <w:rPr>
                <w:rFonts w:hint="eastAsia" w:ascii="仿宋" w:hAnsi="仿宋" w:eastAsia="仿宋" w:cs="仿宋"/>
                <w:sz w:val="24"/>
                <w:szCs w:val="24"/>
                <w:highlight w:val="none"/>
                <w:lang w:val="en-US" w:eastAsia="zh-CN"/>
              </w:rPr>
              <w:sym w:font="Wingdings 2" w:char="0052"/>
            </w:r>
            <w:r>
              <w:rPr>
                <w:rFonts w:hint="eastAsia" w:ascii="仿宋" w:hAnsi="仿宋" w:eastAsia="仿宋" w:cs="仿宋"/>
                <w:sz w:val="24"/>
                <w:szCs w:val="24"/>
                <w:highlight w:val="none"/>
                <w:lang w:val="en-US" w:eastAsia="zh-CN"/>
              </w:rPr>
              <w:t xml:space="preserve">参照原国家计委计价格【2002】1980 号文的计算方法收取。  </w:t>
            </w:r>
          </w:p>
          <w:p w14:paraId="57E2E0F6">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本项目招标代理费   万元  </w:t>
            </w:r>
          </w:p>
          <w:p w14:paraId="6F2FBA4D">
            <w:pPr>
              <w:keepNext w:val="0"/>
              <w:keepLines w:val="0"/>
              <w:pageBreakBefore w:val="0"/>
              <w:widowControl/>
              <w:numPr>
                <w:ilvl w:val="0"/>
                <w:numId w:val="4"/>
              </w:numPr>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支付形式：支票、电汇等形式 </w:t>
            </w:r>
          </w:p>
          <w:p w14:paraId="3590ADF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3、支付时间：领取中标通知书的同时</w:t>
            </w:r>
          </w:p>
          <w:p w14:paraId="5CBB5FD4">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4、服务费缴纳账号： </w:t>
            </w:r>
          </w:p>
          <w:p w14:paraId="0EF0FBAE">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收款单位全称：新疆恒晟华工程项目管理有限公司</w:t>
            </w:r>
          </w:p>
          <w:p w14:paraId="4FAF32E9">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银行账号：0000020070110051237322</w:t>
            </w:r>
          </w:p>
          <w:p w14:paraId="2F39228F">
            <w:pPr>
              <w:spacing w:line="360" w:lineRule="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sz w:val="24"/>
                <w:szCs w:val="24"/>
                <w:highlight w:val="none"/>
                <w:lang w:val="en-US" w:eastAsia="zh-CN"/>
              </w:rPr>
              <w:t>开户行： 乌鲁木齐银行股份有限公司乌鲁木齐振华街支行</w:t>
            </w:r>
          </w:p>
        </w:tc>
      </w:tr>
      <w:tr w14:paraId="70E27B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996" w:type="dxa"/>
            <w:gridSpan w:val="2"/>
            <w:tcBorders>
              <w:top w:val="single" w:color="auto" w:sz="4" w:space="0"/>
              <w:bottom w:val="single" w:color="auto" w:sz="4" w:space="0"/>
              <w:tl2br w:val="nil"/>
              <w:tr2bl w:val="nil"/>
            </w:tcBorders>
            <w:vAlign w:val="center"/>
          </w:tcPr>
          <w:p w14:paraId="3B594A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适用于本供应商须知的额外增加的变动：</w:t>
            </w:r>
          </w:p>
        </w:tc>
      </w:tr>
      <w:tr w14:paraId="4D6A84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61EBA26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bottom w:val="single" w:color="auto" w:sz="4" w:space="0"/>
              <w:tl2br w:val="nil"/>
              <w:tr2bl w:val="nil"/>
            </w:tcBorders>
            <w:vAlign w:val="center"/>
          </w:tcPr>
          <w:p w14:paraId="2B9D55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核心产品：/</w:t>
            </w:r>
          </w:p>
        </w:tc>
      </w:tr>
      <w:tr w14:paraId="4AC8DE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60F351B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bottom w:val="single" w:color="auto" w:sz="4" w:space="0"/>
              <w:tl2br w:val="nil"/>
              <w:tr2bl w:val="nil"/>
            </w:tcBorders>
            <w:vAlign w:val="center"/>
          </w:tcPr>
          <w:p w14:paraId="29D99E3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评标方法：综合评分法</w:t>
            </w:r>
          </w:p>
        </w:tc>
      </w:tr>
      <w:tr w14:paraId="023C8A5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3829CDA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30CD137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项目属性：服务</w:t>
            </w:r>
          </w:p>
        </w:tc>
      </w:tr>
      <w:tr w14:paraId="29F760E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51EC612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62C72F51">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是否允许合同分包：□允许  </w:t>
            </w:r>
            <w:r>
              <w:rPr>
                <w:rFonts w:hint="eastAsia" w:ascii="仿宋" w:hAnsi="仿宋" w:eastAsia="仿宋" w:cs="仿宋"/>
                <w:sz w:val="24"/>
                <w:szCs w:val="24"/>
                <w:highlight w:val="none"/>
                <w:lang w:val="en-US" w:eastAsia="zh-CN"/>
              </w:rPr>
              <w:sym w:font="Wingdings 2" w:char="0052"/>
            </w:r>
            <w:r>
              <w:rPr>
                <w:rFonts w:hint="eastAsia" w:ascii="仿宋" w:hAnsi="仿宋" w:eastAsia="仿宋" w:cs="仿宋"/>
                <w:sz w:val="24"/>
                <w:szCs w:val="24"/>
                <w:highlight w:val="none"/>
                <w:lang w:val="en-US" w:eastAsia="zh-CN"/>
              </w:rPr>
              <w:t xml:space="preserve"> 不允许</w:t>
            </w:r>
          </w:p>
        </w:tc>
      </w:tr>
      <w:tr w14:paraId="055B2F3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155ACDF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1A90D8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_GB2312"/>
                <w:sz w:val="24"/>
                <w:highlight w:val="none"/>
              </w:rPr>
              <w:t>合同履约期限</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根据甲方时间要求提交全部成果</w:t>
            </w:r>
          </w:p>
        </w:tc>
      </w:tr>
      <w:tr w14:paraId="68032A6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42A8E48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2AFFE3E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kern w:val="0"/>
                <w:sz w:val="24"/>
                <w:szCs w:val="24"/>
                <w:highlight w:val="none"/>
              </w:rPr>
              <w:fldChar w:fldCharType="begin"/>
            </w:r>
            <w:r>
              <w:rPr>
                <w:rFonts w:hint="eastAsia" w:ascii="仿宋" w:hAnsi="仿宋" w:eastAsia="仿宋" w:cs="仿宋"/>
                <w:kern w:val="0"/>
                <w:sz w:val="24"/>
                <w:szCs w:val="24"/>
                <w:highlight w:val="none"/>
              </w:rPr>
              <w:instrText xml:space="preserve"> HYPERLINK "mailto:开标结束后，请将生成的备份标书（未加密）发邮箱593778797@qq.com。填写邮件时标题\“项目简称+公司全称\”。" </w:instrText>
            </w:r>
            <w:r>
              <w:rPr>
                <w:rFonts w:hint="eastAsia" w:ascii="仿宋" w:hAnsi="仿宋" w:eastAsia="仿宋" w:cs="仿宋"/>
                <w:kern w:val="0"/>
                <w:sz w:val="24"/>
                <w:szCs w:val="24"/>
                <w:highlight w:val="none"/>
              </w:rPr>
              <w:fldChar w:fldCharType="separate"/>
            </w:r>
            <w:r>
              <w:rPr>
                <w:rStyle w:val="31"/>
                <w:rFonts w:hint="eastAsia" w:ascii="仿宋" w:hAnsi="仿宋" w:eastAsia="仿宋" w:cs="仿宋"/>
                <w:color w:val="auto"/>
                <w:kern w:val="0"/>
                <w:sz w:val="24"/>
                <w:szCs w:val="24"/>
                <w:highlight w:val="none"/>
                <w:u w:val="none"/>
              </w:rPr>
              <w:t>开标结束后</w:t>
            </w:r>
            <w:r>
              <w:rPr>
                <w:rFonts w:hint="eastAsia" w:ascii="仿宋" w:hAnsi="仿宋" w:eastAsia="仿宋" w:cs="仿宋"/>
                <w:kern w:val="0"/>
                <w:sz w:val="24"/>
                <w:szCs w:val="24"/>
                <w:highlight w:val="none"/>
              </w:rPr>
              <w:fldChar w:fldCharType="end"/>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中标单位需在中标后五个工作日内提供纸质版</w:t>
            </w:r>
            <w:r>
              <w:rPr>
                <w:rFonts w:hint="eastAsia" w:ascii="仿宋" w:hAnsi="仿宋" w:eastAsia="仿宋" w:cs="仿宋"/>
                <w:sz w:val="24"/>
                <w:szCs w:val="24"/>
                <w:highlight w:val="none"/>
                <w:lang w:eastAsia="zh-CN"/>
              </w:rPr>
              <w:t>响应文件正本</w:t>
            </w:r>
            <w:r>
              <w:rPr>
                <w:rFonts w:hint="eastAsia" w:ascii="仿宋" w:hAnsi="仿宋" w:eastAsia="仿宋" w:cs="仿宋"/>
                <w:sz w:val="24"/>
                <w:szCs w:val="24"/>
                <w:highlight w:val="none"/>
                <w:lang w:val="en-US" w:eastAsia="zh-CN"/>
              </w:rPr>
              <w:t>1份，副本2份</w:t>
            </w:r>
            <w:r>
              <w:rPr>
                <w:rFonts w:hint="eastAsia" w:ascii="仿宋" w:hAnsi="仿宋" w:eastAsia="仿宋" w:cs="仿宋"/>
                <w:sz w:val="24"/>
                <w:szCs w:val="24"/>
                <w:highlight w:val="none"/>
              </w:rPr>
              <w:t>，至</w:t>
            </w:r>
            <w:r>
              <w:rPr>
                <w:rFonts w:hint="eastAsia" w:ascii="仿宋" w:hAnsi="仿宋" w:eastAsia="仿宋" w:cs="仿宋"/>
                <w:sz w:val="24"/>
                <w:szCs w:val="24"/>
                <w:highlight w:val="none"/>
                <w:lang w:eastAsia="zh-CN"/>
              </w:rPr>
              <w:t>乌鲁木齐市水磨沟区南湖北路913号（南湖大厦）1单元401室</w:t>
            </w:r>
            <w:r>
              <w:rPr>
                <w:rFonts w:hint="eastAsia" w:ascii="仿宋" w:hAnsi="仿宋" w:eastAsia="仿宋" w:cs="仿宋"/>
                <w:sz w:val="24"/>
                <w:szCs w:val="24"/>
                <w:highlight w:val="none"/>
              </w:rPr>
              <w:t xml:space="preserve"> 。（要求盖章+胶装）</w:t>
            </w:r>
          </w:p>
        </w:tc>
      </w:tr>
      <w:tr w14:paraId="65EB713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33" w:hRule="atLeast"/>
        </w:trPr>
        <w:tc>
          <w:tcPr>
            <w:tcW w:w="8996" w:type="dxa"/>
            <w:gridSpan w:val="2"/>
            <w:tcBorders>
              <w:tl2br w:val="nil"/>
              <w:tr2bl w:val="nil"/>
            </w:tcBorders>
            <w:vAlign w:val="center"/>
          </w:tcPr>
          <w:p w14:paraId="14B5FF9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适用于本供应商须知的额外增加的变动：</w:t>
            </w:r>
          </w:p>
          <w:p w14:paraId="31A945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1、关于本项目所有公告、公示在新疆(兵团）政府采购网发布。</w:t>
            </w:r>
          </w:p>
          <w:p w14:paraId="480CD67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2、请参加磋商供应商随时关注本项目的澄清、答疑、变更事项。</w:t>
            </w:r>
          </w:p>
          <w:p w14:paraId="44C8E59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3、本项目实行电子招投标，供应商须登录政采云平台申请获取采购文件，并通过政采云电子投标客户端制作响应文件，同时自行承担与投标有关的一切费用。</w:t>
            </w:r>
          </w:p>
          <w:p w14:paraId="21A72CB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6EF87BC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44C6A21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1167595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C3B69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highlight w:val="none"/>
                <w:lang w:val="en-US" w:eastAsia="zh-CN"/>
              </w:rPr>
            </w:pPr>
            <w:r>
              <w:rPr>
                <w:rFonts w:hint="eastAsia" w:ascii="仿宋" w:hAnsi="仿宋" w:eastAsia="仿宋" w:cs="仿宋"/>
                <w:highlight w:val="none"/>
                <w:lang w:val="en-US" w:eastAsia="zh-CN"/>
              </w:rPr>
              <w:t>8、供应商在开标前须提前配置好电脑浏览器（建议使用360浏览器或谷歌浏览器），开标时请使用制作加密电子响应文件的CA锁进行解密及报价确认。本项目响应文件解密时间定为30分钟，如供应商因自身原因导致在规定的时间无法正常解密，视为开标后撤销其响应文件，磋商保证金招标人有权不予退还。</w:t>
            </w:r>
          </w:p>
          <w:p w14:paraId="6FFBF5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9、本项目磋商轮次：本项目进行两轮报价，第一轮报价为响应文件中首次报价，第二轮报价为最后报价。</w:t>
            </w:r>
            <w:r>
              <w:rPr>
                <w:rFonts w:hint="eastAsia" w:ascii="仿宋" w:hAnsi="仿宋" w:eastAsia="仿宋" w:cs="仿宋"/>
                <w:b/>
                <w:bCs/>
                <w:sz w:val="24"/>
                <w:szCs w:val="24"/>
                <w:highlight w:val="none"/>
                <w:lang w:val="en-US" w:eastAsia="zh-CN"/>
              </w:rPr>
              <w:t>如最后报价未要求填报报价明细表，则最后报价明细表报价</w:t>
            </w:r>
            <w:r>
              <w:rPr>
                <w:rFonts w:hint="eastAsia" w:ascii="仿宋" w:hAnsi="仿宋" w:eastAsia="仿宋" w:cs="仿宋"/>
                <w:b/>
                <w:bCs/>
                <w:sz w:val="24"/>
                <w:szCs w:val="24"/>
                <w:highlight w:val="none"/>
                <w:lang w:val="zh-CN" w:eastAsia="zh-CN"/>
              </w:rPr>
              <w:t>统一按</w:t>
            </w:r>
            <w:r>
              <w:rPr>
                <w:rFonts w:hint="eastAsia" w:ascii="仿宋" w:hAnsi="仿宋" w:eastAsia="仿宋" w:cs="仿宋"/>
                <w:b/>
                <w:bCs/>
                <w:sz w:val="24"/>
                <w:szCs w:val="24"/>
                <w:highlight w:val="none"/>
                <w:lang w:val="en-US" w:eastAsia="zh-CN"/>
              </w:rPr>
              <w:t>最终</w:t>
            </w:r>
            <w:r>
              <w:rPr>
                <w:rFonts w:hint="eastAsia" w:ascii="仿宋" w:hAnsi="仿宋" w:eastAsia="仿宋" w:cs="仿宋"/>
                <w:b/>
                <w:bCs/>
                <w:sz w:val="24"/>
                <w:szCs w:val="24"/>
                <w:highlight w:val="none"/>
                <w:lang w:val="zh-CN" w:eastAsia="zh-CN"/>
              </w:rPr>
              <w:t>总报价</w:t>
            </w:r>
            <w:r>
              <w:rPr>
                <w:rFonts w:hint="eastAsia" w:ascii="仿宋" w:hAnsi="仿宋" w:eastAsia="仿宋" w:cs="仿宋"/>
                <w:b/>
                <w:bCs/>
                <w:sz w:val="24"/>
                <w:szCs w:val="24"/>
                <w:highlight w:val="none"/>
                <w:lang w:val="en-US" w:eastAsia="zh-CN"/>
              </w:rPr>
              <w:t>与第一轮报价的调整</w:t>
            </w:r>
            <w:r>
              <w:rPr>
                <w:rFonts w:hint="eastAsia" w:ascii="仿宋" w:hAnsi="仿宋" w:eastAsia="仿宋" w:cs="仿宋"/>
                <w:b/>
                <w:bCs/>
                <w:sz w:val="24"/>
                <w:szCs w:val="24"/>
                <w:highlight w:val="none"/>
                <w:lang w:val="zh-CN" w:eastAsia="zh-CN"/>
              </w:rPr>
              <w:t>幅度调整，</w:t>
            </w:r>
            <w:r>
              <w:rPr>
                <w:rFonts w:hint="eastAsia" w:ascii="仿宋" w:hAnsi="仿宋" w:eastAsia="仿宋" w:cs="仿宋"/>
                <w:b/>
                <w:bCs/>
                <w:sz w:val="24"/>
                <w:szCs w:val="24"/>
                <w:highlight w:val="none"/>
                <w:lang w:val="en-US" w:eastAsia="zh-CN"/>
              </w:rPr>
              <w:t>采购文件中</w:t>
            </w:r>
            <w:r>
              <w:rPr>
                <w:rFonts w:hint="eastAsia" w:ascii="仿宋" w:hAnsi="仿宋" w:eastAsia="仿宋" w:cs="仿宋"/>
                <w:b/>
                <w:bCs/>
                <w:sz w:val="24"/>
                <w:szCs w:val="24"/>
                <w:highlight w:val="none"/>
                <w:lang w:val="zh-CN" w:eastAsia="zh-CN"/>
              </w:rPr>
              <w:t>明确列出的金额（</w:t>
            </w:r>
            <w:r>
              <w:rPr>
                <w:rFonts w:hint="eastAsia" w:ascii="仿宋" w:hAnsi="仿宋" w:eastAsia="仿宋" w:cs="仿宋"/>
                <w:b/>
                <w:bCs/>
                <w:sz w:val="24"/>
                <w:szCs w:val="24"/>
                <w:highlight w:val="none"/>
                <w:lang w:val="en-US" w:eastAsia="zh-CN"/>
              </w:rPr>
              <w:t>并要求按此金额包含在报价中，如工程项目的材料暂估价、专业工程暂估价、暂列金额等）不参与调整幅度计算</w:t>
            </w:r>
            <w:r>
              <w:rPr>
                <w:rFonts w:hint="eastAsia" w:ascii="仿宋" w:hAnsi="仿宋" w:eastAsia="仿宋" w:cs="仿宋"/>
                <w:b/>
                <w:bCs/>
                <w:sz w:val="24"/>
                <w:szCs w:val="24"/>
                <w:highlight w:val="none"/>
                <w:lang w:val="zh-CN" w:eastAsia="zh-CN"/>
              </w:rPr>
              <w:t>；</w:t>
            </w:r>
            <w:r>
              <w:rPr>
                <w:rFonts w:hint="eastAsia" w:ascii="仿宋" w:hAnsi="仿宋" w:eastAsia="仿宋" w:cs="仿宋"/>
                <w:b/>
                <w:bCs/>
                <w:sz w:val="24"/>
                <w:szCs w:val="24"/>
                <w:highlight w:val="none"/>
                <w:lang w:val="en-US" w:eastAsia="zh-CN"/>
              </w:rPr>
              <w:t>采购文件中</w:t>
            </w:r>
            <w:r>
              <w:rPr>
                <w:rFonts w:hint="eastAsia" w:ascii="仿宋" w:hAnsi="仿宋" w:eastAsia="仿宋" w:cs="仿宋"/>
                <w:b/>
                <w:bCs/>
                <w:sz w:val="24"/>
                <w:szCs w:val="24"/>
                <w:highlight w:val="none"/>
                <w:lang w:val="zh-CN" w:eastAsia="zh-CN"/>
              </w:rPr>
              <w:t>明确列出（</w:t>
            </w:r>
            <w:r>
              <w:rPr>
                <w:rFonts w:hint="eastAsia" w:ascii="仿宋" w:hAnsi="仿宋" w:eastAsia="仿宋" w:cs="仿宋"/>
                <w:b/>
                <w:bCs/>
                <w:sz w:val="24"/>
                <w:szCs w:val="24"/>
                <w:highlight w:val="none"/>
                <w:lang w:val="en-US" w:eastAsia="zh-CN"/>
              </w:rPr>
              <w:t>如工程项目的材料暂估价、专业工程暂估价、暂列金额等）的</w:t>
            </w:r>
            <w:r>
              <w:rPr>
                <w:rFonts w:hint="eastAsia" w:ascii="仿宋" w:hAnsi="仿宋" w:eastAsia="仿宋" w:cs="仿宋"/>
                <w:b/>
                <w:bCs/>
                <w:sz w:val="24"/>
                <w:szCs w:val="24"/>
                <w:highlight w:val="none"/>
                <w:lang w:val="zh-CN" w:eastAsia="zh-CN"/>
              </w:rPr>
              <w:t>金额</w:t>
            </w:r>
            <w:r>
              <w:rPr>
                <w:rFonts w:hint="eastAsia" w:ascii="仿宋" w:hAnsi="仿宋" w:eastAsia="仿宋" w:cs="仿宋"/>
                <w:b/>
                <w:bCs/>
                <w:sz w:val="24"/>
                <w:szCs w:val="24"/>
                <w:highlight w:val="none"/>
                <w:lang w:val="en-US" w:eastAsia="zh-CN"/>
              </w:rPr>
              <w:t>报价与采购文件保持一至</w:t>
            </w:r>
            <w:r>
              <w:rPr>
                <w:rFonts w:hint="eastAsia" w:ascii="仿宋" w:hAnsi="仿宋" w:eastAsia="仿宋" w:cs="仿宋"/>
                <w:b/>
                <w:bCs/>
                <w:sz w:val="24"/>
                <w:szCs w:val="24"/>
                <w:highlight w:val="none"/>
                <w:lang w:val="zh-CN" w:eastAsia="zh-CN"/>
              </w:rPr>
              <w:t>。</w:t>
            </w:r>
          </w:p>
        </w:tc>
      </w:tr>
    </w:tbl>
    <w:p w14:paraId="38D666DE">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01A9C5CE">
      <w:pPr>
        <w:pStyle w:val="2"/>
        <w:numPr>
          <w:ilvl w:val="0"/>
          <w:numId w:val="5"/>
        </w:numPr>
        <w:bidi w:val="0"/>
        <w:jc w:val="center"/>
        <w:rPr>
          <w:rFonts w:hint="eastAsia" w:ascii="仿宋" w:hAnsi="仿宋" w:eastAsia="仿宋" w:cs="仿宋"/>
          <w:sz w:val="32"/>
          <w:szCs w:val="32"/>
          <w:highlight w:val="none"/>
          <w:lang w:val="en-US" w:eastAsia="zh-CN"/>
        </w:rPr>
      </w:pPr>
      <w:bookmarkStart w:id="10" w:name="_Toc13270"/>
      <w:r>
        <w:rPr>
          <w:rFonts w:hint="eastAsia" w:ascii="仿宋" w:hAnsi="仿宋" w:eastAsia="仿宋" w:cs="仿宋"/>
          <w:sz w:val="32"/>
          <w:szCs w:val="32"/>
          <w:highlight w:val="none"/>
          <w:lang w:val="en-US" w:eastAsia="zh-CN"/>
        </w:rPr>
        <w:t>供应商须知</w:t>
      </w:r>
      <w:bookmarkEnd w:id="10"/>
    </w:p>
    <w:p w14:paraId="47B3BC2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32"/>
          <w:szCs w:val="32"/>
          <w:highlight w:val="none"/>
          <w:lang w:val="en-US" w:eastAsia="zh-CN"/>
        </w:rPr>
      </w:pPr>
    </w:p>
    <w:p w14:paraId="7684EA47">
      <w:pPr>
        <w:keepNext w:val="0"/>
        <w:keepLines w:val="0"/>
        <w:pageBreakBefore w:val="0"/>
        <w:widowControl w:val="0"/>
        <w:numPr>
          <w:ilvl w:val="0"/>
          <w:numId w:val="6"/>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sz w:val="24"/>
          <w:szCs w:val="24"/>
          <w:highlight w:val="none"/>
        </w:rPr>
      </w:pPr>
      <w:bookmarkStart w:id="11" w:name="_Toc21962"/>
      <w:r>
        <w:rPr>
          <w:rFonts w:hint="eastAsia" w:ascii="仿宋" w:hAnsi="仿宋" w:eastAsia="仿宋" w:cs="仿宋"/>
          <w:b/>
          <w:bCs/>
          <w:sz w:val="24"/>
          <w:szCs w:val="24"/>
          <w:highlight w:val="none"/>
        </w:rPr>
        <w:t>说 明</w:t>
      </w:r>
      <w:bookmarkEnd w:id="11"/>
    </w:p>
    <w:p w14:paraId="1061FAD4">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采购人、采购代理机构及供应商</w:t>
      </w:r>
    </w:p>
    <w:p w14:paraId="2211E63F">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采购人：是指依法进行政府采购的国家机构、事业单位、团体组织。</w:t>
      </w:r>
    </w:p>
    <w:p w14:paraId="611A8485">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采购代理机构：本次招标的采购代理机构为新疆恒晟华工程项目管理有限公司。</w:t>
      </w:r>
    </w:p>
    <w:p w14:paraId="7DCF4E4A">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供应商：是指向采购人提供货物、工程或者服务的法人、其他组织或者自然人。</w:t>
      </w:r>
    </w:p>
    <w:p w14:paraId="28D0972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供应商须满足以下条件：</w:t>
      </w:r>
    </w:p>
    <w:p w14:paraId="43B695C9">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具备《中华人民共和国政府采购法》第二十二条关于供应商条件的规定，遵守国家、本项目采购人本级和上级财政部门政府采购的有关规定。</w:t>
      </w:r>
    </w:p>
    <w:p w14:paraId="741F4E4F">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以采购文件规定的方式获得了本项目的采购文件。</w:t>
      </w:r>
    </w:p>
    <w:p w14:paraId="736A08DF">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符合</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中规定的其他资格要求。</w:t>
      </w:r>
    </w:p>
    <w:p w14:paraId="6D465266">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符合</w:t>
      </w:r>
      <w:r>
        <w:rPr>
          <w:rFonts w:hint="eastAsia" w:ascii="仿宋" w:hAnsi="仿宋" w:eastAsia="仿宋" w:cs="仿宋"/>
          <w:b w:val="0"/>
          <w:bCs w:val="0"/>
          <w:sz w:val="24"/>
          <w:szCs w:val="24"/>
          <w:highlight w:val="none"/>
          <w:u w:val="single"/>
          <w:lang w:val="en-US" w:eastAsia="zh-CN"/>
        </w:rPr>
        <w:t>竞争性磋商公告</w:t>
      </w:r>
      <w:r>
        <w:rPr>
          <w:rFonts w:hint="eastAsia" w:ascii="仿宋" w:hAnsi="仿宋" w:eastAsia="仿宋" w:cs="仿宋"/>
          <w:b w:val="0"/>
          <w:bCs w:val="0"/>
          <w:sz w:val="24"/>
          <w:szCs w:val="24"/>
          <w:highlight w:val="none"/>
          <w:u w:val="none"/>
          <w:lang w:val="en-US" w:eastAsia="zh-CN"/>
        </w:rPr>
        <w:t>规定的本项目特定资格要求。</w:t>
      </w:r>
    </w:p>
    <w:p w14:paraId="0F54F995">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如经财政主管部门批准可以采购进口产品，将在供应商须知前附表中写明。但供应商应保证所投产品可履行合法报通关手续进入中国关境内。若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中未写明允许采购进口产品，如供应商所投产品为进口产品，其响应文件将作为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被拒绝。 </w:t>
      </w:r>
    </w:p>
    <w:p w14:paraId="2D018800">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中小企业、监狱企业及残疾人福利性单位。</w:t>
      </w:r>
    </w:p>
    <w:p w14:paraId="6EF1F284">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采购标的对应的中小企业划分标准所属行业见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3F95CFD0">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中写明专门面向中小企业采购的，如供应商所提供的货物为非中小企业制造或提供的服务、工程为非中小企业承接，其响应文件将被认定为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。承接企业如为监狱企业或残疾人福利性单位的，视同为小型、微型企业。本项目是否面向中小企业采购预留份额、措施及比例见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，未达到上述比例的响应文件将被认定为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。承接企业如为监狱企业或残疾人福利性单位的，视同为小型、微型企业。</w:t>
      </w:r>
    </w:p>
    <w:p w14:paraId="0FF65633">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6ED216D1">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供应商提供的货物、工程或者服务符合下列情形的，享受中小企业扶持政策：</w:t>
      </w:r>
    </w:p>
    <w:p w14:paraId="3748E39E">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在货物采购项目中，货物由中小企业制造，即货物由中小企业生产且使用该中小企业商号或者注册商标；</w:t>
      </w:r>
    </w:p>
    <w:p w14:paraId="2FC97318">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在工程采购项目中，工程由中小企业承建，即工程施工单位为中小企业；</w:t>
      </w:r>
    </w:p>
    <w:p w14:paraId="1D0863B5">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7857812F">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在货物采购项目中，供应商提供的货物既有中小企业制造货物，也有大型企业制造货物的，不享受中小企业扶持政策。 </w:t>
      </w:r>
    </w:p>
    <w:p w14:paraId="0885C775">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以联合体形式参加政府采购活动，联合体各方均为中小企业的，联合体视同中小企业。其中，联合体各方均为小微企业的，联合体视同小微企业。</w:t>
      </w:r>
    </w:p>
    <w:p w14:paraId="78729552">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EB05CF1">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4D6E18B1">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安置的残疾人占本单位在职职工人数的比例不低于25%（含25%），并且安置的残疾人人数不少于10人（含10人）； </w:t>
      </w:r>
    </w:p>
    <w:p w14:paraId="10FCCC7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依法与安置的每位残疾人签订了一年以上（含一年）的劳动合同或服务协议；</w:t>
      </w:r>
    </w:p>
    <w:p w14:paraId="2965C515">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为安置的每位残疾人按月足额缴纳了基本养老保险、基本医疗保险、失业保险、工伤保险和生育保险等社会保险费；</w:t>
      </w:r>
    </w:p>
    <w:p w14:paraId="0B2C10BD">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通过银行等金融机构向安置的每位残疾人，按月支付了不低于单位所在区县适用的经省级人民政府批准的月最低工资标准的工资；</w:t>
      </w:r>
    </w:p>
    <w:p w14:paraId="4794449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提供本单位制造的货物、承担的工程或者服务，或者提供其他残疾人福利性单位制造的货物（不包括使用非残疾人福利性单位注册商标的货物）。</w:t>
      </w:r>
    </w:p>
    <w:p w14:paraId="6501B16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C00CB38">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享受中小企业扶持政策获得政府采购合同的，小微企业不得将合同分包给大中型企业，中型企业不得将合同分包给大型企业。</w:t>
      </w:r>
    </w:p>
    <w:p w14:paraId="67FD6CB5">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w:t>
      </w:r>
    </w:p>
    <w:p w14:paraId="6C63410A">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7CA8A541">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1AF03886">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如本项目采购产品属于实施政府强制采购品目清单范围的节能产品，则供应商所报产品必须获得国家确定的认证机构出具的、处于有效期之内的节能产品认证证书，否则为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4B83E726">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32057013">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支持乡村产业振兴管理</w:t>
      </w:r>
    </w:p>
    <w:p w14:paraId="342E3761">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2111DF5B">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正版软件</w:t>
      </w:r>
    </w:p>
    <w:p w14:paraId="063AC7B5">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7159F835">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D0097CB">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信息安全产品</w:t>
      </w:r>
    </w:p>
    <w:p w14:paraId="4D3EB9AD">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所投产品属于《关于调整信息安全产品强制性认证实施要求的公告》（2009 年第 33 号）范围的，采购经国家认证的信息安全产品，否则为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。关于信息安全相关规定依据《关于信息安全产品实施政府采购的通知》（财库〔2010〕48 号）。</w:t>
      </w:r>
    </w:p>
    <w:p w14:paraId="7AC53E1B">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中允许联合体投标，对联合体规定如下：</w:t>
      </w:r>
    </w:p>
    <w:p w14:paraId="27E3C047">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两个以上供应商可以组成一个联合体，以一个供应商的身份参加采购活动。</w:t>
      </w:r>
    </w:p>
    <w:p w14:paraId="2B5AE148">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联合体各方均应符合《中华人民共和国政府采购法》第二十二条规定的条件，遵守国家、本项目采购人本级和上级财政部门政府采购的有关规定。</w:t>
      </w:r>
    </w:p>
    <w:p w14:paraId="68D1E7DC">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采购人根据采购项目对供应商的特殊要求，联合体中至少应当有一方符合相关规定。</w:t>
      </w:r>
    </w:p>
    <w:p w14:paraId="516654CE">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联合体各方应签订联合体协议，明确约定联合体各方承担的工作和相应的责任，并将联合体连同响应文件一并提交采购人或采购代理机构。</w:t>
      </w:r>
    </w:p>
    <w:p w14:paraId="4DF45B21">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68E07CBE">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联合体中有同类资质的供应商按照联合体分工承担相同工作的，按照资质等级较低的供应商确定资质等级。</w:t>
      </w:r>
    </w:p>
    <w:p w14:paraId="66423656">
      <w:pPr>
        <w:keepNext w:val="0"/>
        <w:keepLines w:val="0"/>
        <w:pageBreakBefore w:val="0"/>
        <w:widowControl w:val="0"/>
        <w:numPr>
          <w:ilvl w:val="2"/>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对联合体投标的其他资格要求见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76D85F44">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单位负责人为同一人或者存在直接控股、管理关系的不同供应商，其响应文件将被认定为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 </w:t>
      </w:r>
    </w:p>
    <w:p w14:paraId="2D29DA79">
      <w:pPr>
        <w:keepNext w:val="0"/>
        <w:keepLines w:val="0"/>
        <w:pageBreakBefore w:val="0"/>
        <w:widowControl w:val="0"/>
        <w:numPr>
          <w:ilvl w:val="1"/>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为本项目提供整体设计、规范编制或者项目管理、监理、检测等服务的供应商，其响应文件将被认定为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75D61D7B">
      <w:pPr>
        <w:keepNext w:val="0"/>
        <w:keepLines w:val="0"/>
        <w:pageBreakBefore w:val="0"/>
        <w:widowControl w:val="0"/>
        <w:numPr>
          <w:ilvl w:val="0"/>
          <w:numId w:val="11"/>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 xml:space="preserve">资金来源 </w:t>
      </w:r>
    </w:p>
    <w:p w14:paraId="53B953E0">
      <w:pPr>
        <w:keepNext w:val="0"/>
        <w:keepLines w:val="0"/>
        <w:pageBreakBefore w:val="0"/>
        <w:widowControl w:val="0"/>
        <w:numPr>
          <w:ilvl w:val="1"/>
          <w:numId w:val="11"/>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本项目的采购人已获得足以支付本次采购活动后所签订的合同项下的资金（包括财政性资金和本项目采购中无法与财政性资金分割的非财政性资金）。 </w:t>
      </w:r>
    </w:p>
    <w:p w14:paraId="207D8C7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项目预算金额和最高限价见</w:t>
      </w:r>
      <w:r>
        <w:rPr>
          <w:rFonts w:hint="eastAsia" w:ascii="仿宋" w:hAnsi="仿宋" w:eastAsia="仿宋" w:cs="仿宋"/>
          <w:sz w:val="24"/>
          <w:szCs w:val="24"/>
          <w:highlight w:val="none"/>
          <w:u w:val="single"/>
          <w:lang w:val="en-US" w:eastAsia="zh-CN"/>
        </w:rPr>
        <w:t>供应商须知前附表</w:t>
      </w:r>
      <w:r>
        <w:rPr>
          <w:rFonts w:hint="eastAsia" w:ascii="仿宋" w:hAnsi="仿宋" w:eastAsia="仿宋" w:cs="仿宋"/>
          <w:sz w:val="24"/>
          <w:szCs w:val="24"/>
          <w:highlight w:val="none"/>
          <w:lang w:val="en-US" w:eastAsia="zh-CN"/>
        </w:rPr>
        <w:t>。</w:t>
      </w:r>
    </w:p>
    <w:p w14:paraId="20F67AB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供应商报价超过采购文件规定的预算金额或者最高限价的，其响应文件将被认定为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sz w:val="24"/>
          <w:szCs w:val="24"/>
          <w:highlight w:val="none"/>
          <w:lang w:val="en-US" w:eastAsia="zh-CN"/>
        </w:rPr>
        <w:t>。</w:t>
      </w:r>
    </w:p>
    <w:p w14:paraId="6A196AEF">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费用</w:t>
      </w:r>
    </w:p>
    <w:p w14:paraId="0AA81A1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供应商应自行承担所有与准备和参加采购活动有关的费用，无论结果如何，采购人或采购代理机构在任何情况下均无承担这些费用的义务和责任。</w:t>
      </w:r>
    </w:p>
    <w:p w14:paraId="3627429C">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适用法律</w:t>
      </w:r>
    </w:p>
    <w:p w14:paraId="6FA9D96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14:paraId="0FF6C3F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sz w:val="24"/>
          <w:szCs w:val="24"/>
          <w:highlight w:val="none"/>
          <w:lang w:val="en-US" w:eastAsia="zh-CN"/>
        </w:rPr>
      </w:pPr>
    </w:p>
    <w:p w14:paraId="513E7D34">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2" w:name="_Toc5010"/>
      <w:r>
        <w:rPr>
          <w:rFonts w:hint="eastAsia" w:ascii="仿宋" w:hAnsi="仿宋" w:eastAsia="仿宋" w:cs="仿宋"/>
          <w:b/>
          <w:bCs/>
          <w:sz w:val="24"/>
          <w:szCs w:val="24"/>
          <w:highlight w:val="none"/>
          <w:lang w:val="en-US" w:eastAsia="zh-CN"/>
        </w:rPr>
        <w:t>采购文件</w:t>
      </w:r>
      <w:bookmarkEnd w:id="12"/>
    </w:p>
    <w:p w14:paraId="4AAA2E86">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采购文件构成</w:t>
      </w:r>
    </w:p>
    <w:p w14:paraId="3B87458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采购文件包括以下部分：</w:t>
      </w:r>
    </w:p>
    <w:p w14:paraId="5FF007E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第一章 竞争性磋商公告 </w:t>
      </w:r>
    </w:p>
    <w:p w14:paraId="62EC50F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第二章 供应商须知前附表 </w:t>
      </w:r>
    </w:p>
    <w:p w14:paraId="200784F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第三章 供应商须知</w:t>
      </w:r>
    </w:p>
    <w:p w14:paraId="68565B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第四章 政府采购合同 </w:t>
      </w:r>
    </w:p>
    <w:p w14:paraId="38B006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第五章 采购需求 </w:t>
      </w:r>
    </w:p>
    <w:p w14:paraId="50260F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第六章 评标程序、评标方法和评标标准</w:t>
      </w:r>
    </w:p>
    <w:p w14:paraId="1C259F5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第七章 响应文件格式   </w:t>
      </w:r>
    </w:p>
    <w:p w14:paraId="6077020E">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sz w:val="24"/>
          <w:szCs w:val="24"/>
          <w:highlight w:val="none"/>
          <w:lang w:val="en-US" w:eastAsia="zh-CN"/>
        </w:rPr>
        <w:t>响应无效。</w:t>
      </w:r>
    </w:p>
    <w:p w14:paraId="49F92F35">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采购文件中有不一致的，有澄清的部分以最终的澄清更正内容为准；未澄清的，以供应商须知前附表为准；供应商须知前附表不涉及的内容，以编排在后的最后描述为准。</w:t>
      </w:r>
    </w:p>
    <w:p w14:paraId="0461277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现场考察或者答疑会及相关事项见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74BD3AA3">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采购人在踏勘现场中介绍的资料和数据等，只是为了使供应商能够利用采购人现有的资料。采购人对供应商由此而作出的推论、解释和结论概不负责。</w:t>
      </w:r>
    </w:p>
    <w:p w14:paraId="41BEE9D5">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供应商自行承担踏勘现场发生的责任、风险和自身费用。</w:t>
      </w:r>
    </w:p>
    <w:p w14:paraId="15E4E4B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，对样品的评审方法及评审标准见采购文件第六章《评标程序、评标方法和评标标准》。</w:t>
      </w:r>
    </w:p>
    <w:p w14:paraId="17F2E61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采购文件规定供应商提交样品的，样品属于响应文件的组成部分。样品的生产、运输、安装、保全等一切费用由供应商自理。</w:t>
      </w:r>
    </w:p>
    <w:p w14:paraId="5580E32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3616270A">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对采购文件的澄清或修改</w:t>
      </w:r>
    </w:p>
    <w:p w14:paraId="0EE0E0E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406D7F5E">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1811FBAB">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澄清或者修改的内容为采购文件的组成部分，并对所有获取采购文件的供应商具有约束力。澄清或者修改的内容可能影响采购文件编制的，将在投标截止时间至少 5 日前发布；不足 5 日的，将顺延提交响应文件的截止时间和开标时间。</w:t>
      </w:r>
    </w:p>
    <w:p w14:paraId="322F30DC">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为了保证对采购文件的澄清和修改满足法律的时限要求，任何要求对采购文件进行澄清的供应商，均应在投标截止期 5 日前，以书面形式将澄清要求通知采购人或采购代理机构。</w:t>
      </w:r>
    </w:p>
    <w:p w14:paraId="0F21A218">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如更正公告有重新发布电子采购文件的，供应商应登录电子招投标平台下载最新发布的电子采购文件制作响应文件。</w:t>
      </w:r>
    </w:p>
    <w:p w14:paraId="4C0C4A0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供应商在规定的时间内未对采购文件提出疑问、质疑或要求澄清的，将视其为无异议。对采购文件中描述有歧义或前后不一致的地方，磋商小组有权进行评判，但对同一条款的评判应适用于每个供应商。</w:t>
      </w:r>
    </w:p>
    <w:p w14:paraId="561CEEC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736035C8">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3" w:name="_Toc29248"/>
      <w:r>
        <w:rPr>
          <w:rFonts w:hint="eastAsia" w:ascii="仿宋" w:hAnsi="仿宋" w:eastAsia="仿宋" w:cs="仿宋"/>
          <w:b/>
          <w:bCs/>
          <w:sz w:val="24"/>
          <w:szCs w:val="24"/>
          <w:highlight w:val="none"/>
          <w:lang w:val="en-US" w:eastAsia="zh-CN"/>
        </w:rPr>
        <w:t>响应文件的编制</w:t>
      </w:r>
      <w:bookmarkEnd w:id="13"/>
    </w:p>
    <w:p w14:paraId="21A6F2CE">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响应范围、响应文件中计量单位的使用及磋商语言</w:t>
      </w:r>
    </w:p>
    <w:p w14:paraId="65FB127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供应商可对采购文件中一个或几个分包进行响应，除非在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 xml:space="preserve">中另有规定。 </w:t>
      </w:r>
    </w:p>
    <w:p w14:paraId="25CE75F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供应商应当对所投采购包对应第五章《采购需求》所列的全部内容进行响应，如仅响应采购包中的部分内容，其该包响应文件将被认定为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w:t>
      </w:r>
    </w:p>
    <w:p w14:paraId="280DCDF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无论采购文件中是否要求，供应商所投货物或服务或工程均应符合国家强制性标准。</w:t>
      </w:r>
    </w:p>
    <w:p w14:paraId="3F9F727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除采购文件有特殊要求外，本项目磋商所使用的计量单位，应采用中华人民共和国法定计量单位。</w:t>
      </w:r>
    </w:p>
    <w:p w14:paraId="3CBCF57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72D20A0A">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响应文件构成</w:t>
      </w:r>
    </w:p>
    <w:p w14:paraId="276F195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供应商应当按照采购文件的要求编制响应文件。响应文件应由资格证明文件、报价文件、商务技术文件三部分构成。响应文件的部分格式要求，见第七章《响应文件格式》。</w:t>
      </w:r>
    </w:p>
    <w:p w14:paraId="2BDE2F1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第五章《采购需求》及第六章《评标程序、评标方法和评标标准》中涉及的证明文件。</w:t>
      </w:r>
    </w:p>
    <w:p w14:paraId="7ED5020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0B627C4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供应商认为应附的其他材料。</w:t>
      </w:r>
    </w:p>
    <w:p w14:paraId="4EE3594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上述文件应按照采购文件的规定签署和盖公章或经公章授权的其他单位章（以下统称公章）。采用公章授权方式的，应当在响应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27AABB86">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响应报价</w:t>
      </w:r>
    </w:p>
    <w:p w14:paraId="652027E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所有响应均以人民币报价。</w:t>
      </w:r>
    </w:p>
    <w:p w14:paraId="08BCB5E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应当包括满足本次采购文件全部采购需求所应提供的全部内容。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sz w:val="24"/>
          <w:szCs w:val="24"/>
          <w:highlight w:val="none"/>
          <w:lang w:val="en-US" w:eastAsia="zh-CN"/>
        </w:rPr>
        <w:t>响应文件被拒绝</w:t>
      </w:r>
      <w:r>
        <w:rPr>
          <w:rFonts w:hint="eastAsia" w:ascii="仿宋" w:hAnsi="仿宋" w:eastAsia="仿宋" w:cs="仿宋"/>
          <w:b w:val="0"/>
          <w:bCs w:val="0"/>
          <w:sz w:val="24"/>
          <w:szCs w:val="24"/>
          <w:highlight w:val="none"/>
          <w:lang w:val="en-US" w:eastAsia="zh-CN"/>
        </w:rPr>
        <w:t>。</w:t>
      </w:r>
    </w:p>
    <w:p w14:paraId="68B9A9C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供应商所报的各分项响应单价在合同履行过程中是固定不变的，不得以任何理由予以变更。任何包含价格调整要求的响应，将被认定为其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5FBC5F3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照““第五章采购需求”的需求内容、责任范围以及第四章政府采购合同”进行报价。并按“报价一览表”和“分项报价表”规定的格式报出总价和分项价格。响应总价中不得包含采购文件要求以外的内容，否则，在评审时不予核减。</w:t>
      </w:r>
    </w:p>
    <w:p w14:paraId="0FB09332">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磋商保证金</w:t>
      </w:r>
    </w:p>
    <w:p w14:paraId="389C196C">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中规定的金额及要求交纳保证金，并作为其响应文件的一部分。</w:t>
      </w:r>
    </w:p>
    <w:p w14:paraId="19BB97DA">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交纳保证金的形式除</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中另有约定外，可采用的形式：政府采购法律法规接受的支票、汇票、本票、网上银行支付或者金融机构、担保机构出具的保函等非现金形式。</w:t>
      </w:r>
    </w:p>
    <w:p w14:paraId="51D6B1F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保证金到账（保函提交）截止时间同响应截止时间。以支票、汇票、本票、网上银行支付等形式提交保证金的，应在响应截止时间前到账。由于到账时间晚于响应截止时间的，或者票据错误、印鉴不清等原因导致不能到账的，其</w:t>
      </w:r>
      <w:r>
        <w:rPr>
          <w:rFonts w:hint="eastAsia" w:ascii="仿宋" w:hAnsi="仿宋" w:eastAsia="仿宋" w:cs="仿宋"/>
          <w:b/>
          <w:bCs/>
          <w:i w:val="0"/>
          <w:iCs w:val="0"/>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33A22648">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如采用金融机构、专业担保机构开具的投标担保函、投标保证保险函等形式提交磋商保证金的，投标担保函或投标保证保险函须开具给采购人（保险受益人须为采购人），否则其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。电子保函与纸质保函具有同样效力。</w:t>
      </w:r>
    </w:p>
    <w:p w14:paraId="068573D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保证金（保函）有效期同响应文件有效期。</w:t>
      </w:r>
    </w:p>
    <w:p w14:paraId="083391E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联合体磋商的，可以由联合体中的一方或者共同提交保证金，以一方名义提交磋商保证金（保函）的，对联合体各方均具有约束力。</w:t>
      </w:r>
    </w:p>
    <w:p w14:paraId="568A03CB">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14:paraId="630651E5">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供应商在响应截止时间前撤回已提交的响应文件的，自收到供应商书面撤回通知之日起 5 个工作日内退还已收取的磋商保证金。 </w:t>
      </w:r>
    </w:p>
    <w:p w14:paraId="3EB9B02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成交人的磋商保证金，自采购合同签订之日起 5 个工作日内退还中标人。 </w:t>
      </w:r>
    </w:p>
    <w:p w14:paraId="61BC6128">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未成交人的磋商保证金，自成交通知书发出之日起 5 个工作日内退还未成交人。</w:t>
      </w:r>
    </w:p>
    <w:p w14:paraId="41E5D8A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终止采购活动的项目已经收取磋商保证金的，自终止采购活动后 5 个工作日内退还已收取的磋商保证金。</w:t>
      </w:r>
    </w:p>
    <w:p w14:paraId="09C315D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有下列情形之一的，采购人或采购代理机构可以不予退还磋商保证金：</w:t>
      </w:r>
    </w:p>
    <w:p w14:paraId="20D6A189">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在响应文件有效期内，供应商撤回响应文件的； </w:t>
      </w:r>
    </w:p>
    <w:p w14:paraId="1D978130">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成交人不按本采购文件的规定与采购人签订合同的； </w:t>
      </w:r>
    </w:p>
    <w:p w14:paraId="45C11757">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成交人不按本采购文件的规定提交履约保证金的； </w:t>
      </w:r>
    </w:p>
    <w:p w14:paraId="638C07B6">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成交人不按本采购文件的规定缴纳招标代理服务费的； </w:t>
      </w:r>
    </w:p>
    <w:p w14:paraId="0DA92BA2">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存在的串通投标情形的； </w:t>
      </w:r>
    </w:p>
    <w:p w14:paraId="064E6D42">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存在向采购人、代理机构或评标专家行贿事实的； </w:t>
      </w:r>
    </w:p>
    <w:p w14:paraId="5B8E91DB">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法律、法规规定的其它情况。</w:t>
      </w:r>
    </w:p>
    <w:p w14:paraId="0808426E">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响应文件有效期</w:t>
      </w:r>
    </w:p>
    <w:p w14:paraId="48E1F0D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中规定的响应文件有效期内保持有效，响应文件有效期少于采购文件规定期限的，其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3E62763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14:paraId="4F1C8D29">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响应文件的制作</w:t>
      </w:r>
    </w:p>
    <w:p w14:paraId="3DEE4A2E">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24651D9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供应商应使用电子招投标平台提供的投标客户端编制、标记、加密响应文件，成功加密后将生成指定格式的电子响应文件和电子备用响应文件</w:t>
      </w:r>
    </w:p>
    <w:p w14:paraId="23D71168">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如有对多个采购包响应的，要对每个采购包独立制作电子响应文件。</w:t>
      </w:r>
    </w:p>
    <w:p w14:paraId="7B4C47C5">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供应商须对采购文件的对应要求给予唯一的实质性响应，否则将视为不响应。</w:t>
      </w:r>
    </w:p>
    <w:p w14:paraId="2AF8973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191AAA4B">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4" w:name="_Toc17753"/>
      <w:r>
        <w:rPr>
          <w:rFonts w:hint="eastAsia" w:ascii="仿宋" w:hAnsi="仿宋" w:eastAsia="仿宋" w:cs="仿宋"/>
          <w:b/>
          <w:bCs/>
          <w:sz w:val="24"/>
          <w:szCs w:val="24"/>
          <w:highlight w:val="none"/>
          <w:lang w:val="en-US" w:eastAsia="zh-CN"/>
        </w:rPr>
        <w:t>响应文件的提交</w:t>
      </w:r>
      <w:bookmarkEnd w:id="14"/>
    </w:p>
    <w:p w14:paraId="3A8461F1">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响应文件的提交</w:t>
      </w:r>
    </w:p>
    <w:p w14:paraId="1E115DD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4755037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代理机构对因不可抗力事件造成的响应文件的损坏、丢失的，不承担责任。</w:t>
      </w:r>
    </w:p>
    <w:p w14:paraId="65F2B65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出现下述情形之一，属于未成功提交响应文件，按</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7E8C941C">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至提交响应文件截止时，响应文件未完整上传的。 </w:t>
      </w:r>
    </w:p>
    <w:p w14:paraId="5D529A5E">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响应文件未按响应格式中注明需签字盖章的要求进行签名（含电子签名）和加盖电子印章，或签名（含电子签名）或电子印章不完整的。</w:t>
      </w:r>
    </w:p>
    <w:p w14:paraId="257CC15A">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响应文件损坏或格式不正确的。</w:t>
      </w:r>
    </w:p>
    <w:p w14:paraId="41A678A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响应文件的修改、撤回与撤销</w:t>
      </w:r>
    </w:p>
    <w:p w14:paraId="191A169A">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7ACC6680">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在提交响应文件截止时间后，供应商不得补充、修改和更换响应文件。</w:t>
      </w:r>
    </w:p>
    <w:p w14:paraId="0D0B71E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4608DC4A">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5" w:name="_Toc6419"/>
      <w:r>
        <w:rPr>
          <w:rFonts w:hint="eastAsia" w:ascii="仿宋" w:hAnsi="仿宋" w:eastAsia="仿宋" w:cs="仿宋"/>
          <w:b/>
          <w:bCs/>
          <w:sz w:val="24"/>
          <w:szCs w:val="24"/>
          <w:highlight w:val="none"/>
          <w:lang w:val="en-US" w:eastAsia="zh-CN"/>
        </w:rPr>
        <w:t>开标及评标</w:t>
      </w:r>
      <w:bookmarkEnd w:id="15"/>
    </w:p>
    <w:p w14:paraId="3FAAD3CB">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开标</w:t>
      </w:r>
    </w:p>
    <w:p w14:paraId="6C4F9C20">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采购人和采购代理机构将按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中规定的开标时间和地点组织公开开标并邀请所有供应商代表参加。开标为远程电子开标。</w:t>
      </w:r>
    </w:p>
    <w:p w14:paraId="09B516C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采用远程电子开标的：</w:t>
      </w:r>
    </w:p>
    <w:p w14:paraId="1FE4FF46">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供应商的法定代表人或其授权代表应当按照本采购文件载明的时间和模式等要求参加开标。在</w:t>
      </w:r>
      <w:r>
        <w:rPr>
          <w:rFonts w:hint="eastAsia" w:ascii="仿宋" w:hAnsi="仿宋" w:eastAsia="仿宋" w:cs="仿宋"/>
          <w:b/>
          <w:bCs/>
          <w:sz w:val="24"/>
          <w:szCs w:val="24"/>
          <w:highlight w:val="none"/>
          <w:lang w:val="en-US" w:eastAsia="zh-CN"/>
        </w:rPr>
        <w:t>响应截止时间前30分钟</w:t>
      </w:r>
      <w:r>
        <w:rPr>
          <w:rFonts w:hint="eastAsia" w:ascii="仿宋" w:hAnsi="仿宋" w:eastAsia="仿宋" w:cs="仿宋"/>
          <w:b w:val="0"/>
          <w:bCs w:val="0"/>
          <w:sz w:val="24"/>
          <w:szCs w:val="24"/>
          <w:highlight w:val="none"/>
          <w:lang w:val="en-US" w:eastAsia="zh-CN"/>
        </w:rPr>
        <w:t>，应当登录开标大厅进行签到，并且填写授权代表的姓名与手机号码。若因签到时填写的授权代表信息有误而导致的不良后果，由供应商自行承担。</w:t>
      </w:r>
    </w:p>
    <w:p w14:paraId="13A71B7C">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供应商应当使用编制本项目（采购包）电子响应文件时加密所用数字证书在开始解密后按照代理机构规定的时间内完成电子响应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处理。（采用远程电子开标的，各供应商在参加开标以前须自行对使用电脑的网络环境、驱动安装、客户端安装以及数字证书的有效性等进行检测，确保可以正常使用）。</w:t>
      </w:r>
    </w:p>
    <w:p w14:paraId="63FCEA63">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。如供应商无法在代理规定的时间内完成备用电子响应文件的上传，响应文件将被拒绝，作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6A301DB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供应商代表对开标过程和开标记录有疑义，以及认为采购人、采购代理机构相关工作人员有需要回避的情形的，应当场提出询问或者回避申请。供应商未参加开标的，视同认可开标结果。</w:t>
      </w:r>
    </w:p>
    <w:p w14:paraId="47C65A1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响应截止时间后，供应商不足3家的，不得开标。同时，本次采购活动结束。</w:t>
      </w:r>
    </w:p>
    <w:p w14:paraId="394AFA7B">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开标时出现下列情况的，视为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25BB0844">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因供应商自身原因，未在规定时间内完成电子响应文件解密的；</w:t>
      </w:r>
    </w:p>
    <w:p w14:paraId="06FCB91A">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00B4B6F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采购人或采购代理机构将对开标过程进行记录，由参加开标的各供应商代表和相关工作人员签字确认。</w:t>
      </w:r>
    </w:p>
    <w:p w14:paraId="31AAC6DE">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w:t>
      </w:r>
    </w:p>
    <w:p w14:paraId="2D57FBD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通过资格审查的供应商少于三家的（除法律法规规定外），不进行评标。 </w:t>
      </w:r>
    </w:p>
    <w:p w14:paraId="7851762A">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资格审查要求详见第六章《评标程序、评标方法和评标标准》。</w:t>
      </w:r>
    </w:p>
    <w:p w14:paraId="6D3AB81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按第六章《评标程序、评标方法和评标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2C59CEC5">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磋商小组</w:t>
      </w:r>
    </w:p>
    <w:p w14:paraId="5E367D71">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磋商小组根据政府采购有关规定和本次采购项目的特点进行组建，并负责具体评标事务，独立履行职责。 </w:t>
      </w:r>
    </w:p>
    <w:p w14:paraId="19010043">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0BA8C07F">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评标程序、评标方法和评标标准</w:t>
      </w:r>
    </w:p>
    <w:p w14:paraId="5963009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详见第六章《评标程序、评标方法和评标标准》</w:t>
      </w:r>
    </w:p>
    <w:p w14:paraId="1ED7FF3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2A0688DC">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6" w:name="_Toc10119"/>
      <w:r>
        <w:rPr>
          <w:rFonts w:hint="eastAsia" w:ascii="仿宋" w:hAnsi="仿宋" w:eastAsia="仿宋" w:cs="仿宋"/>
          <w:b/>
          <w:bCs/>
          <w:sz w:val="24"/>
          <w:szCs w:val="24"/>
          <w:highlight w:val="none"/>
          <w:lang w:val="en-US" w:eastAsia="zh-CN"/>
        </w:rPr>
        <w:t>确定成交</w:t>
      </w:r>
      <w:bookmarkEnd w:id="16"/>
    </w:p>
    <w:p w14:paraId="70C799A3">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确定成交人</w:t>
      </w:r>
    </w:p>
    <w:p w14:paraId="7ACAD054">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采购人将在评标报告确定的成交候选人名单中按综合得分排名顺序确定成交人。采购人是否委托磋商小组直接确定成交人见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324B86D6">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成交公告与成交通知书</w:t>
      </w:r>
    </w:p>
    <w:p w14:paraId="5A2511B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采购人或采购代理机构自中标人确定之日起 2 个工作日内，在磋商公告发布媒体发布成交结果，同时向成交人发出成交通知书，成交公告期限为 1 个工作日。</w:t>
      </w:r>
    </w:p>
    <w:p w14:paraId="77A0835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成交通知书对采购人和成交供应商均具有法律效力。成交通知书发出后，成交供应商放弃成交项目的，应当依法承担法律责任。</w:t>
      </w:r>
    </w:p>
    <w:p w14:paraId="179BBA67">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废标</w:t>
      </w:r>
    </w:p>
    <w:p w14:paraId="3303304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在采购活动中，出现下列情形之一的，应予废标：</w:t>
      </w:r>
    </w:p>
    <w:p w14:paraId="06062F5C">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政府采购竞争性磋商采购方式暂行办法》第二十一条第三款，《财政部关于政府采购竞争性磋商采购方式管理暂行办法有关问题的补充通知》（财库〔2015〕124号）规定的情形外，在采购过程中符合要求的供应商或者报价未超过采购预算的供应商不足3家的；；</w:t>
      </w:r>
    </w:p>
    <w:p w14:paraId="32809B11">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出现影响采购公正的违法、违规行为的；</w:t>
      </w:r>
    </w:p>
    <w:p w14:paraId="41308A74">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供应商的报价均超过了采购预算，采购人不能支付的；</w:t>
      </w:r>
    </w:p>
    <w:p w14:paraId="20FAA72C">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因重大变故，采购任务取消的。</w:t>
      </w:r>
    </w:p>
    <w:p w14:paraId="3FF9EDE3">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废标后，采购人将废标理由通知所有供应商。</w:t>
      </w:r>
    </w:p>
    <w:p w14:paraId="710916C6">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签订合同</w:t>
      </w:r>
    </w:p>
    <w:p w14:paraId="6C4D1CF7">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成交人、采购人应当自成交通知书发出之日起 30 日内，按照采购文件和成交人响应文件的规定签订书面合同。所签订的合同不得对采购文件确定的事项和成交人响应文件作实质性修改。 </w:t>
      </w:r>
    </w:p>
    <w:p w14:paraId="0FACE6C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成交人拒绝与采购人签订合同的，采购人可以按照评标报告推荐的成交候选人名单排序，确定下一候选人为成交人，也可以重新开展政府采购活动。</w:t>
      </w:r>
    </w:p>
    <w:p w14:paraId="2FC4A80D">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联合体成交的，联合体各方应当共同与采购人签订合同，就成交项目向采购人承担连带责任。 </w:t>
      </w:r>
    </w:p>
    <w:p w14:paraId="273F6D72">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政府采购合同不能转包。如采购人允许采用分包方式履行合同的，成交人可以依法在成交后将成交项目的非主体、非关键性工作采取分包方式履行合同。</w:t>
      </w:r>
    </w:p>
    <w:p w14:paraId="14BD35AF">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履约保证金</w:t>
      </w:r>
    </w:p>
    <w:p w14:paraId="2529E5A6">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成交人应按照</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规定的金额、形式和时间向采购人缴纳履约保证金。</w:t>
      </w:r>
    </w:p>
    <w:p w14:paraId="11635CCA">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经采购人同意，成交人也可以自愿采用其他履约保证金的提供方式。</w:t>
      </w:r>
    </w:p>
    <w:p w14:paraId="3FF4C2EA">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如果成交人没有按照上述条款规定缴纳履约保证金，将视为放弃成交资格，成交人的磋商保证金将被没收。在此情况下，采购人可确定下一候选人为成交人，也可以重新开展政府采购活动。</w:t>
      </w:r>
    </w:p>
    <w:p w14:paraId="04F88941">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代理服务费</w:t>
      </w:r>
    </w:p>
    <w:p w14:paraId="7192BC3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收费对象、收费标准及缴纳时间见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。由成交人支付的，成交人须一次性向采购代理机构缴纳代理费，响应报价应包含代理费用。</w:t>
      </w:r>
    </w:p>
    <w:p w14:paraId="5F02C702">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询问与质疑</w:t>
      </w:r>
    </w:p>
    <w:p w14:paraId="2BC2C2E5">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询问</w:t>
      </w:r>
    </w:p>
    <w:p w14:paraId="445976FF">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中“采购人、采购代理机构的名称、地址和联系方式”。</w:t>
      </w:r>
    </w:p>
    <w:p w14:paraId="1C4CB709">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w:t>
      </w:r>
    </w:p>
    <w:p w14:paraId="3D104DAB">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29C32D99">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供应商应知其权益受到损害之日是指：</w:t>
      </w:r>
    </w:p>
    <w:p w14:paraId="462F2A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（1）对采购文件提出质疑的，为获取采购文件之日或者采购文件获取期限届满之日；</w:t>
      </w:r>
    </w:p>
    <w:p w14:paraId="6C92ADD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（2）对采购过程提出质疑的，为各采购程序环节结束之日；</w:t>
      </w:r>
    </w:p>
    <w:p w14:paraId="0E9C889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（3）对成交结果提出质疑的，为成交结果公告期限届满之日。</w:t>
      </w:r>
    </w:p>
    <w:p w14:paraId="1E35EE78">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7F926DA2">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质疑函须使用财政部制定的范本文件。</w:t>
      </w:r>
    </w:p>
    <w:p w14:paraId="29A6F82A">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供应商为自然人的，应当由本人签字；供应商为法人或者其他组织的，应当由法定代表人、主要负责人，或者其授权代表签字或者盖章，并加盖公章。</w:t>
      </w:r>
    </w:p>
    <w:p w14:paraId="709C8DC4">
      <w:pPr>
        <w:keepNext w:val="0"/>
        <w:keepLines w:val="0"/>
        <w:pageBreakBefore w:val="0"/>
        <w:widowControl w:val="0"/>
        <w:numPr>
          <w:ilvl w:val="2"/>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25995C47">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其他</w:t>
      </w:r>
    </w:p>
    <w:p w14:paraId="03E9E21A">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采购活动中除采购文件规定外还需执行《中华人民共和国政府采购法》、《中华人民共和国政府采购法实施条例》、《政府采购竞争性磋商采购方式管理暂行办法》（财库〔2014〕214号）及本项目本级和上级财政部门政府采购有关规定。</w:t>
      </w:r>
    </w:p>
    <w:p w14:paraId="7124A5FE">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3CC311DF">
      <w:pPr>
        <w:keepNext w:val="0"/>
        <w:keepLines w:val="0"/>
        <w:pageBreakBefore w:val="0"/>
        <w:widowControl w:val="0"/>
        <w:numPr>
          <w:ilvl w:val="1"/>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适用于本供应商须知的额外增加的变动详见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48D529B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7E5664C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1C0C99D3">
      <w:pPr>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36E0BF9B">
      <w:pPr>
        <w:pStyle w:val="2"/>
        <w:numPr>
          <w:ilvl w:val="0"/>
          <w:numId w:val="5"/>
        </w:numPr>
        <w:bidi w:val="0"/>
        <w:jc w:val="center"/>
        <w:rPr>
          <w:rFonts w:hint="eastAsia" w:ascii="仿宋" w:hAnsi="仿宋" w:eastAsia="仿宋" w:cs="仿宋"/>
          <w:sz w:val="32"/>
          <w:szCs w:val="32"/>
          <w:highlight w:val="none"/>
          <w:lang w:val="en-US" w:eastAsia="zh-CN"/>
        </w:rPr>
      </w:pPr>
      <w:bookmarkStart w:id="17" w:name="_Toc19762"/>
      <w:r>
        <w:rPr>
          <w:rFonts w:hint="eastAsia" w:ascii="仿宋" w:hAnsi="仿宋" w:eastAsia="仿宋" w:cs="仿宋"/>
          <w:sz w:val="32"/>
          <w:szCs w:val="32"/>
          <w:highlight w:val="none"/>
          <w:lang w:val="en-US" w:eastAsia="zh-CN"/>
        </w:rPr>
        <w:t>政府采购合同</w:t>
      </w:r>
      <w:bookmarkEnd w:id="17"/>
    </w:p>
    <w:p w14:paraId="0F4C3374">
      <w:pPr>
        <w:tabs>
          <w:tab w:val="left" w:pos="432"/>
        </w:tabs>
        <w:jc w:val="center"/>
        <w:outlineLvl w:val="9"/>
        <w:rPr>
          <w:rFonts w:hint="eastAsia" w:ascii="仿宋" w:hAnsi="仿宋" w:eastAsia="仿宋" w:cs="仿宋"/>
          <w:color w:val="auto"/>
          <w:sz w:val="18"/>
          <w:szCs w:val="21"/>
          <w:highlight w:val="none"/>
        </w:rPr>
      </w:pPr>
      <w:r>
        <w:rPr>
          <w:rStyle w:val="41"/>
          <w:rFonts w:hint="eastAsia" w:ascii="仿宋" w:hAnsi="仿宋" w:eastAsia="仿宋" w:cs="仿宋"/>
          <w:color w:val="auto"/>
          <w:highlight w:val="none"/>
        </w:rPr>
        <w:t xml:space="preserve">  </w:t>
      </w:r>
      <w:bookmarkStart w:id="18" w:name="_Toc24393"/>
      <w:r>
        <w:rPr>
          <w:rStyle w:val="41"/>
          <w:rFonts w:hint="eastAsia" w:ascii="仿宋" w:hAnsi="仿宋" w:eastAsia="仿宋" w:cs="仿宋"/>
          <w:color w:val="auto"/>
          <w:sz w:val="36"/>
          <w:szCs w:val="21"/>
          <w:highlight w:val="none"/>
        </w:rPr>
        <w:t>合同条款（参考合同）</w:t>
      </w:r>
      <w:bookmarkEnd w:id="18"/>
    </w:p>
    <w:p w14:paraId="5A0098B9">
      <w:pPr>
        <w:autoSpaceDE w:val="0"/>
        <w:autoSpaceDN w:val="0"/>
        <w:adjustRightInd w:val="0"/>
        <w:spacing w:line="440" w:lineRule="exact"/>
        <w:ind w:firstLine="420"/>
        <w:jc w:val="center"/>
        <w:outlineLvl w:val="9"/>
        <w:rPr>
          <w:rFonts w:hint="eastAsia" w:ascii="仿宋" w:hAnsi="仿宋" w:eastAsia="仿宋" w:cs="仿宋"/>
          <w:color w:val="auto"/>
          <w:sz w:val="18"/>
          <w:szCs w:val="21"/>
          <w:highlight w:val="none"/>
          <w:lang w:val="zh-CN"/>
        </w:rPr>
      </w:pPr>
    </w:p>
    <w:p w14:paraId="612E495C">
      <w:pPr>
        <w:jc w:val="center"/>
        <w:rPr>
          <w:rFonts w:hint="eastAsia" w:ascii="仿宋" w:hAnsi="仿宋" w:eastAsia="仿宋" w:cs="仿宋"/>
          <w:b/>
          <w:color w:val="auto"/>
          <w:sz w:val="52"/>
          <w:szCs w:val="52"/>
          <w:highlight w:val="none"/>
        </w:rPr>
      </w:pPr>
    </w:p>
    <w:p w14:paraId="4B284E80">
      <w:pPr>
        <w:jc w:val="center"/>
        <w:rPr>
          <w:rFonts w:hint="eastAsia" w:ascii="仿宋" w:hAnsi="仿宋" w:eastAsia="仿宋" w:cs="仿宋"/>
          <w:b/>
          <w:color w:val="auto"/>
          <w:sz w:val="52"/>
          <w:szCs w:val="52"/>
          <w:highlight w:val="none"/>
        </w:rPr>
      </w:pPr>
    </w:p>
    <w:p w14:paraId="558C2001">
      <w:pPr>
        <w:jc w:val="center"/>
        <w:rPr>
          <w:rFonts w:hint="eastAsia" w:ascii="仿宋" w:hAnsi="仿宋" w:eastAsia="仿宋" w:cs="仿宋"/>
          <w:b/>
          <w:color w:val="auto"/>
          <w:sz w:val="52"/>
          <w:szCs w:val="52"/>
          <w:highlight w:val="none"/>
        </w:rPr>
      </w:pPr>
    </w:p>
    <w:p w14:paraId="373C8723">
      <w:pPr>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政府采购合同</w:t>
      </w:r>
    </w:p>
    <w:p w14:paraId="1FCA4972">
      <w:pPr>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（本合同仅供参考，具体以实际签订的合同为准）</w:t>
      </w:r>
    </w:p>
    <w:p w14:paraId="006F1BAF">
      <w:pPr>
        <w:rPr>
          <w:rFonts w:hint="eastAsia" w:ascii="仿宋" w:hAnsi="仿宋" w:eastAsia="仿宋" w:cs="仿宋"/>
          <w:color w:val="auto"/>
          <w:szCs w:val="21"/>
          <w:highlight w:val="none"/>
        </w:rPr>
      </w:pPr>
    </w:p>
    <w:p w14:paraId="7666A20A">
      <w:pPr>
        <w:ind w:firstLine="480" w:firstLineChars="200"/>
        <w:rPr>
          <w:rFonts w:hint="eastAsia" w:ascii="仿宋" w:hAnsi="仿宋" w:eastAsia="仿宋" w:cs="仿宋"/>
          <w:color w:val="auto"/>
          <w:szCs w:val="21"/>
          <w:highlight w:val="none"/>
        </w:rPr>
      </w:pPr>
    </w:p>
    <w:p w14:paraId="0B5C6A44">
      <w:pPr>
        <w:ind w:firstLine="480" w:firstLineChars="200"/>
        <w:rPr>
          <w:rFonts w:hint="eastAsia" w:ascii="仿宋" w:hAnsi="仿宋" w:eastAsia="仿宋" w:cs="仿宋"/>
          <w:color w:val="auto"/>
          <w:szCs w:val="21"/>
          <w:highlight w:val="none"/>
        </w:rPr>
      </w:pPr>
    </w:p>
    <w:p w14:paraId="7A585422">
      <w:pPr>
        <w:ind w:firstLine="480" w:firstLineChars="200"/>
        <w:rPr>
          <w:rFonts w:hint="eastAsia" w:ascii="仿宋" w:hAnsi="仿宋" w:eastAsia="仿宋" w:cs="仿宋"/>
          <w:color w:val="auto"/>
          <w:szCs w:val="21"/>
          <w:highlight w:val="none"/>
        </w:rPr>
      </w:pPr>
    </w:p>
    <w:p w14:paraId="46CFE88D">
      <w:pPr>
        <w:ind w:firstLine="480" w:firstLineChars="200"/>
        <w:rPr>
          <w:rFonts w:hint="eastAsia" w:ascii="仿宋" w:hAnsi="仿宋" w:eastAsia="仿宋" w:cs="仿宋"/>
          <w:color w:val="auto"/>
          <w:szCs w:val="21"/>
          <w:highlight w:val="none"/>
        </w:rPr>
      </w:pPr>
    </w:p>
    <w:p w14:paraId="0002F38F">
      <w:pPr>
        <w:ind w:firstLine="480" w:firstLineChars="200"/>
        <w:rPr>
          <w:rFonts w:hint="eastAsia" w:ascii="仿宋" w:hAnsi="仿宋" w:eastAsia="仿宋" w:cs="仿宋"/>
          <w:color w:val="auto"/>
          <w:szCs w:val="21"/>
          <w:highlight w:val="none"/>
        </w:rPr>
      </w:pPr>
    </w:p>
    <w:p w14:paraId="1063CD7D">
      <w:pPr>
        <w:ind w:firstLine="480" w:firstLineChars="200"/>
        <w:rPr>
          <w:rFonts w:hint="eastAsia" w:ascii="仿宋" w:hAnsi="仿宋" w:eastAsia="仿宋" w:cs="仿宋"/>
          <w:color w:val="auto"/>
          <w:szCs w:val="21"/>
          <w:highlight w:val="none"/>
        </w:rPr>
      </w:pPr>
    </w:p>
    <w:p w14:paraId="34573BB5">
      <w:pPr>
        <w:ind w:firstLine="480" w:firstLineChars="200"/>
        <w:rPr>
          <w:rFonts w:hint="eastAsia" w:ascii="仿宋" w:hAnsi="仿宋" w:eastAsia="仿宋" w:cs="仿宋"/>
          <w:color w:val="auto"/>
          <w:szCs w:val="21"/>
          <w:highlight w:val="none"/>
        </w:rPr>
      </w:pPr>
    </w:p>
    <w:p w14:paraId="46AF4093">
      <w:pPr>
        <w:ind w:firstLine="480" w:firstLineChars="200"/>
        <w:rPr>
          <w:rFonts w:hint="eastAsia" w:ascii="仿宋" w:hAnsi="仿宋" w:eastAsia="仿宋" w:cs="仿宋"/>
          <w:color w:val="auto"/>
          <w:szCs w:val="21"/>
          <w:highlight w:val="none"/>
        </w:rPr>
      </w:pPr>
    </w:p>
    <w:p w14:paraId="62835ADA">
      <w:pPr>
        <w:ind w:firstLine="480" w:firstLineChars="200"/>
        <w:rPr>
          <w:rFonts w:hint="eastAsia" w:ascii="仿宋" w:hAnsi="仿宋" w:eastAsia="仿宋" w:cs="仿宋"/>
          <w:color w:val="auto"/>
          <w:szCs w:val="21"/>
          <w:highlight w:val="none"/>
        </w:rPr>
      </w:pPr>
    </w:p>
    <w:p w14:paraId="50B1672A">
      <w:pPr>
        <w:ind w:firstLine="480" w:firstLineChars="200"/>
        <w:rPr>
          <w:rFonts w:hint="eastAsia" w:ascii="仿宋" w:hAnsi="仿宋" w:eastAsia="仿宋" w:cs="仿宋"/>
          <w:color w:val="auto"/>
          <w:szCs w:val="21"/>
          <w:highlight w:val="none"/>
        </w:rPr>
      </w:pPr>
    </w:p>
    <w:p w14:paraId="56D863AD">
      <w:pP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p w14:paraId="640B6ED7">
      <w:pPr>
        <w:ind w:firstLine="480" w:firstLineChars="200"/>
        <w:rPr>
          <w:rFonts w:hint="eastAsia" w:ascii="仿宋" w:hAnsi="仿宋" w:eastAsia="仿宋" w:cs="仿宋"/>
          <w:color w:val="auto"/>
          <w:sz w:val="24"/>
          <w:highlight w:val="none"/>
        </w:rPr>
      </w:pPr>
    </w:p>
    <w:p w14:paraId="64A2B140">
      <w:pPr>
        <w:rPr>
          <w:rFonts w:hint="eastAsia" w:ascii="仿宋" w:hAnsi="仿宋" w:eastAsia="仿宋" w:cs="仿宋"/>
          <w:color w:val="auto"/>
          <w:sz w:val="24"/>
          <w:highlight w:val="none"/>
        </w:rPr>
      </w:pPr>
      <w:r>
        <w:rPr>
          <w:rFonts w:hint="eastAsia" w:ascii="仿宋" w:hAnsi="仿宋" w:eastAsia="仿宋" w:cs="仿宋"/>
          <w:color w:val="auto"/>
          <w:sz w:val="24"/>
          <w:highlight w:val="none"/>
        </w:rPr>
        <w:t>甲    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p w14:paraId="4A9505E6">
      <w:pPr>
        <w:ind w:firstLine="480" w:firstLineChars="200"/>
        <w:rPr>
          <w:rFonts w:hint="eastAsia" w:ascii="仿宋" w:hAnsi="仿宋" w:eastAsia="仿宋" w:cs="仿宋"/>
          <w:color w:val="auto"/>
          <w:sz w:val="24"/>
          <w:highlight w:val="none"/>
        </w:rPr>
      </w:pPr>
    </w:p>
    <w:p w14:paraId="2B179B71">
      <w:pPr>
        <w:rPr>
          <w:rFonts w:hint="eastAsia" w:ascii="仿宋" w:hAnsi="仿宋" w:eastAsia="仿宋" w:cs="仿宋"/>
          <w:color w:val="auto"/>
          <w:sz w:val="24"/>
          <w:highlight w:val="none"/>
        </w:rPr>
      </w:pPr>
      <w:r>
        <w:rPr>
          <w:rFonts w:hint="eastAsia" w:ascii="仿宋" w:hAnsi="仿宋" w:eastAsia="仿宋" w:cs="仿宋"/>
          <w:color w:val="auto"/>
          <w:sz w:val="24"/>
          <w:highlight w:val="none"/>
        </w:rPr>
        <w:t>乙    方：</w:t>
      </w:r>
      <w:r>
        <w:rPr>
          <w:rFonts w:hint="eastAsia" w:ascii="仿宋" w:hAnsi="仿宋" w:eastAsia="仿宋" w:cs="仿宋"/>
          <w:color w:val="auto"/>
          <w:sz w:val="24"/>
          <w:highlight w:val="none"/>
          <w:u w:val="single"/>
        </w:rPr>
        <w:t xml:space="preserve">              </w:t>
      </w:r>
    </w:p>
    <w:p w14:paraId="6B1FDDA0">
      <w:pPr>
        <w:ind w:firstLine="480" w:firstLineChars="200"/>
        <w:rPr>
          <w:rFonts w:hint="eastAsia" w:ascii="仿宋" w:hAnsi="仿宋" w:eastAsia="仿宋" w:cs="仿宋"/>
          <w:color w:val="auto"/>
          <w:sz w:val="24"/>
          <w:highlight w:val="none"/>
        </w:rPr>
      </w:pPr>
    </w:p>
    <w:p w14:paraId="46A10549">
      <w:pPr>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1D80AA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br w:type="page"/>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）委托（</w:t>
      </w:r>
      <w:r>
        <w:rPr>
          <w:rFonts w:hint="eastAsia" w:ascii="仿宋" w:hAnsi="仿宋" w:eastAsia="仿宋" w:cs="仿宋"/>
          <w:color w:val="auto"/>
          <w:sz w:val="24"/>
          <w:highlight w:val="none"/>
          <w:lang w:eastAsia="zh-CN"/>
        </w:rPr>
        <w:t>新疆恒晟华工程项目管理有限公司</w:t>
      </w:r>
      <w:r>
        <w:rPr>
          <w:rFonts w:hint="eastAsia" w:ascii="仿宋" w:hAnsi="仿宋" w:eastAsia="仿宋" w:cs="仿宋"/>
          <w:color w:val="auto"/>
          <w:sz w:val="24"/>
          <w:highlight w:val="none"/>
        </w:rPr>
        <w:t>）进行了政府采购。按照评委会评审推荐、甲方确定乙方为成交单位。现甲乙双方协商同意签订本合同。</w:t>
      </w:r>
    </w:p>
    <w:p w14:paraId="11126AC8">
      <w:pPr>
        <w:numPr>
          <w:ilvl w:val="0"/>
          <w:numId w:val="12"/>
        </w:numPr>
        <w:tabs>
          <w:tab w:val="left" w:pos="0"/>
          <w:tab w:val="clear" w:pos="720"/>
        </w:tabs>
        <w:spacing w:line="360" w:lineRule="auto"/>
        <w:ind w:left="0"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合同文件</w:t>
      </w:r>
    </w:p>
    <w:p w14:paraId="1736A5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下列与本次采购活动有关的文件及附件是本合同不可分割的组成部分，与本合同具有同等法律效力，这些文件包括但不限于：</w:t>
      </w:r>
    </w:p>
    <w:p w14:paraId="315A1DC9">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采购文件</w:t>
      </w:r>
    </w:p>
    <w:p w14:paraId="2A43060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2.成交供应商</w:t>
      </w:r>
      <w:r>
        <w:rPr>
          <w:rFonts w:hint="eastAsia" w:ascii="仿宋" w:hAnsi="仿宋" w:eastAsia="仿宋" w:cs="仿宋"/>
          <w:color w:val="auto"/>
          <w:sz w:val="24"/>
          <w:highlight w:val="none"/>
          <w:lang w:eastAsia="zh-CN"/>
        </w:rPr>
        <w:t>响应文件</w:t>
      </w:r>
    </w:p>
    <w:p w14:paraId="7C58E2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3.乙方在投标时的书面承诺</w:t>
      </w:r>
    </w:p>
    <w:p w14:paraId="614C88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4.成交通知书</w:t>
      </w:r>
    </w:p>
    <w:p w14:paraId="5C1A77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5.合同补充条款或说明</w:t>
      </w:r>
    </w:p>
    <w:p w14:paraId="4FEF77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6.保密协议或条款</w:t>
      </w:r>
    </w:p>
    <w:p w14:paraId="246EF5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7.相关附件、图纸及电子版资料</w:t>
      </w:r>
    </w:p>
    <w:p w14:paraId="0C8467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8.项目平台详细设计方案</w:t>
      </w:r>
    </w:p>
    <w:p w14:paraId="34D9B399">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第二条  合同内容</w:t>
      </w:r>
    </w:p>
    <w:p w14:paraId="490D78F1">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采购内容：</w:t>
      </w:r>
      <w:r>
        <w:rPr>
          <w:rFonts w:hint="eastAsia" w:ascii="仿宋" w:hAnsi="仿宋" w:eastAsia="仿宋" w:cs="仿宋"/>
          <w:bCs/>
          <w:color w:val="auto"/>
          <w:kern w:val="0"/>
          <w:sz w:val="24"/>
          <w:highlight w:val="none"/>
        </w:rPr>
        <w:t>具体内容详见</w:t>
      </w:r>
      <w:r>
        <w:rPr>
          <w:rFonts w:hint="eastAsia" w:ascii="仿宋" w:hAnsi="仿宋" w:eastAsia="仿宋" w:cs="仿宋"/>
          <w:bCs/>
          <w:color w:val="auto"/>
          <w:kern w:val="0"/>
          <w:sz w:val="24"/>
          <w:highlight w:val="none"/>
          <w:lang w:eastAsia="zh-CN"/>
        </w:rPr>
        <w:t>采购文件</w:t>
      </w:r>
    </w:p>
    <w:p w14:paraId="778C5B64">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第三条  合同总金额</w:t>
      </w:r>
    </w:p>
    <w:p w14:paraId="57D2B67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w:t>
      </w:r>
    </w:p>
    <w:p w14:paraId="7D9EB4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w:t>
      </w:r>
    </w:p>
    <w:p w14:paraId="051721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款包括服务期间必须的日常物料、易耗品、工具、研发费、调试费、培训费等相关费用。（该合同总价是货物设计、制造、包装、仓储、运输、装卸、安装、调试、保险、施工、安装的材料费、税金、教师培训费和其它配套设施设备的安装调试，及验收合格之前及保修期内备品备件发生的所有含税费用等。交钥匙工程，货物交给买方（提供货物清单），买方即刻能够使用。本合同执行期间合同总价不变。）</w:t>
      </w:r>
    </w:p>
    <w:p w14:paraId="604D2DB5">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本合同执行期内，在合同总体框架内，因工作量变化而引起的服务费用的变动，由乙方自行承担。</w:t>
      </w:r>
    </w:p>
    <w:p w14:paraId="661C923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第四条  权利义务和质量保证</w:t>
      </w:r>
    </w:p>
    <w:p w14:paraId="422C9F5D">
      <w:pPr>
        <w:pStyle w:val="16"/>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保证服务期间，对乙方工作给予支持，提供水、电、场地等必须的基础工作条件。如乙方需要与已有相关平台对接，甲方负责出具乙方项目建设资格的相关证明，具体对接事项由乙方自行全面负责解决。未获甲方同意，乙方不得将甲方项目平台建设资料提供给与履行本合同无关的任何其他人。即使向履行本合同有关的人员提供，也应注意保密并限于履行合同的必需范围内。</w:t>
      </w:r>
    </w:p>
    <w:p w14:paraId="55633155">
      <w:pPr>
        <w:pStyle w:val="1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2.乙方保证所完成的本合同项目平台，其任何一部分均不会侵犯任何第三方的专利权、商标权或著作权。一旦出现侵权，索赔或诉讼，乙方应承担全部责任。</w:t>
      </w:r>
    </w:p>
    <w:p w14:paraId="670111FF">
      <w:pPr>
        <w:pStyle w:val="1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3.乙方保证本合同项目平台不存在影响或危害甲方已有运行平台之隐患和结果，不存在违反国家法规、法令、法律以及行业规范所要求的有关安全条款，否则应承担由此造成的所有后果和全部法律责任。</w:t>
      </w:r>
    </w:p>
    <w:p w14:paraId="454D1420">
      <w:pPr>
        <w:pStyle w:val="1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合同约定的项目平台系统软件及源代码等产权全部归甲方所有。项目最终验收时，乙方应将所有设计开发文档、代码、数据库和用户使用操作文档等全部交与甲方。同时，乙方应协助配合甲方完成至少一件软件著作权的申报登记工作。</w:t>
      </w:r>
    </w:p>
    <w:p w14:paraId="52181D2B">
      <w:pPr>
        <w:pStyle w:val="16"/>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5.乙方不得在本合同项目平台系统中，增加或删减未经甲方同意或认可的用户类型、权限和功能模块等。</w:t>
      </w:r>
    </w:p>
    <w:p w14:paraId="315D50E3">
      <w:pPr>
        <w:pStyle w:val="16"/>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6.交货时间：合同生效后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日内。 </w:t>
      </w:r>
    </w:p>
    <w:p w14:paraId="349EB0E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第五条  付款方式</w:t>
      </w:r>
    </w:p>
    <w:p w14:paraId="571C97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1.本合同项下所有款项均以人民币支付。</w:t>
      </w:r>
    </w:p>
    <w:p w14:paraId="222BCA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2.乙方向甲方提交下列文件材料，经甲方审核无误后支付采购资金：</w:t>
      </w:r>
    </w:p>
    <w:p w14:paraId="0547F0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（1）经甲方确认的发票；</w:t>
      </w:r>
    </w:p>
    <w:p w14:paraId="322289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（2）经甲乙双方确认签署的《验收报告》（或按项目进度阶段性《验收报告》）；</w:t>
      </w:r>
    </w:p>
    <w:p w14:paraId="042790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（3）其他材料。</w:t>
      </w:r>
    </w:p>
    <w:p w14:paraId="7E3FF3FF">
      <w:pPr>
        <w:spacing w:line="360" w:lineRule="auto"/>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3.付款方式：</w:t>
      </w:r>
      <w:r>
        <w:rPr>
          <w:rFonts w:hint="eastAsia" w:ascii="仿宋" w:hAnsi="仿宋" w:eastAsia="仿宋" w:cs="仿宋"/>
          <w:color w:val="auto"/>
          <w:sz w:val="24"/>
          <w:highlight w:val="none"/>
          <w:lang w:val="en-US" w:eastAsia="zh-CN"/>
        </w:rPr>
        <w:t>以甲乙双方签订的合同为准</w:t>
      </w:r>
    </w:p>
    <w:p w14:paraId="170A0E1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第六条  履约保证金</w:t>
      </w:r>
    </w:p>
    <w:p w14:paraId="636A53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1.乙方在签订本合同之日，向甲方提交合同履约保证金</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万元（不低于合同金额的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u w:val="single"/>
        </w:rPr>
        <w:t xml:space="preserve"> 10 </w:t>
      </w:r>
      <w:r>
        <w:rPr>
          <w:rFonts w:hint="eastAsia" w:ascii="仿宋" w:hAnsi="仿宋" w:eastAsia="仿宋" w:cs="仿宋"/>
          <w:color w:val="auto"/>
          <w:sz w:val="24"/>
          <w:highlight w:val="none"/>
        </w:rPr>
        <w:t>%）。</w:t>
      </w:r>
    </w:p>
    <w:p w14:paraId="77FF060B">
      <w:pPr>
        <w:spacing w:line="360" w:lineRule="auto"/>
        <w:ind w:firstLine="480" w:firstLineChars="200"/>
        <w:rPr>
          <w:rFonts w:hint="eastAsia" w:ascii="仿宋" w:hAnsi="仿宋" w:eastAsia="仿宋" w:cs="仿宋"/>
          <w:strike/>
          <w:color w:val="auto"/>
          <w:sz w:val="24"/>
          <w:highlight w:val="none"/>
        </w:rPr>
      </w:pPr>
      <w:r>
        <w:rPr>
          <w:rFonts w:hint="eastAsia" w:ascii="仿宋" w:hAnsi="仿宋" w:eastAsia="仿宋" w:cs="仿宋"/>
          <w:color w:val="auto"/>
          <w:sz w:val="24"/>
          <w:highlight w:val="none"/>
        </w:rPr>
        <w:t>2.履约保证金有效期为甲乙双方最终验收后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个月内。到期后，甲方向乙方无息退还。</w:t>
      </w:r>
    </w:p>
    <w:p w14:paraId="52D09274">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3.如乙方未能履行、或未能完全履行合同规定的义务，甲方有权从履约保证金中取得补偿。履约保证金扣除甲方应得的补偿后的余额在合同期满后</w:t>
      </w:r>
      <w:r>
        <w:rPr>
          <w:rFonts w:hint="eastAsia" w:ascii="仿宋" w:hAnsi="仿宋" w:eastAsia="仿宋" w:cs="仿宋"/>
          <w:color w:val="auto"/>
          <w:sz w:val="24"/>
          <w:highlight w:val="none"/>
          <w:u w:val="single"/>
        </w:rPr>
        <w:t xml:space="preserve"> 30 </w:t>
      </w:r>
      <w:r>
        <w:rPr>
          <w:rFonts w:hint="eastAsia" w:ascii="仿宋" w:hAnsi="仿宋" w:eastAsia="仿宋" w:cs="仿宋"/>
          <w:color w:val="auto"/>
          <w:sz w:val="24"/>
          <w:highlight w:val="none"/>
        </w:rPr>
        <w:t>天内无息退还乙方。</w:t>
      </w:r>
    </w:p>
    <w:p w14:paraId="3A636044">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第七条  验收</w:t>
      </w:r>
    </w:p>
    <w:p w14:paraId="26BACCE9">
      <w:pPr>
        <w:spacing w:line="360" w:lineRule="auto"/>
        <w:ind w:left="274" w:leftChars="114"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1.本项目最终验收（项目</w:t>
      </w:r>
      <w:r>
        <w:rPr>
          <w:rFonts w:hint="eastAsia" w:ascii="仿宋" w:hAnsi="仿宋" w:eastAsia="仿宋" w:cs="仿宋"/>
          <w:color w:val="auto"/>
          <w:sz w:val="24"/>
          <w:highlight w:val="none"/>
          <w:lang w:val="en-US" w:eastAsia="zh-CN"/>
        </w:rPr>
        <w:t>安装调试完成并</w:t>
      </w:r>
      <w:r>
        <w:rPr>
          <w:rFonts w:hint="eastAsia" w:ascii="仿宋" w:hAnsi="仿宋" w:eastAsia="仿宋" w:cs="仿宋"/>
          <w:color w:val="auto"/>
          <w:sz w:val="24"/>
          <w:highlight w:val="none"/>
        </w:rPr>
        <w:t>稳定运行）期限：自合同签订后   日历日内。</w:t>
      </w:r>
    </w:p>
    <w:p w14:paraId="1A9AFE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2.验收地点：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C4436DA">
      <w:pPr>
        <w:pStyle w:val="16"/>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应对提供的服务成果作出全面自查和整理，并列出清单，作为甲方验收和使用的服务条件依据，清单应随提供的服务成果交给甲方。货物的到货验收包括：型号、规格、数量、外观质量及货物包装完整无损。</w:t>
      </w:r>
    </w:p>
    <w:p w14:paraId="4E3DF712">
      <w:pPr>
        <w:pStyle w:val="16"/>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4.货物和系统调试验收的标准：按行业通行标准、厂方出厂标准和乙方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的承诺（详见合同附件载明的标准，并不低于国家相关标准）。</w:t>
      </w:r>
    </w:p>
    <w:p w14:paraId="6CC8E52F">
      <w:pPr>
        <w:pStyle w:val="16"/>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国内产品或合资厂的产品必须具备出厂合格证和原厂保修卡。乙方应将所提供货物的装箱清单、用户手册、原厂保修卡、随机资料及配件、随机工具等交付给甲方；乙方不能完整交付货物及本款规定的单证和工具的，视为未按合同约定付货，乙方必须负责补齐，因此导致逾期交付的，由乙方承担相关的违约责任。</w:t>
      </w:r>
    </w:p>
    <w:p w14:paraId="0EA3D30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验收时，甲乙双方必须同时在场，乙方所提供的服务不符合合同内容规定的，甲方有权拒绝验收。乙方应及时按本合同内容规定和甲方要求免费进行整改，直至验收合格，方视为乙方按本合同规定完成服务。验收合格的，由双方共同签署《验收报告》。在经过两次限期整改后，服务仍达不到合同文件规定内容的，甲方有权拒收，并可以解除合同；由此引起甲方损失及赔偿责任由乙方承担。</w:t>
      </w:r>
    </w:p>
    <w:p w14:paraId="65AE88C6">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7.甲方可以视项目规模或复杂情况聘请专业人员参与验收，大型或复杂项目，以及涉及专业服务内容的应当邀请国家认可的第三方质量检测机构参与验收，也可以视项目情况邀请参加本项目投标的落标人参与验收。</w:t>
      </w:r>
    </w:p>
    <w:p w14:paraId="53B812A0">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8.如根据项目实施情况需要分阶段验收，则双方分阶段签署《验收报告》。</w:t>
      </w:r>
    </w:p>
    <w:p w14:paraId="2652BD39">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9.如果合同双方对《验收报告》有分歧，双方须于出现分歧后</w:t>
      </w:r>
      <w:r>
        <w:rPr>
          <w:rFonts w:hint="eastAsia" w:ascii="仿宋" w:hAnsi="仿宋" w:eastAsia="仿宋" w:cs="仿宋"/>
          <w:color w:val="auto"/>
          <w:sz w:val="24"/>
          <w:highlight w:val="none"/>
          <w:u w:val="single"/>
        </w:rPr>
        <w:t xml:space="preserve"> 7 </w:t>
      </w:r>
      <w:r>
        <w:rPr>
          <w:rFonts w:hint="eastAsia" w:ascii="仿宋" w:hAnsi="仿宋" w:eastAsia="仿宋" w:cs="仿宋"/>
          <w:color w:val="auto"/>
          <w:sz w:val="24"/>
          <w:highlight w:val="none"/>
        </w:rPr>
        <w:t>天内给对方书面声明，以陈述己方的理由及要求，并附有关证据。分歧应通过协商解决。</w:t>
      </w:r>
    </w:p>
    <w:p w14:paraId="0F90CB71">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第八条  项目管理服务</w:t>
      </w:r>
    </w:p>
    <w:p w14:paraId="4BBA185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应组建技术熟练、称职的团队全面履行合同,并指定不少于一人全权全程负责本项目服务的落实，包括前期调研、供货方案、测试及服务期内的系统维护，以及在合同总体框架内根据用户需求补充和完善平台功能等售后服务工作。</w:t>
      </w:r>
    </w:p>
    <w:p w14:paraId="324466ED">
      <w:pPr>
        <w:snapToGrid w:val="0"/>
        <w:spacing w:line="360" w:lineRule="auto"/>
        <w:ind w:firstLine="481"/>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项目负责人姓名： </w:t>
      </w:r>
      <w:r>
        <w:rPr>
          <w:rFonts w:hint="eastAsia" w:ascii="仿宋" w:hAnsi="仿宋" w:eastAsia="仿宋" w:cs="仿宋"/>
          <w:color w:val="auto"/>
          <w:sz w:val="24"/>
          <w:highlight w:val="none"/>
          <w:u w:val="single" w:color="000000"/>
        </w:rPr>
        <w:t xml:space="preserve">              </w:t>
      </w:r>
      <w:r>
        <w:rPr>
          <w:rFonts w:hint="eastAsia" w:ascii="仿宋" w:hAnsi="仿宋" w:eastAsia="仿宋" w:cs="仿宋"/>
          <w:color w:val="auto"/>
          <w:sz w:val="24"/>
          <w:highlight w:val="none"/>
        </w:rPr>
        <w:t>； 联系电话：</w:t>
      </w:r>
      <w:r>
        <w:rPr>
          <w:rFonts w:hint="eastAsia" w:ascii="仿宋" w:hAnsi="仿宋" w:eastAsia="仿宋" w:cs="仿宋"/>
          <w:color w:val="auto"/>
          <w:sz w:val="24"/>
          <w:highlight w:val="none"/>
          <w:u w:val="single" w:color="000000"/>
        </w:rPr>
        <w:t xml:space="preserve">                      </w:t>
      </w:r>
      <w:r>
        <w:rPr>
          <w:rFonts w:hint="eastAsia" w:ascii="仿宋" w:hAnsi="仿宋" w:eastAsia="仿宋" w:cs="仿宋"/>
          <w:color w:val="auto"/>
          <w:sz w:val="24"/>
          <w:highlight w:val="none"/>
        </w:rPr>
        <w:t>。</w:t>
      </w:r>
    </w:p>
    <w:p w14:paraId="1F465D2E">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第九条  售后服务</w:t>
      </w:r>
    </w:p>
    <w:p w14:paraId="408F24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方安排。</w:t>
      </w:r>
    </w:p>
    <w:p w14:paraId="2E61F9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2.质量保证期为：</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年；质保期自甲方在货物质量验收单上签字之日起计算，保修费用计入总价。</w:t>
      </w:r>
    </w:p>
    <w:p w14:paraId="6D9EAD6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3.质量保证期内，乙方负责对其提供的货物整机进行维修和系统维护，不再收取任何费用，但不可抗力（如火灾、雷击及人为因素等）造成的故障除外。</w:t>
      </w:r>
    </w:p>
    <w:p w14:paraId="1419A46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4.货物故障报修的响应时间为：工作期间（星期一至星期五8：00-18：00）为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小时；非工作期间为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w:t>
      </w:r>
    </w:p>
    <w:p w14:paraId="02CA7C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5.若货物故障在检修8工作小时后仍无法排除，乙方应在48小时内免费提供不低于故障货物规格型号档次的备用货物供甲方使用，直至故障货物修复。</w:t>
      </w:r>
    </w:p>
    <w:p w14:paraId="47D2E0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6.所有货物保修服务方式均为乙方上门保修，即由乙方派员到货物使用现场维修，由此产生的一切费用均由乙方承担。</w:t>
      </w:r>
    </w:p>
    <w:p w14:paraId="2B0A36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7.保修期后的货物维护由双方协商再定。</w:t>
      </w:r>
    </w:p>
    <w:p w14:paraId="40C4CA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8.乙方必须遵守甲方的有关管理制度、操作规程。对于乙方违规操作造成甲方损失的，由乙方按照本合同第十二条的约定承担赔偿责任。</w:t>
      </w:r>
    </w:p>
    <w:p w14:paraId="5299438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第十条  分包</w:t>
      </w:r>
    </w:p>
    <w:p w14:paraId="47B1E5A0">
      <w:pPr>
        <w:spacing w:line="360" w:lineRule="auto"/>
        <w:ind w:firstLine="480" w:firstLineChars="200"/>
        <w:rPr>
          <w:rFonts w:hint="eastAsia" w:ascii="仿宋" w:hAnsi="仿宋" w:eastAsia="仿宋" w:cs="仿宋"/>
          <w:strike/>
          <w:color w:val="auto"/>
          <w:sz w:val="24"/>
          <w:highlight w:val="none"/>
        </w:rPr>
      </w:pPr>
      <w:r>
        <w:rPr>
          <w:rFonts w:hint="eastAsia" w:ascii="仿宋" w:hAnsi="仿宋" w:eastAsia="仿宋" w:cs="仿宋"/>
          <w:color w:val="auto"/>
          <w:sz w:val="24"/>
          <w:highlight w:val="none"/>
        </w:rPr>
        <w:t>除招标采购文件事先说明、且经甲方事先书面同意外，乙方不得分包、转包其应履行的合同义务。</w:t>
      </w:r>
    </w:p>
    <w:p w14:paraId="6FDCED5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第十一条  合同的生效</w:t>
      </w:r>
    </w:p>
    <w:p w14:paraId="26E16A3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1.本合同经甲乙双方授权代表签字并加盖公章或合同专用章后生效。</w:t>
      </w:r>
    </w:p>
    <w:p w14:paraId="385F2DB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2.生效后，除《政府采购法》第49条、第50条第二款规定的情形外，甲乙双方不得擅自变更、中止或终止合同。</w:t>
      </w:r>
    </w:p>
    <w:p w14:paraId="54E1F338">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第十二条  违约责任</w:t>
      </w:r>
    </w:p>
    <w:p w14:paraId="67C6AB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1.乙方自成交公示期满之日起两个月内，所交付项目平台系统不符合本合同规定的，甲方有权拒收，乙方在得到甲方通知之日起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个工作日内采取补救措施，逾期仍未采取有效措施的，甲方有权要求乙方赔偿因此造成的损失或扣留履约保证金；同时乙方应向甲方支付合同总价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w:t>
      </w:r>
    </w:p>
    <w:p w14:paraId="2D7B87E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2.甲方无正当理由拒收交付的系统平台，甲方应向乙方偿付合同总价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w:t>
      </w:r>
    </w:p>
    <w:p w14:paraId="10E59B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3.乙方无正当理由逾期交付项目平台系统的，每逾期1天，乙方向甲方偿付合同总额的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‰的违约金。如乙方逾期达</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天，甲方有权解除合同，甲方解除合同的通知自到达乙方时生效。在此情况下，乙方给甲方造成的实际损失高于履约保证金的，对高出违约金的部分乙方应予以赔偿。</w:t>
      </w:r>
    </w:p>
    <w:p w14:paraId="5FC4506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4.甲方未按合同规定的期限向乙方支付合同款的，每逾期1天甲方向乙方偿付欠款总额的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‰违约金，但累计违约金总额不超过欠款总额的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6F4F2D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 乙方在售后服务期限内，在项目平台详细设计方案总体框架内，未按时完成甲方提出的调整、补充和完善平台功能等相关需求，每逾期1天，乙方向甲方偿付质保金</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‰的违约金，如乙方逾期达</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天，甲方有权扣除所有质保金。</w:t>
      </w:r>
    </w:p>
    <w:p w14:paraId="4C4519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6.其它未尽事宜，以《民法典》和《政府采购法》等有关法律法规规定为准，无相关规定的，双方协商解决。</w:t>
      </w:r>
    </w:p>
    <w:p w14:paraId="6B2A00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7.乙方所供货物必须权属清楚，不得侵害他人的知识产权，否则构成对甲方违约，违约金按本条第3~4款执行。</w:t>
      </w:r>
    </w:p>
    <w:p w14:paraId="315E36E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第十三条  不可抗力</w:t>
      </w:r>
    </w:p>
    <w:p w14:paraId="5D08FA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甲、乙方中任何一方，因不可抗力不能按时或完全履行合同的，应及时通知对方，并在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个工作日内提供相应证明，结算服务费用。未履行的部分是否继续履行、如何履行等问题，可由双方初步协商，并向主管部门和政府采购管理部门报告。确定为不可抗力原因造成的损失，免予承担责任。</w:t>
      </w:r>
    </w:p>
    <w:p w14:paraId="551C045D">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第十四条  争议的解决方式</w:t>
      </w:r>
    </w:p>
    <w:p w14:paraId="2E3A0C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1.因服务质量问题发生争议的，应当邀请国家认可的质量检测机构对服务进行鉴定。服务符合标准的，鉴定费由甲方承担；不符合质量标准的，鉴定费由乙方承担。</w:t>
      </w:r>
    </w:p>
    <w:p w14:paraId="25992D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2.在解释或者执行本合同的过程中发生争议时，双方应通过协商方式解决。</w:t>
      </w:r>
    </w:p>
    <w:p w14:paraId="4001CF9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3.经协商不能解决的争议，双方可选择以下第</w:t>
      </w:r>
      <w:r>
        <w:rPr>
          <w:rFonts w:hint="eastAsia" w:ascii="仿宋" w:hAnsi="仿宋" w:eastAsia="仿宋" w:cs="仿宋"/>
          <w:color w:val="auto"/>
          <w:sz w:val="24"/>
          <w:highlight w:val="none"/>
          <w:u w:val="single"/>
        </w:rPr>
        <w:t xml:space="preserve"> ① </w:t>
      </w:r>
      <w:r>
        <w:rPr>
          <w:rFonts w:hint="eastAsia" w:ascii="仿宋" w:hAnsi="仿宋" w:eastAsia="仿宋" w:cs="仿宋"/>
          <w:color w:val="auto"/>
          <w:sz w:val="24"/>
          <w:highlight w:val="none"/>
        </w:rPr>
        <w:t>种方式解决：</w:t>
      </w:r>
    </w:p>
    <w:p w14:paraId="1F3ACAE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①向乌鲁木齐市有管辖权的法院提起诉讼；</w:t>
      </w:r>
    </w:p>
    <w:p w14:paraId="6F5BF5C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②向乌鲁木齐仲裁委员会提出仲裁。</w:t>
      </w:r>
    </w:p>
    <w:p w14:paraId="1240F3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4.在法院审理和仲裁期间，除有争议部分外，本合同其他部分可以履行的仍应按合同条款继续履行。</w:t>
      </w:r>
    </w:p>
    <w:p w14:paraId="153C1FC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第十五条  其他</w:t>
      </w:r>
    </w:p>
    <w:p w14:paraId="33D7A9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符合《政府采购法》第49条规定的，经双方协商，办理政府采购手续后，可签订补充合同，所签订的补充合同与本合同具有同等法律效力。</w:t>
      </w:r>
    </w:p>
    <w:p w14:paraId="09852C7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本合同一式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份，甲、乙双方各执</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份。</w:t>
      </w:r>
    </w:p>
    <w:p w14:paraId="2CB0EA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   方：                        乙   方：</w:t>
      </w:r>
    </w:p>
    <w:p w14:paraId="09E613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名称：（盖章）                   名称：（盖章）</w:t>
      </w:r>
    </w:p>
    <w:p w14:paraId="133906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地址：</w:t>
      </w:r>
    </w:p>
    <w:p w14:paraId="5D56E5C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             法定代表人（签字）：</w:t>
      </w:r>
    </w:p>
    <w:p w14:paraId="099C41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授权代表（签字）：               授权代表（签字）：</w:t>
      </w:r>
    </w:p>
    <w:p w14:paraId="3645750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                       开户银行（基本账户）：</w:t>
      </w:r>
    </w:p>
    <w:p w14:paraId="3899B9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银行帐号：                       银行帐号（基本账户）：</w:t>
      </w:r>
    </w:p>
    <w:p w14:paraId="4298589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时间：         年     月     日</w:t>
      </w:r>
    </w:p>
    <w:p w14:paraId="404F054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5724C41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1.本范本根据《政府采购法》、《民法典》等法律法规制定。具体项目的采购合同条款，在本范本框架内由甲乙双方协商一致签订。空格处划横线。</w:t>
      </w:r>
    </w:p>
    <w:p w14:paraId="6CE1526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2.收款单位名称应与本合同乙方单位名称、项目成交单位名称、开具发票单位名称相一致。</w:t>
      </w:r>
    </w:p>
    <w:p w14:paraId="01943D7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color w:val="auto"/>
          <w:sz w:val="24"/>
          <w:highlight w:val="none"/>
        </w:rPr>
        <w:t>3.甲方（采购单位）应盖本单位公章，乙方应盖单位公章或合同专用章，合同双方应盖骑缝章。</w:t>
      </w:r>
      <w:r>
        <w:rPr>
          <w:rFonts w:hint="eastAsia" w:ascii="仿宋" w:hAnsi="仿宋" w:eastAsia="仿宋" w:cs="仿宋"/>
          <w:b w:val="0"/>
          <w:bCs w:val="0"/>
          <w:sz w:val="24"/>
          <w:szCs w:val="24"/>
          <w:highlight w:val="none"/>
          <w:lang w:val="en-US" w:eastAsia="zh-CN"/>
        </w:rPr>
        <w:br w:type="page"/>
      </w:r>
    </w:p>
    <w:p w14:paraId="55A10B4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p>
    <w:p w14:paraId="1A0F9B32">
      <w:pPr>
        <w:pStyle w:val="2"/>
        <w:numPr>
          <w:ilvl w:val="0"/>
          <w:numId w:val="5"/>
        </w:numPr>
        <w:bidi w:val="0"/>
        <w:jc w:val="center"/>
        <w:rPr>
          <w:rFonts w:hint="eastAsia" w:ascii="仿宋" w:hAnsi="仿宋" w:eastAsia="仿宋" w:cs="仿宋"/>
          <w:sz w:val="32"/>
          <w:szCs w:val="32"/>
          <w:highlight w:val="none"/>
          <w:lang w:val="en-US" w:eastAsia="zh-CN"/>
        </w:rPr>
      </w:pPr>
      <w:bookmarkStart w:id="19" w:name="_Toc32043"/>
      <w:r>
        <w:rPr>
          <w:rFonts w:hint="eastAsia" w:ascii="仿宋" w:hAnsi="仿宋" w:eastAsia="仿宋" w:cs="仿宋"/>
          <w:sz w:val="32"/>
          <w:szCs w:val="32"/>
          <w:highlight w:val="none"/>
          <w:lang w:val="en-US" w:eastAsia="zh-CN"/>
        </w:rPr>
        <w:t>采购需求</w:t>
      </w:r>
      <w:bookmarkEnd w:id="19"/>
    </w:p>
    <w:p w14:paraId="1E1762DD">
      <w:pPr>
        <w:keepNext w:val="0"/>
        <w:keepLines w:val="0"/>
        <w:pageBreakBefore w:val="0"/>
        <w:widowControl w:val="0"/>
        <w:numPr>
          <w:ilvl w:val="0"/>
          <w:numId w:val="0"/>
        </w:numPr>
        <w:kinsoku/>
        <w:wordWrap/>
        <w:overflowPunct/>
        <w:topLinePunct w:val="0"/>
        <w:autoSpaceDE/>
        <w:autoSpaceDN/>
        <w:bidi w:val="0"/>
        <w:adjustRightInd/>
        <w:snapToGrid/>
        <w:spacing w:before="60" w:after="60" w:line="560" w:lineRule="exact"/>
        <w:ind w:firstLine="480" w:firstLineChars="200"/>
        <w:textAlignment w:val="auto"/>
        <w:outlineLvl w:val="9"/>
        <w:rPr>
          <w:rFonts w:hint="eastAsia" w:ascii="仿宋" w:hAnsi="仿宋" w:eastAsia="仿宋" w:cs="仿宋"/>
          <w:color w:val="000000"/>
          <w:sz w:val="24"/>
          <w:szCs w:val="24"/>
          <w:highlight w:val="none"/>
          <w:lang w:val="en-US" w:eastAsia="zh-CN"/>
        </w:rPr>
      </w:pPr>
      <w:bookmarkStart w:id="20" w:name="_Toc23151"/>
      <w:bookmarkStart w:id="21" w:name="_Toc7335"/>
      <w:bookmarkStart w:id="22" w:name="_Toc20696"/>
      <w:bookmarkStart w:id="23" w:name="_Toc8391"/>
      <w:bookmarkStart w:id="24" w:name="_Toc3158"/>
    </w:p>
    <w:bookmarkEnd w:id="20"/>
    <w:bookmarkEnd w:id="21"/>
    <w:bookmarkEnd w:id="22"/>
    <w:bookmarkEnd w:id="23"/>
    <w:bookmarkEnd w:id="24"/>
    <w:p w14:paraId="4292C786">
      <w:pPr>
        <w:pStyle w:val="12"/>
        <w:kinsoku w:val="0"/>
        <w:overflowPunct w:val="0"/>
        <w:spacing w:before="14" w:line="360" w:lineRule="auto"/>
        <w:ind w:firstLine="482" w:firstLineChars="200"/>
        <w:jc w:val="both"/>
        <w:rPr>
          <w:rFonts w:hint="eastAsia" w:ascii="仿宋" w:hAnsi="仿宋" w:eastAsia="仿宋" w:cs="仿宋_GB2312"/>
          <w:b w:val="0"/>
          <w:color w:val="auto"/>
          <w:kern w:val="2"/>
          <w:sz w:val="24"/>
          <w:szCs w:val="24"/>
          <w:highlight w:val="none"/>
          <w:lang w:val="en-US" w:eastAsia="zh-CN" w:bidi="ar-SA"/>
        </w:rPr>
      </w:pPr>
      <w:bookmarkStart w:id="25" w:name="_Toc20162"/>
      <w:r>
        <w:rPr>
          <w:rFonts w:hint="eastAsia" w:ascii="仿宋" w:hAnsi="仿宋" w:eastAsia="仿宋" w:cs="仿宋_GB2312"/>
          <w:b/>
          <w:bCs/>
          <w:color w:val="auto"/>
          <w:kern w:val="2"/>
          <w:sz w:val="24"/>
          <w:szCs w:val="24"/>
          <w:highlight w:val="none"/>
          <w:lang w:val="en-US" w:eastAsia="zh-CN" w:bidi="ar-SA"/>
        </w:rPr>
        <w:t>项目名称</w:t>
      </w:r>
      <w:r>
        <w:rPr>
          <w:rFonts w:hint="eastAsia" w:ascii="仿宋" w:hAnsi="仿宋" w:eastAsia="仿宋" w:cs="仿宋_GB2312"/>
          <w:b w:val="0"/>
          <w:color w:val="auto"/>
          <w:kern w:val="2"/>
          <w:sz w:val="24"/>
          <w:szCs w:val="24"/>
          <w:highlight w:val="none"/>
          <w:lang w:val="en-US" w:eastAsia="zh-CN" w:bidi="ar-SA"/>
        </w:rPr>
        <w:t>：自治区地理信息公共服务平台系统功能优化及运维服务</w:t>
      </w:r>
    </w:p>
    <w:p w14:paraId="5ADBBF1E">
      <w:pPr>
        <w:pStyle w:val="3"/>
        <w:spacing w:line="360" w:lineRule="auto"/>
        <w:ind w:firstLine="482"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bCs w:val="0"/>
          <w:sz w:val="24"/>
          <w:szCs w:val="24"/>
          <w:highlight w:val="none"/>
        </w:rPr>
        <w:t>建设目标</w:t>
      </w:r>
      <w:r>
        <w:rPr>
          <w:rFonts w:hint="eastAsia" w:ascii="仿宋" w:hAnsi="仿宋" w:eastAsia="仿宋" w:cs="仿宋"/>
          <w:b/>
          <w:bCs w:val="0"/>
          <w:sz w:val="24"/>
          <w:szCs w:val="24"/>
          <w:highlight w:val="none"/>
          <w:lang w:eastAsia="zh-CN"/>
        </w:rPr>
        <w:t>：</w:t>
      </w:r>
      <w:r>
        <w:rPr>
          <w:rFonts w:hint="eastAsia" w:ascii="仿宋" w:hAnsi="仿宋" w:eastAsia="仿宋" w:cs="仿宋"/>
          <w:b w:val="0"/>
          <w:bCs w:val="0"/>
          <w:color w:val="000000"/>
          <w:kern w:val="0"/>
          <w:sz w:val="24"/>
          <w:szCs w:val="21"/>
          <w:highlight w:val="none"/>
          <w:lang w:val="en-US" w:eastAsia="zh-CN" w:bidi="ar"/>
        </w:rPr>
        <w:t>完善“天地图·新疆”平台功能。梳理在线地理信息公共服务需求，开展平台功能完善优化，平台运维能力提升，典型应用研发，天地图政务版更新及国产化改造等平台应用推广工作，推动地理信息公开与应用工作。</w:t>
      </w:r>
    </w:p>
    <w:p w14:paraId="0B1641FA">
      <w:pPr>
        <w:pStyle w:val="3"/>
        <w:spacing w:line="360" w:lineRule="auto"/>
        <w:ind w:firstLine="482" w:firstLineChars="200"/>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rPr>
        <w:t>建设内容</w:t>
      </w:r>
    </w:p>
    <w:p w14:paraId="7A496C1E">
      <w:pPr>
        <w:pStyle w:val="3"/>
        <w:spacing w:line="360" w:lineRule="auto"/>
        <w:ind w:firstLine="482" w:firstLineChars="200"/>
        <w:rPr>
          <w:rFonts w:hint="eastAsia" w:ascii="仿宋" w:hAnsi="仿宋" w:eastAsia="仿宋" w:cs="仿宋"/>
          <w:b/>
          <w:bCs w:val="0"/>
          <w:sz w:val="24"/>
          <w:szCs w:val="24"/>
          <w:highlight w:val="none"/>
        </w:rPr>
      </w:pPr>
      <w:bookmarkStart w:id="26" w:name="_Toc32322"/>
      <w:r>
        <w:rPr>
          <w:rFonts w:hint="eastAsia" w:ascii="仿宋" w:hAnsi="仿宋" w:eastAsia="仿宋" w:cs="仿宋"/>
          <w:b/>
          <w:bCs w:val="0"/>
          <w:sz w:val="24"/>
          <w:szCs w:val="24"/>
          <w:highlight w:val="none"/>
          <w:lang w:val="en-US" w:eastAsia="zh-CN"/>
        </w:rPr>
        <w:t>1</w:t>
      </w:r>
      <w:r>
        <w:rPr>
          <w:rFonts w:hint="eastAsia" w:ascii="仿宋" w:hAnsi="仿宋" w:eastAsia="仿宋" w:cs="仿宋"/>
          <w:b/>
          <w:bCs w:val="0"/>
          <w:sz w:val="24"/>
          <w:szCs w:val="24"/>
          <w:highlight w:val="none"/>
        </w:rPr>
        <w:t>.1</w:t>
      </w:r>
      <w:bookmarkEnd w:id="26"/>
      <w:r>
        <w:rPr>
          <w:rFonts w:hint="eastAsia" w:ascii="仿宋" w:hAnsi="仿宋" w:eastAsia="仿宋" w:cs="仿宋"/>
          <w:b/>
          <w:bCs w:val="0"/>
          <w:sz w:val="24"/>
          <w:szCs w:val="24"/>
          <w:highlight w:val="none"/>
        </w:rPr>
        <w:t>平台功能完善</w:t>
      </w:r>
    </w:p>
    <w:p w14:paraId="174E7325">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基于“天地图·新疆”自治区级节点建设现状和迫切需求，结合《地理信息公共服务平台2025年综合评估指标体系》要求开展平台功能完善。</w:t>
      </w:r>
    </w:p>
    <w:p w14:paraId="2F23928F">
      <w:pPr>
        <w:numPr>
          <w:ilvl w:val="0"/>
          <w:numId w:val="13"/>
        </w:numPr>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系统整合</w:t>
      </w:r>
    </w:p>
    <w:p w14:paraId="6908DE91">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推进测绘成果目录服务、标准地图、测绘档案等与天地图的深度融合。将测绘成果目录、标准地图、测绘档案等统一纳入地理信息公共服务体系，在省级节点门户网站建立专题，按需接入天地图统一用户认证，打通各系统用户体系。</w:t>
      </w:r>
    </w:p>
    <w:p w14:paraId="0244CC87">
      <w:pPr>
        <w:numPr>
          <w:ilvl w:val="0"/>
          <w:numId w:val="13"/>
        </w:numPr>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自治区在线协同更新云数据库完善</w:t>
      </w:r>
    </w:p>
    <w:p w14:paraId="4F78E965">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保持与国家级主库统一数据库、统一数据模型、统一数据标准和统一质量，开展在线协同更新云数据库自治区分库持续维护，结合自治区节点数据更新维护需求，开发自治区级分库管理系统，实现数据的安全管理与高效维护。保持自治区分库与国家级主库互联互通、实现国家和自治区两级数据库数据安全同步。基于在线协同更新云数据库完成兴趣面数据年度更新。</w:t>
      </w:r>
    </w:p>
    <w:p w14:paraId="145A93D3">
      <w:pPr>
        <w:numPr>
          <w:ilvl w:val="0"/>
          <w:numId w:val="13"/>
        </w:numPr>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自然资源专题服务API服务接口开发</w:t>
      </w:r>
    </w:p>
    <w:p w14:paraId="18EC2D52">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基于平台发布的自然资源专题图层，提供自然资源专题 API服务接口，采用墨卡托投影，实现与国家级节点服务集成，并保持服务持续稳定。接口符合 OGC WMTS/WMS 或 Rest 服务规范要求。</w:t>
      </w:r>
    </w:p>
    <w:p w14:paraId="52B82F9D">
      <w:pPr>
        <w:pStyle w:val="3"/>
        <w:spacing w:line="360" w:lineRule="auto"/>
        <w:ind w:firstLine="482" w:firstLineChars="200"/>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lang w:val="en-US" w:eastAsia="zh-CN"/>
        </w:rPr>
        <w:t>1</w:t>
      </w:r>
      <w:r>
        <w:rPr>
          <w:rFonts w:hint="eastAsia" w:ascii="仿宋" w:hAnsi="仿宋" w:eastAsia="仿宋" w:cs="仿宋"/>
          <w:b/>
          <w:bCs w:val="0"/>
          <w:sz w:val="24"/>
          <w:szCs w:val="24"/>
          <w:highlight w:val="none"/>
        </w:rPr>
        <w:t>.2平台运维能力建设</w:t>
      </w:r>
    </w:p>
    <w:p w14:paraId="32EC121E">
      <w:pPr>
        <w:numPr>
          <w:ilvl w:val="0"/>
          <w:numId w:val="14"/>
        </w:numPr>
        <w:spacing w:line="360" w:lineRule="auto"/>
        <w:ind w:left="276" w:leftChars="115"/>
        <w:rPr>
          <w:rFonts w:hint="eastAsia" w:ascii="仿宋" w:hAnsi="仿宋" w:eastAsia="仿宋" w:cs="仿宋"/>
          <w:sz w:val="24"/>
          <w:szCs w:val="24"/>
          <w:highlight w:val="none"/>
        </w:rPr>
      </w:pPr>
      <w:r>
        <w:rPr>
          <w:rFonts w:hint="eastAsia" w:ascii="仿宋" w:hAnsi="仿宋" w:eastAsia="仿宋" w:cs="仿宋"/>
          <w:sz w:val="24"/>
          <w:szCs w:val="24"/>
          <w:highlight w:val="none"/>
        </w:rPr>
        <w:t>专题图层维护</w:t>
      </w:r>
    </w:p>
    <w:p w14:paraId="2030CD65">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针对需发布的专题数据，进行数据配图、服务发布和服务展示。</w:t>
      </w:r>
    </w:p>
    <w:p w14:paraId="146B00AD">
      <w:pPr>
        <w:numPr>
          <w:ilvl w:val="0"/>
          <w:numId w:val="14"/>
        </w:numPr>
        <w:spacing w:line="360" w:lineRule="auto"/>
        <w:ind w:left="276" w:leftChars="115"/>
        <w:rPr>
          <w:rFonts w:hint="eastAsia" w:ascii="仿宋" w:hAnsi="仿宋" w:eastAsia="仿宋" w:cs="仿宋"/>
          <w:sz w:val="24"/>
          <w:szCs w:val="24"/>
          <w:highlight w:val="none"/>
        </w:rPr>
      </w:pPr>
      <w:r>
        <w:rPr>
          <w:rFonts w:hint="eastAsia" w:ascii="仿宋" w:hAnsi="仿宋" w:eastAsia="仿宋" w:cs="仿宋"/>
          <w:sz w:val="24"/>
          <w:szCs w:val="24"/>
          <w:highlight w:val="none"/>
        </w:rPr>
        <w:t>平台服务巡检</w:t>
      </w:r>
    </w:p>
    <w:p w14:paraId="7A6731A9">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研发巡检程序，对平台核心模块和服务在线状态进行巡检，发现问题，以短信方式发送给平台管理员，及时有效响应并处理。</w:t>
      </w:r>
    </w:p>
    <w:p w14:paraId="04C07C83">
      <w:pPr>
        <w:numPr>
          <w:ilvl w:val="0"/>
          <w:numId w:val="14"/>
        </w:numPr>
        <w:spacing w:line="360" w:lineRule="auto"/>
        <w:ind w:left="276" w:leftChars="115"/>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sz w:val="24"/>
          <w:szCs w:val="24"/>
          <w:highlight w:val="none"/>
        </w:rPr>
        <w:t>平台安全防护运维</w:t>
      </w:r>
    </w:p>
    <w:p w14:paraId="2EA44F2B">
      <w:pPr>
        <w:numPr>
          <w:ilvl w:val="0"/>
          <w:numId w:val="0"/>
        </w:numPr>
        <w:spacing w:line="360" w:lineRule="auto"/>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针对平台运行过程中国家、自治区发布的安全问题，及时修复。</w:t>
      </w:r>
    </w:p>
    <w:p w14:paraId="461D0ECA">
      <w:pPr>
        <w:numPr>
          <w:ilvl w:val="0"/>
          <w:numId w:val="0"/>
        </w:numPr>
        <w:spacing w:line="360" w:lineRule="auto"/>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lang w:val="en-US" w:eastAsia="zh-CN"/>
        </w:rPr>
        <w:t>1</w:t>
      </w:r>
      <w:r>
        <w:rPr>
          <w:rFonts w:hint="eastAsia" w:ascii="仿宋" w:hAnsi="仿宋" w:eastAsia="仿宋" w:cs="仿宋"/>
          <w:b/>
          <w:bCs w:val="0"/>
          <w:sz w:val="24"/>
          <w:szCs w:val="24"/>
          <w:highlight w:val="none"/>
        </w:rPr>
        <w:t>.3平台应用推广</w:t>
      </w:r>
    </w:p>
    <w:p w14:paraId="4E713D78">
      <w:pPr>
        <w:numPr>
          <w:ilvl w:val="0"/>
          <w:numId w:val="15"/>
        </w:numPr>
        <w:spacing w:line="360" w:lineRule="auto"/>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政区数据展示系统典型应用研发</w:t>
      </w:r>
    </w:p>
    <w:p w14:paraId="4D9E7BD9">
      <w:pPr>
        <w:numPr>
          <w:ilvl w:val="0"/>
          <w:numId w:val="0"/>
        </w:numPr>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定期梳理在线地理信息公共服务需求，积极探索依托天地图与政区数据等典型行业应用结合，研发典型应用系统，推动地理信息公开与应用工作。</w:t>
      </w:r>
    </w:p>
    <w:p w14:paraId="079393CA">
      <w:pPr>
        <w:numPr>
          <w:ilvl w:val="0"/>
          <w:numId w:val="15"/>
        </w:numPr>
        <w:spacing w:line="360" w:lineRule="auto"/>
        <w:ind w:left="0" w:leftChars="0" w:firstLine="0" w:firstLineChars="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基于DeepSeek的智能制图系统典型应用研发</w:t>
      </w:r>
    </w:p>
    <w:p w14:paraId="2EF458CC">
      <w:pPr>
        <w:numPr>
          <w:ilvl w:val="0"/>
          <w:numId w:val="0"/>
        </w:numPr>
        <w:spacing w:line="360" w:lineRule="auto"/>
        <w:ind w:leftChars="0"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依托天地图底图和基础数据，结合DeepSeek以自然语言对话模式，支持Shapefile数据上传、叠加展示、智能出图等能力。</w:t>
      </w:r>
    </w:p>
    <w:p w14:paraId="308FC65E">
      <w:pPr>
        <w:numPr>
          <w:ilvl w:val="0"/>
          <w:numId w:val="15"/>
        </w:numPr>
        <w:spacing w:line="360" w:lineRule="auto"/>
        <w:ind w:left="0" w:leftChars="0" w:firstLine="0" w:firstLineChars="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天地图政务版更新</w:t>
      </w:r>
    </w:p>
    <w:p w14:paraId="58301811">
      <w:pPr>
        <w:numPr>
          <w:ilvl w:val="0"/>
          <w:numId w:val="0"/>
        </w:numPr>
        <w:spacing w:line="360" w:lineRule="auto"/>
        <w:ind w:leftChars="0"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基于“天地图·新疆”公众版平台首页、电子地图、在线制图、专题图层等模块的优化完善，更新“天地图·新疆”政务版。</w:t>
      </w:r>
    </w:p>
    <w:p w14:paraId="6A4FD345">
      <w:pPr>
        <w:numPr>
          <w:ilvl w:val="0"/>
          <w:numId w:val="15"/>
        </w:numPr>
        <w:spacing w:line="360" w:lineRule="auto"/>
        <w:ind w:left="0" w:leftChars="0" w:firstLine="0" w:firstLineChars="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国产化适配改造</w:t>
      </w:r>
    </w:p>
    <w:p w14:paraId="04186AE0">
      <w:pPr>
        <w:numPr>
          <w:ilvl w:val="0"/>
          <w:numId w:val="0"/>
        </w:numPr>
        <w:spacing w:line="360" w:lineRule="auto"/>
        <w:ind w:leftChars="0"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针对“天地图·新疆”平台改造，实现对操作系统、数据库、中间件等主流国产软硬件的适配。</w:t>
      </w:r>
    </w:p>
    <w:p w14:paraId="7FA391A7">
      <w:pPr>
        <w:pStyle w:val="3"/>
        <w:spacing w:line="360" w:lineRule="auto"/>
        <w:ind w:firstLine="482" w:firstLineChars="200"/>
        <w:rPr>
          <w:rFonts w:hint="eastAsia" w:ascii="仿宋" w:hAnsi="仿宋" w:eastAsia="仿宋" w:cs="仿宋"/>
          <w:b/>
          <w:bCs w:val="0"/>
          <w:sz w:val="24"/>
          <w:szCs w:val="24"/>
          <w:highlight w:val="none"/>
        </w:rPr>
      </w:pPr>
      <w:bookmarkStart w:id="27" w:name="_Toc14299"/>
      <w:r>
        <w:rPr>
          <w:rFonts w:hint="eastAsia" w:ascii="仿宋" w:hAnsi="仿宋" w:eastAsia="仿宋" w:cs="仿宋"/>
          <w:b/>
          <w:bCs w:val="0"/>
          <w:sz w:val="24"/>
          <w:szCs w:val="24"/>
          <w:highlight w:val="none"/>
          <w:lang w:val="en-US" w:eastAsia="zh-CN"/>
        </w:rPr>
        <w:t>1</w:t>
      </w:r>
      <w:r>
        <w:rPr>
          <w:rFonts w:hint="eastAsia" w:ascii="仿宋" w:hAnsi="仿宋" w:eastAsia="仿宋" w:cs="仿宋"/>
          <w:b/>
          <w:bCs w:val="0"/>
          <w:sz w:val="24"/>
          <w:szCs w:val="24"/>
          <w:highlight w:val="none"/>
        </w:rPr>
        <w:t>.4成果要求</w:t>
      </w:r>
      <w:bookmarkEnd w:id="27"/>
    </w:p>
    <w:p w14:paraId="054767C3">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bookmarkStart w:id="28" w:name="_Toc4842"/>
      <w:r>
        <w:rPr>
          <w:rFonts w:hint="eastAsia" w:ascii="仿宋" w:hAnsi="仿宋" w:eastAsia="仿宋" w:cs="仿宋"/>
          <w:b w:val="0"/>
          <w:bCs w:val="0"/>
          <w:color w:val="000000"/>
          <w:kern w:val="0"/>
          <w:sz w:val="24"/>
          <w:szCs w:val="21"/>
          <w:highlight w:val="none"/>
          <w:lang w:val="en-US" w:eastAsia="zh-CN" w:bidi="ar"/>
        </w:rPr>
        <w:t>（1）系统成果</w:t>
      </w:r>
      <w:bookmarkEnd w:id="28"/>
      <w:bookmarkStart w:id="29" w:name="_Toc205274965"/>
      <w:bookmarkStart w:id="30" w:name="_Toc294189266"/>
      <w:bookmarkStart w:id="31" w:name="_Toc333823394"/>
      <w:bookmarkStart w:id="32" w:name="_Toc263672061"/>
      <w:bookmarkStart w:id="33" w:name="_Toc432157995"/>
      <w:bookmarkStart w:id="34" w:name="_Toc239045424"/>
      <w:bookmarkStart w:id="35" w:name="_Toc317784759"/>
      <w:bookmarkStart w:id="36" w:name="_Toc207045066"/>
    </w:p>
    <w:p w14:paraId="3062B75A">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1）自治区地理信息公共服务平台公众版</w:t>
      </w:r>
    </w:p>
    <w:p w14:paraId="5EE596A1">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2）平台服务巡检系统</w:t>
      </w:r>
    </w:p>
    <w:p w14:paraId="74765739">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3）自治区地理信息公共服务平台政务版</w:t>
      </w:r>
    </w:p>
    <w:p w14:paraId="63AC4E3B">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4）政区数据展示系统典型应用</w:t>
      </w:r>
    </w:p>
    <w:p w14:paraId="347BB738">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5）基于DeepSeek的智能制图系统典型应用</w:t>
      </w:r>
    </w:p>
    <w:p w14:paraId="2C63A4C6">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（2）数据成果</w:t>
      </w:r>
    </w:p>
    <w:p w14:paraId="0749853F">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“天地图·新疆”自治区级云数据库</w:t>
      </w:r>
    </w:p>
    <w:bookmarkEnd w:id="29"/>
    <w:bookmarkEnd w:id="30"/>
    <w:bookmarkEnd w:id="31"/>
    <w:bookmarkEnd w:id="32"/>
    <w:bookmarkEnd w:id="33"/>
    <w:bookmarkEnd w:id="34"/>
    <w:bookmarkEnd w:id="35"/>
    <w:bookmarkEnd w:id="36"/>
    <w:p w14:paraId="4E6E5075">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bookmarkStart w:id="37" w:name="_Toc317784760"/>
      <w:bookmarkStart w:id="38" w:name="_Toc207045067"/>
      <w:bookmarkStart w:id="39" w:name="_Toc263672062"/>
      <w:bookmarkStart w:id="40" w:name="_Toc333823395"/>
      <w:bookmarkStart w:id="41" w:name="_Toc432157996"/>
      <w:bookmarkStart w:id="42" w:name="_Toc205274966"/>
      <w:bookmarkStart w:id="43" w:name="_Toc294189267"/>
      <w:bookmarkStart w:id="44" w:name="_Toc239045425"/>
      <w:bookmarkStart w:id="45" w:name="_Toc3129"/>
      <w:r>
        <w:rPr>
          <w:rFonts w:hint="eastAsia" w:ascii="仿宋" w:hAnsi="仿宋" w:eastAsia="仿宋" w:cs="仿宋"/>
          <w:b w:val="0"/>
          <w:bCs w:val="0"/>
          <w:color w:val="000000"/>
          <w:kern w:val="0"/>
          <w:sz w:val="24"/>
          <w:szCs w:val="21"/>
          <w:highlight w:val="none"/>
          <w:lang w:val="en-US" w:eastAsia="zh-CN" w:bidi="ar"/>
        </w:rPr>
        <w:t>（3）文档</w:t>
      </w:r>
      <w:bookmarkEnd w:id="37"/>
      <w:bookmarkEnd w:id="38"/>
      <w:bookmarkEnd w:id="39"/>
      <w:bookmarkEnd w:id="40"/>
      <w:bookmarkEnd w:id="41"/>
      <w:bookmarkEnd w:id="42"/>
      <w:bookmarkEnd w:id="43"/>
      <w:bookmarkEnd w:id="44"/>
      <w:r>
        <w:rPr>
          <w:rFonts w:hint="eastAsia" w:ascii="仿宋" w:hAnsi="仿宋" w:eastAsia="仿宋" w:cs="仿宋"/>
          <w:b w:val="0"/>
          <w:bCs w:val="0"/>
          <w:color w:val="000000"/>
          <w:kern w:val="0"/>
          <w:sz w:val="24"/>
          <w:szCs w:val="21"/>
          <w:highlight w:val="none"/>
          <w:lang w:val="en-US" w:eastAsia="zh-CN" w:bidi="ar"/>
        </w:rPr>
        <w:t>成果</w:t>
      </w:r>
      <w:bookmarkEnd w:id="45"/>
    </w:p>
    <w:p w14:paraId="35860BF1">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项目成果文档将包括以下内容：</w:t>
      </w:r>
    </w:p>
    <w:p w14:paraId="7BB3FA3A">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《2025年自治区地理信息公共服务平台维护更新项目实施方案》</w:t>
      </w:r>
    </w:p>
    <w:p w14:paraId="39833159">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《2025年自治区地理信息公共服务平台维护更新项目技术设计书》</w:t>
      </w:r>
    </w:p>
    <w:p w14:paraId="779A9BE0">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《2025年自治区地理信息公共服务平台维护更新项目测试报告》</w:t>
      </w:r>
    </w:p>
    <w:p w14:paraId="27F1BEED">
      <w:pPr>
        <w:pStyle w:val="3"/>
        <w:spacing w:line="360" w:lineRule="auto"/>
        <w:ind w:firstLine="480" w:firstLineChars="200"/>
        <w:rPr>
          <w:rFonts w:hint="eastAsia" w:ascii="仿宋" w:hAnsi="仿宋" w:eastAsia="仿宋" w:cs="仿宋"/>
          <w:b w:val="0"/>
          <w:bCs w:val="0"/>
          <w:color w:val="000000"/>
          <w:kern w:val="0"/>
          <w:sz w:val="24"/>
          <w:szCs w:val="21"/>
          <w:highlight w:val="none"/>
          <w:lang w:val="en-US" w:eastAsia="zh-CN" w:bidi="ar"/>
        </w:rPr>
      </w:pPr>
      <w:r>
        <w:rPr>
          <w:rFonts w:hint="eastAsia" w:ascii="仿宋" w:hAnsi="仿宋" w:eastAsia="仿宋" w:cs="仿宋"/>
          <w:b w:val="0"/>
          <w:bCs w:val="0"/>
          <w:color w:val="000000"/>
          <w:kern w:val="0"/>
          <w:sz w:val="24"/>
          <w:szCs w:val="21"/>
          <w:highlight w:val="none"/>
          <w:lang w:val="en-US" w:eastAsia="zh-CN" w:bidi="ar"/>
        </w:rPr>
        <w:t>《2025年自治区地理信息公共服务平台维护更新项目工作报告》</w:t>
      </w:r>
    </w:p>
    <w:p w14:paraId="4E21C34E">
      <w:pPr>
        <w:pStyle w:val="32"/>
        <w:rPr>
          <w:rFonts w:hint="eastAsia" w:ascii="仿宋" w:hAnsi="仿宋" w:eastAsia="仿宋" w:cs="仿宋"/>
          <w:highlight w:val="none"/>
        </w:rPr>
        <w:sectPr>
          <w:pgSz w:w="11906" w:h="16838"/>
          <w:pgMar w:top="1440" w:right="1800" w:bottom="1440" w:left="1800" w:header="851" w:footer="992" w:gutter="0"/>
          <w:cols w:space="720" w:num="1"/>
          <w:docGrid w:type="lines" w:linePitch="312" w:charSpace="0"/>
        </w:sectPr>
      </w:pPr>
    </w:p>
    <w:p w14:paraId="781FC527">
      <w:pPr>
        <w:pStyle w:val="2"/>
        <w:numPr>
          <w:ilvl w:val="0"/>
          <w:numId w:val="5"/>
        </w:numPr>
        <w:bidi w:val="0"/>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评标程序、评标方法和评标标准</w:t>
      </w:r>
      <w:bookmarkEnd w:id="25"/>
    </w:p>
    <w:p w14:paraId="4070C69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highlight w:val="none"/>
          <w:lang w:val="en-US" w:eastAsia="zh-CN"/>
        </w:rPr>
      </w:pPr>
    </w:p>
    <w:p w14:paraId="723866A6">
      <w:pPr>
        <w:keepNext w:val="0"/>
        <w:keepLines w:val="0"/>
        <w:pageBreakBefore w:val="0"/>
        <w:widowControl w:val="0"/>
        <w:numPr>
          <w:ilvl w:val="0"/>
          <w:numId w:val="16"/>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lang w:val="en-US" w:eastAsia="zh-CN"/>
        </w:rPr>
      </w:pPr>
      <w:bookmarkStart w:id="46" w:name="_Toc8502"/>
      <w:r>
        <w:rPr>
          <w:rFonts w:hint="eastAsia" w:ascii="仿宋" w:hAnsi="仿宋" w:eastAsia="仿宋" w:cs="仿宋"/>
          <w:b/>
          <w:bCs/>
          <w:sz w:val="24"/>
          <w:szCs w:val="24"/>
          <w:highlight w:val="none"/>
          <w:lang w:val="en-US" w:eastAsia="zh-CN"/>
        </w:rPr>
        <w:t>评标方法</w:t>
      </w:r>
      <w:bookmarkEnd w:id="46"/>
      <w:r>
        <w:rPr>
          <w:rFonts w:hint="eastAsia" w:ascii="仿宋" w:hAnsi="仿宋" w:eastAsia="仿宋" w:cs="仿宋"/>
          <w:b/>
          <w:bCs/>
          <w:sz w:val="24"/>
          <w:szCs w:val="24"/>
          <w:highlight w:val="none"/>
          <w:lang w:val="en-US" w:eastAsia="zh-CN"/>
        </w:rPr>
        <w:t xml:space="preserve"> </w:t>
      </w:r>
    </w:p>
    <w:p w14:paraId="0D40699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165C7DDA">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47" w:name="_Toc14691"/>
      <w:r>
        <w:rPr>
          <w:rFonts w:hint="eastAsia" w:ascii="仿宋" w:hAnsi="仿宋" w:eastAsia="仿宋" w:cs="仿宋"/>
          <w:b/>
          <w:bCs/>
          <w:sz w:val="24"/>
          <w:szCs w:val="24"/>
          <w:highlight w:val="none"/>
          <w:lang w:val="en-US" w:eastAsia="zh-CN"/>
        </w:rPr>
        <w:t>评标原则</w:t>
      </w:r>
      <w:bookmarkEnd w:id="47"/>
    </w:p>
    <w:p w14:paraId="4CF2AE4F">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评标活动遵循公平、公正、科学和择优的原则，以采购文件和响应文件为评标的基本依据，并按照采购文件规定的评标方法和评标标准进行评标。</w:t>
      </w:r>
    </w:p>
    <w:p w14:paraId="4473D163">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具体评标事项由磋商小组负责，并按采购文件的规定办法进行评审。对采购文件中描述有歧义或前后不一致的地方，磋商小组有权按法律法规的规定进行评判，但对同一条款的评判应适用于每个响应供应商。</w:t>
      </w:r>
    </w:p>
    <w:p w14:paraId="189028DD">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48" w:name="_Toc21169"/>
      <w:r>
        <w:rPr>
          <w:rFonts w:hint="eastAsia" w:ascii="仿宋" w:hAnsi="仿宋" w:eastAsia="仿宋" w:cs="仿宋"/>
          <w:b/>
          <w:bCs/>
          <w:sz w:val="24"/>
          <w:szCs w:val="24"/>
          <w:highlight w:val="none"/>
          <w:lang w:val="en-US" w:eastAsia="zh-CN"/>
        </w:rPr>
        <w:t>资格审查</w:t>
      </w:r>
      <w:bookmarkEnd w:id="48"/>
    </w:p>
    <w:p w14:paraId="1BC43901">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磋商小组依据采购文件，对响应文件中的资格证明文件等进行审查，以确定供应商是否具备磋商资格。资格性审查中凡有其中任意一项未通过的，评审结果为未通过，未通过资格性审查的供应商按</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处理，不进入符合性审查。审查内容如下：</w:t>
      </w:r>
    </w:p>
    <w:p w14:paraId="02CC991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资格审查要求</w:t>
      </w:r>
    </w:p>
    <w:tbl>
      <w:tblPr>
        <w:tblStyle w:val="27"/>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2"/>
        <w:gridCol w:w="1275"/>
        <w:gridCol w:w="3360"/>
        <w:gridCol w:w="4490"/>
      </w:tblGrid>
      <w:tr w14:paraId="6B009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532" w:type="dxa"/>
            <w:vAlign w:val="center"/>
          </w:tcPr>
          <w:p w14:paraId="6139523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1275" w:type="dxa"/>
            <w:vAlign w:val="center"/>
          </w:tcPr>
          <w:p w14:paraId="5C21EF3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3360" w:type="dxa"/>
            <w:vAlign w:val="center"/>
          </w:tcPr>
          <w:p w14:paraId="2CF7A65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审查要求</w:t>
            </w:r>
          </w:p>
        </w:tc>
        <w:tc>
          <w:tcPr>
            <w:tcW w:w="4490" w:type="dxa"/>
            <w:vAlign w:val="center"/>
          </w:tcPr>
          <w:p w14:paraId="44B5938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lang w:val="en-US" w:eastAsia="zh-CN"/>
              </w:rPr>
              <w:t>要求说明</w:t>
            </w:r>
          </w:p>
        </w:tc>
      </w:tr>
      <w:tr w14:paraId="068DF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6129F2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1275" w:type="dxa"/>
            <w:vAlign w:val="center"/>
          </w:tcPr>
          <w:p w14:paraId="0A0B2F3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具有独立承担民事责任的能力</w:t>
            </w:r>
          </w:p>
        </w:tc>
        <w:tc>
          <w:tcPr>
            <w:tcW w:w="3360" w:type="dxa"/>
            <w:vAlign w:val="center"/>
          </w:tcPr>
          <w:p w14:paraId="7434B9C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须提供法人或其他组织或自然人的营业执照副本或事业法人登记证或执业许可证或身份证等相关证明扫描件（除身份证外其余证件须投标人加盖公章）</w:t>
            </w:r>
          </w:p>
        </w:tc>
        <w:tc>
          <w:tcPr>
            <w:tcW w:w="4490" w:type="dxa"/>
            <w:vAlign w:val="center"/>
          </w:tcPr>
          <w:p w14:paraId="1FD5AAA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0F8BC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4F85F89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1275" w:type="dxa"/>
            <w:vAlign w:val="center"/>
          </w:tcPr>
          <w:p w14:paraId="52975E0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具有良好的商业信誉和健全的财务会计制度</w:t>
            </w:r>
          </w:p>
        </w:tc>
        <w:tc>
          <w:tcPr>
            <w:tcW w:w="3360" w:type="dxa"/>
            <w:vAlign w:val="center"/>
          </w:tcPr>
          <w:p w14:paraId="5F2ECBB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本单位上一年度由会计师事务所出具的财务审计报告（当上一年度审计报告未出来时，可提供前一年度审计报告，6月1日（含6月1日）以后开标项目必须提供上一年度审计报告），审计报告须包括资产负债表、利润表、现金流量表、所有者权益变动（如有）及其附注（扫描件供应商加盖公章）。如供应商无法提供上年度审计报告，则需提供开标日前三个月内银行出具的资信证明原件或扫描件加盖公章。如供应商注册成立不足六个月的则提供承诺书（自拟）原件或公司财务报表。</w:t>
            </w:r>
          </w:p>
        </w:tc>
        <w:tc>
          <w:tcPr>
            <w:tcW w:w="4490" w:type="dxa"/>
            <w:vAlign w:val="center"/>
          </w:tcPr>
          <w:p w14:paraId="2AAD0E2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FF93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7246FC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1275" w:type="dxa"/>
            <w:vAlign w:val="center"/>
          </w:tcPr>
          <w:p w14:paraId="04B430E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具有履行合同所必需的设备和专业技术能力</w:t>
            </w:r>
          </w:p>
        </w:tc>
        <w:tc>
          <w:tcPr>
            <w:tcW w:w="3360" w:type="dxa"/>
            <w:vAlign w:val="center"/>
          </w:tcPr>
          <w:p w14:paraId="79D3D78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须提供具备履行合同所必需的设备和专业技术能力的书面声明原件（格式详见第七章投标文件格式附件1-5）。</w:t>
            </w:r>
          </w:p>
        </w:tc>
        <w:tc>
          <w:tcPr>
            <w:tcW w:w="4490" w:type="dxa"/>
            <w:vAlign w:val="center"/>
          </w:tcPr>
          <w:p w14:paraId="572AFD7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EAC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5702066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1275" w:type="dxa"/>
            <w:vAlign w:val="center"/>
          </w:tcPr>
          <w:p w14:paraId="46C10CF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有依法缴纳税收和依法缴纳社会保障资金的记录</w:t>
            </w:r>
          </w:p>
        </w:tc>
        <w:tc>
          <w:tcPr>
            <w:tcW w:w="3360" w:type="dxa"/>
            <w:vAlign w:val="center"/>
          </w:tcPr>
          <w:p w14:paraId="5846FE3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1.须提供投标文件递交截止日期之前六个月内任何一期的纳税记录或证明文件原件或扫描件投标人加盖公章（依法免税的应提供相应文件说明，</w:t>
            </w:r>
            <w:r>
              <w:rPr>
                <w:rFonts w:hint="eastAsia" w:ascii="仿宋" w:hAnsi="仿宋" w:eastAsia="仿宋" w:cs="仿宋"/>
                <w:color w:val="auto"/>
                <w:sz w:val="21"/>
                <w:szCs w:val="21"/>
                <w:highlight w:val="none"/>
                <w:lang w:eastAsia="zh-CN"/>
              </w:rPr>
              <w:t>当月新成立公司不需提供</w:t>
            </w:r>
            <w:r>
              <w:rPr>
                <w:rFonts w:hint="eastAsia" w:ascii="仿宋" w:hAnsi="仿宋" w:eastAsia="仿宋" w:cs="仿宋"/>
                <w:b w:val="0"/>
                <w:bCs w:val="0"/>
                <w:color w:val="auto"/>
                <w:sz w:val="21"/>
                <w:szCs w:val="21"/>
                <w:highlight w:val="none"/>
                <w:vertAlign w:val="baseline"/>
                <w:lang w:val="en-US" w:eastAsia="zh-CN"/>
              </w:rPr>
              <w:t>）</w:t>
            </w:r>
          </w:p>
          <w:p w14:paraId="714860B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须提供投标文件递交截止日期之前六个月内为员工缴纳社会保障资金的证明材料原件或扫描件投标人加盖公章（任意一个月即可），证明材料是缴纳社会保险的凭据（专用收据或社会保险缴纳清单或银行回单等）（依法不需要缴纳社会保障资金的应提供相应文件说明）</w:t>
            </w:r>
          </w:p>
        </w:tc>
        <w:tc>
          <w:tcPr>
            <w:tcW w:w="4490" w:type="dxa"/>
            <w:vAlign w:val="center"/>
          </w:tcPr>
          <w:p w14:paraId="5B075E7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09B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DBD315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1275" w:type="dxa"/>
            <w:vAlign w:val="center"/>
          </w:tcPr>
          <w:p w14:paraId="7B0CE3D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参加政府采购活动前三年内，在经营活动中没有重大违法记录</w:t>
            </w:r>
          </w:p>
        </w:tc>
        <w:tc>
          <w:tcPr>
            <w:tcW w:w="3360" w:type="dxa"/>
            <w:vAlign w:val="center"/>
          </w:tcPr>
          <w:p w14:paraId="123171E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须提供声明函原件（格式详见第七章投标文件格式附件1-5）</w:t>
            </w:r>
          </w:p>
        </w:tc>
        <w:tc>
          <w:tcPr>
            <w:tcW w:w="4490" w:type="dxa"/>
            <w:vAlign w:val="center"/>
          </w:tcPr>
          <w:p w14:paraId="29AE30E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1F2F7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2C54EA4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1275" w:type="dxa"/>
            <w:vAlign w:val="center"/>
          </w:tcPr>
          <w:p w14:paraId="68BBA7A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投标人信用记录</w:t>
            </w:r>
          </w:p>
        </w:tc>
        <w:tc>
          <w:tcPr>
            <w:tcW w:w="3360" w:type="dxa"/>
            <w:vAlign w:val="center"/>
          </w:tcPr>
          <w:p w14:paraId="48172C6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投标人不得为“信用中国”网站中列入失信被执行人和重大税收违法案件当事人名单的投标人（在处罚期内），不得为“中国政府采购网”政府采购严重违法失信行为记录名单中被财政部门禁止参加政府采购活动的投标人（在处罚期内）。</w:t>
            </w:r>
            <w:r>
              <w:rPr>
                <w:rFonts w:hint="eastAsia" w:ascii="仿宋" w:hAnsi="仿宋" w:eastAsia="仿宋" w:cs="仿宋"/>
                <w:b/>
                <w:bCs/>
                <w:color w:val="auto"/>
                <w:sz w:val="21"/>
                <w:szCs w:val="21"/>
                <w:highlight w:val="none"/>
                <w:vertAlign w:val="baseline"/>
                <w:lang w:val="en-US" w:eastAsia="zh-CN"/>
              </w:rPr>
              <w:t>无须投标人提供，由采购人或采购代理机构查询结果为准</w:t>
            </w:r>
          </w:p>
        </w:tc>
        <w:tc>
          <w:tcPr>
            <w:tcW w:w="4490" w:type="dxa"/>
            <w:vAlign w:val="center"/>
          </w:tcPr>
          <w:p w14:paraId="1340C58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查询渠道：信用中国网站和中国政府采购网</w:t>
            </w:r>
          </w:p>
          <w:p w14:paraId="4325799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 xml:space="preserve">查询时间：投标截止时间后至资格审查阶段完成； </w:t>
            </w:r>
          </w:p>
          <w:p w14:paraId="49AB06A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信用信息查询记录和证据留存具体方式：查询结果网页 打印页作为查询记录和证据，与其他采购文件一并保存；</w:t>
            </w:r>
          </w:p>
          <w:p w14:paraId="3097C5DF">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的使用原则：经认定的被列入失信被执行人、重大税收违法案件当事人名单、政府采购严重违法失信行为记录名单、《中华人民共和国政府采购法实施条例》第十九条规定的行政处罚记录及其他不符合《中 华人民共和国政府采购法》第二十二条规定条件的供应商，其</w:t>
            </w:r>
            <w:r>
              <w:rPr>
                <w:rFonts w:hint="eastAsia" w:ascii="仿宋" w:hAnsi="仿宋" w:eastAsia="仿宋" w:cs="仿宋"/>
                <w:b/>
                <w:bCs/>
                <w:color w:val="auto"/>
                <w:sz w:val="21"/>
                <w:szCs w:val="21"/>
                <w:highlight w:val="none"/>
                <w:vertAlign w:val="baseline"/>
                <w:lang w:val="en-US" w:eastAsia="zh-CN"/>
              </w:rPr>
              <w:t>投标无效</w:t>
            </w:r>
            <w:r>
              <w:rPr>
                <w:rFonts w:hint="eastAsia" w:ascii="仿宋" w:hAnsi="仿宋" w:eastAsia="仿宋" w:cs="仿宋"/>
                <w:b w:val="0"/>
                <w:bCs w:val="0"/>
                <w:color w:val="auto"/>
                <w:sz w:val="21"/>
                <w:szCs w:val="21"/>
                <w:highlight w:val="none"/>
                <w:vertAlign w:val="baseline"/>
                <w:lang w:val="en-US" w:eastAsia="zh-CN"/>
              </w:rPr>
              <w:t>。联合体形式投标的，联合体成员存在不良信用记录，视同联合体存在不良信用记录。</w:t>
            </w:r>
            <w:r>
              <w:rPr>
                <w:rFonts w:hint="eastAsia" w:ascii="仿宋" w:hAnsi="仿宋" w:eastAsia="仿宋" w:cs="仿宋"/>
                <w:b/>
                <w:bCs/>
                <w:color w:val="auto"/>
                <w:sz w:val="21"/>
                <w:szCs w:val="21"/>
                <w:highlight w:val="none"/>
                <w:vertAlign w:val="baseline"/>
                <w:lang w:val="en-US" w:eastAsia="zh-CN"/>
              </w:rPr>
              <w:t>无须投标人提供，由采购人或采购代理机构查询结果为准。</w:t>
            </w:r>
          </w:p>
        </w:tc>
      </w:tr>
      <w:tr w14:paraId="00A19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0719290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1275" w:type="dxa"/>
            <w:shd w:val="clear" w:color="auto" w:fill="auto"/>
            <w:vAlign w:val="center"/>
          </w:tcPr>
          <w:p w14:paraId="3D67C26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落实政府采购政策</w:t>
            </w:r>
          </w:p>
          <w:p w14:paraId="244A03E0">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的资格要求</w:t>
            </w:r>
          </w:p>
        </w:tc>
        <w:tc>
          <w:tcPr>
            <w:tcW w:w="3360" w:type="dxa"/>
            <w:shd w:val="clear" w:color="auto" w:fill="auto"/>
            <w:vAlign w:val="center"/>
          </w:tcPr>
          <w:p w14:paraId="3CC154C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lang w:val="en-US" w:eastAsia="zh-CN"/>
              </w:rPr>
              <w:t>本项目专门面向中小企业采购，投标单位应符合《政府采购促进中小企业发展管理办法》(财库〔2020〕46号) 第四条规定的情形，且应当提供《政府采购促进中小企业发展管理办法》(财库〔2020〕46号)规定的《中小企业声明函》。</w:t>
            </w:r>
          </w:p>
        </w:tc>
        <w:tc>
          <w:tcPr>
            <w:tcW w:w="4490" w:type="dxa"/>
            <w:shd w:val="clear" w:color="auto" w:fill="auto"/>
            <w:vAlign w:val="center"/>
          </w:tcPr>
          <w:p w14:paraId="272EF190">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请根据"落实政府采购政策需满足的资格要求及审查要求"，上传中小企业声明函，格式以采购文件要求为准，无格式自行拟定。如果是联合体投标，为联合体牵头方加盖公章或所有联合体成员公章。</w:t>
            </w:r>
          </w:p>
        </w:tc>
      </w:tr>
      <w:tr w14:paraId="510A1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98BD91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1275" w:type="dxa"/>
            <w:shd w:val="clear" w:color="auto" w:fill="auto"/>
            <w:vAlign w:val="center"/>
          </w:tcPr>
          <w:p w14:paraId="2DA4899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本项目的特定资格要求</w:t>
            </w:r>
          </w:p>
        </w:tc>
        <w:tc>
          <w:tcPr>
            <w:tcW w:w="3360" w:type="dxa"/>
            <w:shd w:val="clear" w:color="auto" w:fill="auto"/>
            <w:vAlign w:val="center"/>
          </w:tcPr>
          <w:p w14:paraId="7FAC1BFA">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具备测绘乙级（含乙级）及以上资质</w:t>
            </w:r>
          </w:p>
        </w:tc>
        <w:tc>
          <w:tcPr>
            <w:tcW w:w="4490" w:type="dxa"/>
            <w:shd w:val="clear" w:color="auto" w:fill="auto"/>
            <w:vAlign w:val="center"/>
          </w:tcPr>
          <w:p w14:paraId="0167457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pacing w:val="0"/>
                <w:kern w:val="2"/>
                <w:sz w:val="21"/>
                <w:szCs w:val="21"/>
                <w:highlight w:val="none"/>
                <w:u w:val="none"/>
                <w:vertAlign w:val="baseline"/>
                <w:lang w:val="en-US" w:eastAsia="zh-CN" w:bidi="ar"/>
              </w:rPr>
            </w:pPr>
            <w:r>
              <w:rPr>
                <w:rFonts w:hint="eastAsia" w:ascii="仿宋" w:hAnsi="仿宋" w:eastAsia="仿宋" w:cs="仿宋"/>
                <w:b w:val="0"/>
                <w:bCs w:val="0"/>
                <w:kern w:val="2"/>
                <w:sz w:val="21"/>
                <w:szCs w:val="21"/>
                <w:highlight w:val="none"/>
                <w:vertAlign w:val="baseline"/>
                <w:lang w:val="en-US" w:eastAsia="zh-CN" w:bidi="ar-SA"/>
              </w:rPr>
              <w:t>请根据"特定资格要求"，上传对应的资格文件，格式以采购文件要求为准，无格式自行拟定。提供扫描件供应商需电子签章，如果是联合体投标，联合体各方均需提供，联合体牵头方电子签章，其他成员盖章后扫描上传。</w:t>
            </w:r>
          </w:p>
        </w:tc>
      </w:tr>
    </w:tbl>
    <w:p w14:paraId="77AAF7B8">
      <w:pPr>
        <w:pStyle w:val="24"/>
        <w:widowControl w:val="0"/>
        <w:numPr>
          <w:ilvl w:val="0"/>
          <w:numId w:val="0"/>
        </w:numPr>
        <w:autoSpaceDE w:val="0"/>
        <w:autoSpaceDN w:val="0"/>
        <w:spacing w:before="0" w:after="0" w:line="240" w:lineRule="auto"/>
        <w:ind w:right="0" w:rightChars="0"/>
        <w:jc w:val="left"/>
        <w:rPr>
          <w:rFonts w:hint="eastAsia" w:ascii="仿宋" w:hAnsi="仿宋" w:eastAsia="仿宋" w:cs="仿宋"/>
          <w:b/>
          <w:bCs/>
          <w:highlight w:val="none"/>
          <w:lang w:val="en-US" w:eastAsia="zh-CN"/>
        </w:rPr>
      </w:pPr>
    </w:p>
    <w:p w14:paraId="3B5AED08">
      <w:pPr>
        <w:pStyle w:val="24"/>
        <w:keepNext w:val="0"/>
        <w:keepLines w:val="0"/>
        <w:pageBreakBefore w:val="0"/>
        <w:widowControl w:val="0"/>
        <w:numPr>
          <w:ilvl w:val="0"/>
          <w:numId w:val="16"/>
        </w:numPr>
        <w:kinsoku/>
        <w:wordWrap/>
        <w:overflowPunct/>
        <w:topLinePunct w:val="0"/>
        <w:autoSpaceDE w:val="0"/>
        <w:autoSpaceDN w:val="0"/>
        <w:bidi w:val="0"/>
        <w:adjustRightInd/>
        <w:snapToGrid/>
        <w:spacing w:before="0" w:after="0" w:line="500" w:lineRule="exact"/>
        <w:ind w:left="0" w:leftChars="0" w:right="0" w:rightChars="0" w:firstLine="0" w:firstLineChars="0"/>
        <w:jc w:val="left"/>
        <w:textAlignment w:val="auto"/>
        <w:outlineLvl w:val="1"/>
        <w:rPr>
          <w:rFonts w:hint="eastAsia" w:ascii="仿宋" w:hAnsi="仿宋" w:eastAsia="仿宋" w:cs="仿宋"/>
          <w:highlight w:val="none"/>
          <w:lang w:val="en-US" w:eastAsia="zh-CN"/>
        </w:rPr>
      </w:pPr>
      <w:bookmarkStart w:id="49" w:name="_Toc28667"/>
      <w:r>
        <w:rPr>
          <w:rFonts w:hint="eastAsia" w:ascii="仿宋" w:hAnsi="仿宋" w:eastAsia="仿宋" w:cs="仿宋"/>
          <w:b/>
          <w:bCs/>
          <w:sz w:val="24"/>
          <w:szCs w:val="24"/>
          <w:highlight w:val="none"/>
          <w:lang w:val="en-US" w:eastAsia="zh-CN"/>
        </w:rPr>
        <w:t>符合性审查</w:t>
      </w:r>
      <w:bookmarkEnd w:id="49"/>
    </w:p>
    <w:p w14:paraId="67DDD486">
      <w:pPr>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14:paraId="45870383">
      <w:pP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br w:type="page"/>
      </w:r>
    </w:p>
    <w:p w14:paraId="5645B3D4">
      <w:pPr>
        <w:pStyle w:val="24"/>
        <w:jc w:val="cente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符合性审查要求</w:t>
      </w:r>
    </w:p>
    <w:tbl>
      <w:tblPr>
        <w:tblStyle w:val="27"/>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5"/>
        <w:gridCol w:w="1037"/>
        <w:gridCol w:w="4025"/>
        <w:gridCol w:w="3826"/>
      </w:tblGrid>
      <w:tr w14:paraId="0C1BC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3DF0CF0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bookmarkStart w:id="50" w:name="_Toc28783"/>
            <w:r>
              <w:rPr>
                <w:rFonts w:hint="eastAsia" w:ascii="仿宋" w:hAnsi="仿宋" w:eastAsia="仿宋" w:cs="仿宋"/>
                <w:b/>
                <w:bCs/>
                <w:color w:val="auto"/>
                <w:sz w:val="21"/>
                <w:szCs w:val="21"/>
                <w:highlight w:val="none"/>
                <w:vertAlign w:val="baseline"/>
                <w:lang w:val="en-US" w:eastAsia="zh-CN"/>
              </w:rPr>
              <w:t>序号</w:t>
            </w:r>
          </w:p>
        </w:tc>
        <w:tc>
          <w:tcPr>
            <w:tcW w:w="1037" w:type="dxa"/>
            <w:vAlign w:val="center"/>
          </w:tcPr>
          <w:p w14:paraId="2191421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4025" w:type="dxa"/>
            <w:vAlign w:val="center"/>
          </w:tcPr>
          <w:p w14:paraId="64B70AA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c>
          <w:tcPr>
            <w:tcW w:w="3826" w:type="dxa"/>
            <w:vAlign w:val="center"/>
          </w:tcPr>
          <w:p w14:paraId="60FD7DE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要求说明</w:t>
            </w:r>
          </w:p>
        </w:tc>
      </w:tr>
      <w:tr w14:paraId="279BC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4976ADA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1037" w:type="dxa"/>
            <w:vAlign w:val="center"/>
          </w:tcPr>
          <w:p w14:paraId="68D38A5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授权委托书</w:t>
            </w:r>
          </w:p>
        </w:tc>
        <w:tc>
          <w:tcPr>
            <w:tcW w:w="4025" w:type="dxa"/>
            <w:vAlign w:val="center"/>
          </w:tcPr>
          <w:p w14:paraId="334755F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c>
          <w:tcPr>
            <w:tcW w:w="3826" w:type="dxa"/>
            <w:vAlign w:val="center"/>
          </w:tcPr>
          <w:p w14:paraId="17D424D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color w:val="auto"/>
                <w:sz w:val="21"/>
                <w:szCs w:val="21"/>
                <w:highlight w:val="none"/>
                <w:lang w:val="en-US" w:eastAsia="zh-CN"/>
              </w:rPr>
              <w:t>按审查内容</w:t>
            </w:r>
            <w:r>
              <w:rPr>
                <w:rFonts w:hint="eastAsia" w:ascii="仿宋" w:hAnsi="仿宋" w:eastAsia="仿宋" w:cs="仿宋"/>
                <w:color w:val="auto"/>
                <w:sz w:val="21"/>
                <w:szCs w:val="21"/>
                <w:highlight w:val="none"/>
              </w:rPr>
              <w:t>要求</w:t>
            </w:r>
            <w:r>
              <w:rPr>
                <w:rFonts w:hint="eastAsia" w:ascii="仿宋" w:hAnsi="仿宋" w:eastAsia="仿宋" w:cs="仿宋"/>
                <w:color w:val="auto"/>
                <w:sz w:val="21"/>
                <w:szCs w:val="21"/>
                <w:highlight w:val="none"/>
                <w:lang w:val="en-US" w:eastAsia="zh-CN"/>
              </w:rPr>
              <w:t>提供</w:t>
            </w:r>
            <w:r>
              <w:rPr>
                <w:rFonts w:hint="eastAsia" w:ascii="仿宋" w:hAnsi="仿宋" w:eastAsia="仿宋" w:cs="仿宋"/>
                <w:color w:val="auto"/>
                <w:sz w:val="21"/>
                <w:szCs w:val="21"/>
                <w:highlight w:val="none"/>
              </w:rPr>
              <w:t>法定代表人身份证明</w:t>
            </w:r>
            <w:r>
              <w:rPr>
                <w:rFonts w:hint="eastAsia" w:ascii="仿宋" w:hAnsi="仿宋" w:eastAsia="仿宋" w:cs="仿宋"/>
                <w:color w:val="auto"/>
                <w:sz w:val="21"/>
                <w:szCs w:val="21"/>
                <w:highlight w:val="none"/>
                <w:lang w:val="en-US" w:eastAsia="zh-CN"/>
              </w:rPr>
              <w:t>及</w:t>
            </w:r>
            <w:r>
              <w:rPr>
                <w:rFonts w:hint="eastAsia" w:ascii="仿宋" w:hAnsi="仿宋" w:eastAsia="仿宋" w:cs="仿宋"/>
                <w:color w:val="auto"/>
                <w:sz w:val="21"/>
                <w:szCs w:val="21"/>
                <w:highlight w:val="none"/>
              </w:rPr>
              <w:t>法定代表人身份证明。</w:t>
            </w:r>
          </w:p>
        </w:tc>
      </w:tr>
      <w:tr w14:paraId="3FF20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78B0CEF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1037" w:type="dxa"/>
            <w:vAlign w:val="center"/>
          </w:tcPr>
          <w:p w14:paraId="6590D1E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投标保证金</w:t>
            </w:r>
          </w:p>
        </w:tc>
        <w:tc>
          <w:tcPr>
            <w:tcW w:w="4025" w:type="dxa"/>
            <w:vAlign w:val="center"/>
          </w:tcPr>
          <w:p w14:paraId="36EE8A1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是否按照招标文件的规定提交投标保证金</w:t>
            </w:r>
          </w:p>
        </w:tc>
        <w:tc>
          <w:tcPr>
            <w:tcW w:w="3826" w:type="dxa"/>
            <w:vAlign w:val="center"/>
          </w:tcPr>
          <w:p w14:paraId="6D8E754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按照招标文件的规定提交投标保证金</w:t>
            </w:r>
          </w:p>
        </w:tc>
      </w:tr>
      <w:tr w14:paraId="07DC1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928FB54">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1037" w:type="dxa"/>
            <w:vAlign w:val="center"/>
          </w:tcPr>
          <w:p w14:paraId="36F5B0C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投标完整性</w:t>
            </w:r>
          </w:p>
        </w:tc>
        <w:tc>
          <w:tcPr>
            <w:tcW w:w="4025" w:type="dxa"/>
            <w:vAlign w:val="center"/>
          </w:tcPr>
          <w:p w14:paraId="4FC2D3B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是否将一个采购包中的内容拆开投标</w:t>
            </w:r>
          </w:p>
        </w:tc>
        <w:tc>
          <w:tcPr>
            <w:tcW w:w="3826" w:type="dxa"/>
            <w:vAlign w:val="center"/>
          </w:tcPr>
          <w:p w14:paraId="0ADF420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未将一个采购包中的内容拆开投标</w:t>
            </w:r>
          </w:p>
        </w:tc>
      </w:tr>
      <w:tr w14:paraId="70075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23759ACA">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4</w:t>
            </w:r>
          </w:p>
        </w:tc>
        <w:tc>
          <w:tcPr>
            <w:tcW w:w="1037" w:type="dxa"/>
            <w:vAlign w:val="center"/>
          </w:tcPr>
          <w:p w14:paraId="092A86C6">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w:t>
            </w:r>
          </w:p>
        </w:tc>
        <w:tc>
          <w:tcPr>
            <w:tcW w:w="4025" w:type="dxa"/>
            <w:vAlign w:val="center"/>
          </w:tcPr>
          <w:p w14:paraId="2D701B62">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投标报价是否超过招标文件中规定的项目/采购包预算金额或者项目/采购包最高限价或单价最高限价；；</w:t>
            </w:r>
          </w:p>
        </w:tc>
        <w:tc>
          <w:tcPr>
            <w:tcW w:w="3826" w:type="dxa"/>
            <w:vAlign w:val="center"/>
          </w:tcPr>
          <w:p w14:paraId="25D01B9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投标报价未超过招标文件中规定的项目/采购包预算金额或者项目/采购包最高限价或单价最高限价；；</w:t>
            </w:r>
          </w:p>
        </w:tc>
      </w:tr>
      <w:tr w14:paraId="1EE4A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36CCE87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1037" w:type="dxa"/>
            <w:vAlign w:val="center"/>
          </w:tcPr>
          <w:p w14:paraId="1DD8C43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报价唯一性</w:t>
            </w:r>
          </w:p>
        </w:tc>
        <w:tc>
          <w:tcPr>
            <w:tcW w:w="4025" w:type="dxa"/>
            <w:vAlign w:val="center"/>
          </w:tcPr>
          <w:p w14:paraId="19EED70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投标文件是否出现可选择性或可调整的报价（招标文件另有规定的除外）</w:t>
            </w:r>
          </w:p>
        </w:tc>
        <w:tc>
          <w:tcPr>
            <w:tcW w:w="3826" w:type="dxa"/>
            <w:vAlign w:val="center"/>
          </w:tcPr>
          <w:p w14:paraId="7B107C9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投标文件未出现可选择性或可调整的报价（招标文件另有规定的除外）</w:t>
            </w:r>
          </w:p>
        </w:tc>
      </w:tr>
      <w:tr w14:paraId="11506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A2FA1A4">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6</w:t>
            </w:r>
          </w:p>
        </w:tc>
        <w:tc>
          <w:tcPr>
            <w:tcW w:w="1037" w:type="dxa"/>
            <w:vAlign w:val="center"/>
          </w:tcPr>
          <w:p w14:paraId="5E8B9887">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其他报价要求</w:t>
            </w:r>
          </w:p>
        </w:tc>
        <w:tc>
          <w:tcPr>
            <w:tcW w:w="4025" w:type="dxa"/>
            <w:vAlign w:val="center"/>
          </w:tcPr>
          <w:p w14:paraId="767BC9E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报价文件是否含有采购人不能接受的条件或是否有不满足招标文件规定的其他要求</w:t>
            </w:r>
          </w:p>
        </w:tc>
        <w:tc>
          <w:tcPr>
            <w:tcW w:w="3826" w:type="dxa"/>
            <w:vAlign w:val="center"/>
          </w:tcPr>
          <w:p w14:paraId="503FD8F4">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报价文件无采购人不能接受的条件或无不满足招标文件规定的其他要求</w:t>
            </w:r>
          </w:p>
        </w:tc>
      </w:tr>
      <w:tr w14:paraId="084F8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DC766E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1037" w:type="dxa"/>
            <w:vAlign w:val="center"/>
          </w:tcPr>
          <w:p w14:paraId="0CBE1C9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投标有效期</w:t>
            </w:r>
          </w:p>
        </w:tc>
        <w:tc>
          <w:tcPr>
            <w:tcW w:w="4025" w:type="dxa"/>
            <w:vAlign w:val="center"/>
          </w:tcPr>
          <w:p w14:paraId="0AF68E3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投标文件中承诺的投标有效期是否满足招标文件中载明的投标有效期</w:t>
            </w:r>
          </w:p>
        </w:tc>
        <w:tc>
          <w:tcPr>
            <w:tcW w:w="3826" w:type="dxa"/>
            <w:vAlign w:val="center"/>
          </w:tcPr>
          <w:p w14:paraId="37701D4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投标文件中承诺的投标有效期满足招标文件中载明的投标有效期</w:t>
            </w:r>
          </w:p>
        </w:tc>
      </w:tr>
      <w:tr w14:paraId="6B9B7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273C344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9</w:t>
            </w:r>
          </w:p>
        </w:tc>
        <w:tc>
          <w:tcPr>
            <w:tcW w:w="1037" w:type="dxa"/>
            <w:vAlign w:val="center"/>
          </w:tcPr>
          <w:p w14:paraId="396D1BB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签署、盖章</w:t>
            </w:r>
          </w:p>
        </w:tc>
        <w:tc>
          <w:tcPr>
            <w:tcW w:w="4025" w:type="dxa"/>
            <w:vAlign w:val="center"/>
          </w:tcPr>
          <w:p w14:paraId="6D0C5CB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是否按照招标文件要求签署、盖章</w:t>
            </w:r>
          </w:p>
        </w:tc>
        <w:tc>
          <w:tcPr>
            <w:tcW w:w="3826" w:type="dxa"/>
            <w:vAlign w:val="center"/>
          </w:tcPr>
          <w:p w14:paraId="02A493B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按照招标文件要求签署、盖章</w:t>
            </w:r>
          </w:p>
        </w:tc>
      </w:tr>
      <w:tr w14:paraId="09A9F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9DE54B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10</w:t>
            </w:r>
          </w:p>
        </w:tc>
        <w:tc>
          <w:tcPr>
            <w:tcW w:w="1037" w:type="dxa"/>
            <w:vAlign w:val="center"/>
          </w:tcPr>
          <w:p w14:paraId="37FE78E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报价合理性</w:t>
            </w:r>
          </w:p>
        </w:tc>
        <w:tc>
          <w:tcPr>
            <w:tcW w:w="4025" w:type="dxa"/>
            <w:vAlign w:val="center"/>
          </w:tcPr>
          <w:p w14:paraId="6620589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报价是否合理，或投标人的报价是否明显低于其他通过符合性审查投标人的报价，有可能影响产品质量或者不能诚信履约的，是否能够应评标委员会要求在规定时间内证明其报价合理性</w:t>
            </w:r>
          </w:p>
        </w:tc>
        <w:tc>
          <w:tcPr>
            <w:tcW w:w="3826" w:type="dxa"/>
            <w:vAlign w:val="center"/>
          </w:tcPr>
          <w:p w14:paraId="27263C4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6FFB3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24DEF2C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11</w:t>
            </w:r>
          </w:p>
        </w:tc>
        <w:tc>
          <w:tcPr>
            <w:tcW w:w="1037" w:type="dxa"/>
            <w:vAlign w:val="center"/>
          </w:tcPr>
          <w:p w14:paraId="6EA7B02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附加条件</w:t>
            </w:r>
          </w:p>
        </w:tc>
        <w:tc>
          <w:tcPr>
            <w:tcW w:w="4025" w:type="dxa"/>
            <w:vAlign w:val="center"/>
          </w:tcPr>
          <w:p w14:paraId="2874E31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投标文件是否含有采购人不能接受的附加条件</w:t>
            </w:r>
          </w:p>
        </w:tc>
        <w:tc>
          <w:tcPr>
            <w:tcW w:w="3826" w:type="dxa"/>
            <w:vAlign w:val="center"/>
          </w:tcPr>
          <w:p w14:paraId="6321126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投标文件未含有采购人不能接受的附加条件</w:t>
            </w:r>
          </w:p>
        </w:tc>
      </w:tr>
      <w:tr w14:paraId="2BC2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521614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12</w:t>
            </w:r>
          </w:p>
        </w:tc>
        <w:tc>
          <w:tcPr>
            <w:tcW w:w="1037" w:type="dxa"/>
            <w:vAlign w:val="center"/>
          </w:tcPr>
          <w:p w14:paraId="2E4E2EB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其他</w:t>
            </w:r>
          </w:p>
        </w:tc>
        <w:tc>
          <w:tcPr>
            <w:tcW w:w="4025" w:type="dxa"/>
            <w:vAlign w:val="center"/>
          </w:tcPr>
          <w:p w14:paraId="6FAEDE0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投标文件中是否存在违反国家法律、法规和招标文件规定的其他无效情形</w:t>
            </w:r>
          </w:p>
        </w:tc>
        <w:tc>
          <w:tcPr>
            <w:tcW w:w="3826" w:type="dxa"/>
            <w:vAlign w:val="center"/>
          </w:tcPr>
          <w:p w14:paraId="6F42F4B4">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投标文件中不存在违反国家法律、法规和招标文件规定的其他无效情形</w:t>
            </w:r>
          </w:p>
        </w:tc>
      </w:tr>
    </w:tbl>
    <w:p w14:paraId="1B979794">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响应文件澄清</w:t>
      </w:r>
      <w:bookmarkEnd w:id="50"/>
    </w:p>
    <w:p w14:paraId="282BE08B">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仿宋" w:hAnsi="仿宋" w:eastAsia="仿宋" w:cs="仿宋"/>
          <w:b/>
          <w:bCs/>
          <w:sz w:val="24"/>
          <w:szCs w:val="24"/>
          <w:highlight w:val="none"/>
          <w:lang w:val="en-US" w:eastAsia="zh-CN"/>
        </w:rPr>
        <w:t>授权代表人联系方式</w:t>
      </w:r>
      <w:r>
        <w:rPr>
          <w:rFonts w:hint="eastAsia" w:ascii="仿宋" w:hAnsi="仿宋" w:eastAsia="仿宋" w:cs="仿宋"/>
          <w:sz w:val="24"/>
          <w:szCs w:val="24"/>
          <w:highlight w:val="none"/>
          <w:lang w:val="en-US" w:eastAsia="zh-CN"/>
        </w:rPr>
        <w:t>发送短信提醒或电话告知。</w:t>
      </w:r>
    </w:p>
    <w:p w14:paraId="5AA9D767">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供应商需登录电子招投标系统平台项目采购系统的等候大厅，在规定时间内完成澄清（响应），并加盖电子印章。</w:t>
      </w:r>
    </w:p>
    <w:p w14:paraId="42F523C7">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若因供应商联系方式错误未接收短信、未接听电话或超时未进行澄清（响应）造成的不利后果由供应商自行承担。供应商的澄清、说明或者补正不得超出响应文件的范围或者改变响应文件的实质性内容。</w:t>
      </w:r>
    </w:p>
    <w:p w14:paraId="696730B5">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磋商小组不接受供应商主动提出的澄清、说明或补正。</w:t>
      </w:r>
    </w:p>
    <w:p w14:paraId="6250BE56">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磋商小组对供应商提交的澄清、说明或补正有疑问的，可以要求供应商进一步澄清、说明或补正。</w:t>
      </w:r>
    </w:p>
    <w:p w14:paraId="692132B5">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highlight w:val="none"/>
          <w:lang w:val="en-US" w:eastAsia="zh-CN"/>
        </w:rPr>
      </w:pPr>
      <w:bookmarkStart w:id="51" w:name="_Toc799"/>
      <w:r>
        <w:rPr>
          <w:rFonts w:hint="eastAsia" w:ascii="仿宋" w:hAnsi="仿宋" w:eastAsia="仿宋" w:cs="仿宋"/>
          <w:b/>
          <w:bCs/>
          <w:sz w:val="24"/>
          <w:szCs w:val="24"/>
          <w:highlight w:val="none"/>
          <w:lang w:val="en-US" w:eastAsia="zh-CN"/>
        </w:rPr>
        <w:t>价格修正</w:t>
      </w:r>
      <w:bookmarkEnd w:id="51"/>
    </w:p>
    <w:p w14:paraId="52D80679">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对报价的计算错误按以下原则修正：</w:t>
      </w:r>
    </w:p>
    <w:p w14:paraId="327AF57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（1）响应文件中报价一览表（报价表）内容与响应文件中相应内容不一致的，以报价一览表（报价表）为准；</w:t>
      </w:r>
    </w:p>
    <w:p w14:paraId="2903932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（2）大写金额和小写金额不一致的，以大写金额为准；</w:t>
      </w:r>
    </w:p>
    <w:p w14:paraId="69E98B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（3）单价金额小数点或者百分比有明显错位的，以报价一览表的总价为准，并修改单价；</w:t>
      </w:r>
    </w:p>
    <w:p w14:paraId="458CDB7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（4）总价金额与按单价汇总金额不一致的，以单价金额计算结果为准。但是单价金额计算结果超过预算价的，对其按</w:t>
      </w:r>
      <w:r>
        <w:rPr>
          <w:rFonts w:hint="eastAsia" w:ascii="仿宋" w:hAnsi="仿宋" w:eastAsia="仿宋" w:cs="仿宋"/>
          <w:b/>
          <w:bCs/>
          <w:sz w:val="24"/>
          <w:szCs w:val="24"/>
          <w:highlight w:val="none"/>
          <w:lang w:val="en-US" w:eastAsia="zh-CN"/>
        </w:rPr>
        <w:t>无效响应</w:t>
      </w:r>
      <w:r>
        <w:rPr>
          <w:rFonts w:hint="eastAsia" w:ascii="仿宋" w:hAnsi="仿宋" w:eastAsia="仿宋" w:cs="仿宋"/>
          <w:sz w:val="24"/>
          <w:szCs w:val="24"/>
          <w:highlight w:val="none"/>
          <w:lang w:val="en-US" w:eastAsia="zh-CN"/>
        </w:rPr>
        <w:t>处理；</w:t>
      </w:r>
    </w:p>
    <w:p w14:paraId="2548BD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（5）若投标客户端上传的电子报价数据与电子响应文件价格不一致的，以电子报价数据为准。</w:t>
      </w:r>
    </w:p>
    <w:p w14:paraId="6D30586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注：同时出现两种以上不一致的，按照前款规定的顺序在系统上进行价格澄清。澄清后的价格加盖电子印章确认后产生约束力，但不得超出响应文件的范围或者改变响应文件的实质性内容，供应商不确认的，其</w:t>
      </w:r>
      <w:r>
        <w:rPr>
          <w:rFonts w:hint="eastAsia" w:ascii="仿宋" w:hAnsi="仿宋" w:eastAsia="仿宋" w:cs="仿宋"/>
          <w:b/>
          <w:bCs/>
          <w:sz w:val="24"/>
          <w:szCs w:val="24"/>
          <w:highlight w:val="none"/>
          <w:lang w:val="en-US" w:eastAsia="zh-CN"/>
        </w:rPr>
        <w:t>响应无效</w:t>
      </w:r>
      <w:r>
        <w:rPr>
          <w:rFonts w:hint="eastAsia" w:ascii="仿宋" w:hAnsi="仿宋" w:eastAsia="仿宋" w:cs="仿宋"/>
          <w:sz w:val="24"/>
          <w:szCs w:val="24"/>
          <w:highlight w:val="none"/>
          <w:lang w:val="en-US" w:eastAsia="zh-CN"/>
        </w:rPr>
        <w:t>。</w:t>
      </w:r>
    </w:p>
    <w:p w14:paraId="7189C992">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sz w:val="24"/>
          <w:szCs w:val="24"/>
          <w:highlight w:val="none"/>
          <w:lang w:val="en-US" w:eastAsia="zh-CN"/>
        </w:rPr>
      </w:pPr>
      <w:bookmarkStart w:id="52" w:name="_Toc27210"/>
      <w:r>
        <w:rPr>
          <w:rFonts w:hint="eastAsia" w:ascii="仿宋" w:hAnsi="仿宋" w:eastAsia="仿宋" w:cs="仿宋"/>
          <w:b/>
          <w:bCs/>
          <w:sz w:val="24"/>
          <w:szCs w:val="24"/>
          <w:highlight w:val="none"/>
          <w:lang w:val="en-US" w:eastAsia="zh-CN"/>
        </w:rPr>
        <w:t>磋商</w:t>
      </w:r>
      <w:bookmarkEnd w:id="52"/>
    </w:p>
    <w:p w14:paraId="0D177899">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磋商小组所有成员应当集中与单一供应商分别进行磋商，并给予所有参加磋商的供应商平等的磋商机会。</w:t>
      </w:r>
    </w:p>
    <w:p w14:paraId="70C3D22A">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在磋商过程中，磋商小组可以根据采购文件和磋商情况实质性变动采购需求中的技术、服务要求以及合同草案条款，但不得变动采购文件中的其他内容。实质性变动的内容，须经采购人代表确认。</w:t>
      </w:r>
    </w:p>
    <w:p w14:paraId="1228E0FB">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对采购文件作出的实质性变动是采购文件的有效组成部分，磋商小组应当及时、同时通知所有参加磋商的供应商。</w:t>
      </w:r>
    </w:p>
    <w:p w14:paraId="238F0F3C">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当按照采购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14:paraId="4647580C">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53" w:name="_Toc16007"/>
      <w:r>
        <w:rPr>
          <w:rFonts w:hint="eastAsia" w:ascii="仿宋" w:hAnsi="仿宋" w:eastAsia="仿宋" w:cs="仿宋"/>
          <w:b/>
          <w:bCs/>
          <w:sz w:val="24"/>
          <w:szCs w:val="24"/>
          <w:highlight w:val="none"/>
          <w:lang w:val="en-US" w:eastAsia="zh-CN"/>
        </w:rPr>
        <w:t>最后报价</w:t>
      </w:r>
      <w:bookmarkEnd w:id="53"/>
    </w:p>
    <w:p w14:paraId="1AD497C2">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磋商结束后，磋商小组应当要求所有实质性响应的供应商在规定时间内提交最后报价。最后报价是供应商响应文件的有效组成部分。</w:t>
      </w:r>
    </w:p>
    <w:p w14:paraId="38C166D5">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已提交响应文件的供应商，在提交最后报价之前，可以根据磋商情况退出磋商。</w:t>
      </w:r>
    </w:p>
    <w:p w14:paraId="50E55205">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除法规规定的特殊性情形外，提交最后报价的供应商不得少于3家。</w:t>
      </w:r>
    </w:p>
    <w:p w14:paraId="09B12914">
      <w:pPr>
        <w:keepNext w:val="0"/>
        <w:keepLines w:val="0"/>
        <w:pageBreakBefore w:val="0"/>
        <w:widowControl w:val="0"/>
        <w:numPr>
          <w:ilvl w:val="0"/>
          <w:numId w:val="16"/>
        </w:numPr>
        <w:kinsoku/>
        <w:wordWrap/>
        <w:overflowPunct/>
        <w:topLinePunct w:val="0"/>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54" w:name="_Toc8727"/>
      <w:r>
        <w:rPr>
          <w:rFonts w:hint="eastAsia" w:ascii="仿宋" w:hAnsi="仿宋" w:eastAsia="仿宋" w:cs="仿宋"/>
          <w:b/>
          <w:bCs/>
          <w:sz w:val="24"/>
          <w:szCs w:val="24"/>
          <w:highlight w:val="none"/>
          <w:lang w:val="en-US" w:eastAsia="zh-CN"/>
        </w:rPr>
        <w:t>详细评审</w:t>
      </w:r>
      <w:bookmarkEnd w:id="54"/>
    </w:p>
    <w:p w14:paraId="69935854">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磋商小组对提交最后报价的供应商的响应文件和最后报价，对其技术部分、商务部分及报价部分作进一步的综合比较和评价。详细评审标准如下：</w:t>
      </w:r>
    </w:p>
    <w:p w14:paraId="2BEB5682">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p>
    <w:p w14:paraId="6080A666">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p>
    <w:p w14:paraId="0FA8F6F4">
      <w:pP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br w:type="page"/>
      </w:r>
    </w:p>
    <w:p w14:paraId="67D73722">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详细评审标准</w:t>
      </w:r>
    </w:p>
    <w:tbl>
      <w:tblPr>
        <w:tblStyle w:val="27"/>
        <w:tblW w:w="88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034"/>
        <w:gridCol w:w="496"/>
        <w:gridCol w:w="6709"/>
      </w:tblGrid>
      <w:tr w14:paraId="0C5E0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blHeader/>
          <w:jc w:val="center"/>
        </w:trPr>
        <w:tc>
          <w:tcPr>
            <w:tcW w:w="1602" w:type="dxa"/>
            <w:gridSpan w:val="2"/>
            <w:vAlign w:val="center"/>
          </w:tcPr>
          <w:p w14:paraId="6739E790">
            <w:pPr>
              <w:keepNext w:val="0"/>
              <w:keepLines w:val="0"/>
              <w:pageBreakBefore w:val="0"/>
              <w:kinsoku/>
              <w:wordWrap/>
              <w:overflowPunct/>
              <w:topLinePunct w:val="0"/>
              <w:bidi w:val="0"/>
              <w:spacing w:line="340" w:lineRule="exact"/>
              <w:ind w:right="0" w:rightChars="0"/>
              <w:jc w:val="center"/>
              <w:rPr>
                <w:rFonts w:hint="eastAsia"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 xml:space="preserve"> 评分因素</w:t>
            </w:r>
          </w:p>
        </w:tc>
        <w:tc>
          <w:tcPr>
            <w:tcW w:w="496" w:type="dxa"/>
            <w:vAlign w:val="center"/>
          </w:tcPr>
          <w:p w14:paraId="7774339C">
            <w:pPr>
              <w:keepNext w:val="0"/>
              <w:keepLines w:val="0"/>
              <w:pageBreakBefore w:val="0"/>
              <w:kinsoku/>
              <w:wordWrap/>
              <w:overflowPunct/>
              <w:topLinePunct w:val="0"/>
              <w:bidi w:val="0"/>
              <w:spacing w:line="340" w:lineRule="exact"/>
              <w:ind w:right="0" w:rightChars="0"/>
              <w:jc w:val="center"/>
              <w:rPr>
                <w:rFonts w:hint="eastAsia"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分值</w:t>
            </w:r>
          </w:p>
        </w:tc>
        <w:tc>
          <w:tcPr>
            <w:tcW w:w="6709" w:type="dxa"/>
            <w:vAlign w:val="center"/>
          </w:tcPr>
          <w:p w14:paraId="5EB70841">
            <w:pPr>
              <w:keepNext w:val="0"/>
              <w:keepLines w:val="0"/>
              <w:pageBreakBefore w:val="0"/>
              <w:kinsoku/>
              <w:wordWrap/>
              <w:overflowPunct/>
              <w:topLinePunct w:val="0"/>
              <w:bidi w:val="0"/>
              <w:spacing w:line="340" w:lineRule="exact"/>
              <w:ind w:right="0" w:rightChars="0"/>
              <w:jc w:val="center"/>
              <w:rPr>
                <w:rFonts w:hint="eastAsia"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评分细则</w:t>
            </w:r>
          </w:p>
        </w:tc>
      </w:tr>
      <w:tr w14:paraId="4E837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602" w:type="dxa"/>
            <w:gridSpan w:val="2"/>
            <w:vAlign w:val="center"/>
          </w:tcPr>
          <w:p w14:paraId="7521B0F3">
            <w:pPr>
              <w:keepNext w:val="0"/>
              <w:keepLines w:val="0"/>
              <w:pageBreakBefore w:val="0"/>
              <w:kinsoku/>
              <w:wordWrap/>
              <w:overflowPunct/>
              <w:topLinePunct w:val="0"/>
              <w:bidi w:val="0"/>
              <w:spacing w:line="340" w:lineRule="exact"/>
              <w:ind w:right="0" w:rightChars="0"/>
              <w:jc w:val="center"/>
              <w:rPr>
                <w:rFonts w:hint="eastAsia" w:ascii="仿宋" w:hAnsi="仿宋" w:eastAsia="仿宋" w:cs="仿宋"/>
                <w:b/>
                <w:color w:val="auto"/>
                <w:kern w:val="0"/>
                <w:sz w:val="21"/>
                <w:szCs w:val="21"/>
                <w:highlight w:val="none"/>
              </w:rPr>
            </w:pPr>
            <w:r>
              <w:rPr>
                <w:rFonts w:hint="eastAsia" w:ascii="仿宋" w:hAnsi="仿宋" w:eastAsia="仿宋" w:cs="仿宋"/>
                <w:bCs/>
                <w:color w:val="auto"/>
                <w:kern w:val="0"/>
                <w:sz w:val="21"/>
                <w:szCs w:val="21"/>
                <w:highlight w:val="none"/>
              </w:rPr>
              <w:t>分值构成</w:t>
            </w:r>
          </w:p>
        </w:tc>
        <w:tc>
          <w:tcPr>
            <w:tcW w:w="7205" w:type="dxa"/>
            <w:gridSpan w:val="2"/>
            <w:vAlign w:val="center"/>
          </w:tcPr>
          <w:p w14:paraId="6E82EACD">
            <w:pPr>
              <w:keepNext w:val="0"/>
              <w:keepLines w:val="0"/>
              <w:pageBreakBefore w:val="0"/>
              <w:kinsoku/>
              <w:wordWrap/>
              <w:overflowPunct/>
              <w:topLinePunct w:val="0"/>
              <w:bidi w:val="0"/>
              <w:spacing w:line="340" w:lineRule="exact"/>
              <w:ind w:right="0" w:rightChars="0"/>
              <w:jc w:val="left"/>
              <w:rPr>
                <w:rFonts w:hint="eastAsia" w:ascii="仿宋" w:hAnsi="仿宋" w:eastAsia="仿宋" w:cs="仿宋"/>
                <w:bCs/>
                <w:color w:val="auto"/>
                <w:kern w:val="0"/>
                <w:sz w:val="21"/>
                <w:szCs w:val="21"/>
                <w:highlight w:val="none"/>
              </w:rPr>
            </w:pPr>
            <w:r>
              <w:rPr>
                <w:rFonts w:hint="eastAsia" w:ascii="仿宋" w:hAnsi="仿宋" w:eastAsia="仿宋" w:cs="仿宋"/>
                <w:bCs/>
                <w:color w:val="auto"/>
                <w:kern w:val="0"/>
                <w:sz w:val="21"/>
                <w:szCs w:val="21"/>
                <w:highlight w:val="none"/>
              </w:rPr>
              <w:t>商务部分</w:t>
            </w:r>
            <w:r>
              <w:rPr>
                <w:rFonts w:hint="eastAsia" w:ascii="仿宋" w:hAnsi="仿宋" w:eastAsia="仿宋" w:cs="仿宋"/>
                <w:bCs/>
                <w:color w:val="auto"/>
                <w:kern w:val="0"/>
                <w:sz w:val="21"/>
                <w:szCs w:val="21"/>
                <w:highlight w:val="none"/>
                <w:lang w:val="en-US" w:eastAsia="zh-CN"/>
              </w:rPr>
              <w:t>32</w:t>
            </w:r>
            <w:r>
              <w:rPr>
                <w:rFonts w:hint="eastAsia" w:ascii="仿宋" w:hAnsi="仿宋" w:eastAsia="仿宋" w:cs="仿宋"/>
                <w:bCs/>
                <w:color w:val="auto"/>
                <w:kern w:val="0"/>
                <w:sz w:val="21"/>
                <w:szCs w:val="21"/>
                <w:highlight w:val="none"/>
              </w:rPr>
              <w:t>.0分</w:t>
            </w:r>
          </w:p>
          <w:p w14:paraId="37A3B21A">
            <w:pPr>
              <w:keepNext w:val="0"/>
              <w:keepLines w:val="0"/>
              <w:pageBreakBefore w:val="0"/>
              <w:kinsoku/>
              <w:wordWrap/>
              <w:overflowPunct/>
              <w:topLinePunct w:val="0"/>
              <w:bidi w:val="0"/>
              <w:spacing w:line="340" w:lineRule="exact"/>
              <w:ind w:right="0" w:rightChars="0"/>
              <w:jc w:val="left"/>
              <w:rPr>
                <w:rFonts w:hint="eastAsia" w:ascii="仿宋" w:hAnsi="仿宋" w:eastAsia="仿宋" w:cs="仿宋"/>
                <w:bCs/>
                <w:color w:val="auto"/>
                <w:kern w:val="0"/>
                <w:sz w:val="21"/>
                <w:szCs w:val="21"/>
                <w:highlight w:val="none"/>
              </w:rPr>
            </w:pPr>
            <w:r>
              <w:rPr>
                <w:rFonts w:hint="eastAsia" w:ascii="仿宋" w:hAnsi="仿宋" w:eastAsia="仿宋" w:cs="仿宋"/>
                <w:bCs/>
                <w:color w:val="auto"/>
                <w:kern w:val="0"/>
                <w:sz w:val="21"/>
                <w:szCs w:val="21"/>
                <w:highlight w:val="none"/>
              </w:rPr>
              <w:t>技术部分</w:t>
            </w:r>
            <w:r>
              <w:rPr>
                <w:rFonts w:hint="eastAsia" w:ascii="仿宋" w:hAnsi="仿宋" w:eastAsia="仿宋" w:cs="仿宋"/>
                <w:bCs/>
                <w:color w:val="auto"/>
                <w:kern w:val="0"/>
                <w:sz w:val="21"/>
                <w:szCs w:val="21"/>
                <w:highlight w:val="none"/>
                <w:lang w:val="en-US" w:eastAsia="zh-CN"/>
              </w:rPr>
              <w:t>53</w:t>
            </w:r>
            <w:r>
              <w:rPr>
                <w:rFonts w:hint="eastAsia" w:ascii="仿宋" w:hAnsi="仿宋" w:eastAsia="仿宋" w:cs="仿宋"/>
                <w:bCs/>
                <w:color w:val="auto"/>
                <w:kern w:val="0"/>
                <w:sz w:val="21"/>
                <w:szCs w:val="21"/>
                <w:highlight w:val="none"/>
              </w:rPr>
              <w:t>.0分</w:t>
            </w:r>
          </w:p>
          <w:p w14:paraId="6380674B">
            <w:pPr>
              <w:keepNext w:val="0"/>
              <w:keepLines w:val="0"/>
              <w:pageBreakBefore w:val="0"/>
              <w:kinsoku/>
              <w:wordWrap/>
              <w:overflowPunct/>
              <w:topLinePunct w:val="0"/>
              <w:bidi w:val="0"/>
              <w:spacing w:line="340" w:lineRule="exact"/>
              <w:ind w:right="0" w:rightChars="0"/>
              <w:jc w:val="left"/>
              <w:rPr>
                <w:rFonts w:hint="eastAsia" w:ascii="仿宋" w:hAnsi="仿宋" w:eastAsia="仿宋" w:cs="仿宋"/>
                <w:b/>
                <w:color w:val="auto"/>
                <w:kern w:val="0"/>
                <w:sz w:val="21"/>
                <w:szCs w:val="21"/>
                <w:highlight w:val="none"/>
              </w:rPr>
            </w:pPr>
            <w:r>
              <w:rPr>
                <w:rFonts w:hint="eastAsia" w:ascii="仿宋" w:hAnsi="仿宋" w:eastAsia="仿宋" w:cs="仿宋"/>
                <w:bCs/>
                <w:color w:val="auto"/>
                <w:kern w:val="0"/>
                <w:sz w:val="21"/>
                <w:szCs w:val="21"/>
                <w:highlight w:val="none"/>
              </w:rPr>
              <w:t>报价得分</w:t>
            </w:r>
            <w:r>
              <w:rPr>
                <w:rFonts w:hint="eastAsia" w:ascii="仿宋" w:hAnsi="仿宋" w:eastAsia="仿宋" w:cs="仿宋"/>
                <w:bCs/>
                <w:color w:val="auto"/>
                <w:kern w:val="0"/>
                <w:sz w:val="21"/>
                <w:szCs w:val="21"/>
                <w:highlight w:val="none"/>
                <w:lang w:val="en-US" w:eastAsia="zh-CN"/>
              </w:rPr>
              <w:t>15</w:t>
            </w:r>
            <w:r>
              <w:rPr>
                <w:rFonts w:hint="eastAsia" w:ascii="仿宋" w:hAnsi="仿宋" w:eastAsia="仿宋" w:cs="仿宋"/>
                <w:bCs/>
                <w:color w:val="auto"/>
                <w:kern w:val="0"/>
                <w:sz w:val="21"/>
                <w:szCs w:val="21"/>
                <w:highlight w:val="none"/>
              </w:rPr>
              <w:t>.0分</w:t>
            </w:r>
          </w:p>
        </w:tc>
      </w:tr>
      <w:tr w14:paraId="68953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602" w:type="dxa"/>
            <w:gridSpan w:val="2"/>
            <w:vAlign w:val="center"/>
          </w:tcPr>
          <w:p w14:paraId="2A6CFF44">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报价部分</w:t>
            </w:r>
          </w:p>
        </w:tc>
        <w:tc>
          <w:tcPr>
            <w:tcW w:w="496" w:type="dxa"/>
            <w:vAlign w:val="center"/>
          </w:tcPr>
          <w:p w14:paraId="38E52CE1">
            <w:pPr>
              <w:pStyle w:val="18"/>
              <w:keepNext w:val="0"/>
              <w:keepLines w:val="0"/>
              <w:pageBreakBefore w:val="0"/>
              <w:kinsoku/>
              <w:wordWrap/>
              <w:overflowPunct/>
              <w:topLinePunct w:val="0"/>
              <w:bidi w:val="0"/>
              <w:spacing w:line="340" w:lineRule="exact"/>
              <w:ind w:right="0" w:right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w:t>
            </w:r>
          </w:p>
        </w:tc>
        <w:tc>
          <w:tcPr>
            <w:tcW w:w="6709" w:type="dxa"/>
            <w:vAlign w:val="center"/>
          </w:tcPr>
          <w:p w14:paraId="571E6ADF">
            <w:pPr>
              <w:pStyle w:val="18"/>
              <w:keepNext w:val="0"/>
              <w:keepLines w:val="0"/>
              <w:pageBreakBefore w:val="0"/>
              <w:kinsoku/>
              <w:wordWrap/>
              <w:overflowPunct/>
              <w:topLinePunct w:val="0"/>
              <w:bidi w:val="0"/>
              <w:spacing w:line="340" w:lineRule="exact"/>
              <w:ind w:right="0" w:right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rPr>
              <w:t>满足磋商文件</w:t>
            </w:r>
            <w:r>
              <w:rPr>
                <w:rFonts w:hint="eastAsia" w:ascii="仿宋" w:hAnsi="仿宋" w:eastAsia="仿宋" w:cs="仿宋"/>
                <w:color w:val="auto"/>
                <w:sz w:val="21"/>
                <w:szCs w:val="21"/>
                <w:highlight w:val="none"/>
              </w:rPr>
              <w:t>要求且投标价格最低的有效投标报价（即除低于成本报价以外的报价）为评标基准价。其他</w:t>
            </w:r>
            <w:r>
              <w:rPr>
                <w:rFonts w:hint="eastAsia" w:ascii="仿宋" w:hAnsi="仿宋" w:eastAsia="仿宋" w:cs="仿宋"/>
                <w:color w:val="auto"/>
                <w:sz w:val="21"/>
                <w:szCs w:val="21"/>
                <w:highlight w:val="none"/>
                <w:lang w:val="en-US"/>
              </w:rPr>
              <w:t>供应商</w:t>
            </w:r>
            <w:r>
              <w:rPr>
                <w:rFonts w:hint="eastAsia" w:ascii="仿宋" w:hAnsi="仿宋" w:eastAsia="仿宋" w:cs="仿宋"/>
                <w:color w:val="auto"/>
                <w:sz w:val="21"/>
                <w:szCs w:val="21"/>
                <w:highlight w:val="none"/>
              </w:rPr>
              <w:t>的价格分统一按照下列公式计算：</w:t>
            </w:r>
          </w:p>
          <w:p w14:paraId="74673CCE">
            <w:pPr>
              <w:pStyle w:val="18"/>
              <w:keepNext w:val="0"/>
              <w:keepLines w:val="0"/>
              <w:pageBreakBefore w:val="0"/>
              <w:kinsoku/>
              <w:wordWrap/>
              <w:overflowPunct/>
              <w:topLinePunct w:val="0"/>
              <w:bidi w:val="0"/>
              <w:spacing w:line="340" w:lineRule="exact"/>
              <w:ind w:right="0" w:rightChars="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投标报价得分=（评标基准价/投标报价）×</w:t>
            </w:r>
            <w:r>
              <w:rPr>
                <w:rFonts w:hint="eastAsia" w:ascii="仿宋" w:hAnsi="仿宋" w:eastAsia="仿宋" w:cs="仿宋"/>
                <w:color w:val="auto"/>
                <w:sz w:val="21"/>
                <w:szCs w:val="21"/>
                <w:highlight w:val="none"/>
                <w:lang w:val="en-US"/>
              </w:rPr>
              <w:t>价格满分分值</w:t>
            </w:r>
          </w:p>
        </w:tc>
      </w:tr>
      <w:tr w14:paraId="0CF7C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568" w:type="dxa"/>
            <w:vMerge w:val="restart"/>
            <w:tcBorders>
              <w:right w:val="single" w:color="000000" w:sz="4" w:space="0"/>
            </w:tcBorders>
            <w:vAlign w:val="center"/>
          </w:tcPr>
          <w:p w14:paraId="6812B29C">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商务部分</w:t>
            </w:r>
          </w:p>
        </w:tc>
        <w:tc>
          <w:tcPr>
            <w:tcW w:w="1034" w:type="dxa"/>
            <w:tcBorders>
              <w:left w:val="single" w:color="000000" w:sz="4" w:space="0"/>
            </w:tcBorders>
            <w:vAlign w:val="center"/>
          </w:tcPr>
          <w:p w14:paraId="2BCC3E85">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企业资质</w:t>
            </w:r>
          </w:p>
        </w:tc>
        <w:tc>
          <w:tcPr>
            <w:tcW w:w="496" w:type="dxa"/>
            <w:vAlign w:val="center"/>
          </w:tcPr>
          <w:p w14:paraId="4E570330">
            <w:pPr>
              <w:pStyle w:val="18"/>
              <w:keepNext w:val="0"/>
              <w:keepLines w:val="0"/>
              <w:pageBreakBefore w:val="0"/>
              <w:kinsoku/>
              <w:wordWrap/>
              <w:overflowPunct/>
              <w:topLinePunct w:val="0"/>
              <w:bidi w:val="0"/>
              <w:spacing w:line="340" w:lineRule="exact"/>
              <w:ind w:right="0" w:right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6709" w:type="dxa"/>
            <w:vAlign w:val="center"/>
          </w:tcPr>
          <w:p w14:paraId="140FEE36">
            <w:pPr>
              <w:widowControl/>
              <w:tabs>
                <w:tab w:val="center" w:pos="4153"/>
                <w:tab w:val="right" w:pos="8306"/>
              </w:tabs>
              <w:spacing w:line="340" w:lineRule="exact"/>
              <w:ind w:right="0" w:rightChars="0"/>
              <w:jc w:val="left"/>
              <w:rPr>
                <w:rFonts w:hint="eastAsia" w:ascii="仿宋" w:hAnsi="仿宋" w:eastAsia="仿宋" w:cs="仿宋"/>
                <w:color w:val="auto"/>
                <w:sz w:val="21"/>
                <w:szCs w:val="21"/>
                <w:highlight w:val="none"/>
                <w:vertAlign w:val="baseline"/>
                <w:lang w:val="en-US" w:eastAsia="zh-CN"/>
              </w:rPr>
            </w:pPr>
            <w:bookmarkStart w:id="55" w:name="_Toc16348"/>
            <w:r>
              <w:rPr>
                <w:rFonts w:hint="eastAsia" w:ascii="仿宋" w:hAnsi="仿宋" w:eastAsia="仿宋" w:cs="仿宋"/>
                <w:color w:val="000000"/>
                <w:kern w:val="0"/>
                <w:sz w:val="21"/>
                <w:szCs w:val="21"/>
                <w:highlight w:val="none"/>
                <w:lang w:val="en-US" w:eastAsia="zh-CN" w:bidi="ar"/>
              </w:rPr>
              <w:t>（1）供应商具有</w:t>
            </w:r>
            <w:r>
              <w:rPr>
                <w:rFonts w:hint="eastAsia" w:ascii="仿宋" w:hAnsi="仿宋" w:eastAsia="仿宋" w:cs="仿宋"/>
                <w:color w:val="auto"/>
                <w:sz w:val="21"/>
                <w:szCs w:val="21"/>
                <w:highlight w:val="none"/>
                <w:vertAlign w:val="baseline"/>
                <w:lang w:val="en-US" w:eastAsia="zh-CN"/>
              </w:rPr>
              <w:t>ISO9001质量管理体系认证证书得2分，未提供不得分；</w:t>
            </w:r>
            <w:bookmarkEnd w:id="55"/>
          </w:p>
          <w:p w14:paraId="3DAE957E">
            <w:pPr>
              <w:widowControl/>
              <w:tabs>
                <w:tab w:val="center" w:pos="4153"/>
                <w:tab w:val="right" w:pos="8306"/>
              </w:tabs>
              <w:spacing w:line="340" w:lineRule="exact"/>
              <w:ind w:right="0" w:rightChars="0"/>
              <w:jc w:val="left"/>
              <w:rPr>
                <w:rFonts w:hint="eastAsia" w:ascii="仿宋" w:hAnsi="仿宋" w:eastAsia="仿宋" w:cs="仿宋"/>
                <w:color w:val="auto"/>
                <w:sz w:val="21"/>
                <w:szCs w:val="21"/>
                <w:highlight w:val="none"/>
                <w:vertAlign w:val="baseline"/>
                <w:lang w:val="en-US" w:eastAsia="zh-CN"/>
              </w:rPr>
            </w:pPr>
            <w:bookmarkStart w:id="56" w:name="_Toc21690"/>
            <w:r>
              <w:rPr>
                <w:rFonts w:hint="eastAsia" w:ascii="仿宋" w:hAnsi="仿宋" w:eastAsia="仿宋" w:cs="仿宋"/>
                <w:color w:val="000000"/>
                <w:kern w:val="0"/>
                <w:sz w:val="21"/>
                <w:szCs w:val="21"/>
                <w:highlight w:val="none"/>
                <w:lang w:val="en-US" w:eastAsia="zh-CN" w:bidi="ar"/>
              </w:rPr>
              <w:t>（2）供应商具有</w:t>
            </w:r>
            <w:r>
              <w:rPr>
                <w:rFonts w:hint="eastAsia" w:ascii="仿宋" w:hAnsi="仿宋" w:eastAsia="仿宋" w:cs="仿宋"/>
                <w:color w:val="auto"/>
                <w:sz w:val="21"/>
                <w:szCs w:val="21"/>
                <w:highlight w:val="none"/>
                <w:vertAlign w:val="baseline"/>
                <w:lang w:val="en-US" w:eastAsia="zh-CN"/>
              </w:rPr>
              <w:t>职业健康安全管理体系认证证书得2分，未提供不得分；</w:t>
            </w:r>
            <w:bookmarkEnd w:id="56"/>
          </w:p>
          <w:p w14:paraId="35B168A1">
            <w:pPr>
              <w:keepNext w:val="0"/>
              <w:keepLines w:val="0"/>
              <w:pageBreakBefore w:val="0"/>
              <w:widowControl/>
              <w:suppressLineNumbers w:val="0"/>
              <w:kinsoku/>
              <w:wordWrap/>
              <w:overflowPunct/>
              <w:topLinePunct w:val="0"/>
              <w:bidi w:val="0"/>
              <w:spacing w:line="340" w:lineRule="exact"/>
              <w:ind w:right="0" w:rightChars="0"/>
              <w:jc w:val="left"/>
              <w:rPr>
                <w:rFonts w:hint="eastAsia" w:ascii="仿宋" w:hAnsi="仿宋" w:eastAsia="仿宋" w:cs="仿宋"/>
                <w:color w:val="auto"/>
                <w:sz w:val="21"/>
                <w:szCs w:val="21"/>
                <w:highlight w:val="none"/>
                <w:vertAlign w:val="baseline"/>
                <w:lang w:val="en-US" w:eastAsia="zh-CN"/>
              </w:rPr>
            </w:pPr>
            <w:bookmarkStart w:id="57" w:name="_Toc355"/>
            <w:r>
              <w:rPr>
                <w:rFonts w:hint="eastAsia" w:ascii="仿宋" w:hAnsi="仿宋" w:eastAsia="仿宋" w:cs="仿宋"/>
                <w:color w:val="000000"/>
                <w:kern w:val="0"/>
                <w:sz w:val="21"/>
                <w:szCs w:val="21"/>
                <w:highlight w:val="none"/>
                <w:lang w:val="en-US" w:eastAsia="zh-CN" w:bidi="ar"/>
              </w:rPr>
              <w:t>（3）供应商具有</w:t>
            </w:r>
            <w:r>
              <w:rPr>
                <w:rFonts w:hint="eastAsia" w:ascii="仿宋" w:hAnsi="仿宋" w:eastAsia="仿宋" w:cs="仿宋"/>
                <w:color w:val="auto"/>
                <w:sz w:val="21"/>
                <w:szCs w:val="21"/>
                <w:highlight w:val="none"/>
                <w:vertAlign w:val="baseline"/>
                <w:lang w:val="en-US" w:eastAsia="zh-CN"/>
              </w:rPr>
              <w:t>ISO14000环境管理体系认证证书得2分，未提供不得分</w:t>
            </w:r>
            <w:bookmarkEnd w:id="57"/>
          </w:p>
          <w:p w14:paraId="232EBFD2">
            <w:pPr>
              <w:rPr>
                <w:highlight w:val="none"/>
              </w:rPr>
            </w:pPr>
            <w:r>
              <w:rPr>
                <w:rFonts w:hint="eastAsia" w:ascii="仿宋" w:hAnsi="仿宋" w:eastAsia="仿宋" w:cs="仿宋"/>
                <w:color w:val="000000"/>
                <w:kern w:val="0"/>
                <w:sz w:val="21"/>
                <w:szCs w:val="21"/>
                <w:highlight w:val="none"/>
                <w:lang w:val="en-US" w:eastAsia="zh-CN" w:bidi="ar"/>
              </w:rPr>
              <w:t>（4）供应商具有信息安全管理体系认证证书</w:t>
            </w:r>
            <w:r>
              <w:rPr>
                <w:rFonts w:hint="eastAsia" w:ascii="仿宋" w:hAnsi="仿宋" w:eastAsia="仿宋" w:cs="仿宋"/>
                <w:color w:val="auto"/>
                <w:sz w:val="21"/>
                <w:szCs w:val="21"/>
                <w:highlight w:val="none"/>
                <w:vertAlign w:val="baseline"/>
                <w:lang w:val="en-US" w:eastAsia="zh-CN"/>
              </w:rPr>
              <w:t>得2分，未提供不得分</w:t>
            </w:r>
          </w:p>
          <w:p w14:paraId="42D662AC">
            <w:pPr>
              <w:keepNext w:val="0"/>
              <w:keepLines w:val="0"/>
              <w:pageBreakBefore w:val="0"/>
              <w:widowControl/>
              <w:suppressLineNumbers w:val="0"/>
              <w:kinsoku/>
              <w:wordWrap/>
              <w:overflowPunct/>
              <w:topLinePunct w:val="0"/>
              <w:bidi w:val="0"/>
              <w:spacing w:line="340" w:lineRule="exact"/>
              <w:ind w:right="0" w:rightChars="0"/>
              <w:jc w:val="left"/>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000000"/>
                <w:kern w:val="0"/>
                <w:sz w:val="21"/>
                <w:szCs w:val="21"/>
                <w:highlight w:val="none"/>
                <w:lang w:val="en-US" w:eastAsia="zh-CN" w:bidi="ar"/>
              </w:rPr>
              <w:t>（5）供应商具有服务管理体系认证证书</w:t>
            </w:r>
            <w:r>
              <w:rPr>
                <w:rFonts w:hint="eastAsia" w:ascii="仿宋" w:hAnsi="仿宋" w:eastAsia="仿宋" w:cs="仿宋"/>
                <w:color w:val="auto"/>
                <w:sz w:val="21"/>
                <w:szCs w:val="21"/>
                <w:highlight w:val="none"/>
                <w:vertAlign w:val="baseline"/>
                <w:lang w:val="en-US" w:eastAsia="zh-CN"/>
              </w:rPr>
              <w:t>得2分，未提供不得分</w:t>
            </w:r>
          </w:p>
          <w:p w14:paraId="3E864557">
            <w:pPr>
              <w:rPr>
                <w:rFonts w:hint="eastAsia" w:ascii="仿宋" w:hAnsi="仿宋" w:eastAsia="仿宋" w:cs="仿宋"/>
                <w:color w:val="auto"/>
                <w:sz w:val="21"/>
                <w:szCs w:val="21"/>
                <w:highlight w:val="none"/>
              </w:rPr>
            </w:pPr>
            <w:r>
              <w:rPr>
                <w:rFonts w:hint="eastAsia" w:ascii="仿宋" w:hAnsi="仿宋" w:eastAsia="仿宋" w:cs="仿宋"/>
                <w:color w:val="000000"/>
                <w:kern w:val="0"/>
                <w:sz w:val="21"/>
                <w:szCs w:val="21"/>
                <w:highlight w:val="none"/>
                <w:lang w:val="en-US" w:eastAsia="zh-CN" w:bidi="ar"/>
              </w:rPr>
              <w:t>（以上证书须提供复印件并加盖单位公章，否则无效）</w:t>
            </w:r>
          </w:p>
        </w:tc>
      </w:tr>
      <w:tr w14:paraId="4F065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568" w:type="dxa"/>
            <w:vMerge w:val="continue"/>
            <w:tcBorders>
              <w:right w:val="single" w:color="000000" w:sz="4" w:space="0"/>
            </w:tcBorders>
            <w:vAlign w:val="center"/>
          </w:tcPr>
          <w:p w14:paraId="55FB76D0">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rPr>
            </w:pPr>
          </w:p>
        </w:tc>
        <w:tc>
          <w:tcPr>
            <w:tcW w:w="1034" w:type="dxa"/>
            <w:tcBorders>
              <w:left w:val="single" w:color="000000" w:sz="4" w:space="0"/>
            </w:tcBorders>
            <w:shd w:val="clear" w:color="auto" w:fill="auto"/>
            <w:vAlign w:val="center"/>
          </w:tcPr>
          <w:p w14:paraId="7492D118">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类似业绩</w:t>
            </w:r>
          </w:p>
        </w:tc>
        <w:tc>
          <w:tcPr>
            <w:tcW w:w="496" w:type="dxa"/>
            <w:shd w:val="clear" w:color="auto" w:fill="auto"/>
            <w:vAlign w:val="center"/>
          </w:tcPr>
          <w:p w14:paraId="0F0EED1D">
            <w:pPr>
              <w:keepNext w:val="0"/>
              <w:keepLines w:val="0"/>
              <w:pageBreakBefore w:val="0"/>
              <w:widowControl/>
              <w:kinsoku/>
              <w:wordWrap/>
              <w:overflowPunct/>
              <w:topLinePunct w:val="0"/>
              <w:bidi w:val="0"/>
              <w:spacing w:line="340" w:lineRule="exact"/>
              <w:ind w:right="0" w:rightChars="0"/>
              <w:jc w:val="center"/>
              <w:rPr>
                <w:rFonts w:hint="eastAsia" w:ascii="仿宋" w:hAnsi="仿宋" w:eastAsia="仿宋" w:cs="仿宋"/>
                <w:kern w:val="0"/>
                <w:sz w:val="21"/>
                <w:szCs w:val="21"/>
                <w:highlight w:val="none"/>
                <w:lang w:val="en-US" w:eastAsia="zh-CN" w:bidi="ar-SA"/>
              </w:rPr>
            </w:pPr>
            <w:r>
              <w:rPr>
                <w:rFonts w:hint="eastAsia" w:ascii="仿宋" w:hAnsi="仿宋" w:eastAsia="仿宋" w:cs="仿宋"/>
                <w:kern w:val="0"/>
                <w:sz w:val="21"/>
                <w:szCs w:val="21"/>
                <w:highlight w:val="none"/>
                <w:lang w:val="en-US" w:eastAsia="zh-CN"/>
              </w:rPr>
              <w:t>12</w:t>
            </w:r>
          </w:p>
        </w:tc>
        <w:tc>
          <w:tcPr>
            <w:tcW w:w="6709" w:type="dxa"/>
            <w:shd w:val="clear" w:color="auto" w:fill="auto"/>
            <w:vAlign w:val="top"/>
          </w:tcPr>
          <w:p w14:paraId="7D4349CB">
            <w:pPr>
              <w:widowControl/>
              <w:tabs>
                <w:tab w:val="center" w:pos="4153"/>
                <w:tab w:val="right" w:pos="8306"/>
              </w:tabs>
              <w:spacing w:line="340" w:lineRule="exact"/>
              <w:ind w:right="0" w:rightChars="0"/>
              <w:jc w:val="left"/>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投标人自2022年1月1日至今（以合同签订合同时间为准）独立承担的类似项目，每提供 1 份有效的业绩资料得2分，满分12分。</w:t>
            </w:r>
          </w:p>
          <w:p w14:paraId="26D2E19A">
            <w:pPr>
              <w:widowControl/>
              <w:tabs>
                <w:tab w:val="center" w:pos="4153"/>
                <w:tab w:val="right" w:pos="8306"/>
              </w:tabs>
              <w:spacing w:line="340" w:lineRule="exact"/>
              <w:ind w:right="0" w:rightChars="0"/>
              <w:jc w:val="left"/>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注：1.须提供业绩合同关键页（含：首页、货物和服务内容信息页、合同金额页、签字盖章页）。扫描件加盖公章，时间以合同签订日期为准。不符合上述要求或未按要求提供有效证明文件的业绩在评审时将不予承认。</w:t>
            </w:r>
          </w:p>
          <w:p w14:paraId="5983367B">
            <w:pPr>
              <w:widowControl/>
              <w:tabs>
                <w:tab w:val="center" w:pos="4153"/>
                <w:tab w:val="right" w:pos="8306"/>
              </w:tabs>
              <w:spacing w:line="340" w:lineRule="exact"/>
              <w:ind w:right="0" w:rightChars="0"/>
              <w:jc w:val="left"/>
              <w:rPr>
                <w:rFonts w:hint="eastAsia" w:asciiTheme="minorHAnsi" w:hAnsiTheme="minorHAnsi" w:eastAsiaTheme="minorEastAsia" w:cstheme="minorBidi"/>
                <w:kern w:val="2"/>
                <w:sz w:val="21"/>
                <w:szCs w:val="24"/>
                <w:highlight w:val="none"/>
                <w:lang w:val="en-US" w:eastAsia="zh-CN" w:bidi="ar-SA"/>
              </w:rPr>
            </w:pPr>
            <w:r>
              <w:rPr>
                <w:rFonts w:hint="eastAsia" w:ascii="仿宋" w:hAnsi="仿宋" w:eastAsia="仿宋" w:cs="仿宋"/>
                <w:color w:val="000000"/>
                <w:kern w:val="0"/>
                <w:sz w:val="21"/>
                <w:szCs w:val="21"/>
                <w:highlight w:val="none"/>
                <w:lang w:val="en-US" w:eastAsia="zh-CN" w:bidi="ar"/>
              </w:rPr>
              <w:t>2.投标人提供虚假合同的，按虚假投标处理。</w:t>
            </w:r>
          </w:p>
        </w:tc>
      </w:tr>
      <w:tr w14:paraId="78757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68" w:type="dxa"/>
            <w:vMerge w:val="continue"/>
            <w:tcBorders>
              <w:right w:val="single" w:color="000000" w:sz="4" w:space="0"/>
            </w:tcBorders>
            <w:vAlign w:val="center"/>
          </w:tcPr>
          <w:p w14:paraId="5029DEF6">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rPr>
            </w:pPr>
          </w:p>
        </w:tc>
        <w:tc>
          <w:tcPr>
            <w:tcW w:w="1034" w:type="dxa"/>
            <w:tcBorders>
              <w:left w:val="single" w:color="000000" w:sz="4" w:space="0"/>
            </w:tcBorders>
            <w:vAlign w:val="center"/>
          </w:tcPr>
          <w:p w14:paraId="528274D0">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项目团队人员</w:t>
            </w:r>
          </w:p>
        </w:tc>
        <w:tc>
          <w:tcPr>
            <w:tcW w:w="496" w:type="dxa"/>
            <w:vAlign w:val="center"/>
          </w:tcPr>
          <w:p w14:paraId="4E80D9E6">
            <w:pPr>
              <w:keepNext w:val="0"/>
              <w:keepLines w:val="0"/>
              <w:pageBreakBefore w:val="0"/>
              <w:widowControl/>
              <w:kinsoku/>
              <w:wordWrap/>
              <w:overflowPunct/>
              <w:topLinePunct w:val="0"/>
              <w:bidi w:val="0"/>
              <w:spacing w:line="340" w:lineRule="exact"/>
              <w:ind w:right="0" w:rightChars="0"/>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10</w:t>
            </w:r>
          </w:p>
        </w:tc>
        <w:tc>
          <w:tcPr>
            <w:tcW w:w="6709" w:type="dxa"/>
            <w:vAlign w:val="top"/>
          </w:tcPr>
          <w:p w14:paraId="5E2BF34C">
            <w:pPr>
              <w:keepNext w:val="0"/>
              <w:keepLines w:val="0"/>
              <w:pageBreakBefore w:val="0"/>
              <w:widowControl/>
              <w:numPr>
                <w:ilvl w:val="0"/>
                <w:numId w:val="17"/>
              </w:numPr>
              <w:suppressLineNumbers w:val="0"/>
              <w:kinsoku/>
              <w:wordWrap/>
              <w:overflowPunct/>
              <w:topLinePunct w:val="0"/>
              <w:bidi w:val="0"/>
              <w:spacing w:line="340" w:lineRule="exact"/>
              <w:ind w:right="0" w:rightChars="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供应商的项目团队人员有测绘类等相关专业的中级及以上工程师职称，每提供一个有效高级职称的得2分，每提供一个有效中级职称的得1分，最多得 6 分。（需提供“职称证书、身份证、公司社保缴费证明”复印件）。</w:t>
            </w:r>
          </w:p>
          <w:p w14:paraId="00F74664">
            <w:pPr>
              <w:keepNext w:val="0"/>
              <w:keepLines w:val="0"/>
              <w:pageBreakBefore w:val="0"/>
              <w:widowControl/>
              <w:numPr>
                <w:ilvl w:val="0"/>
                <w:numId w:val="0"/>
              </w:numPr>
              <w:suppressLineNumbers w:val="0"/>
              <w:kinsoku/>
              <w:wordWrap/>
              <w:overflowPunct/>
              <w:topLinePunct w:val="0"/>
              <w:bidi w:val="0"/>
              <w:spacing w:line="340" w:lineRule="exact"/>
              <w:ind w:right="0" w:rightChars="0"/>
              <w:jc w:val="left"/>
              <w:rPr>
                <w:rFonts w:hint="eastAsia"/>
                <w:highlight w:val="none"/>
              </w:rPr>
            </w:pPr>
            <w:r>
              <w:rPr>
                <w:rFonts w:hint="eastAsia" w:ascii="仿宋" w:hAnsi="仿宋" w:eastAsia="仿宋" w:cs="仿宋"/>
                <w:color w:val="auto"/>
                <w:kern w:val="0"/>
                <w:sz w:val="21"/>
                <w:szCs w:val="21"/>
                <w:highlight w:val="none"/>
                <w:lang w:val="en-US" w:eastAsia="zh-CN" w:bidi="ar"/>
              </w:rPr>
              <w:t>（2）供应商的项目团队人员有地理信息、测绘和信息技术相关专业的技术人员，每提供一个人的1分，最高4分。（需提供“职称证书、身份证、公司社保缴费证明”复印件）。</w:t>
            </w:r>
          </w:p>
        </w:tc>
      </w:tr>
      <w:tr w14:paraId="0B8A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568" w:type="dxa"/>
            <w:vMerge w:val="restart"/>
            <w:tcBorders>
              <w:right w:val="single" w:color="000000" w:sz="4" w:space="0"/>
            </w:tcBorders>
            <w:vAlign w:val="center"/>
          </w:tcPr>
          <w:p w14:paraId="353CA18B">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技术部分</w:t>
            </w:r>
          </w:p>
        </w:tc>
        <w:tc>
          <w:tcPr>
            <w:tcW w:w="1034" w:type="dxa"/>
            <w:tcBorders>
              <w:left w:val="single" w:color="000000" w:sz="4" w:space="0"/>
            </w:tcBorders>
            <w:vAlign w:val="center"/>
          </w:tcPr>
          <w:p w14:paraId="731BCB07">
            <w:pPr>
              <w:keepNext w:val="0"/>
              <w:keepLines w:val="0"/>
              <w:pageBreakBefore w:val="0"/>
              <w:widowControl/>
              <w:kinsoku/>
              <w:wordWrap/>
              <w:overflowPunct/>
              <w:topLinePunct w:val="0"/>
              <w:bidi w:val="0"/>
              <w:spacing w:line="340" w:lineRule="exact"/>
              <w:ind w:right="0" w:rightChars="0"/>
              <w:jc w:val="center"/>
              <w:textAlignment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总体要求</w:t>
            </w:r>
          </w:p>
        </w:tc>
        <w:tc>
          <w:tcPr>
            <w:tcW w:w="496" w:type="dxa"/>
            <w:vAlign w:val="center"/>
          </w:tcPr>
          <w:p w14:paraId="3923CDA9">
            <w:pPr>
              <w:pStyle w:val="18"/>
              <w:keepNext w:val="0"/>
              <w:keepLines w:val="0"/>
              <w:pageBreakBefore w:val="0"/>
              <w:kinsoku/>
              <w:wordWrap/>
              <w:overflowPunct/>
              <w:topLinePunct w:val="0"/>
              <w:bidi w:val="0"/>
              <w:spacing w:line="340" w:lineRule="exact"/>
              <w:ind w:right="0" w:rightChars="0"/>
              <w:jc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24</w:t>
            </w:r>
          </w:p>
        </w:tc>
        <w:tc>
          <w:tcPr>
            <w:tcW w:w="6709" w:type="dxa"/>
            <w:vAlign w:val="center"/>
          </w:tcPr>
          <w:p w14:paraId="625F849C">
            <w:pPr>
              <w:keepNext w:val="0"/>
              <w:keepLines w:val="0"/>
              <w:pageBreakBefore w:val="0"/>
              <w:widowControl/>
              <w:suppressLineNumbers w:val="0"/>
              <w:kinsoku/>
              <w:wordWrap/>
              <w:overflowPunct/>
              <w:topLinePunct w:val="0"/>
              <w:bidi w:val="0"/>
              <w:spacing w:line="340" w:lineRule="exact"/>
              <w:ind w:right="0" w:rightChars="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根据投标人针对本项目提供的总体要求方案进行评审，方案内容至少包 含：（1）项目部各职能机构设置（2）组织管理体系（3）本项目实施的具体方法与流程（4）项目实施过程环节的注意事项及现场管控措施(5)质量管理体系及措施(6)安全管理体系及措施(7)进度计划方案（8）服务保障方案。方案完整包含以上内 容且满足本项目要求得 24分，每缺一项扣3 分，每有一处不完整或不符合本项目特点或实际采购需求的扣 2 分，</w:t>
            </w:r>
            <w:r>
              <w:rPr>
                <w:rFonts w:hint="eastAsia" w:ascii="仿宋" w:hAnsi="仿宋" w:eastAsia="仿宋" w:cs="仿宋"/>
                <w:color w:val="auto"/>
                <w:kern w:val="2"/>
                <w:sz w:val="21"/>
                <w:szCs w:val="21"/>
                <w:highlight w:val="none"/>
              </w:rPr>
              <w:t>扣完为止。</w:t>
            </w:r>
          </w:p>
        </w:tc>
      </w:tr>
      <w:tr w14:paraId="30334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568" w:type="dxa"/>
            <w:vMerge w:val="continue"/>
            <w:tcBorders>
              <w:right w:val="single" w:color="000000" w:sz="4" w:space="0"/>
            </w:tcBorders>
            <w:vAlign w:val="center"/>
          </w:tcPr>
          <w:p w14:paraId="06BC417E">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kern w:val="0"/>
                <w:sz w:val="21"/>
                <w:szCs w:val="21"/>
                <w:highlight w:val="none"/>
                <w:lang w:val="en-US" w:eastAsia="zh-CN" w:bidi="ar"/>
              </w:rPr>
            </w:pPr>
          </w:p>
        </w:tc>
        <w:tc>
          <w:tcPr>
            <w:tcW w:w="1034" w:type="dxa"/>
            <w:tcBorders>
              <w:left w:val="single" w:color="000000" w:sz="4" w:space="0"/>
            </w:tcBorders>
            <w:vAlign w:val="center"/>
          </w:tcPr>
          <w:p w14:paraId="7C0E43F4">
            <w:pPr>
              <w:keepNext w:val="0"/>
              <w:keepLines w:val="0"/>
              <w:pageBreakBefore w:val="0"/>
              <w:widowControl/>
              <w:kinsoku/>
              <w:wordWrap/>
              <w:overflowPunct/>
              <w:topLinePunct w:val="0"/>
              <w:bidi w:val="0"/>
              <w:spacing w:line="340" w:lineRule="exact"/>
              <w:ind w:right="0" w:rightChars="0"/>
              <w:jc w:val="center"/>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业务理解与需求分析</w:t>
            </w:r>
          </w:p>
          <w:p w14:paraId="3B3E95A2">
            <w:pPr>
              <w:keepNext w:val="0"/>
              <w:keepLines w:val="0"/>
              <w:pageBreakBefore w:val="0"/>
              <w:widowControl/>
              <w:suppressLineNumbers w:val="0"/>
              <w:kinsoku/>
              <w:wordWrap/>
              <w:overflowPunct/>
              <w:topLinePunct w:val="0"/>
              <w:bidi w:val="0"/>
              <w:spacing w:line="340" w:lineRule="exact"/>
              <w:ind w:right="0" w:rightChars="0"/>
              <w:jc w:val="center"/>
              <w:rPr>
                <w:rFonts w:hint="eastAsia" w:ascii="仿宋" w:hAnsi="仿宋" w:eastAsia="仿宋" w:cs="仿宋"/>
                <w:color w:val="auto"/>
                <w:kern w:val="0"/>
                <w:sz w:val="21"/>
                <w:szCs w:val="21"/>
                <w:highlight w:val="none"/>
                <w:lang w:val="en-US" w:eastAsia="zh-CN" w:bidi="ar"/>
              </w:rPr>
            </w:pPr>
          </w:p>
        </w:tc>
        <w:tc>
          <w:tcPr>
            <w:tcW w:w="496" w:type="dxa"/>
            <w:vAlign w:val="center"/>
          </w:tcPr>
          <w:p w14:paraId="7950CF51">
            <w:pPr>
              <w:pStyle w:val="18"/>
              <w:keepNext w:val="0"/>
              <w:keepLines w:val="0"/>
              <w:pageBreakBefore w:val="0"/>
              <w:kinsoku/>
              <w:wordWrap/>
              <w:overflowPunct/>
              <w:topLinePunct w:val="0"/>
              <w:bidi w:val="0"/>
              <w:spacing w:line="340" w:lineRule="exact"/>
              <w:ind w:right="0" w:rightChars="0"/>
              <w:jc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6</w:t>
            </w:r>
          </w:p>
        </w:tc>
        <w:tc>
          <w:tcPr>
            <w:tcW w:w="6709" w:type="dxa"/>
            <w:vAlign w:val="center"/>
          </w:tcPr>
          <w:p w14:paraId="11FB6363">
            <w:pPr>
              <w:keepNext w:val="0"/>
              <w:keepLines w:val="0"/>
              <w:pageBreakBefore w:val="0"/>
              <w:widowControl/>
              <w:kinsoku/>
              <w:wordWrap/>
              <w:overflowPunct/>
              <w:topLinePunct w:val="0"/>
              <w:bidi w:val="0"/>
              <w:spacing w:line="340" w:lineRule="exact"/>
              <w:ind w:right="0" w:rightChars="0"/>
              <w:jc w:val="both"/>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供应商提供针对本项目的业务理解与需求分析，包括但不限于</w:t>
            </w:r>
          </w:p>
          <w:p w14:paraId="7B9757FF">
            <w:pPr>
              <w:keepNext w:val="0"/>
              <w:keepLines w:val="0"/>
              <w:pageBreakBefore w:val="0"/>
              <w:numPr>
                <w:ilvl w:val="0"/>
                <w:numId w:val="0"/>
              </w:numPr>
              <w:kinsoku/>
              <w:wordWrap/>
              <w:overflowPunct/>
              <w:topLinePunct w:val="0"/>
              <w:bidi w:val="0"/>
              <w:adjustRightInd w:val="0"/>
              <w:snapToGrid w:val="0"/>
              <w:spacing w:line="340" w:lineRule="exact"/>
              <w:ind w:right="0" w:rightChars="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（1）业务需求、（2）功能需求（3）性能需求等内容，进行分析。</w:t>
            </w:r>
          </w:p>
          <w:p w14:paraId="0F077A2E">
            <w:pPr>
              <w:keepNext w:val="0"/>
              <w:keepLines w:val="0"/>
              <w:pageBreakBefore w:val="0"/>
              <w:numPr>
                <w:ilvl w:val="0"/>
                <w:numId w:val="0"/>
              </w:numPr>
              <w:kinsoku/>
              <w:wordWrap/>
              <w:overflowPunct/>
              <w:topLinePunct w:val="0"/>
              <w:bidi w:val="0"/>
              <w:adjustRightInd w:val="0"/>
              <w:snapToGrid w:val="0"/>
              <w:spacing w:line="340" w:lineRule="exact"/>
              <w:ind w:right="0" w:rightChars="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方案完整包含以上内容且满足本项目要求得6分，每缺一项扣 2分，每有一处不完整或不符合本项目特点或实际采购需求的扣1分，</w:t>
            </w:r>
            <w:r>
              <w:rPr>
                <w:rFonts w:hint="eastAsia" w:ascii="仿宋" w:hAnsi="仿宋" w:eastAsia="仿宋" w:cs="仿宋"/>
                <w:color w:val="auto"/>
                <w:kern w:val="2"/>
                <w:sz w:val="21"/>
                <w:szCs w:val="21"/>
                <w:highlight w:val="none"/>
              </w:rPr>
              <w:t>扣完为止。</w:t>
            </w:r>
          </w:p>
        </w:tc>
      </w:tr>
      <w:tr w14:paraId="57BFD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568" w:type="dxa"/>
            <w:vMerge w:val="continue"/>
            <w:tcBorders>
              <w:right w:val="single" w:color="000000" w:sz="4" w:space="0"/>
            </w:tcBorders>
            <w:vAlign w:val="center"/>
          </w:tcPr>
          <w:p w14:paraId="68A3EB4E">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kern w:val="0"/>
                <w:sz w:val="21"/>
                <w:szCs w:val="21"/>
                <w:highlight w:val="none"/>
                <w:lang w:val="en-US" w:eastAsia="zh-CN" w:bidi="ar"/>
              </w:rPr>
            </w:pPr>
          </w:p>
        </w:tc>
        <w:tc>
          <w:tcPr>
            <w:tcW w:w="1034" w:type="dxa"/>
            <w:tcBorders>
              <w:left w:val="single" w:color="000000" w:sz="4" w:space="0"/>
            </w:tcBorders>
            <w:shd w:val="clear" w:color="auto" w:fill="auto"/>
            <w:vAlign w:val="center"/>
          </w:tcPr>
          <w:p w14:paraId="64DEBCE4">
            <w:pPr>
              <w:keepNext w:val="0"/>
              <w:keepLines w:val="0"/>
              <w:pageBreakBefore w:val="0"/>
              <w:widowControl/>
              <w:suppressLineNumbers w:val="0"/>
              <w:kinsoku/>
              <w:wordWrap/>
              <w:overflowPunct/>
              <w:topLinePunct w:val="0"/>
              <w:bidi w:val="0"/>
              <w:spacing w:line="340" w:lineRule="exact"/>
              <w:ind w:right="0" w:rightChars="0"/>
              <w:jc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应急预案</w:t>
            </w:r>
          </w:p>
        </w:tc>
        <w:tc>
          <w:tcPr>
            <w:tcW w:w="496" w:type="dxa"/>
            <w:shd w:val="clear" w:color="auto" w:fill="auto"/>
            <w:vAlign w:val="center"/>
          </w:tcPr>
          <w:p w14:paraId="2450FA5B">
            <w:pPr>
              <w:pStyle w:val="18"/>
              <w:keepNext w:val="0"/>
              <w:keepLines w:val="0"/>
              <w:pageBreakBefore w:val="0"/>
              <w:kinsoku/>
              <w:wordWrap/>
              <w:overflowPunct/>
              <w:topLinePunct w:val="0"/>
              <w:bidi w:val="0"/>
              <w:spacing w:line="340" w:lineRule="exact"/>
              <w:ind w:left="0" w:leftChars="0" w:right="0" w:rightChars="0"/>
              <w:jc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8</w:t>
            </w:r>
          </w:p>
        </w:tc>
        <w:tc>
          <w:tcPr>
            <w:tcW w:w="6709" w:type="dxa"/>
            <w:shd w:val="clear" w:color="auto" w:fill="auto"/>
            <w:vAlign w:val="center"/>
          </w:tcPr>
          <w:p w14:paraId="46787E28">
            <w:pPr>
              <w:keepNext w:val="0"/>
              <w:keepLines w:val="0"/>
              <w:pageBreakBefore w:val="0"/>
              <w:kinsoku/>
              <w:wordWrap/>
              <w:overflowPunct/>
              <w:topLinePunct w:val="0"/>
              <w:bidi w:val="0"/>
              <w:adjustRightInd w:val="0"/>
              <w:snapToGrid w:val="0"/>
              <w:spacing w:line="340" w:lineRule="exact"/>
              <w:ind w:right="0" w:rightChars="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根据投标人针对本项目提供的应急预案进行评审，方案内容至少包含：（1）应急预案的方针与原则（2）应急保证措施（3）应急事故发生处理流程（4）应急设备配置。方案完整包含以上内容且满足本项目要求得 8 分，每缺一项扣 2 分，每有一处不符合本项目特点或不完整或实际采购需求的扣 1 分，本项最多扣 8 分。</w:t>
            </w:r>
          </w:p>
        </w:tc>
      </w:tr>
      <w:tr w14:paraId="3382C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568" w:type="dxa"/>
            <w:vMerge w:val="continue"/>
            <w:tcBorders>
              <w:right w:val="single" w:color="000000" w:sz="4" w:space="0"/>
            </w:tcBorders>
            <w:vAlign w:val="center"/>
          </w:tcPr>
          <w:p w14:paraId="55BE1738">
            <w:pPr>
              <w:pStyle w:val="18"/>
              <w:keepNext w:val="0"/>
              <w:keepLines w:val="0"/>
              <w:pageBreakBefore w:val="0"/>
              <w:kinsoku/>
              <w:wordWrap/>
              <w:overflowPunct/>
              <w:topLinePunct w:val="0"/>
              <w:bidi w:val="0"/>
              <w:spacing w:line="340" w:lineRule="exact"/>
              <w:ind w:right="0" w:rightChars="0"/>
              <w:jc w:val="center"/>
              <w:rPr>
                <w:rFonts w:hint="eastAsia" w:ascii="仿宋" w:hAnsi="仿宋" w:eastAsia="仿宋" w:cs="仿宋"/>
                <w:color w:val="auto"/>
                <w:kern w:val="0"/>
                <w:sz w:val="21"/>
                <w:szCs w:val="21"/>
                <w:highlight w:val="none"/>
                <w:lang w:val="en-US" w:eastAsia="zh-CN" w:bidi="ar"/>
              </w:rPr>
            </w:pPr>
          </w:p>
        </w:tc>
        <w:tc>
          <w:tcPr>
            <w:tcW w:w="1034" w:type="dxa"/>
            <w:tcBorders>
              <w:left w:val="single" w:color="000000" w:sz="4" w:space="0"/>
            </w:tcBorders>
            <w:shd w:val="clear" w:color="auto" w:fill="auto"/>
            <w:vAlign w:val="center"/>
          </w:tcPr>
          <w:p w14:paraId="384525DB">
            <w:pPr>
              <w:keepNext w:val="0"/>
              <w:keepLines w:val="0"/>
              <w:pageBreakBefore w:val="0"/>
              <w:widowControl/>
              <w:suppressLineNumbers w:val="0"/>
              <w:kinsoku/>
              <w:wordWrap/>
              <w:overflowPunct/>
              <w:topLinePunct w:val="0"/>
              <w:bidi w:val="0"/>
              <w:spacing w:line="340" w:lineRule="exact"/>
              <w:ind w:right="0" w:rightChars="0"/>
              <w:jc w:val="center"/>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售后服务方案</w:t>
            </w:r>
          </w:p>
        </w:tc>
        <w:tc>
          <w:tcPr>
            <w:tcW w:w="496" w:type="dxa"/>
            <w:shd w:val="clear" w:color="auto" w:fill="auto"/>
            <w:vAlign w:val="center"/>
          </w:tcPr>
          <w:p w14:paraId="00A4CB47">
            <w:pPr>
              <w:keepNext w:val="0"/>
              <w:keepLines w:val="0"/>
              <w:pageBreakBefore w:val="0"/>
              <w:widowControl/>
              <w:suppressLineNumbers w:val="0"/>
              <w:kinsoku/>
              <w:wordWrap/>
              <w:overflowPunct/>
              <w:topLinePunct w:val="0"/>
              <w:bidi w:val="0"/>
              <w:spacing w:line="340" w:lineRule="exact"/>
              <w:ind w:right="0" w:rightChars="0"/>
              <w:jc w:val="left"/>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15</w:t>
            </w:r>
          </w:p>
        </w:tc>
        <w:tc>
          <w:tcPr>
            <w:tcW w:w="6709" w:type="dxa"/>
            <w:shd w:val="clear" w:color="auto" w:fill="auto"/>
            <w:vAlign w:val="center"/>
          </w:tcPr>
          <w:p w14:paraId="04260A94">
            <w:pPr>
              <w:keepNext w:val="0"/>
              <w:keepLines w:val="0"/>
              <w:pageBreakBefore w:val="0"/>
              <w:widowControl/>
              <w:suppressLineNumbers w:val="0"/>
              <w:kinsoku/>
              <w:wordWrap/>
              <w:overflowPunct/>
              <w:topLinePunct w:val="0"/>
              <w:bidi w:val="0"/>
              <w:spacing w:line="340" w:lineRule="exact"/>
              <w:ind w:right="0" w:rightChars="0"/>
              <w:jc w:val="left"/>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根据投标人针对本项目提供的售后服务方案进行评审，</w:t>
            </w:r>
            <w:r>
              <w:rPr>
                <w:rFonts w:hint="default" w:ascii="仿宋" w:hAnsi="仿宋" w:eastAsia="仿宋" w:cs="仿宋"/>
                <w:color w:val="000000"/>
                <w:kern w:val="0"/>
                <w:sz w:val="21"/>
                <w:szCs w:val="21"/>
                <w:highlight w:val="none"/>
                <w:lang w:val="en-US" w:eastAsia="zh-CN" w:bidi="ar"/>
              </w:rPr>
              <w:t>方案内容至少包含：（1）</w:t>
            </w:r>
            <w:r>
              <w:rPr>
                <w:rFonts w:hint="eastAsia" w:ascii="仿宋" w:hAnsi="仿宋" w:eastAsia="仿宋" w:cs="仿宋"/>
                <w:color w:val="000000"/>
                <w:kern w:val="0"/>
                <w:sz w:val="21"/>
                <w:szCs w:val="21"/>
                <w:highlight w:val="none"/>
                <w:lang w:val="en-US" w:eastAsia="zh-CN" w:bidi="ar"/>
              </w:rPr>
              <w:t>售后</w:t>
            </w:r>
            <w:r>
              <w:rPr>
                <w:rFonts w:hint="default" w:ascii="仿宋" w:hAnsi="仿宋" w:eastAsia="仿宋" w:cs="仿宋"/>
                <w:color w:val="000000"/>
                <w:kern w:val="0"/>
                <w:sz w:val="21"/>
                <w:szCs w:val="21"/>
                <w:highlight w:val="none"/>
                <w:lang w:val="en-US" w:eastAsia="zh-CN" w:bidi="ar"/>
              </w:rPr>
              <w:t>服务人员配置（2）</w:t>
            </w:r>
            <w:r>
              <w:rPr>
                <w:rFonts w:hint="eastAsia" w:ascii="仿宋" w:hAnsi="仿宋" w:eastAsia="仿宋" w:cs="仿宋"/>
                <w:color w:val="000000"/>
                <w:kern w:val="0"/>
                <w:sz w:val="21"/>
                <w:szCs w:val="21"/>
                <w:highlight w:val="none"/>
                <w:lang w:val="en-US" w:eastAsia="zh-CN" w:bidi="ar"/>
              </w:rPr>
              <w:t>售后</w:t>
            </w:r>
            <w:r>
              <w:rPr>
                <w:rFonts w:hint="default" w:ascii="仿宋" w:hAnsi="仿宋" w:eastAsia="仿宋" w:cs="仿宋"/>
                <w:color w:val="000000"/>
                <w:kern w:val="0"/>
                <w:sz w:val="21"/>
                <w:szCs w:val="21"/>
                <w:highlight w:val="none"/>
                <w:lang w:val="en-US" w:eastAsia="zh-CN" w:bidi="ar"/>
              </w:rPr>
              <w:t>服务内容及计划安排（3）</w:t>
            </w:r>
            <w:r>
              <w:rPr>
                <w:rFonts w:hint="eastAsia" w:ascii="仿宋" w:hAnsi="仿宋" w:eastAsia="仿宋" w:cs="仿宋"/>
                <w:color w:val="000000"/>
                <w:kern w:val="0"/>
                <w:sz w:val="21"/>
                <w:szCs w:val="21"/>
                <w:highlight w:val="none"/>
                <w:lang w:val="en-US" w:eastAsia="zh-CN" w:bidi="ar"/>
              </w:rPr>
              <w:t>售后</w:t>
            </w:r>
            <w:r>
              <w:rPr>
                <w:rFonts w:hint="default" w:ascii="仿宋" w:hAnsi="仿宋" w:eastAsia="仿宋" w:cs="仿宋"/>
                <w:color w:val="000000"/>
                <w:kern w:val="0"/>
                <w:sz w:val="21"/>
                <w:szCs w:val="21"/>
                <w:highlight w:val="none"/>
                <w:lang w:val="en-US" w:eastAsia="zh-CN" w:bidi="ar"/>
              </w:rPr>
              <w:t>服务质量保障措施（4）响应时间及问题处理措施</w:t>
            </w:r>
            <w:r>
              <w:rPr>
                <w:rFonts w:hint="eastAsia" w:ascii="仿宋" w:hAnsi="仿宋" w:eastAsia="仿宋" w:cs="仿宋"/>
                <w:color w:val="000000"/>
                <w:kern w:val="0"/>
                <w:sz w:val="21"/>
                <w:szCs w:val="21"/>
                <w:highlight w:val="none"/>
                <w:lang w:val="en-US" w:eastAsia="zh-CN" w:bidi="ar"/>
              </w:rPr>
              <w:t>（5）</w:t>
            </w:r>
            <w:r>
              <w:rPr>
                <w:rFonts w:hint="eastAsia" w:ascii="仿宋" w:hAnsi="仿宋" w:eastAsia="仿宋" w:cs="仿宋"/>
                <w:color w:val="auto"/>
                <w:sz w:val="21"/>
                <w:szCs w:val="21"/>
                <w:highlight w:val="none"/>
                <w:vertAlign w:val="baseline"/>
                <w:lang w:val="en-US" w:eastAsia="zh-CN"/>
              </w:rPr>
              <w:t>资源保障</w:t>
            </w:r>
            <w:r>
              <w:rPr>
                <w:rFonts w:hint="default" w:ascii="仿宋" w:hAnsi="仿宋" w:eastAsia="仿宋" w:cs="仿宋"/>
                <w:color w:val="000000"/>
                <w:kern w:val="0"/>
                <w:sz w:val="21"/>
                <w:szCs w:val="21"/>
                <w:highlight w:val="none"/>
                <w:lang w:val="en-US" w:eastAsia="zh-CN" w:bidi="ar"/>
              </w:rPr>
              <w:t>。 方案完整包含以上内容且满足本项目要求得</w:t>
            </w:r>
            <w:r>
              <w:rPr>
                <w:rFonts w:hint="eastAsia" w:ascii="仿宋" w:hAnsi="仿宋" w:eastAsia="仿宋" w:cs="仿宋"/>
                <w:color w:val="000000"/>
                <w:kern w:val="0"/>
                <w:sz w:val="21"/>
                <w:szCs w:val="21"/>
                <w:highlight w:val="none"/>
                <w:lang w:val="en-US" w:eastAsia="zh-CN" w:bidi="ar"/>
              </w:rPr>
              <w:t>15</w:t>
            </w:r>
            <w:r>
              <w:rPr>
                <w:rFonts w:hint="default" w:ascii="仿宋" w:hAnsi="仿宋" w:eastAsia="仿宋" w:cs="仿宋"/>
                <w:color w:val="000000"/>
                <w:kern w:val="0"/>
                <w:sz w:val="21"/>
                <w:szCs w:val="21"/>
                <w:highlight w:val="none"/>
                <w:lang w:val="en-US" w:eastAsia="zh-CN" w:bidi="ar"/>
              </w:rPr>
              <w:t xml:space="preserve"> 分，每缺一项扣 </w:t>
            </w:r>
            <w:r>
              <w:rPr>
                <w:rFonts w:hint="eastAsia" w:ascii="仿宋" w:hAnsi="仿宋" w:eastAsia="仿宋" w:cs="仿宋"/>
                <w:color w:val="000000"/>
                <w:kern w:val="0"/>
                <w:sz w:val="21"/>
                <w:szCs w:val="21"/>
                <w:highlight w:val="none"/>
                <w:lang w:val="en-US" w:eastAsia="zh-CN" w:bidi="ar"/>
              </w:rPr>
              <w:t>3</w:t>
            </w:r>
            <w:r>
              <w:rPr>
                <w:rFonts w:hint="default" w:ascii="仿宋" w:hAnsi="仿宋" w:eastAsia="仿宋" w:cs="仿宋"/>
                <w:color w:val="000000"/>
                <w:kern w:val="0"/>
                <w:sz w:val="21"/>
                <w:szCs w:val="21"/>
                <w:highlight w:val="none"/>
                <w:lang w:val="en-US" w:eastAsia="zh-CN" w:bidi="ar"/>
              </w:rPr>
              <w:t xml:space="preserve"> 分，每有一处不符合本项目特点或不完整或实际采购需求的扣</w:t>
            </w:r>
            <w:r>
              <w:rPr>
                <w:rFonts w:hint="eastAsia" w:ascii="仿宋" w:hAnsi="仿宋" w:eastAsia="仿宋" w:cs="仿宋"/>
                <w:color w:val="000000"/>
                <w:kern w:val="0"/>
                <w:sz w:val="21"/>
                <w:szCs w:val="21"/>
                <w:highlight w:val="none"/>
                <w:lang w:val="en-US" w:eastAsia="zh-CN" w:bidi="ar"/>
              </w:rPr>
              <w:t>2</w:t>
            </w:r>
            <w:r>
              <w:rPr>
                <w:rFonts w:hint="default" w:ascii="仿宋" w:hAnsi="仿宋" w:eastAsia="仿宋" w:cs="仿宋"/>
                <w:color w:val="000000"/>
                <w:kern w:val="0"/>
                <w:sz w:val="21"/>
                <w:szCs w:val="21"/>
                <w:highlight w:val="none"/>
                <w:lang w:val="en-US" w:eastAsia="zh-CN" w:bidi="ar"/>
              </w:rPr>
              <w:t xml:space="preserve"> 分</w:t>
            </w:r>
            <w:r>
              <w:rPr>
                <w:rFonts w:hint="eastAsia" w:ascii="仿宋" w:hAnsi="仿宋" w:eastAsia="仿宋" w:cs="仿宋"/>
                <w:color w:val="auto"/>
                <w:kern w:val="0"/>
                <w:sz w:val="21"/>
                <w:szCs w:val="21"/>
                <w:highlight w:val="none"/>
                <w:lang w:val="en-US" w:eastAsia="zh-CN" w:bidi="ar"/>
              </w:rPr>
              <w:t>，本项最多扣 15 分。</w:t>
            </w:r>
          </w:p>
        </w:tc>
      </w:tr>
    </w:tbl>
    <w:p w14:paraId="61160EA8">
      <w:pPr>
        <w:pStyle w:val="21"/>
        <w:rPr>
          <w:rFonts w:hint="eastAsia"/>
          <w:highlight w:val="none"/>
          <w:lang w:val="en-US" w:eastAsia="zh-CN"/>
        </w:rPr>
      </w:pPr>
    </w:p>
    <w:p w14:paraId="271BDCEE">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小组每位成员独立对每个有效供应商的响应文件进行评价、打分；然后汇总每个供应商的得分，计算得分平均值，以平均值由高到低进行排序，按排序顺序推荐中标候选人。分值计算保留小数点后二位，第三位四舍五入。</w:t>
      </w:r>
    </w:p>
    <w:p w14:paraId="203015D7">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
          <w:highlight w:val="none"/>
          <w:lang w:val="en-US" w:eastAsia="zh-CN"/>
        </w:rPr>
        <w:t>落实中小企业政府采购政策的价格调整：</w:t>
      </w:r>
    </w:p>
    <w:p w14:paraId="2E208900">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_GB2312"/>
          <w:sz w:val="24"/>
          <w:highlight w:val="none"/>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w:t>
      </w:r>
      <w:r>
        <w:rPr>
          <w:rFonts w:hint="eastAsia" w:ascii="仿宋" w:hAnsi="仿宋" w:eastAsia="仿宋" w:cs="仿宋_GB2312"/>
          <w:sz w:val="24"/>
          <w:highlight w:val="none"/>
          <w:lang w:eastAsia="zh-CN"/>
        </w:rPr>
        <w:t>响应文件</w:t>
      </w:r>
      <w:r>
        <w:rPr>
          <w:rFonts w:hint="eastAsia" w:ascii="仿宋" w:hAnsi="仿宋" w:eastAsia="仿宋" w:cs="仿宋_GB2312"/>
          <w:sz w:val="24"/>
          <w:highlight w:val="none"/>
        </w:rPr>
        <w:t>中提交了《中小企业声明函》、《残疾人福利性单位声明函》或省级以上监狱管理局、戒毒管理局（含新疆生产建设兵团）出具的属于监狱企业的证明文件的供应商，其投标报价扣除</w:t>
      </w:r>
      <w:r>
        <w:rPr>
          <w:rFonts w:hint="eastAsia" w:ascii="仿宋" w:hAnsi="仿宋" w:eastAsia="仿宋" w:cs="仿宋_GB2312"/>
          <w:sz w:val="24"/>
          <w:highlight w:val="none"/>
          <w:u w:val="single"/>
        </w:rPr>
        <w:t xml:space="preserve"> 10 % </w:t>
      </w:r>
      <w:r>
        <w:rPr>
          <w:rFonts w:hint="eastAsia" w:ascii="仿宋" w:hAnsi="仿宋" w:eastAsia="仿宋" w:cs="仿宋_GB2312"/>
          <w:sz w:val="24"/>
          <w:highlight w:val="none"/>
        </w:rPr>
        <w:t>后参与评审。对于同时属于小微企业、监狱企业或残疾人福利性单位的，不重复进行投标报价扣除。</w:t>
      </w:r>
      <w:r>
        <w:rPr>
          <w:rFonts w:hint="eastAsia" w:ascii="仿宋" w:hAnsi="仿宋" w:eastAsia="仿宋" w:cs="仿宋_GB2312"/>
          <w:sz w:val="24"/>
          <w:highlight w:val="none"/>
          <w:lang w:val="en-US" w:eastAsia="zh-CN"/>
        </w:rPr>
        <w:t>是否属于该类项目详见</w:t>
      </w:r>
      <w:r>
        <w:rPr>
          <w:rFonts w:hint="eastAsia" w:ascii="仿宋" w:hAnsi="仿宋" w:eastAsia="仿宋" w:cs="仿宋_GB2312"/>
          <w:b/>
          <w:bCs/>
          <w:sz w:val="24"/>
          <w:highlight w:val="none"/>
          <w:u w:val="single"/>
          <w:lang w:val="en-US" w:eastAsia="zh-CN"/>
        </w:rPr>
        <w:t>供应商须知前附表</w:t>
      </w:r>
      <w:r>
        <w:rPr>
          <w:rFonts w:hint="eastAsia" w:ascii="仿宋" w:hAnsi="仿宋" w:eastAsia="仿宋" w:cs="仿宋_GB2312"/>
          <w:b/>
          <w:bCs/>
          <w:sz w:val="24"/>
          <w:highlight w:val="none"/>
          <w:u w:val="none"/>
          <w:lang w:val="en-US" w:eastAsia="zh-CN"/>
        </w:rPr>
        <w:t>。</w:t>
      </w:r>
    </w:p>
    <w:p w14:paraId="283C3306">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w:t>
      </w:r>
      <w:r>
        <w:rPr>
          <w:rFonts w:hint="eastAsia" w:ascii="仿宋" w:hAnsi="仿宋" w:eastAsia="仿宋" w:cs="仿宋_GB2312"/>
          <w:sz w:val="24"/>
          <w:highlight w:val="none"/>
          <w:u w:val="single"/>
        </w:rPr>
        <w:t xml:space="preserve"> 4% </w:t>
      </w:r>
      <w:r>
        <w:rPr>
          <w:rFonts w:hint="eastAsia" w:ascii="仿宋" w:hAnsi="仿宋" w:eastAsia="仿宋" w:cs="仿宋_GB2312"/>
          <w:sz w:val="24"/>
          <w:highlight w:val="none"/>
        </w:rPr>
        <w:t>的扣除，用扣除后的价格参加评审。</w:t>
      </w:r>
      <w:r>
        <w:rPr>
          <w:rFonts w:hint="eastAsia" w:ascii="仿宋" w:hAnsi="仿宋" w:eastAsia="仿宋" w:cs="仿宋_GB2312"/>
          <w:sz w:val="24"/>
          <w:highlight w:val="none"/>
          <w:lang w:val="en-US" w:eastAsia="zh-CN"/>
        </w:rPr>
        <w:t>是否属于该类项目详见</w:t>
      </w:r>
      <w:r>
        <w:rPr>
          <w:rFonts w:hint="eastAsia" w:ascii="仿宋" w:hAnsi="仿宋" w:eastAsia="仿宋" w:cs="仿宋_GB2312"/>
          <w:b/>
          <w:bCs/>
          <w:sz w:val="24"/>
          <w:highlight w:val="none"/>
          <w:u w:val="single"/>
          <w:lang w:val="en-US" w:eastAsia="zh-CN"/>
        </w:rPr>
        <w:t>供应商须知前附表</w:t>
      </w:r>
      <w:r>
        <w:rPr>
          <w:rFonts w:hint="eastAsia" w:ascii="仿宋" w:hAnsi="仿宋" w:eastAsia="仿宋" w:cs="仿宋_GB2312"/>
          <w:b/>
          <w:bCs/>
          <w:sz w:val="24"/>
          <w:highlight w:val="none"/>
          <w:u w:val="none"/>
          <w:lang w:val="en-US" w:eastAsia="zh-CN"/>
        </w:rPr>
        <w:t>。</w:t>
      </w:r>
    </w:p>
    <w:p w14:paraId="316CEDE9">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组成联合体或者接受分包的小微企业与联合体内其他企业、分包企业之间存在直接控股、管理关系的，不享受价格扣除优惠政策</w:t>
      </w:r>
      <w:r>
        <w:rPr>
          <w:rFonts w:hint="eastAsia" w:ascii="仿宋" w:hAnsi="仿宋" w:eastAsia="仿宋" w:cs="仿宋_GB2312"/>
          <w:sz w:val="24"/>
          <w:highlight w:val="none"/>
          <w:lang w:eastAsia="zh-CN"/>
        </w:rPr>
        <w:t>。</w:t>
      </w:r>
    </w:p>
    <w:p w14:paraId="41C0849E">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价格扣除比例对小型企业和微型企业同等对待，不作区分。</w:t>
      </w:r>
    </w:p>
    <w:p w14:paraId="33BE0E03">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中小企业参加政府采购活动，应当按照</w:t>
      </w:r>
      <w:r>
        <w:rPr>
          <w:rFonts w:hint="eastAsia" w:ascii="仿宋" w:hAnsi="仿宋" w:eastAsia="仿宋" w:cs="仿宋_GB2312"/>
          <w:sz w:val="24"/>
          <w:highlight w:val="none"/>
          <w:lang w:eastAsia="zh-CN"/>
        </w:rPr>
        <w:t>采购文件</w:t>
      </w:r>
      <w:r>
        <w:rPr>
          <w:rFonts w:hint="eastAsia" w:ascii="仿宋" w:hAnsi="仿宋" w:eastAsia="仿宋" w:cs="仿宋_GB2312"/>
          <w:sz w:val="24"/>
          <w:highlight w:val="none"/>
        </w:rPr>
        <w:t>给定的格式出具《中小企业声明函》，否则不得享受相关中小企业扶持政策。</w:t>
      </w:r>
    </w:p>
    <w:p w14:paraId="05A0B984">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监狱企业提供了由省级以上监狱管理局、戒毒管理局（含新疆生产建设兵团）出具的属于监狱企业的证明文件的，视同小微企业。</w:t>
      </w:r>
    </w:p>
    <w:p w14:paraId="60F8CD49">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残疾人福利性单位按</w:t>
      </w:r>
      <w:r>
        <w:rPr>
          <w:rFonts w:hint="eastAsia" w:ascii="仿宋" w:hAnsi="仿宋" w:eastAsia="仿宋" w:cs="仿宋_GB2312"/>
          <w:sz w:val="24"/>
          <w:highlight w:val="none"/>
          <w:lang w:eastAsia="zh-CN"/>
        </w:rPr>
        <w:t>采购文件</w:t>
      </w:r>
      <w:r>
        <w:rPr>
          <w:rFonts w:hint="eastAsia" w:ascii="仿宋" w:hAnsi="仿宋" w:eastAsia="仿宋" w:cs="仿宋_GB2312"/>
          <w:sz w:val="24"/>
          <w:highlight w:val="none"/>
        </w:rPr>
        <w:t>要求提供了《残疾人福利性单位声明函》（见附件）的，视同小微企业。</w:t>
      </w:r>
    </w:p>
    <w:p w14:paraId="268FAA28">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若供应商同时属于小型或微型企业、监狱企业、残疾人福利性单位中的两种及以上，将不重复享受小微企业价格扣减的优惠政策。</w:t>
      </w:r>
    </w:p>
    <w:p w14:paraId="4E3E1C0D">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u w:val="single"/>
        </w:rPr>
      </w:pPr>
      <w:r>
        <w:rPr>
          <w:rFonts w:hint="eastAsia" w:ascii="仿宋" w:hAnsi="仿宋" w:eastAsia="仿宋" w:cs="仿宋"/>
          <w:highlight w:val="none"/>
          <w:lang w:val="en-US" w:eastAsia="zh-CN"/>
        </w:rPr>
        <w:t>供应商所投产品如被列入财政部与国家主管部门颁发的节能产品目录或环境标志产品目录或无线局域网产品目录，应提供相关证明，在评标时予以优先采购，具体优惠措施为：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highlight w:val="none"/>
          <w:u w:val="single"/>
          <w:lang w:val="en-US" w:eastAsia="zh-CN"/>
        </w:rPr>
        <w:t>综合得分相同时排名优先。</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65CC1F29">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如采购人所采购产品为政府强制采购的节能产品，供应商所投产品的品牌及型号必须为清单中有效期内产品并提供证明文件，否则其投标将作为</w:t>
      </w:r>
      <w:r>
        <w:rPr>
          <w:rFonts w:hint="eastAsia" w:ascii="仿宋" w:hAnsi="仿宋" w:eastAsia="仿宋" w:cs="仿宋_GB2312"/>
          <w:b/>
          <w:bCs/>
          <w:sz w:val="24"/>
          <w:highlight w:val="none"/>
          <w:lang w:eastAsia="zh-CN"/>
        </w:rPr>
        <w:t>无效响应</w:t>
      </w:r>
      <w:r>
        <w:rPr>
          <w:rFonts w:hint="eastAsia" w:ascii="仿宋" w:hAnsi="仿宋" w:eastAsia="仿宋" w:cs="仿宋_GB2312"/>
          <w:sz w:val="24"/>
          <w:highlight w:val="none"/>
        </w:rPr>
        <w:t>被拒绝。</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11F0A1B4">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供应商所投产品列入无线局域网产品清单，应提供相关证明，在评标时予以优先采购，具体优惠措施为：</w:t>
      </w:r>
      <w:r>
        <w:rPr>
          <w:rFonts w:hint="eastAsia" w:ascii="仿宋" w:hAnsi="仿宋" w:eastAsia="仿宋" w:cs="仿宋_GB2312"/>
          <w:sz w:val="24"/>
          <w:highlight w:val="none"/>
          <w:u w:val="single"/>
        </w:rPr>
        <w:t>综合得分相同时排名优先 。</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0E650A16">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同品牌处理办法：</w:t>
      </w:r>
    </w:p>
    <w:p w14:paraId="5480C32A">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如采用最低评标办法，则：</w:t>
      </w:r>
      <w:r>
        <w:rPr>
          <w:rFonts w:hint="eastAsia" w:ascii="仿宋" w:hAnsi="仿宋" w:eastAsia="仿宋" w:cs="仿宋_GB2312"/>
          <w:sz w:val="24"/>
          <w:highlight w:val="none"/>
          <w:u w:val="single"/>
        </w:rPr>
        <w:t>提供相同品牌产品的不同供应商以其中通过资格审查、符合性审查且报价最低的参加评标；报价相同的，由</w:t>
      </w:r>
      <w:r>
        <w:rPr>
          <w:rFonts w:hint="eastAsia" w:ascii="仿宋" w:hAnsi="仿宋" w:eastAsia="仿宋" w:cs="仿宋_GB2312"/>
          <w:sz w:val="24"/>
          <w:highlight w:val="none"/>
          <w:u w:val="single"/>
          <w:lang w:eastAsia="zh-CN"/>
        </w:rPr>
        <w:t>磋商小组</w:t>
      </w:r>
      <w:r>
        <w:rPr>
          <w:rFonts w:hint="eastAsia" w:ascii="仿宋" w:hAnsi="仿宋" w:eastAsia="仿宋" w:cs="仿宋_GB2312"/>
          <w:sz w:val="24"/>
          <w:highlight w:val="none"/>
          <w:u w:val="single"/>
        </w:rPr>
        <w:t>采取随机抽取方式确定，其他同品牌供应商不作为中标候选人。</w:t>
      </w:r>
    </w:p>
    <w:p w14:paraId="48CAE7B9">
      <w:pPr>
        <w:pStyle w:val="24"/>
        <w:keepNext w:val="0"/>
        <w:keepLines w:val="0"/>
        <w:pageBreakBefore w:val="0"/>
        <w:widowControl w:val="0"/>
        <w:numPr>
          <w:ilvl w:val="2"/>
          <w:numId w:val="16"/>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如采用综合评标法，则：</w:t>
      </w:r>
      <w:r>
        <w:rPr>
          <w:rFonts w:hint="eastAsia" w:ascii="仿宋" w:hAnsi="仿宋" w:eastAsia="仿宋" w:cs="仿宋_GB2312"/>
          <w:sz w:val="24"/>
          <w:highlight w:val="none"/>
          <w:u w:val="single"/>
        </w:rPr>
        <w:t>提供相同品牌产品且通过资格审查、符合性审查的不同供应商，按一家供应商计算，评审后得分最高的同品牌供应商获得中标人推荐资格；评审得分相同的，按投标报价最低的获得中标人推荐资格；评审得分和投标报价均相同的，按技术评审得分最高的获得中标人推荐资格，评审得分、投标报价和技术评审得分三项均相同的由</w:t>
      </w:r>
      <w:r>
        <w:rPr>
          <w:rFonts w:hint="eastAsia" w:ascii="仿宋" w:hAnsi="仿宋" w:eastAsia="仿宋" w:cs="仿宋_GB2312"/>
          <w:sz w:val="24"/>
          <w:highlight w:val="none"/>
          <w:u w:val="single"/>
          <w:lang w:eastAsia="zh-CN"/>
        </w:rPr>
        <w:t>磋商小组</w:t>
      </w:r>
      <w:r>
        <w:rPr>
          <w:rFonts w:hint="eastAsia" w:ascii="仿宋" w:hAnsi="仿宋" w:eastAsia="仿宋" w:cs="仿宋_GB2312"/>
          <w:sz w:val="24"/>
          <w:highlight w:val="none"/>
          <w:u w:val="single"/>
        </w:rPr>
        <w:t>采取随机抽取方式确定，其他同品牌供应商不作为中标候选人</w:t>
      </w:r>
      <w:r>
        <w:rPr>
          <w:rFonts w:hint="eastAsia" w:ascii="仿宋" w:hAnsi="仿宋" w:eastAsia="仿宋" w:cs="仿宋_GB2312"/>
          <w:sz w:val="24"/>
          <w:highlight w:val="none"/>
        </w:rPr>
        <w:t>。</w:t>
      </w:r>
    </w:p>
    <w:p w14:paraId="1270E060">
      <w:pPr>
        <w:pStyle w:val="24"/>
        <w:keepNext w:val="0"/>
        <w:keepLines w:val="0"/>
        <w:pageBreakBefore w:val="0"/>
        <w:widowControl w:val="0"/>
        <w:numPr>
          <w:ilvl w:val="1"/>
          <w:numId w:val="16"/>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_GB2312"/>
          <w:sz w:val="24"/>
          <w:highlight w:val="none"/>
        </w:rPr>
        <w:t>如一个分包内包含多种产品的，采购人或采购代理机构将在</w:t>
      </w:r>
      <w:r>
        <w:rPr>
          <w:rFonts w:hint="eastAsia" w:ascii="仿宋" w:hAnsi="仿宋" w:eastAsia="仿宋" w:cs="仿宋_GB2312"/>
          <w:sz w:val="24"/>
          <w:highlight w:val="none"/>
          <w:u w:val="single"/>
        </w:rPr>
        <w:t>供应商须知前附表</w:t>
      </w:r>
      <w:r>
        <w:rPr>
          <w:rFonts w:hint="eastAsia" w:ascii="仿宋" w:hAnsi="仿宋" w:eastAsia="仿宋" w:cs="仿宋_GB2312"/>
          <w:sz w:val="24"/>
          <w:highlight w:val="none"/>
        </w:rPr>
        <w:t>中载明核心产品，多家供应商提供的所有核心产品品牌均相同的，按第六章  评标程序、评标方法和评标标准第</w:t>
      </w:r>
      <w:r>
        <w:rPr>
          <w:rFonts w:hint="eastAsia" w:ascii="仿宋" w:hAnsi="仿宋" w:eastAsia="仿宋" w:cs="仿宋_GB2312"/>
          <w:sz w:val="24"/>
          <w:highlight w:val="none"/>
          <w:lang w:val="en-US" w:eastAsia="zh-CN"/>
        </w:rPr>
        <w:t>9.7</w:t>
      </w:r>
      <w:r>
        <w:rPr>
          <w:rFonts w:hint="eastAsia" w:ascii="仿宋" w:hAnsi="仿宋" w:eastAsia="仿宋" w:cs="仿宋_GB2312"/>
          <w:sz w:val="24"/>
          <w:highlight w:val="none"/>
        </w:rPr>
        <w:t xml:space="preserve">条规定处理。 </w:t>
      </w:r>
    </w:p>
    <w:p w14:paraId="3D4EF42D">
      <w:pPr>
        <w:keepNext w:val="0"/>
        <w:keepLines w:val="0"/>
        <w:pageBreakBefore w:val="0"/>
        <w:widowControl w:val="0"/>
        <w:numPr>
          <w:ilvl w:val="0"/>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确定中标候选人名单</w:t>
      </w:r>
    </w:p>
    <w:p w14:paraId="7F2DBF7F">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用综合评分法时，评标结果按评审后得分由高到低顺序排列。评审得分最高的供应商为排名第一的成交候选人。综合评审得分相同的,最后报价最低优先，如最后报价相同则技术部分得分最高优先，最后报价相同且技术部分得分也相同的，由磋商小组现场采取随机抽取方式确定。</w:t>
      </w:r>
    </w:p>
    <w:p w14:paraId="4FB33A90">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磋商小组要对评分汇总情况进行复核，特别是对排名第一的、报价最低的、响应文件被认定为无效的情形进行重点复核。</w:t>
      </w:r>
    </w:p>
    <w:p w14:paraId="4591F9C6">
      <w:pPr>
        <w:keepNext w:val="0"/>
        <w:keepLines w:val="0"/>
        <w:pageBreakBefore w:val="0"/>
        <w:widowControl w:val="0"/>
        <w:numPr>
          <w:ilvl w:val="1"/>
          <w:numId w:val="16"/>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磋商小组将根据各供应商的评标排序，依次推荐本项目（各采购包）的成交候选人，起草并签署评标报告。本项目（各采购包）磋商小组共（各）推荐三名成交候选人。</w:t>
      </w:r>
    </w:p>
    <w:p w14:paraId="066797A8">
      <w:pPr>
        <w:rPr>
          <w:rFonts w:hint="eastAsia" w:ascii="仿宋" w:hAnsi="仿宋" w:eastAsia="仿宋" w:cs="仿宋"/>
          <w:sz w:val="24"/>
          <w:szCs w:val="24"/>
          <w:highlight w:val="none"/>
          <w:lang w:val="en-US" w:eastAsia="zh-CN"/>
        </w:rPr>
      </w:pPr>
    </w:p>
    <w:p w14:paraId="15D365E0">
      <w:pPr>
        <w:pStyle w:val="24"/>
        <w:rPr>
          <w:rFonts w:hint="eastAsia" w:ascii="仿宋" w:hAnsi="仿宋" w:eastAsia="仿宋" w:cs="仿宋"/>
          <w:sz w:val="24"/>
          <w:szCs w:val="24"/>
          <w:highlight w:val="none"/>
          <w:lang w:val="en-US" w:eastAsia="zh-CN"/>
        </w:rPr>
      </w:pPr>
    </w:p>
    <w:p w14:paraId="47AFA6FA">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2269CB61">
      <w:pPr>
        <w:pStyle w:val="24"/>
        <w:numPr>
          <w:ilvl w:val="0"/>
          <w:numId w:val="5"/>
        </w:numPr>
        <w:bidi w:val="0"/>
        <w:jc w:val="center"/>
        <w:outlineLvl w:val="0"/>
        <w:rPr>
          <w:rFonts w:hint="eastAsia" w:ascii="仿宋" w:hAnsi="仿宋" w:eastAsia="仿宋" w:cs="仿宋"/>
          <w:b/>
          <w:bCs/>
          <w:sz w:val="32"/>
          <w:szCs w:val="32"/>
          <w:highlight w:val="none"/>
          <w:lang w:val="en-US" w:eastAsia="zh-CN"/>
        </w:rPr>
      </w:pPr>
      <w:bookmarkStart w:id="58" w:name="_Toc9602"/>
      <w:r>
        <w:rPr>
          <w:rFonts w:hint="eastAsia" w:ascii="仿宋" w:hAnsi="仿宋" w:eastAsia="仿宋" w:cs="仿宋"/>
          <w:b/>
          <w:bCs/>
          <w:sz w:val="32"/>
          <w:szCs w:val="32"/>
          <w:highlight w:val="none"/>
          <w:lang w:val="en-US" w:eastAsia="zh-CN"/>
        </w:rPr>
        <w:t>响应文件格式</w:t>
      </w:r>
      <w:bookmarkEnd w:id="58"/>
    </w:p>
    <w:p w14:paraId="5B7603FB">
      <w:pPr>
        <w:pStyle w:val="24"/>
        <w:rPr>
          <w:rFonts w:hint="eastAsia" w:ascii="仿宋" w:hAnsi="仿宋" w:eastAsia="仿宋" w:cs="仿宋"/>
          <w:highlight w:val="none"/>
          <w:lang w:val="en-US" w:eastAsia="zh-CN"/>
        </w:rPr>
      </w:pPr>
    </w:p>
    <w:p w14:paraId="19E32FD7">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供应商编制文件须知</w:t>
      </w:r>
    </w:p>
    <w:p w14:paraId="607F3055">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1.为保证评标工作的顺利进行，各供应商需参照如下的格式，认真进行响应文件的编写工作。需建立详细的目录。</w:t>
      </w:r>
    </w:p>
    <w:p w14:paraId="22490021">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2.各供应商提交文件中涉及商业机密的，应明确标明，采购人及最终用户将给予保密处理，否则视为公开资料。</w:t>
      </w:r>
    </w:p>
    <w:p w14:paraId="25228830">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全部声明和问题的回答及所附材料必须是真实的、准确的和完整的。</w:t>
      </w:r>
    </w:p>
    <w:p w14:paraId="560FD102">
      <w:pPr>
        <w:rPr>
          <w:rFonts w:hint="eastAsia" w:ascii="仿宋" w:hAnsi="仿宋" w:eastAsia="仿宋" w:cs="仿宋"/>
          <w:highlight w:val="none"/>
          <w:lang w:val="en-US" w:eastAsia="zh-CN"/>
        </w:rPr>
      </w:pPr>
    </w:p>
    <w:p w14:paraId="08F5524A">
      <w:pPr>
        <w:pStyle w:val="24"/>
        <w:rPr>
          <w:rFonts w:hint="eastAsia" w:ascii="仿宋" w:hAnsi="仿宋" w:eastAsia="仿宋" w:cs="仿宋"/>
          <w:highlight w:val="none"/>
          <w:lang w:val="en-US" w:eastAsia="zh-CN"/>
        </w:rPr>
      </w:pPr>
    </w:p>
    <w:p w14:paraId="43504C2C">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65F4BEB3">
      <w:pPr>
        <w:keepNext w:val="0"/>
        <w:keepLines w:val="0"/>
        <w:widowControl/>
        <w:suppressLineNumbers w:val="0"/>
        <w:jc w:val="left"/>
        <w:outlineLvl w:val="1"/>
        <w:rPr>
          <w:rFonts w:hint="eastAsia" w:ascii="仿宋" w:hAnsi="仿宋" w:eastAsia="仿宋" w:cs="仿宋"/>
          <w:b/>
          <w:bCs/>
          <w:color w:val="000000"/>
          <w:kern w:val="0"/>
          <w:sz w:val="24"/>
          <w:szCs w:val="24"/>
          <w:highlight w:val="none"/>
          <w:lang w:val="en-US" w:eastAsia="zh-CN" w:bidi="ar"/>
        </w:rPr>
      </w:pPr>
      <w:bookmarkStart w:id="59" w:name="_Toc25630"/>
      <w:bookmarkStart w:id="60" w:name="_Toc24875"/>
      <w:r>
        <w:rPr>
          <w:rFonts w:hint="eastAsia" w:ascii="仿宋" w:hAnsi="仿宋" w:eastAsia="仿宋" w:cs="仿宋"/>
          <w:b/>
          <w:bCs/>
          <w:color w:val="000000"/>
          <w:kern w:val="0"/>
          <w:sz w:val="24"/>
          <w:szCs w:val="24"/>
          <w:highlight w:val="none"/>
          <w:lang w:val="en-US" w:eastAsia="zh-CN" w:bidi="ar"/>
        </w:rPr>
        <w:t>响应文件封面（参考格式）</w:t>
      </w:r>
      <w:bookmarkEnd w:id="59"/>
      <w:bookmarkEnd w:id="60"/>
    </w:p>
    <w:p w14:paraId="50014F73">
      <w:pPr>
        <w:keepNext w:val="0"/>
        <w:keepLines w:val="0"/>
        <w:widowControl/>
        <w:suppressLineNumbers w:val="0"/>
        <w:jc w:val="left"/>
        <w:rPr>
          <w:rFonts w:hint="eastAsia" w:ascii="仿宋" w:hAnsi="仿宋" w:eastAsia="仿宋" w:cs="仿宋"/>
          <w:b/>
          <w:bCs/>
          <w:color w:val="000000"/>
          <w:kern w:val="0"/>
          <w:sz w:val="84"/>
          <w:szCs w:val="84"/>
          <w:highlight w:val="none"/>
          <w:lang w:val="en-US" w:eastAsia="zh-CN" w:bidi="ar"/>
        </w:rPr>
      </w:pPr>
    </w:p>
    <w:p w14:paraId="5C94FB1B">
      <w:pPr>
        <w:pStyle w:val="25"/>
        <w:rPr>
          <w:rFonts w:hint="eastAsia" w:ascii="仿宋" w:hAnsi="仿宋" w:eastAsia="仿宋" w:cs="仿宋"/>
          <w:highlight w:val="none"/>
          <w:lang w:val="en-US" w:eastAsia="zh-CN"/>
        </w:rPr>
      </w:pPr>
    </w:p>
    <w:p w14:paraId="79FB2305">
      <w:pPr>
        <w:keepNext w:val="0"/>
        <w:keepLines w:val="0"/>
        <w:widowControl/>
        <w:suppressLineNumbers w:val="0"/>
        <w:jc w:val="center"/>
        <w:rPr>
          <w:rFonts w:hint="eastAsia" w:ascii="仿宋" w:hAnsi="仿宋" w:eastAsia="仿宋" w:cs="仿宋"/>
          <w:highlight w:val="none"/>
        </w:rPr>
      </w:pPr>
      <w:r>
        <w:rPr>
          <w:rFonts w:hint="eastAsia" w:ascii="仿宋" w:hAnsi="仿宋" w:eastAsia="仿宋" w:cs="仿宋"/>
          <w:b/>
          <w:bCs/>
          <w:color w:val="000000"/>
          <w:kern w:val="0"/>
          <w:sz w:val="84"/>
          <w:szCs w:val="84"/>
          <w:highlight w:val="none"/>
          <w:lang w:val="en-US" w:eastAsia="zh-CN" w:bidi="ar"/>
        </w:rPr>
        <w:t>响应文件</w:t>
      </w:r>
    </w:p>
    <w:p w14:paraId="49DDA634">
      <w:pPr>
        <w:keepNext w:val="0"/>
        <w:keepLines w:val="0"/>
        <w:widowControl/>
        <w:suppressLineNumbers w:val="0"/>
        <w:jc w:val="left"/>
        <w:rPr>
          <w:rFonts w:hint="eastAsia" w:ascii="仿宋" w:hAnsi="仿宋" w:eastAsia="仿宋" w:cs="仿宋"/>
          <w:b/>
          <w:bCs/>
          <w:color w:val="000000"/>
          <w:kern w:val="0"/>
          <w:sz w:val="52"/>
          <w:szCs w:val="52"/>
          <w:highlight w:val="none"/>
          <w:lang w:val="en-US" w:eastAsia="zh-CN" w:bidi="ar"/>
        </w:rPr>
      </w:pPr>
    </w:p>
    <w:p w14:paraId="52E8724A">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52"/>
          <w:szCs w:val="52"/>
          <w:highlight w:val="none"/>
          <w:lang w:val="en-US" w:eastAsia="zh-CN" w:bidi="ar"/>
        </w:rPr>
        <w:t xml:space="preserve"> </w:t>
      </w:r>
    </w:p>
    <w:p w14:paraId="58A406E5">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FCC63D3">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0C9D70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5B81DAA7">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eastAsia="仿宋" w:cs="仿宋_GB2312"/>
          <w:highlight w:val="none"/>
        </w:rPr>
      </w:pPr>
      <w:r>
        <w:rPr>
          <w:rFonts w:hint="eastAsia" w:ascii="仿宋" w:hAnsi="仿宋" w:eastAsia="仿宋" w:cs="仿宋_GB2312"/>
          <w:b/>
          <w:bCs/>
          <w:color w:val="000000"/>
          <w:kern w:val="0"/>
          <w:sz w:val="31"/>
          <w:szCs w:val="31"/>
          <w:highlight w:val="none"/>
          <w:lang w:bidi="ar"/>
        </w:rPr>
        <w:t xml:space="preserve">项目名称: </w:t>
      </w:r>
    </w:p>
    <w:p w14:paraId="717553A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eastAsia="仿宋" w:cs="仿宋_GB2312"/>
          <w:b/>
          <w:bCs/>
          <w:color w:val="000000"/>
          <w:kern w:val="0"/>
          <w:sz w:val="31"/>
          <w:szCs w:val="31"/>
          <w:highlight w:val="none"/>
          <w:lang w:bidi="ar"/>
        </w:rPr>
      </w:pPr>
      <w:r>
        <w:rPr>
          <w:rFonts w:hint="eastAsia" w:ascii="仿宋" w:hAnsi="仿宋" w:eastAsia="仿宋" w:cs="仿宋_GB2312"/>
          <w:b/>
          <w:bCs/>
          <w:color w:val="000000"/>
          <w:kern w:val="0"/>
          <w:sz w:val="31"/>
          <w:szCs w:val="31"/>
          <w:highlight w:val="none"/>
          <w:lang w:bidi="ar"/>
        </w:rPr>
        <w:t>项目编号：</w:t>
      </w:r>
    </w:p>
    <w:p w14:paraId="5FC2417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eastAsia="仿宋" w:cs="仿宋"/>
          <w:highlight w:val="none"/>
        </w:rPr>
      </w:pPr>
      <w:r>
        <w:rPr>
          <w:rFonts w:hint="eastAsia" w:ascii="仿宋" w:hAnsi="仿宋" w:eastAsia="仿宋" w:cs="仿宋_GB2312"/>
          <w:b/>
          <w:bCs/>
          <w:color w:val="000000"/>
          <w:kern w:val="0"/>
          <w:sz w:val="31"/>
          <w:szCs w:val="31"/>
          <w:highlight w:val="none"/>
          <w:lang w:val="en-US" w:eastAsia="zh-CN" w:bidi="ar"/>
        </w:rPr>
        <w:t>标项(包)名称：</w:t>
      </w:r>
      <w:r>
        <w:rPr>
          <w:rFonts w:hint="eastAsia" w:ascii="仿宋" w:hAnsi="仿宋" w:eastAsia="仿宋" w:cs="仿宋_GB2312"/>
          <w:b/>
          <w:bCs/>
          <w:color w:val="000000"/>
          <w:kern w:val="0"/>
          <w:sz w:val="31"/>
          <w:szCs w:val="31"/>
          <w:highlight w:val="none"/>
          <w:lang w:bidi="ar"/>
        </w:rPr>
        <w:t xml:space="preserve"> </w:t>
      </w:r>
      <w:r>
        <w:rPr>
          <w:rFonts w:hint="eastAsia" w:ascii="仿宋" w:hAnsi="仿宋" w:eastAsia="仿宋" w:cs="仿宋"/>
          <w:b/>
          <w:bCs/>
          <w:color w:val="000000"/>
          <w:kern w:val="0"/>
          <w:sz w:val="31"/>
          <w:szCs w:val="31"/>
          <w:highlight w:val="none"/>
          <w:lang w:val="en-US" w:eastAsia="zh-CN" w:bidi="ar"/>
        </w:rPr>
        <w:t xml:space="preserve"> </w:t>
      </w:r>
    </w:p>
    <w:p w14:paraId="4D31D4A0">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0614C96">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381328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220EE36">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供应商名称（电子印章）：</w:t>
      </w:r>
    </w:p>
    <w:p w14:paraId="267CDB0D">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法定代表人或其授权代表签字（或电子印章）：</w:t>
      </w:r>
    </w:p>
    <w:p w14:paraId="7D72024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FCFAF1E">
      <w:pPr>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br w:type="page"/>
      </w:r>
    </w:p>
    <w:p w14:paraId="60BC5CF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default" w:ascii="仿宋" w:hAnsi="仿宋" w:eastAsia="仿宋" w:cs="仿宋"/>
          <w:b/>
          <w:bCs/>
          <w:color w:val="000000"/>
          <w:kern w:val="0"/>
          <w:sz w:val="24"/>
          <w:szCs w:val="24"/>
          <w:highlight w:val="none"/>
          <w:lang w:val="en-US" w:eastAsia="zh-CN" w:bidi="ar"/>
        </w:rPr>
      </w:pPr>
      <w:bookmarkStart w:id="61" w:name="_Toc5149"/>
      <w:r>
        <w:rPr>
          <w:rFonts w:hint="eastAsia" w:ascii="仿宋" w:hAnsi="仿宋" w:eastAsia="仿宋" w:cs="仿宋"/>
          <w:b/>
          <w:bCs/>
          <w:color w:val="000000"/>
          <w:kern w:val="0"/>
          <w:sz w:val="24"/>
          <w:szCs w:val="24"/>
          <w:highlight w:val="none"/>
          <w:lang w:val="en-US" w:eastAsia="zh-CN" w:bidi="ar"/>
        </w:rPr>
        <w:t>一、资格证明文件</w:t>
      </w:r>
      <w:bookmarkEnd w:id="61"/>
    </w:p>
    <w:p w14:paraId="1C83E00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 xml:space="preserve">1、满足《中华人民共和国政府采购法》第二十二条规定及法律法规的其他规定 </w:t>
      </w:r>
    </w:p>
    <w:p w14:paraId="78546986">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p>
    <w:p w14:paraId="29A1082F">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outlineLvl w:val="3"/>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附件 1-1 法人或者其他组织的营业执照等证明文件或自然人的身份证明扫描件;</w:t>
      </w:r>
    </w:p>
    <w:p w14:paraId="34D653F5">
      <w:pPr>
        <w:pStyle w:val="12"/>
        <w:spacing w:line="374" w:lineRule="auto"/>
        <w:ind w:right="1145"/>
        <w:outlineLvl w:val="9"/>
        <w:rPr>
          <w:rFonts w:hint="eastAsia" w:ascii="仿宋" w:hAnsi="仿宋" w:eastAsia="仿宋" w:cs="仿宋"/>
          <w:sz w:val="21"/>
          <w:szCs w:val="21"/>
          <w:highlight w:val="none"/>
        </w:rPr>
      </w:pPr>
    </w:p>
    <w:p w14:paraId="618716D1">
      <w:pPr>
        <w:pStyle w:val="12"/>
        <w:keepNext w:val="0"/>
        <w:keepLines w:val="0"/>
        <w:pageBreakBefore w:val="0"/>
        <w:widowControl w:val="0"/>
        <w:kinsoku/>
        <w:wordWrap/>
        <w:overflowPunct/>
        <w:topLinePunct w:val="0"/>
        <w:autoSpaceDE/>
        <w:autoSpaceDN/>
        <w:bidi w:val="0"/>
        <w:adjustRightInd/>
        <w:snapToGrid/>
        <w:spacing w:line="375" w:lineRule="auto"/>
        <w:ind w:right="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说明：1.提供有效的营业执照等证明文件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7BEA553F">
      <w:pPr>
        <w:pStyle w:val="12"/>
        <w:spacing w:line="374" w:lineRule="auto"/>
        <w:ind w:right="1145" w:firstLine="720" w:firstLineChars="300"/>
        <w:outlineLvl w:val="9"/>
        <w:rPr>
          <w:rFonts w:hint="eastAsia" w:ascii="仿宋" w:hAnsi="仿宋" w:eastAsia="仿宋" w:cs="仿宋"/>
          <w:sz w:val="24"/>
          <w:szCs w:val="24"/>
          <w:highlight w:val="none"/>
        </w:rPr>
      </w:pPr>
      <w:bookmarkStart w:id="62" w:name="_Toc1278"/>
      <w:bookmarkStart w:id="63" w:name="_Toc27013"/>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为自然人的，应提供身份证明的</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rPr>
        <w:t>。</w:t>
      </w:r>
      <w:bookmarkEnd w:id="62"/>
      <w:bookmarkEnd w:id="63"/>
    </w:p>
    <w:p w14:paraId="6EA3230B">
      <w:pPr>
        <w:pStyle w:val="12"/>
        <w:tabs>
          <w:tab w:val="left" w:pos="1560"/>
          <w:tab w:val="left" w:pos="2040"/>
        </w:tabs>
        <w:spacing w:before="66"/>
        <w:ind w:firstLine="720" w:firstLineChars="300"/>
        <w:outlineLvl w:val="9"/>
        <w:rPr>
          <w:rFonts w:hint="eastAsia" w:ascii="仿宋" w:hAnsi="仿宋" w:eastAsia="仿宋" w:cs="仿宋"/>
          <w:sz w:val="24"/>
          <w:szCs w:val="24"/>
          <w:highlight w:val="none"/>
        </w:rPr>
      </w:pPr>
      <w:bookmarkStart w:id="64" w:name="_Toc18314"/>
      <w:bookmarkStart w:id="65" w:name="_Toc3454"/>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联合体投标应提供联合体各方满足以上要求的证明文件。</w:t>
      </w:r>
      <w:bookmarkEnd w:id="64"/>
      <w:bookmarkEnd w:id="65"/>
    </w:p>
    <w:p w14:paraId="56173903">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7E237585">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7F704ED3">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85578A6">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2</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具有良好的商业信誉和健全的财务会计制度的证明文件</w:t>
      </w:r>
    </w:p>
    <w:p w14:paraId="0CC62B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5A308A61">
      <w:pPr>
        <w:pStyle w:val="12"/>
        <w:keepNext w:val="0"/>
        <w:keepLines w:val="0"/>
        <w:pageBreakBefore w:val="0"/>
        <w:widowControl w:val="0"/>
        <w:kinsoku/>
        <w:wordWrap/>
        <w:overflowPunct/>
        <w:topLinePunct w:val="0"/>
        <w:autoSpaceDE/>
        <w:autoSpaceDN/>
        <w:bidi w:val="0"/>
        <w:adjustRightInd/>
        <w:snapToGrid/>
        <w:spacing w:line="375" w:lineRule="auto"/>
        <w:ind w:right="0"/>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128D1384">
      <w:pPr>
        <w:pStyle w:val="12"/>
        <w:spacing w:line="360" w:lineRule="auto"/>
        <w:ind w:right="56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、若提供的是</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rPr>
        <w:t>，采购人、采购代理机构保留审核原件的权利。</w:t>
      </w:r>
    </w:p>
    <w:p w14:paraId="58DA2B8D">
      <w:pPr>
        <w:pStyle w:val="12"/>
        <w:spacing w:line="360" w:lineRule="auto"/>
        <w:ind w:right="56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如果是联合体投标，联合体各方均需提供上述证明</w:t>
      </w:r>
      <w:r>
        <w:rPr>
          <w:rFonts w:hint="eastAsia" w:ascii="仿宋" w:hAnsi="仿宋" w:eastAsia="仿宋" w:cs="仿宋"/>
          <w:sz w:val="24"/>
          <w:szCs w:val="24"/>
          <w:highlight w:val="none"/>
        </w:rPr>
        <w:t>。</w:t>
      </w:r>
    </w:p>
    <w:p w14:paraId="49F7248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0141EC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1D958AC1">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3</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缴纳税收的证明</w:t>
      </w:r>
    </w:p>
    <w:p w14:paraId="65DC97A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bookmarkStart w:id="66" w:name="_Toc27172"/>
      <w:r>
        <w:rPr>
          <w:rFonts w:hint="eastAsia" w:ascii="仿宋" w:hAnsi="仿宋" w:eastAsia="仿宋" w:cs="仿宋"/>
          <w:color w:val="000000"/>
          <w:kern w:val="0"/>
          <w:sz w:val="24"/>
          <w:highlight w:val="none"/>
          <w:u w:val="none"/>
          <w:lang w:bidi="ar"/>
        </w:rPr>
        <w:t>说明：</w:t>
      </w:r>
    </w:p>
    <w:p w14:paraId="79FD38C2">
      <w:pPr>
        <w:pStyle w:val="12"/>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缴纳税收的证明</w:t>
      </w:r>
      <w:r>
        <w:rPr>
          <w:rFonts w:hint="eastAsia" w:ascii="仿宋" w:hAnsi="仿宋" w:eastAsia="仿宋" w:cs="仿宋"/>
          <w:sz w:val="24"/>
          <w:szCs w:val="24"/>
          <w:highlight w:val="none"/>
          <w:lang w:val="en-US" w:eastAsia="zh-CN"/>
        </w:rPr>
        <w:t>扫描件</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75EF3FFC">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w:t>
      </w:r>
      <w:r>
        <w:rPr>
          <w:rFonts w:hint="eastAsia" w:ascii="仿宋" w:hAnsi="仿宋" w:eastAsia="仿宋" w:cs="仿宋"/>
          <w:color w:val="000000"/>
          <w:kern w:val="0"/>
          <w:sz w:val="24"/>
          <w:highlight w:val="none"/>
          <w:u w:val="none"/>
          <w:lang w:eastAsia="zh-CN" w:bidi="ar"/>
        </w:rPr>
        <w:t>扫描件</w:t>
      </w:r>
      <w:r>
        <w:rPr>
          <w:rFonts w:hint="eastAsia" w:ascii="仿宋" w:hAnsi="仿宋" w:eastAsia="仿宋" w:cs="仿宋"/>
          <w:color w:val="000000"/>
          <w:kern w:val="0"/>
          <w:sz w:val="24"/>
          <w:highlight w:val="none"/>
          <w:u w:val="none"/>
          <w:lang w:bidi="ar"/>
        </w:rPr>
        <w:t>，采购人、采购代理机构保留审核原件的权利。</w:t>
      </w:r>
    </w:p>
    <w:p w14:paraId="3D9CF2C1">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3、如果是联合体投标，联合体各方均需提供上述证明。</w:t>
      </w:r>
    </w:p>
    <w:p w14:paraId="6D4E0AA4">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bookmarkEnd w:id="66"/>
    </w:p>
    <w:p w14:paraId="30B10480">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4</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为职工缴纳社会保险的证明</w:t>
      </w:r>
    </w:p>
    <w:p w14:paraId="0CBCD94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7493C303">
      <w:pPr>
        <w:pStyle w:val="12"/>
        <w:keepNext w:val="0"/>
        <w:keepLines w:val="0"/>
        <w:pageBreakBefore w:val="0"/>
        <w:widowControl w:val="0"/>
        <w:kinsoku/>
        <w:wordWrap/>
        <w:overflowPunct/>
        <w:topLinePunct w:val="0"/>
        <w:autoSpaceDE/>
        <w:autoSpaceDN/>
        <w:bidi w:val="0"/>
        <w:adjustRightInd/>
        <w:snapToGrid/>
        <w:spacing w:line="360" w:lineRule="auto"/>
        <w:ind w:right="0"/>
        <w:textAlignment w:val="auto"/>
        <w:rPr>
          <w:rFonts w:hint="eastAsia" w:ascii="仿宋" w:hAnsi="仿宋" w:eastAsia="仿宋" w:cs="仿宋"/>
          <w:color w:val="000000"/>
          <w:kern w:val="0"/>
          <w:sz w:val="24"/>
          <w:highlight w:val="none"/>
          <w:u w:val="none"/>
          <w:lang w:bidi="ar"/>
        </w:rPr>
      </w:pPr>
      <w:bookmarkStart w:id="67" w:name="_Toc3006"/>
      <w:r>
        <w:rPr>
          <w:rFonts w:hint="eastAsia" w:ascii="仿宋" w:hAnsi="仿宋" w:eastAsia="仿宋" w:cs="仿宋"/>
          <w:color w:val="000000"/>
          <w:kern w:val="0"/>
          <w:sz w:val="24"/>
          <w:highlight w:val="none"/>
          <w:u w:val="none"/>
          <w:lang w:bidi="ar"/>
        </w:rPr>
        <w:t>1、</w:t>
      </w:r>
      <w:bookmarkEnd w:id="67"/>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为职工缴纳社会保险的</w:t>
      </w:r>
      <w:r>
        <w:rPr>
          <w:rFonts w:hint="eastAsia" w:ascii="仿宋" w:hAnsi="仿宋" w:eastAsia="仿宋" w:cs="仿宋"/>
          <w:sz w:val="24"/>
          <w:szCs w:val="24"/>
          <w:highlight w:val="none"/>
          <w:lang w:val="en-US" w:eastAsia="zh-CN"/>
        </w:rPr>
        <w:t>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w:t>
      </w:r>
    </w:p>
    <w:p w14:paraId="2AF2DB13">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w:t>
      </w:r>
      <w:r>
        <w:rPr>
          <w:rFonts w:hint="eastAsia" w:ascii="仿宋" w:hAnsi="仿宋" w:eastAsia="仿宋" w:cs="仿宋"/>
          <w:color w:val="000000"/>
          <w:kern w:val="0"/>
          <w:sz w:val="24"/>
          <w:highlight w:val="none"/>
          <w:u w:val="none"/>
          <w:lang w:eastAsia="zh-CN" w:bidi="ar"/>
        </w:rPr>
        <w:t>扫描件</w:t>
      </w:r>
      <w:r>
        <w:rPr>
          <w:rFonts w:hint="eastAsia" w:ascii="仿宋" w:hAnsi="仿宋" w:eastAsia="仿宋" w:cs="仿宋"/>
          <w:color w:val="000000"/>
          <w:kern w:val="0"/>
          <w:sz w:val="24"/>
          <w:highlight w:val="none"/>
          <w:u w:val="none"/>
          <w:lang w:bidi="ar"/>
        </w:rPr>
        <w:t>，采购人、采购代理机构保留审核原件的权利。</w:t>
      </w:r>
    </w:p>
    <w:p w14:paraId="6F3CEE0D">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bookmarkStart w:id="68" w:name="_Toc28907"/>
      <w:r>
        <w:rPr>
          <w:rFonts w:hint="eastAsia" w:ascii="仿宋" w:hAnsi="仿宋" w:eastAsia="仿宋" w:cs="仿宋"/>
          <w:color w:val="000000"/>
          <w:kern w:val="0"/>
          <w:sz w:val="24"/>
          <w:highlight w:val="none"/>
          <w:u w:val="none"/>
          <w:lang w:bidi="ar"/>
        </w:rPr>
        <w:t>3、如果是联合体投标，联合体各方均需提供上述证明。</w:t>
      </w:r>
      <w:bookmarkEnd w:id="68"/>
    </w:p>
    <w:p w14:paraId="2B5D407D">
      <w:pPr>
        <w:rPr>
          <w:rFonts w:hint="eastAsia" w:ascii="仿宋" w:hAnsi="仿宋" w:eastAsia="仿宋" w:cs="仿宋"/>
          <w:color w:val="000000"/>
          <w:kern w:val="0"/>
          <w:sz w:val="24"/>
          <w:highlight w:val="none"/>
          <w:u w:val="none"/>
          <w:lang w:bidi="ar"/>
        </w:rPr>
      </w:pPr>
    </w:p>
    <w:p w14:paraId="190840C9">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06D88F62">
      <w:pPr>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5</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资格声明书</w:t>
      </w:r>
    </w:p>
    <w:p w14:paraId="10E72C99">
      <w:pPr>
        <w:rPr>
          <w:rFonts w:hint="eastAsia" w:ascii="仿宋" w:hAnsi="仿宋" w:eastAsia="仿宋" w:cs="仿宋"/>
          <w:color w:val="000000"/>
          <w:kern w:val="0"/>
          <w:sz w:val="24"/>
          <w:highlight w:val="none"/>
          <w:u w:val="none"/>
          <w:lang w:bidi="ar"/>
        </w:rPr>
      </w:pPr>
    </w:p>
    <w:p w14:paraId="137105D2">
      <w:pPr>
        <w:keepNext w:val="0"/>
        <w:keepLines w:val="0"/>
        <w:widowControl/>
        <w:suppressLineNumbers w:val="0"/>
        <w:jc w:val="center"/>
        <w:rPr>
          <w:rFonts w:hint="eastAsia" w:ascii="仿宋" w:hAnsi="仿宋" w:eastAsia="仿宋" w:cs="仿宋"/>
          <w:b w:val="0"/>
          <w:bCs w:val="0"/>
          <w:sz w:val="32"/>
          <w:szCs w:val="32"/>
          <w:highlight w:val="none"/>
        </w:rPr>
      </w:pPr>
      <w:r>
        <w:rPr>
          <w:rFonts w:hint="eastAsia" w:ascii="仿宋" w:hAnsi="仿宋" w:eastAsia="仿宋" w:cs="仿宋"/>
          <w:b w:val="0"/>
          <w:bCs w:val="0"/>
          <w:color w:val="000000"/>
          <w:kern w:val="0"/>
          <w:sz w:val="32"/>
          <w:szCs w:val="32"/>
          <w:highlight w:val="none"/>
          <w:lang w:val="en-US" w:eastAsia="zh-CN" w:bidi="ar"/>
        </w:rPr>
        <w:t>供应商资格声明书</w:t>
      </w:r>
    </w:p>
    <w:p w14:paraId="7E2ECB97">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2FC2298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6BCE6B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在参与本次项目采购活动中，我单位承诺： </w:t>
      </w:r>
    </w:p>
    <w:p w14:paraId="7283DB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（一）具有良好的商业信誉和健全的财务会计制度； </w:t>
      </w:r>
    </w:p>
    <w:p w14:paraId="41AE82B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（二）具有履行合同所必需的设备和专业技术能力； </w:t>
      </w:r>
    </w:p>
    <w:p w14:paraId="6ED4FC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（三）有依法缴纳税收和社会保障资金的良好记录； </w:t>
      </w:r>
    </w:p>
    <w:p w14:paraId="2224F6C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2FFCEE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2993498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55AA1EB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63FA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4905659">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序号</w:t>
            </w:r>
          </w:p>
        </w:tc>
        <w:tc>
          <w:tcPr>
            <w:tcW w:w="3798" w:type="dxa"/>
            <w:vAlign w:val="center"/>
          </w:tcPr>
          <w:p w14:paraId="0663A477">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单位名称</w:t>
            </w:r>
          </w:p>
        </w:tc>
        <w:tc>
          <w:tcPr>
            <w:tcW w:w="3406" w:type="dxa"/>
            <w:vAlign w:val="center"/>
          </w:tcPr>
          <w:p w14:paraId="0473CCE0">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相互关系</w:t>
            </w:r>
          </w:p>
        </w:tc>
      </w:tr>
      <w:tr w14:paraId="22409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9005C9D">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1</w:t>
            </w:r>
          </w:p>
        </w:tc>
        <w:tc>
          <w:tcPr>
            <w:tcW w:w="3798" w:type="dxa"/>
          </w:tcPr>
          <w:p w14:paraId="1D281BC2">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1B425D34">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55E02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2CB723B">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2</w:t>
            </w:r>
          </w:p>
        </w:tc>
        <w:tc>
          <w:tcPr>
            <w:tcW w:w="3798" w:type="dxa"/>
          </w:tcPr>
          <w:p w14:paraId="47948190">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5D53CB4B">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47FA7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1231FB00">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w:t>
            </w:r>
          </w:p>
        </w:tc>
        <w:tc>
          <w:tcPr>
            <w:tcW w:w="3798" w:type="dxa"/>
          </w:tcPr>
          <w:p w14:paraId="733C221A">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50AF7E25">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bl>
    <w:p w14:paraId="088231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上述声明真实有效，否则我方负全部责任。 </w:t>
      </w:r>
    </w:p>
    <w:p w14:paraId="1AD6EAB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F57225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7E73433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供应商名称：  </w:t>
      </w:r>
      <w:r>
        <w:rPr>
          <w:rFonts w:hint="eastAsia" w:ascii="仿宋" w:hAnsi="仿宋" w:eastAsia="仿宋" w:cs="仿宋"/>
          <w:i w:val="0"/>
          <w:iCs w:val="0"/>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（加盖电子印章）</w:t>
      </w:r>
    </w:p>
    <w:p w14:paraId="2F40852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法定代表人或其授权代理人：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ab/>
      </w:r>
      <w:r>
        <w:rPr>
          <w:rFonts w:hint="eastAsia" w:ascii="仿宋" w:hAnsi="仿宋" w:eastAsia="仿宋" w:cs="仿宋"/>
          <w:color w:val="000000"/>
          <w:kern w:val="0"/>
          <w:sz w:val="24"/>
          <w:szCs w:val="24"/>
          <w:highlight w:val="none"/>
          <w:u w:val="single"/>
          <w:lang w:val="en-US" w:eastAsia="zh-CN" w:bidi="ar"/>
        </w:rPr>
        <w:t>（签字或加盖电子印章）</w:t>
      </w:r>
      <w:r>
        <w:rPr>
          <w:rFonts w:hint="eastAsia" w:ascii="仿宋" w:hAnsi="仿宋" w:eastAsia="仿宋" w:cs="仿宋"/>
          <w:color w:val="000000"/>
          <w:kern w:val="0"/>
          <w:sz w:val="24"/>
          <w:szCs w:val="24"/>
          <w:highlight w:val="none"/>
          <w:lang w:val="en-US" w:eastAsia="zh-CN" w:bidi="ar"/>
        </w:rPr>
        <w:tab/>
      </w:r>
    </w:p>
    <w:p w14:paraId="47750E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C12E46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5AAB28C0">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说明：供应商承诺不实的，依据《政府采购法》第七十七条“提供虚假材料谋取中标、成交的”有关规定予以处理。</w:t>
      </w:r>
    </w:p>
    <w:p w14:paraId="17147CD9">
      <w:pPr>
        <w:rPr>
          <w:rFonts w:hint="eastAsia" w:ascii="仿宋" w:hAnsi="仿宋" w:eastAsia="仿宋" w:cs="仿宋"/>
          <w:color w:val="000000"/>
          <w:kern w:val="0"/>
          <w:sz w:val="24"/>
          <w:szCs w:val="24"/>
          <w:highlight w:val="none"/>
          <w:lang w:val="en-US" w:eastAsia="zh-CN" w:bidi="ar"/>
        </w:rPr>
      </w:pPr>
    </w:p>
    <w:p w14:paraId="604C67E6">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6458A4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2"/>
        <w:rPr>
          <w:rFonts w:hint="eastAsia" w:ascii="仿宋" w:hAnsi="仿宋" w:eastAsia="仿宋" w:cs="仿宋"/>
          <w:b/>
          <w:bCs/>
          <w:sz w:val="24"/>
          <w:szCs w:val="24"/>
          <w:highlight w:val="none"/>
        </w:rPr>
      </w:pPr>
      <w:bookmarkStart w:id="69" w:name="_Toc21978"/>
      <w:r>
        <w:rPr>
          <w:rFonts w:hint="eastAsia" w:ascii="仿宋" w:hAnsi="仿宋" w:eastAsia="仿宋" w:cs="仿宋"/>
          <w:b/>
          <w:bCs/>
          <w:color w:val="000000"/>
          <w:kern w:val="0"/>
          <w:sz w:val="24"/>
          <w:szCs w:val="24"/>
          <w:highlight w:val="none"/>
          <w:lang w:val="en-US" w:eastAsia="zh-CN" w:bidi="ar"/>
        </w:rPr>
        <w:t>2、落实政府采购政策需满足的资格要求（如有）</w:t>
      </w:r>
      <w:bookmarkEnd w:id="69"/>
      <w:r>
        <w:rPr>
          <w:rFonts w:hint="eastAsia" w:ascii="仿宋" w:hAnsi="仿宋" w:eastAsia="仿宋" w:cs="仿宋"/>
          <w:b/>
          <w:bCs/>
          <w:color w:val="000000"/>
          <w:kern w:val="0"/>
          <w:sz w:val="24"/>
          <w:szCs w:val="24"/>
          <w:highlight w:val="none"/>
          <w:lang w:val="en-US" w:eastAsia="zh-CN" w:bidi="ar"/>
        </w:rPr>
        <w:t xml:space="preserve"> </w:t>
      </w:r>
    </w:p>
    <w:p w14:paraId="382E83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3"/>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2-1 中小企业声明函 </w:t>
      </w:r>
    </w:p>
    <w:p w14:paraId="381BE23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14:paraId="400AA99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（1）如本项目（包）不专门面向中小企业预留采购份额，资格证明文件部分无需提供《中小企业声明函》。 如在“商务、技术文件中提供”提供《中小企业声明函》享受相关政策，不享受相关政策的供应商无需提供。</w:t>
      </w:r>
    </w:p>
    <w:p w14:paraId="19CD67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（2）如本项目（包）专门面向中小/小微企业采购，须提供《中小企业声明函》，</w:t>
      </w:r>
      <w:r>
        <w:rPr>
          <w:rFonts w:hint="eastAsia" w:ascii="仿宋" w:hAnsi="仿宋" w:eastAsia="仿宋" w:cs="仿宋"/>
          <w:b/>
          <w:bCs/>
          <w:color w:val="000000"/>
          <w:kern w:val="0"/>
          <w:sz w:val="28"/>
          <w:szCs w:val="28"/>
          <w:highlight w:val="none"/>
          <w:lang w:val="en-US" w:eastAsia="zh-CN" w:bidi="ar"/>
        </w:rPr>
        <w:t>申明函格式不得修改</w:t>
      </w:r>
      <w:r>
        <w:rPr>
          <w:rFonts w:hint="eastAsia" w:ascii="仿宋" w:hAnsi="仿宋" w:eastAsia="仿宋" w:cs="仿宋"/>
          <w:color w:val="000000"/>
          <w:kern w:val="0"/>
          <w:sz w:val="24"/>
          <w:szCs w:val="24"/>
          <w:highlight w:val="none"/>
          <w:lang w:val="en-US" w:eastAsia="zh-CN" w:bidi="ar"/>
        </w:rPr>
        <w:t>，否则不得享受相关中小企业扶持政策，不满足资格要求。</w:t>
      </w:r>
      <w:r>
        <w:rPr>
          <w:rFonts w:hint="eastAsia" w:ascii="仿宋" w:hAnsi="仿宋" w:eastAsia="仿宋" w:cs="仿宋"/>
          <w:b/>
          <w:bCs/>
          <w:color w:val="000000"/>
          <w:kern w:val="0"/>
          <w:sz w:val="28"/>
          <w:szCs w:val="28"/>
          <w:highlight w:val="none"/>
          <w:lang w:val="en-US" w:eastAsia="zh-CN" w:bidi="ar"/>
        </w:rPr>
        <w:t>供应商根据项目属性选择申明函格式</w:t>
      </w:r>
      <w:r>
        <w:rPr>
          <w:rFonts w:hint="eastAsia" w:ascii="仿宋" w:hAnsi="仿宋" w:eastAsia="仿宋" w:cs="仿宋"/>
          <w:color w:val="000000"/>
          <w:kern w:val="0"/>
          <w:sz w:val="24"/>
          <w:szCs w:val="24"/>
          <w:highlight w:val="none"/>
          <w:lang w:val="en-US" w:eastAsia="zh-CN" w:bidi="ar"/>
        </w:rPr>
        <w:t xml:space="preserve">。 </w:t>
      </w:r>
    </w:p>
    <w:p w14:paraId="28D4989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highlight w:val="none"/>
        </w:rPr>
      </w:pPr>
      <w:r>
        <w:rPr>
          <w:rFonts w:hint="eastAsia" w:ascii="仿宋" w:hAnsi="仿宋" w:eastAsia="仿宋" w:cs="仿宋"/>
          <w:color w:val="000000"/>
          <w:kern w:val="0"/>
          <w:sz w:val="24"/>
          <w:szCs w:val="24"/>
          <w:highlight w:val="none"/>
          <w:lang w:val="en-US" w:eastAsia="zh-CN" w:bidi="ar"/>
        </w:rPr>
        <w:t>（3）如本项目（包）预留部分采购项目预算专门面向中小企业采购，要求供应商以联合体形式参加采购活动，且联合体中中小企业承担的部分达到一定比例的，须提供《联合协议》、</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中小企业声明函</w:t>
      </w:r>
      <w:r>
        <w:rPr>
          <w:rFonts w:hint="eastAsia" w:ascii="仿宋" w:hAnsi="仿宋" w:eastAsia="仿宋" w:cs="仿宋"/>
          <w:i w:val="0"/>
          <w:iCs w:val="0"/>
          <w:caps w:val="0"/>
          <w:color w:val="000000"/>
          <w:spacing w:val="0"/>
          <w:sz w:val="24"/>
          <w:szCs w:val="24"/>
          <w:highlight w:val="none"/>
          <w:lang w:val="en-US" w:eastAsia="zh-CN"/>
        </w:rPr>
        <w:t>》</w:t>
      </w:r>
      <w:r>
        <w:rPr>
          <w:rFonts w:hint="eastAsia" w:ascii="仿宋" w:hAnsi="仿宋" w:eastAsia="仿宋" w:cs="仿宋"/>
          <w:color w:val="000000"/>
          <w:kern w:val="0"/>
          <w:sz w:val="24"/>
          <w:szCs w:val="24"/>
          <w:highlight w:val="none"/>
          <w:lang w:val="en-US" w:eastAsia="zh-CN" w:bidi="ar"/>
        </w:rPr>
        <w:t>；要求获得采购合同的供应商将采购项目中的一定比例分包给一家或者多家中小企业的，</w:t>
      </w:r>
      <w:r>
        <w:rPr>
          <w:rFonts w:ascii="仿宋" w:hAnsi="仿宋" w:eastAsia="仿宋" w:cs="仿宋"/>
          <w:i w:val="0"/>
          <w:iCs w:val="0"/>
          <w:caps w:val="0"/>
          <w:color w:val="000000"/>
          <w:spacing w:val="0"/>
          <w:sz w:val="24"/>
          <w:szCs w:val="24"/>
          <w:highlight w:val="none"/>
        </w:rPr>
        <w:t>需提供</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中小企业声明函</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分包意向协议</w:t>
      </w:r>
      <w:r>
        <w:rPr>
          <w:rFonts w:hint="eastAsia" w:ascii="仿宋" w:hAnsi="仿宋" w:eastAsia="仿宋" w:cs="仿宋"/>
          <w:i w:val="0"/>
          <w:iCs w:val="0"/>
          <w:caps w:val="0"/>
          <w:color w:val="000000"/>
          <w:spacing w:val="0"/>
          <w:sz w:val="24"/>
          <w:szCs w:val="24"/>
          <w:highlight w:val="none"/>
          <w:lang w:val="en-US" w:eastAsia="zh-CN"/>
        </w:rPr>
        <w:t>》</w:t>
      </w:r>
      <w:r>
        <w:rPr>
          <w:rFonts w:hint="eastAsia" w:ascii="仿宋" w:hAnsi="仿宋" w:eastAsia="仿宋" w:cs="仿宋"/>
          <w:i w:val="0"/>
          <w:iCs w:val="0"/>
          <w:caps w:val="0"/>
          <w:color w:val="000000"/>
          <w:spacing w:val="0"/>
          <w:sz w:val="24"/>
          <w:szCs w:val="24"/>
          <w:highlight w:val="none"/>
          <w:lang w:eastAsia="zh-CN"/>
        </w:rPr>
        <w:t>、</w:t>
      </w:r>
      <w:r>
        <w:rPr>
          <w:rFonts w:hint="eastAsia" w:ascii="仿宋" w:hAnsi="仿宋" w:eastAsia="仿宋" w:cs="仿宋"/>
          <w:i w:val="0"/>
          <w:iCs w:val="0"/>
          <w:caps w:val="0"/>
          <w:color w:val="000000"/>
          <w:spacing w:val="0"/>
          <w:sz w:val="24"/>
          <w:szCs w:val="24"/>
          <w:highlight w:val="none"/>
          <w:lang w:val="en-US" w:eastAsia="zh-CN"/>
        </w:rPr>
        <w:t>《拟分包情况说明》</w:t>
      </w:r>
      <w:r>
        <w:rPr>
          <w:rFonts w:hint="eastAsia" w:ascii="仿宋" w:hAnsi="仿宋" w:eastAsia="仿宋" w:cs="仿宋"/>
          <w:color w:val="000000"/>
          <w:kern w:val="0"/>
          <w:sz w:val="24"/>
          <w:szCs w:val="24"/>
          <w:highlight w:val="none"/>
          <w:lang w:val="en-US" w:eastAsia="zh-CN" w:bidi="ar"/>
        </w:rPr>
        <w:t xml:space="preserve">。 </w:t>
      </w:r>
    </w:p>
    <w:p w14:paraId="4A198DA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（4）其他 </w:t>
      </w:r>
    </w:p>
    <w:p w14:paraId="37D455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1）中小企业参加政府采购活动，应当出具此格式文件。《中小企业声明函》由参加政府采购活动的供应商出具。联合体投标的，《中小企业声明函》由牵头人出具。 </w:t>
      </w:r>
    </w:p>
    <w:p w14:paraId="3330FC6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14:paraId="330BBFF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3）对于多标的的采购项目，供应商应充分、准确地了解所投产品制造企业信息。对相关情况了解不清楚的，不建议填报本声明函。 </w:t>
      </w:r>
    </w:p>
    <w:p w14:paraId="1EFF2A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14:paraId="02BD0B70">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1070F23">
      <w:pPr>
        <w:rPr>
          <w:rFonts w:hint="eastAsia" w:ascii="仿宋" w:hAnsi="仿宋" w:eastAsia="仿宋" w:cs="仿宋"/>
          <w:b w:val="0"/>
          <w:bCs w:val="0"/>
          <w:color w:val="000000"/>
          <w:kern w:val="0"/>
          <w:sz w:val="24"/>
          <w:szCs w:val="24"/>
          <w:highlight w:val="none"/>
          <w:lang w:val="en-US" w:eastAsia="zh-CN" w:bidi="ar"/>
        </w:rPr>
      </w:pPr>
    </w:p>
    <w:p w14:paraId="5C50A46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中小企业声明函（工程、服务）</w:t>
      </w:r>
    </w:p>
    <w:p w14:paraId="77E8D4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518341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本公司（联合体）郑重声明，根据《政府采购促进中小企业发展管理办法》 </w:t>
      </w:r>
    </w:p>
    <w:p w14:paraId="1071882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（财库﹝2020﹞46号）的规定，本公司（联合体）参加</w:t>
      </w:r>
      <w:r>
        <w:rPr>
          <w:rFonts w:hint="eastAsia" w:ascii="仿宋" w:hAnsi="仿宋" w:eastAsia="仿宋" w:cs="仿宋"/>
          <w:i/>
          <w:iCs/>
          <w:color w:val="000000"/>
          <w:kern w:val="0"/>
          <w:sz w:val="24"/>
          <w:szCs w:val="24"/>
          <w:highlight w:val="none"/>
          <w:u w:val="single"/>
          <w:lang w:val="en-US" w:eastAsia="zh-CN" w:bidi="ar"/>
        </w:rPr>
        <w:t>（单位名称）</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i/>
          <w:iCs/>
          <w:color w:val="000000"/>
          <w:kern w:val="0"/>
          <w:sz w:val="24"/>
          <w:szCs w:val="24"/>
          <w:highlight w:val="none"/>
          <w:u w:val="single"/>
          <w:lang w:val="en-US" w:eastAsia="zh-CN" w:bidi="ar"/>
        </w:rPr>
        <w:t>（项目名称）</w:t>
      </w:r>
      <w:r>
        <w:rPr>
          <w:rFonts w:hint="eastAsia" w:ascii="仿宋" w:hAnsi="仿宋" w:eastAsia="仿宋" w:cs="仿宋"/>
          <w:color w:val="000000"/>
          <w:kern w:val="0"/>
          <w:sz w:val="24"/>
          <w:szCs w:val="24"/>
          <w:highlight w:val="none"/>
          <w:lang w:val="en-US" w:eastAsia="zh-CN"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00CC732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 xml:space="preserve">；承建（承接）企业 </w:t>
      </w:r>
    </w:p>
    <w:p w14:paraId="527B72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14F249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；承建（承接）企业</w:t>
      </w:r>
    </w:p>
    <w:p w14:paraId="7D6908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6DB9AD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w:t>
      </w:r>
    </w:p>
    <w:p w14:paraId="0CDF12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以上企业，不属于大企业的分支机构，不存在控股股东为大企业的情形， </w:t>
      </w:r>
    </w:p>
    <w:p w14:paraId="11134C4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也不存在与大企业的负责人为同一人的情形。 </w:t>
      </w:r>
    </w:p>
    <w:p w14:paraId="02A2ED9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本企业对上述声明内容的真实性负责。如有虚假，将依法承担相应责任。</w:t>
      </w:r>
    </w:p>
    <w:p w14:paraId="05E27176">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p>
    <w:p w14:paraId="51F96A7D">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u w:val="singl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r>
        <w:rPr>
          <w:rFonts w:hint="eastAsia" w:ascii="仿宋" w:hAnsi="仿宋" w:eastAsia="仿宋" w:cs="仿宋"/>
          <w:i w:val="0"/>
          <w:iCs w:val="0"/>
          <w:caps w:val="0"/>
          <w:color w:val="000000"/>
          <w:spacing w:val="0"/>
          <w:sz w:val="24"/>
          <w:szCs w:val="24"/>
          <w:highlight w:val="none"/>
        </w:rPr>
        <w:t>企业名称（</w:t>
      </w:r>
      <w:r>
        <w:rPr>
          <w:rFonts w:hint="eastAsia" w:ascii="仿宋" w:hAnsi="仿宋" w:eastAsia="仿宋" w:cs="仿宋"/>
          <w:sz w:val="24"/>
          <w:highlight w:val="none"/>
          <w:lang w:val="en-US" w:eastAsia="zh-CN"/>
        </w:rPr>
        <w:t>电子印章</w:t>
      </w:r>
      <w:r>
        <w:rPr>
          <w:rFonts w:hint="eastAsia" w:ascii="仿宋" w:hAnsi="仿宋" w:eastAsia="仿宋" w:cs="仿宋"/>
          <w:i w:val="0"/>
          <w:iCs w:val="0"/>
          <w:caps w:val="0"/>
          <w:color w:val="000000"/>
          <w:spacing w:val="0"/>
          <w:sz w:val="24"/>
          <w:szCs w:val="24"/>
          <w:highlight w:val="none"/>
        </w:rPr>
        <w:t>）：</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116DAC10">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000000"/>
          <w:spacing w:val="0"/>
          <w:sz w:val="27"/>
          <w:szCs w:val="27"/>
          <w:highlight w:val="none"/>
          <w:u w:val="single"/>
          <w:lang w:val="en-US" w:eastAsia="zh-CN"/>
        </w:rPr>
      </w:pPr>
      <w:r>
        <w:rPr>
          <w:rFonts w:hint="eastAsia" w:ascii="仿宋" w:hAnsi="仿宋" w:eastAsia="仿宋" w:cs="仿宋"/>
          <w:i w:val="0"/>
          <w:iCs w:val="0"/>
          <w:caps w:val="0"/>
          <w:color w:val="000000"/>
          <w:spacing w:val="0"/>
          <w:sz w:val="24"/>
          <w:szCs w:val="24"/>
          <w:highlight w:val="none"/>
        </w:rPr>
        <w:t>日期：</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1320E07C">
      <w:pPr>
        <w:rPr>
          <w:rFonts w:hint="eastAsia" w:ascii="仿宋" w:hAnsi="仿宋" w:eastAsia="仿宋" w:cs="仿宋"/>
          <w:b w:val="0"/>
          <w:bCs w:val="0"/>
          <w:color w:val="000000"/>
          <w:kern w:val="0"/>
          <w:sz w:val="21"/>
          <w:szCs w:val="21"/>
          <w:highlight w:val="none"/>
          <w:lang w:val="en-US" w:eastAsia="zh-CN" w:bidi="ar"/>
        </w:rPr>
      </w:pPr>
    </w:p>
    <w:p w14:paraId="0D3B4A9E">
      <w:pPr>
        <w:rPr>
          <w:rFonts w:hint="eastAsia" w:ascii="仿宋" w:hAnsi="仿宋" w:eastAsia="仿宋" w:cs="仿宋"/>
          <w:b w:val="0"/>
          <w:bCs w:val="0"/>
          <w:color w:val="000000"/>
          <w:kern w:val="0"/>
          <w:sz w:val="21"/>
          <w:szCs w:val="21"/>
          <w:highlight w:val="none"/>
          <w:lang w:val="en-US" w:eastAsia="zh-CN" w:bidi="ar"/>
        </w:rPr>
      </w:pPr>
    </w:p>
    <w:p w14:paraId="13B7908B">
      <w:pPr>
        <w:rPr>
          <w:rFonts w:hint="eastAsia" w:ascii="仿宋" w:hAnsi="仿宋" w:eastAsia="仿宋" w:cs="仿宋"/>
          <w:b w:val="0"/>
          <w:bCs w:val="0"/>
          <w:color w:val="000000"/>
          <w:kern w:val="0"/>
          <w:sz w:val="21"/>
          <w:szCs w:val="21"/>
          <w:highlight w:val="none"/>
          <w:lang w:val="en-US" w:eastAsia="zh-CN" w:bidi="ar"/>
        </w:rPr>
      </w:pPr>
    </w:p>
    <w:p w14:paraId="785C06AD">
      <w:pPr>
        <w:rPr>
          <w:rFonts w:hint="eastAsia" w:ascii="仿宋" w:hAnsi="仿宋" w:eastAsia="仿宋" w:cs="仿宋"/>
          <w:b w:val="0"/>
          <w:bCs w:val="0"/>
          <w:color w:val="000000"/>
          <w:kern w:val="0"/>
          <w:sz w:val="21"/>
          <w:szCs w:val="21"/>
          <w:highlight w:val="none"/>
          <w:lang w:val="en-US" w:eastAsia="zh-CN" w:bidi="ar"/>
        </w:rPr>
      </w:pPr>
    </w:p>
    <w:p w14:paraId="34EC304F">
      <w:pPr>
        <w:rPr>
          <w:rFonts w:hint="eastAsia" w:ascii="仿宋" w:hAnsi="仿宋" w:eastAsia="仿宋" w:cs="仿宋"/>
          <w:b w:val="0"/>
          <w:bCs w:val="0"/>
          <w:color w:val="000000"/>
          <w:kern w:val="0"/>
          <w:sz w:val="21"/>
          <w:szCs w:val="21"/>
          <w:highlight w:val="none"/>
          <w:lang w:val="en-US" w:eastAsia="zh-CN" w:bidi="ar"/>
        </w:rPr>
      </w:pPr>
    </w:p>
    <w:p w14:paraId="04251555">
      <w:pPr>
        <w:rPr>
          <w:rFonts w:hint="eastAsia" w:ascii="仿宋" w:hAnsi="仿宋" w:eastAsia="仿宋" w:cs="仿宋"/>
          <w:b w:val="0"/>
          <w:bCs w:val="0"/>
          <w:color w:val="000000"/>
          <w:kern w:val="0"/>
          <w:sz w:val="21"/>
          <w:szCs w:val="21"/>
          <w:highlight w:val="none"/>
          <w:lang w:val="en-US" w:eastAsia="zh-CN" w:bidi="ar"/>
        </w:rPr>
      </w:pPr>
    </w:p>
    <w:p w14:paraId="4C96B4E9">
      <w:pPr>
        <w:rPr>
          <w:rFonts w:hint="eastAsia" w:ascii="仿宋" w:hAnsi="仿宋" w:eastAsia="仿宋" w:cs="仿宋"/>
          <w:b w:val="0"/>
          <w:bCs w:val="0"/>
          <w:color w:val="000000"/>
          <w:kern w:val="0"/>
          <w:sz w:val="21"/>
          <w:szCs w:val="21"/>
          <w:highlight w:val="none"/>
          <w:lang w:val="en-US" w:eastAsia="zh-CN" w:bidi="ar"/>
        </w:rPr>
      </w:pPr>
    </w:p>
    <w:p w14:paraId="30D87E5A">
      <w:pPr>
        <w:rPr>
          <w:rFonts w:hint="eastAsia" w:ascii="仿宋" w:hAnsi="仿宋" w:eastAsia="仿宋" w:cs="仿宋"/>
          <w:b w:val="0"/>
          <w:bCs w:val="0"/>
          <w:color w:val="000000"/>
          <w:kern w:val="0"/>
          <w:sz w:val="21"/>
          <w:szCs w:val="21"/>
          <w:highlight w:val="none"/>
          <w:lang w:val="en-US" w:eastAsia="zh-CN" w:bidi="ar"/>
        </w:rPr>
      </w:pPr>
      <w:r>
        <w:rPr>
          <w:rFonts w:hint="eastAsia" w:ascii="仿宋" w:hAnsi="仿宋" w:eastAsia="仿宋" w:cs="仿宋"/>
          <w:b w:val="0"/>
          <w:bCs w:val="0"/>
          <w:color w:val="000000"/>
          <w:kern w:val="0"/>
          <w:sz w:val="21"/>
          <w:szCs w:val="21"/>
          <w:highlight w:val="none"/>
          <w:lang w:val="en-US" w:eastAsia="zh-CN" w:bidi="ar"/>
        </w:rPr>
        <w:t>从业人员、营业收入、资产总额填报上一年度数据，无上一年度数据的新成立企业可不填报。</w:t>
      </w:r>
    </w:p>
    <w:p w14:paraId="232731CC">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B6760D4">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残疾人福利性单位声明函格式</w:t>
      </w:r>
    </w:p>
    <w:p w14:paraId="1B67089F">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14:paraId="228C29B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sz w:val="24"/>
          <w:szCs w:val="24"/>
          <w:highlight w:val="none"/>
          <w:lang w:val="en-US" w:eastAsia="zh-CN" w:bidi="ar"/>
        </w:rPr>
        <w:t>（请进行勾选）</w:t>
      </w:r>
      <w:r>
        <w:rPr>
          <w:rFonts w:hint="eastAsia" w:ascii="仿宋" w:hAnsi="仿宋" w:eastAsia="仿宋" w:cs="仿宋"/>
          <w:color w:val="000000"/>
          <w:kern w:val="0"/>
          <w:sz w:val="24"/>
          <w:szCs w:val="24"/>
          <w:highlight w:val="none"/>
          <w:lang w:val="en-US" w:eastAsia="zh-CN" w:bidi="ar"/>
        </w:rPr>
        <w:t xml:space="preserve">： </w:t>
      </w:r>
    </w:p>
    <w:p w14:paraId="50CA1DEF">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□不属于符合条件的残疾人福利性单位。 </w:t>
      </w:r>
    </w:p>
    <w:p w14:paraId="5DD7908F">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□属于符合条件的残疾人福利性单位，</w:t>
      </w:r>
      <w:r>
        <w:rPr>
          <w:rFonts w:hint="eastAsia" w:ascii="仿宋" w:hAnsi="仿宋" w:eastAsia="仿宋" w:cs="仿宋"/>
          <w:color w:val="000000"/>
          <w:kern w:val="0"/>
          <w:sz w:val="24"/>
          <w:szCs w:val="24"/>
          <w:highlight w:val="none"/>
          <w:lang w:val="en-US" w:eastAsia="zh-CN" w:bidi="ar"/>
        </w:rPr>
        <w:t>且本单位参加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单位的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057EF71E">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本单位对上述声明的真实性负责。如有虚假，将依法承担相应责任。 </w:t>
      </w:r>
    </w:p>
    <w:p w14:paraId="2301CC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0280585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CD9365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单位名称（电子印章）：</w:t>
      </w:r>
    </w:p>
    <w:p w14:paraId="5C78D812">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日期：</w:t>
      </w:r>
    </w:p>
    <w:p w14:paraId="28DB03A7">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EB8E73C">
      <w:pPr>
        <w:spacing w:line="360" w:lineRule="auto"/>
        <w:jc w:val="left"/>
        <w:outlineLvl w:val="3"/>
        <w:rPr>
          <w:rFonts w:hint="eastAsia" w:ascii="仿宋" w:hAnsi="仿宋" w:eastAsia="仿宋" w:cs="仿宋"/>
          <w:b/>
          <w:szCs w:val="21"/>
          <w:highlight w:val="none"/>
          <w:u w:val="none"/>
          <w:lang w:val="en-US"/>
        </w:rPr>
      </w:pPr>
      <w:r>
        <w:rPr>
          <w:rStyle w:val="44"/>
          <w:rFonts w:hint="eastAsia" w:ascii="仿宋" w:hAnsi="仿宋" w:eastAsia="仿宋" w:cs="仿宋"/>
          <w:sz w:val="28"/>
          <w:szCs w:val="28"/>
          <w:highlight w:val="none"/>
          <w:u w:val="none"/>
          <w:lang w:val="en-US" w:eastAsia="zh-CN"/>
        </w:rPr>
        <w:t>2-2</w:t>
      </w:r>
      <w:r>
        <w:rPr>
          <w:rStyle w:val="44"/>
          <w:rFonts w:hint="eastAsia" w:ascii="仿宋" w:hAnsi="仿宋" w:eastAsia="仿宋" w:cs="仿宋"/>
          <w:sz w:val="28"/>
          <w:szCs w:val="28"/>
          <w:highlight w:val="none"/>
          <w:u w:val="none"/>
          <w:lang w:val="en-US"/>
        </w:rPr>
        <w:t>联合体协议</w:t>
      </w:r>
    </w:p>
    <w:p w14:paraId="345C9194">
      <w:pPr>
        <w:spacing w:line="360" w:lineRule="auto"/>
        <w:jc w:val="center"/>
        <w:rPr>
          <w:rFonts w:hint="eastAsia" w:ascii="仿宋" w:hAnsi="仿宋" w:eastAsia="仿宋" w:cs="仿宋"/>
          <w:b/>
          <w:sz w:val="24"/>
          <w:szCs w:val="21"/>
          <w:highlight w:val="none"/>
        </w:rPr>
      </w:pPr>
      <w:r>
        <w:rPr>
          <w:rFonts w:hint="eastAsia" w:ascii="仿宋" w:hAnsi="仿宋" w:eastAsia="仿宋" w:cs="仿宋"/>
          <w:b/>
          <w:sz w:val="32"/>
          <w:szCs w:val="32"/>
          <w:highlight w:val="none"/>
        </w:rPr>
        <w:t>联合体协议</w:t>
      </w:r>
      <w:r>
        <w:rPr>
          <w:rFonts w:hint="eastAsia" w:ascii="仿宋" w:hAnsi="仿宋" w:eastAsia="仿宋" w:cs="仿宋"/>
          <w:b/>
          <w:sz w:val="32"/>
          <w:szCs w:val="32"/>
          <w:highlight w:val="none"/>
          <w:lang w:eastAsia="zh-CN"/>
        </w:rPr>
        <w:t>（如有）</w:t>
      </w:r>
      <w:r>
        <w:rPr>
          <w:rFonts w:hint="eastAsia" w:ascii="仿宋" w:hAnsi="仿宋" w:eastAsia="仿宋" w:cs="仿宋"/>
          <w:b/>
          <w:bCs/>
          <w:sz w:val="32"/>
          <w:szCs w:val="32"/>
          <w:highlight w:val="none"/>
        </w:rPr>
        <w:t xml:space="preserve"> </w:t>
      </w:r>
    </w:p>
    <w:p w14:paraId="241B6FBF">
      <w:pPr>
        <w:adjustRightInd w:val="0"/>
        <w:snapToGrid w:val="0"/>
        <w:spacing w:before="156" w:beforeLines="50"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采购代理机构）：</w:t>
      </w:r>
    </w:p>
    <w:p w14:paraId="06CF21F3">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经研究，我们决定自愿组成联合体共同申请参加</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（项目名称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none"/>
          <w:lang w:eastAsia="zh-CN"/>
        </w:rPr>
        <w:t>（</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none"/>
          <w:lang w:eastAsia="zh-CN"/>
        </w:rPr>
        <w:t>（</w:t>
      </w:r>
      <w:r>
        <w:rPr>
          <w:rFonts w:hint="eastAsia" w:ascii="仿宋" w:hAnsi="仿宋" w:eastAsia="仿宋" w:cs="仿宋"/>
          <w:sz w:val="21"/>
          <w:szCs w:val="21"/>
          <w:highlight w:val="none"/>
          <w:lang w:val="en-US" w:eastAsia="zh-CN"/>
        </w:rPr>
        <w:t>标项（包）名称</w:t>
      </w:r>
      <w:r>
        <w:rPr>
          <w:rFonts w:hint="eastAsia" w:ascii="仿宋" w:hAnsi="仿宋" w:eastAsia="仿宋" w:cs="仿宋"/>
          <w:sz w:val="21"/>
          <w:szCs w:val="21"/>
          <w:highlight w:val="none"/>
        </w:rPr>
        <w:t>）项目的磋商。现就联合体事宜订立如下协议：</w:t>
      </w:r>
    </w:p>
    <w:p w14:paraId="0AB18000">
      <w:pPr>
        <w:adjustRightInd w:val="0"/>
        <w:snapToGrid w:val="0"/>
        <w:spacing w:before="156" w:beforeLines="50" w:line="360" w:lineRule="auto"/>
        <w:ind w:firstLine="420" w:firstLineChars="20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一、联合体基本信息：</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（各方公司名称、地址、注册资金、营业执照、法定代表人姓名）。</w:t>
      </w:r>
    </w:p>
    <w:p w14:paraId="31840574">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二、</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（某成员单位名称）为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（联合体名称）牵头人。</w:t>
      </w:r>
    </w:p>
    <w:p w14:paraId="66F01D0D">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三、联合体牵头人合法代表联合体各成员负责本项目响应文件编制活动，代表联合体提交和接收相关的资料、信息及指示，并处理与磋商和成交有关的一切事务；联合体成交后，联合体牵头人负责合同订立和合同实施阶段的主办、组织和协调工作。</w:t>
      </w:r>
    </w:p>
    <w:p w14:paraId="6581A276">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四．联合体将严格按照</w:t>
      </w:r>
      <w:r>
        <w:rPr>
          <w:rFonts w:hint="eastAsia" w:ascii="仿宋" w:hAnsi="仿宋" w:eastAsia="仿宋" w:cs="仿宋"/>
          <w:sz w:val="21"/>
          <w:szCs w:val="21"/>
          <w:highlight w:val="none"/>
          <w:lang w:eastAsia="zh-CN"/>
        </w:rPr>
        <w:t>采购文件</w:t>
      </w:r>
      <w:r>
        <w:rPr>
          <w:rFonts w:hint="eastAsia" w:ascii="仿宋" w:hAnsi="仿宋" w:eastAsia="仿宋" w:cs="仿宋"/>
          <w:sz w:val="21"/>
          <w:szCs w:val="21"/>
          <w:highlight w:val="none"/>
        </w:rPr>
        <w:t>的各项要求，递交响应文件，参加磋商，履行成交义务和成交后的合同，并向采购人承担连带责任。</w:t>
      </w:r>
    </w:p>
    <w:p w14:paraId="4E483612">
      <w:pPr>
        <w:adjustRightInd w:val="0"/>
        <w:snapToGrid w:val="0"/>
        <w:spacing w:before="156" w:beforeLines="50" w:line="360" w:lineRule="auto"/>
        <w:ind w:firstLine="420" w:firstLineChars="20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五、联合体各成员单位内部的职责分工如下：</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。按照本条上述分工，联合体成员单位各自所承担的合同工作量比例如下：</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255A0417">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六、本协议书自签署之日起生效，合同履行完毕后自动失效。</w:t>
      </w:r>
    </w:p>
    <w:p w14:paraId="776EBD46">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七、本协议书一式</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份，联合体成员和采购人各执一份。</w:t>
      </w:r>
      <w:r>
        <w:rPr>
          <w:rFonts w:hint="eastAsia" w:ascii="仿宋" w:hAnsi="仿宋" w:eastAsia="仿宋" w:cs="仿宋"/>
          <w:sz w:val="21"/>
          <w:szCs w:val="21"/>
          <w:highlight w:val="none"/>
        </w:rPr>
        <w:tab/>
      </w:r>
    </w:p>
    <w:p w14:paraId="222BE814">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牵头人名称（</w:t>
      </w:r>
      <w:r>
        <w:rPr>
          <w:rFonts w:hint="eastAsia" w:ascii="仿宋" w:hAnsi="仿宋" w:eastAsia="仿宋" w:cs="仿宋"/>
          <w:sz w:val="21"/>
          <w:szCs w:val="21"/>
          <w:highlight w:val="none"/>
          <w:lang w:val="en-US" w:eastAsia="zh-CN"/>
        </w:rPr>
        <w:t>电子印章</w:t>
      </w:r>
      <w:r>
        <w:rPr>
          <w:rFonts w:hint="eastAsia" w:ascii="仿宋" w:hAnsi="仿宋" w:eastAsia="仿宋" w:cs="仿宋"/>
          <w:sz w:val="21"/>
          <w:szCs w:val="21"/>
          <w:highlight w:val="none"/>
        </w:rPr>
        <w:t>）：</w:t>
      </w:r>
    </w:p>
    <w:p w14:paraId="62A49759">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法定代表人或其授权代表（签字</w:t>
      </w:r>
      <w:r>
        <w:rPr>
          <w:rFonts w:hint="eastAsia" w:ascii="仿宋" w:hAnsi="仿宋" w:eastAsia="仿宋" w:cs="仿宋"/>
          <w:sz w:val="21"/>
          <w:szCs w:val="21"/>
          <w:highlight w:val="none"/>
          <w:lang w:val="en-US" w:eastAsia="zh-CN"/>
        </w:rPr>
        <w:t>或电子印章</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p>
    <w:p w14:paraId="6A446575">
      <w:pPr>
        <w:adjustRightInd w:val="0"/>
        <w:snapToGrid w:val="0"/>
        <w:spacing w:line="360" w:lineRule="auto"/>
        <w:ind w:firstLine="1785" w:firstLineChars="850"/>
        <w:rPr>
          <w:rFonts w:hint="eastAsia" w:ascii="仿宋" w:hAnsi="仿宋" w:eastAsia="仿宋" w:cs="仿宋"/>
          <w:sz w:val="21"/>
          <w:szCs w:val="21"/>
          <w:highlight w:val="none"/>
        </w:rPr>
      </w:pPr>
    </w:p>
    <w:p w14:paraId="0BEAA11B">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成员二名称（单位章）：</w:t>
      </w:r>
    </w:p>
    <w:p w14:paraId="2030DD51">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法定代表人或其授权代表（签字）：</w:t>
      </w:r>
      <w:r>
        <w:rPr>
          <w:rFonts w:hint="eastAsia" w:ascii="仿宋" w:hAnsi="仿宋" w:eastAsia="仿宋" w:cs="仿宋"/>
          <w:sz w:val="21"/>
          <w:szCs w:val="21"/>
          <w:highlight w:val="none"/>
          <w:u w:val="single"/>
        </w:rPr>
        <w:t xml:space="preserve">                      </w:t>
      </w:r>
    </w:p>
    <w:p w14:paraId="64D2C71C">
      <w:pPr>
        <w:spacing w:line="360" w:lineRule="auto"/>
        <w:rPr>
          <w:rFonts w:hint="eastAsia" w:ascii="仿宋" w:hAnsi="仿宋" w:eastAsia="仿宋" w:cs="仿宋"/>
          <w:sz w:val="21"/>
          <w:szCs w:val="21"/>
          <w:highlight w:val="none"/>
        </w:rPr>
      </w:pPr>
    </w:p>
    <w:p w14:paraId="4F014568">
      <w:pPr>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       年        月        日  </w:t>
      </w:r>
    </w:p>
    <w:p w14:paraId="121806F3">
      <w:pPr>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备注：本协议书由授权代表签字的，应附法定代表人签字的授权委托书。</w:t>
      </w:r>
    </w:p>
    <w:p w14:paraId="432B68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3"/>
        <w:rPr>
          <w:rFonts w:hint="eastAsia" w:ascii="仿宋" w:hAnsi="仿宋" w:eastAsia="仿宋" w:cs="仿宋"/>
          <w:sz w:val="24"/>
          <w:szCs w:val="24"/>
          <w:highlight w:val="none"/>
        </w:rPr>
      </w:pPr>
      <w:r>
        <w:rPr>
          <w:rFonts w:hint="eastAsia" w:ascii="仿宋" w:hAnsi="仿宋" w:eastAsia="仿宋" w:cs="仿宋"/>
          <w:b/>
          <w:sz w:val="21"/>
          <w:szCs w:val="21"/>
          <w:highlight w:val="none"/>
        </w:rPr>
        <w:br w:type="page"/>
      </w:r>
      <w:r>
        <w:rPr>
          <w:rFonts w:hint="eastAsia" w:ascii="仿宋" w:hAnsi="仿宋" w:eastAsia="仿宋" w:cs="仿宋"/>
          <w:b/>
          <w:bCs/>
          <w:color w:val="000000"/>
          <w:kern w:val="0"/>
          <w:sz w:val="24"/>
          <w:szCs w:val="24"/>
          <w:highlight w:val="none"/>
          <w:lang w:val="en-US" w:eastAsia="zh-CN" w:bidi="ar"/>
        </w:rPr>
        <w:t xml:space="preserve">2-3 拟分包情况说明及分包意向协议 </w:t>
      </w:r>
    </w:p>
    <w:p w14:paraId="03CC7A6E">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5D277651">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拟分包情况说明</w:t>
      </w:r>
    </w:p>
    <w:p w14:paraId="2B80CA4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5BD914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14:paraId="29BBE2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我单位参加贵单位组织采购的项目编号为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color w:val="000000"/>
          <w:kern w:val="0"/>
          <w:sz w:val="24"/>
          <w:szCs w:val="24"/>
          <w:highlight w:val="none"/>
          <w:u w:val="single"/>
          <w:lang w:val="en-US" w:eastAsia="zh-CN" w:bidi="ar"/>
        </w:rPr>
        <w:t xml:space="preserve"> （填写采购项目名称）  </w:t>
      </w:r>
      <w:r>
        <w:rPr>
          <w:rFonts w:hint="eastAsia" w:ascii="仿宋" w:hAnsi="仿宋" w:eastAsia="仿宋" w:cs="仿宋"/>
          <w:color w:val="000000"/>
          <w:kern w:val="0"/>
          <w:sz w:val="24"/>
          <w:szCs w:val="24"/>
          <w:highlight w:val="none"/>
          <w:lang w:val="en-US" w:eastAsia="zh-CN" w:bidi="ar"/>
        </w:rPr>
        <w:t>项目中</w:t>
      </w:r>
      <w:r>
        <w:rPr>
          <w:rFonts w:hint="eastAsia" w:ascii="仿宋" w:hAnsi="仿宋" w:eastAsia="仿宋" w:cs="仿宋"/>
          <w:color w:val="000000"/>
          <w:kern w:val="0"/>
          <w:sz w:val="24"/>
          <w:szCs w:val="24"/>
          <w:highlight w:val="none"/>
          <w:u w:val="single"/>
          <w:lang w:val="en-US" w:eastAsia="zh-CN" w:bidi="ar"/>
        </w:rPr>
        <w:t xml:space="preserve"> （填写标项(包)名称） </w:t>
      </w:r>
      <w:r>
        <w:rPr>
          <w:rFonts w:hint="eastAsia" w:ascii="仿宋" w:hAnsi="仿宋" w:eastAsia="仿宋" w:cs="仿宋"/>
          <w:color w:val="000000"/>
          <w:kern w:val="0"/>
          <w:sz w:val="24"/>
          <w:szCs w:val="24"/>
          <w:highlight w:val="none"/>
          <w:lang w:val="en-US" w:eastAsia="zh-CN" w:bidi="ar"/>
        </w:rPr>
        <w:t xml:space="preserve">的投标。拟签订分包合同的单位情况如下表所示，我单位承诺一旦在该项目中获得采购合同将按下表所列情况进行分包，同时承诺分包承担主体不再次分包。 </w:t>
      </w:r>
    </w:p>
    <w:tbl>
      <w:tblPr>
        <w:tblStyle w:val="27"/>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3"/>
        <w:gridCol w:w="1094"/>
        <w:gridCol w:w="1394"/>
        <w:gridCol w:w="794"/>
        <w:gridCol w:w="1165"/>
        <w:gridCol w:w="1482"/>
        <w:gridCol w:w="1359"/>
        <w:gridCol w:w="1359"/>
      </w:tblGrid>
      <w:tr w14:paraId="66EAB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0EEC1E4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序号</w:t>
            </w:r>
          </w:p>
        </w:tc>
        <w:tc>
          <w:tcPr>
            <w:tcW w:w="1094" w:type="dxa"/>
            <w:vAlign w:val="center"/>
          </w:tcPr>
          <w:p w14:paraId="09F5587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分包承担</w:t>
            </w:r>
          </w:p>
          <w:p w14:paraId="18CFEBC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主体名称</w:t>
            </w:r>
          </w:p>
        </w:tc>
        <w:tc>
          <w:tcPr>
            <w:tcW w:w="1394" w:type="dxa"/>
            <w:vAlign w:val="center"/>
          </w:tcPr>
          <w:p w14:paraId="0CDF71F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分包承担</w:t>
            </w:r>
          </w:p>
          <w:p w14:paraId="476C68A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主体类型</w:t>
            </w:r>
          </w:p>
          <w:p w14:paraId="2C539EA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（勾选）</w:t>
            </w:r>
          </w:p>
        </w:tc>
        <w:tc>
          <w:tcPr>
            <w:tcW w:w="794" w:type="dxa"/>
            <w:vAlign w:val="center"/>
          </w:tcPr>
          <w:p w14:paraId="53CF288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资质等级</w:t>
            </w:r>
          </w:p>
        </w:tc>
        <w:tc>
          <w:tcPr>
            <w:tcW w:w="1165" w:type="dxa"/>
            <w:vAlign w:val="center"/>
          </w:tcPr>
          <w:p w14:paraId="286CE37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14:paraId="6D0E673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合同内容</w:t>
            </w:r>
          </w:p>
        </w:tc>
        <w:tc>
          <w:tcPr>
            <w:tcW w:w="1482" w:type="dxa"/>
            <w:vAlign w:val="center"/>
          </w:tcPr>
          <w:p w14:paraId="7917072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14:paraId="30C84B0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合同金额</w:t>
            </w:r>
          </w:p>
          <w:p w14:paraId="6C52B8C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（人民币元）</w:t>
            </w:r>
          </w:p>
        </w:tc>
        <w:tc>
          <w:tcPr>
            <w:tcW w:w="1359" w:type="dxa"/>
            <w:vAlign w:val="center"/>
          </w:tcPr>
          <w:p w14:paraId="0811ABAE">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占该采购包</w:t>
            </w:r>
            <w:r>
              <w:rPr>
                <w:rFonts w:hint="eastAsia" w:ascii="仿宋" w:hAnsi="仿宋" w:eastAsia="仿宋" w:cs="仿宋"/>
                <w:b/>
                <w:bCs/>
                <w:color w:val="000000"/>
                <w:kern w:val="0"/>
                <w:sz w:val="21"/>
                <w:szCs w:val="21"/>
                <w:highlight w:val="none"/>
                <w:lang w:val="en-US" w:eastAsia="zh-CN" w:bidi="ar"/>
              </w:rPr>
              <w:t>合同总金额的</w:t>
            </w:r>
            <w:r>
              <w:rPr>
                <w:rFonts w:hint="eastAsia" w:ascii="仿宋" w:hAnsi="仿宋" w:eastAsia="仿宋" w:cs="仿宋"/>
                <w:color w:val="000000"/>
                <w:kern w:val="0"/>
                <w:sz w:val="21"/>
                <w:szCs w:val="21"/>
                <w:highlight w:val="none"/>
                <w:lang w:val="en-US" w:eastAsia="zh-CN" w:bidi="ar"/>
              </w:rPr>
              <w:t>比例（%）</w:t>
            </w:r>
          </w:p>
        </w:tc>
        <w:tc>
          <w:tcPr>
            <w:tcW w:w="1359" w:type="dxa"/>
            <w:vAlign w:val="center"/>
          </w:tcPr>
          <w:p w14:paraId="372EFC5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占该采购包</w:t>
            </w:r>
            <w:r>
              <w:rPr>
                <w:rFonts w:hint="eastAsia" w:ascii="仿宋" w:hAnsi="仿宋" w:eastAsia="仿宋" w:cs="仿宋"/>
                <w:b/>
                <w:bCs/>
                <w:color w:val="000000"/>
                <w:kern w:val="0"/>
                <w:sz w:val="21"/>
                <w:szCs w:val="21"/>
                <w:highlight w:val="none"/>
                <w:lang w:val="en-US" w:eastAsia="zh-CN" w:bidi="ar"/>
              </w:rPr>
              <w:t>预算金额的</w:t>
            </w:r>
            <w:r>
              <w:rPr>
                <w:rFonts w:hint="eastAsia" w:ascii="仿宋" w:hAnsi="仿宋" w:eastAsia="仿宋" w:cs="仿宋"/>
                <w:color w:val="000000"/>
                <w:kern w:val="0"/>
                <w:sz w:val="21"/>
                <w:szCs w:val="21"/>
                <w:highlight w:val="none"/>
                <w:lang w:val="en-US" w:eastAsia="zh-CN" w:bidi="ar"/>
              </w:rPr>
              <w:t>比例（%）</w:t>
            </w:r>
          </w:p>
        </w:tc>
      </w:tr>
      <w:tr w14:paraId="33C9D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26EEBEB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1</w:t>
            </w:r>
          </w:p>
        </w:tc>
        <w:tc>
          <w:tcPr>
            <w:tcW w:w="1094" w:type="dxa"/>
            <w:vAlign w:val="center"/>
          </w:tcPr>
          <w:p w14:paraId="1BE5306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067281CE">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14:paraId="5D0F6110">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794" w:type="dxa"/>
            <w:vAlign w:val="center"/>
          </w:tcPr>
          <w:p w14:paraId="423A81C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5C1D0C5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61D875A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4DA909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3F3BF8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5C7E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62717E5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2</w:t>
            </w:r>
          </w:p>
        </w:tc>
        <w:tc>
          <w:tcPr>
            <w:tcW w:w="1094" w:type="dxa"/>
            <w:vAlign w:val="center"/>
          </w:tcPr>
          <w:p w14:paraId="40DC38B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64F02319">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14:paraId="59F39FCC">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794" w:type="dxa"/>
            <w:vAlign w:val="center"/>
          </w:tcPr>
          <w:p w14:paraId="220515D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3730476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1B6DAF7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2D250C8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15214249">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26FEF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573" w:type="dxa"/>
            <w:vAlign w:val="center"/>
          </w:tcPr>
          <w:p w14:paraId="4B901AE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w:t>
            </w:r>
          </w:p>
        </w:tc>
        <w:tc>
          <w:tcPr>
            <w:tcW w:w="1094" w:type="dxa"/>
            <w:vAlign w:val="center"/>
          </w:tcPr>
          <w:p w14:paraId="6BF292A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6BA6F2C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794" w:type="dxa"/>
            <w:vAlign w:val="center"/>
          </w:tcPr>
          <w:p w14:paraId="363713F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05E8374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34C3802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0026BD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9432F2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5A3F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51D14F6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中型企业合计</w:t>
            </w:r>
          </w:p>
        </w:tc>
        <w:tc>
          <w:tcPr>
            <w:tcW w:w="1482" w:type="dxa"/>
            <w:vAlign w:val="center"/>
          </w:tcPr>
          <w:p w14:paraId="38F5D7B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3564D06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AB6116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3841B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3622040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小微企业合计</w:t>
            </w:r>
          </w:p>
        </w:tc>
        <w:tc>
          <w:tcPr>
            <w:tcW w:w="1482" w:type="dxa"/>
            <w:vAlign w:val="center"/>
          </w:tcPr>
          <w:p w14:paraId="1DC992B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7803020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291A9E5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1C6EF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6EECC6D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中小微企业总计</w:t>
            </w:r>
          </w:p>
        </w:tc>
        <w:tc>
          <w:tcPr>
            <w:tcW w:w="1482" w:type="dxa"/>
            <w:vAlign w:val="center"/>
          </w:tcPr>
          <w:p w14:paraId="271EA6D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4B21100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62D851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14:paraId="6B36B88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u w:val="single"/>
          <w:lang w:val="en-US"/>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p>
    <w:p w14:paraId="6627DF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40B1F7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14:paraId="15FA39E1">
      <w:pPr>
        <w:keepNext w:val="0"/>
        <w:keepLines w:val="0"/>
        <w:pageBreakBefore w:val="0"/>
        <w:widowControl/>
        <w:numPr>
          <w:ilvl w:val="0"/>
          <w:numId w:val="18"/>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本表仅在供应商“为落实政府采购政策”而向中小企业分包时填写。</w:t>
      </w:r>
    </w:p>
    <w:p w14:paraId="38230670">
      <w:pPr>
        <w:keepNext w:val="0"/>
        <w:keepLines w:val="0"/>
        <w:pageBreakBefore w:val="0"/>
        <w:widowControl/>
        <w:numPr>
          <w:ilvl w:val="0"/>
          <w:numId w:val="18"/>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如本采购文件《供应商须知前附表》载明本项目分包承担主体应具备的相应资质条件，则供应商须在本表中列明分包承担主体的资质等级，并后附资质证书扫描件加盖供应商公章，否则</w:t>
      </w:r>
      <w:r>
        <w:rPr>
          <w:rFonts w:hint="eastAsia" w:ascii="仿宋" w:hAnsi="仿宋" w:eastAsia="仿宋" w:cs="仿宋"/>
          <w:b/>
          <w:bCs/>
          <w:color w:val="000000"/>
          <w:kern w:val="0"/>
          <w:sz w:val="24"/>
          <w:szCs w:val="24"/>
          <w:highlight w:val="none"/>
          <w:lang w:val="en-US" w:eastAsia="zh-CN" w:bidi="ar"/>
        </w:rPr>
        <w:t>响应无效</w:t>
      </w:r>
      <w:r>
        <w:rPr>
          <w:rFonts w:hint="eastAsia" w:ascii="仿宋" w:hAnsi="仿宋" w:eastAsia="仿宋" w:cs="仿宋"/>
          <w:color w:val="000000"/>
          <w:kern w:val="0"/>
          <w:sz w:val="24"/>
          <w:szCs w:val="24"/>
          <w:highlight w:val="none"/>
          <w:lang w:val="en-US" w:eastAsia="zh-CN" w:bidi="ar"/>
        </w:rPr>
        <w:t xml:space="preserve">。 </w:t>
      </w:r>
    </w:p>
    <w:p w14:paraId="0A3EB9B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（3）供应商与上述拟分包承担主体签署的《分包意向协议》后附。</w:t>
      </w:r>
    </w:p>
    <w:p w14:paraId="2C70D641">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9219C92">
      <w:pPr>
        <w:keepNext w:val="0"/>
        <w:keepLines w:val="0"/>
        <w:widowControl/>
        <w:suppressLineNumbers w:val="0"/>
        <w:jc w:val="left"/>
        <w:rPr>
          <w:rFonts w:hint="eastAsia" w:ascii="仿宋" w:hAnsi="仿宋" w:eastAsia="仿宋" w:cs="仿宋"/>
          <w:b w:val="0"/>
          <w:bCs w:val="0"/>
          <w:sz w:val="24"/>
          <w:szCs w:val="24"/>
          <w:highlight w:val="none"/>
        </w:rPr>
      </w:pPr>
      <w:r>
        <w:rPr>
          <w:rFonts w:hint="eastAsia" w:ascii="仿宋" w:hAnsi="仿宋" w:eastAsia="仿宋" w:cs="仿宋"/>
          <w:b w:val="0"/>
          <w:bCs w:val="0"/>
          <w:color w:val="000000"/>
          <w:kern w:val="0"/>
          <w:sz w:val="24"/>
          <w:szCs w:val="24"/>
          <w:highlight w:val="none"/>
          <w:lang w:val="en-US" w:eastAsia="zh-CN" w:bidi="ar"/>
        </w:rPr>
        <w:t xml:space="preserve">附：分包意向协议（参考格式） </w:t>
      </w:r>
    </w:p>
    <w:p w14:paraId="09594FF7">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7CDB66AA">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14FA819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甲方（供应商）：</w:t>
      </w:r>
      <w:r>
        <w:rPr>
          <w:rFonts w:hint="eastAsia" w:ascii="仿宋" w:hAnsi="仿宋" w:eastAsia="仿宋" w:cs="仿宋"/>
          <w:color w:val="000000"/>
          <w:kern w:val="0"/>
          <w:sz w:val="24"/>
          <w:szCs w:val="24"/>
          <w:highlight w:val="none"/>
          <w:u w:val="single"/>
          <w:lang w:val="en-US" w:eastAsia="zh-CN" w:bidi="ar"/>
        </w:rPr>
        <w:t xml:space="preserve">                 </w:t>
      </w:r>
    </w:p>
    <w:p w14:paraId="02372FB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乙方（拟分包单位）：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3D9D0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甲方承诺，一旦在</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（采购项目名称）、</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（项目编号)、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（标项(包)名称）</w:t>
      </w:r>
      <w:r>
        <w:rPr>
          <w:rFonts w:hint="eastAsia" w:ascii="仿宋" w:hAnsi="仿宋" w:eastAsia="仿宋" w:cs="仿宋"/>
          <w:color w:val="000000"/>
          <w:kern w:val="0"/>
          <w:sz w:val="24"/>
          <w:szCs w:val="24"/>
          <w:highlight w:val="none"/>
          <w:lang w:val="en-US" w:eastAsia="zh-CN" w:bidi="ar"/>
        </w:rPr>
        <w:t xml:space="preserve">招标采购项目中获得采购合同，将按照下述约定将合同项下部分内容分包给乙方： </w:t>
      </w:r>
    </w:p>
    <w:p w14:paraId="143918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70" w:name="_Toc22054"/>
      <w:r>
        <w:rPr>
          <w:rFonts w:hint="eastAsia" w:ascii="仿宋" w:hAnsi="仿宋" w:eastAsia="仿宋" w:cs="仿宋"/>
          <w:color w:val="000000"/>
          <w:kern w:val="0"/>
          <w:sz w:val="24"/>
          <w:szCs w:val="24"/>
          <w:highlight w:val="none"/>
          <w:lang w:val="en-US" w:eastAsia="zh-CN" w:bidi="ar"/>
        </w:rPr>
        <w:t>1.分包内容：</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70"/>
      <w:r>
        <w:rPr>
          <w:rFonts w:hint="eastAsia" w:ascii="仿宋" w:hAnsi="仿宋" w:eastAsia="仿宋" w:cs="仿宋"/>
          <w:color w:val="000000"/>
          <w:kern w:val="0"/>
          <w:sz w:val="24"/>
          <w:szCs w:val="24"/>
          <w:highlight w:val="none"/>
          <w:lang w:val="en-US" w:eastAsia="zh-CN" w:bidi="ar"/>
        </w:rPr>
        <w:t xml:space="preserve"> </w:t>
      </w:r>
    </w:p>
    <w:p w14:paraId="35093F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2.分包金额：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，该金额占该采购包预算总金额的比例为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%，该金额占该采购包合同总金额的比例为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731D56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乙方承诺将在上述情况下与甲方签订分包合同。 </w:t>
      </w:r>
    </w:p>
    <w:p w14:paraId="0398D9E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本协议自各方盖章之日起生效，如甲方未在该项目（采购包）中标，本协议自动终止。 </w:t>
      </w:r>
    </w:p>
    <w:p w14:paraId="72D9D3F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53772D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乙方（盖章）：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29044AB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日期： </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1B504C4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98580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说明：供应商须与所有拟分包单位分别签订《分包意向协议》，每单位签订一份，并在响应文件中提交全部协议原件，否则</w:t>
      </w:r>
      <w:r>
        <w:rPr>
          <w:rFonts w:hint="eastAsia" w:ascii="仿宋" w:hAnsi="仿宋" w:eastAsia="仿宋" w:cs="仿宋"/>
          <w:b/>
          <w:bCs/>
          <w:color w:val="000000"/>
          <w:kern w:val="0"/>
          <w:sz w:val="24"/>
          <w:szCs w:val="24"/>
          <w:highlight w:val="none"/>
          <w:lang w:val="en-US" w:eastAsia="zh-CN" w:bidi="ar"/>
        </w:rPr>
        <w:t>响应无效</w:t>
      </w:r>
      <w:r>
        <w:rPr>
          <w:rFonts w:hint="eastAsia" w:ascii="仿宋" w:hAnsi="仿宋" w:eastAsia="仿宋" w:cs="仿宋"/>
          <w:color w:val="000000"/>
          <w:kern w:val="0"/>
          <w:sz w:val="24"/>
          <w:szCs w:val="24"/>
          <w:highlight w:val="none"/>
          <w:lang w:val="en-US" w:eastAsia="zh-CN" w:bidi="ar"/>
        </w:rPr>
        <w:t>。</w:t>
      </w:r>
    </w:p>
    <w:p w14:paraId="3355D68C">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05437625">
      <w:pPr>
        <w:keepNext w:val="0"/>
        <w:keepLines w:val="0"/>
        <w:widowControl/>
        <w:suppressLineNumbers w:val="0"/>
        <w:jc w:val="left"/>
        <w:outlineLvl w:val="3"/>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2-4 其它落实政府采购政策的资格要求（如有）</w:t>
      </w:r>
    </w:p>
    <w:p w14:paraId="03D2A471">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8C8F4C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72C271FE">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ADC647B">
      <w:pPr>
        <w:keepNext w:val="0"/>
        <w:keepLines w:val="0"/>
        <w:widowControl/>
        <w:suppressLineNumbers w:val="0"/>
        <w:jc w:val="left"/>
        <w:outlineLvl w:val="2"/>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3、本项目的特定资格要求（如有） </w:t>
      </w:r>
    </w:p>
    <w:p w14:paraId="46EFDD5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7272C89A">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sz w:val="24"/>
          <w:szCs w:val="24"/>
          <w:highlight w:val="none"/>
          <w:lang w:val="en-US" w:eastAsia="zh-CN"/>
        </w:rPr>
        <w:t>特定资格要求</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val="en-US" w:eastAsia="zh-CN"/>
        </w:rPr>
        <w:t>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加盖电子印章</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具体要求详见第六章资格审查要求及</w:t>
      </w:r>
      <w:r>
        <w:rPr>
          <w:rFonts w:hint="eastAsia" w:ascii="仿宋" w:hAnsi="仿宋" w:eastAsia="仿宋" w:cs="仿宋"/>
          <w:b w:val="0"/>
          <w:bCs w:val="0"/>
          <w:color w:val="000000"/>
          <w:kern w:val="0"/>
          <w:sz w:val="24"/>
          <w:szCs w:val="24"/>
          <w:highlight w:val="none"/>
          <w:lang w:val="en-US" w:eastAsia="zh-CN" w:bidi="ar"/>
        </w:rPr>
        <w:t>磋商公告</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w:t>
      </w:r>
    </w:p>
    <w:p w14:paraId="05E9EDF4">
      <w:pP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br w:type="page"/>
      </w:r>
    </w:p>
    <w:p w14:paraId="43656665">
      <w:pPr>
        <w:numPr>
          <w:ilvl w:val="0"/>
          <w:numId w:val="0"/>
        </w:numPr>
        <w:ind w:leftChars="0"/>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4、其他资格要求</w:t>
      </w:r>
    </w:p>
    <w:p w14:paraId="3CA1C5F3">
      <w:pPr>
        <w:numPr>
          <w:ilvl w:val="0"/>
          <w:numId w:val="0"/>
        </w:numPr>
        <w:ind w:leftChars="0" w:firstLine="240" w:firstLineChars="100"/>
        <w:outlineLvl w:val="9"/>
        <w:rPr>
          <w:rFonts w:hint="default"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详见供应商须知前附表1.3.3</w:t>
      </w:r>
    </w:p>
    <w:p w14:paraId="6A1D734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6536A58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7E3107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EDF3C69">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40A951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1"/>
        <w:rPr>
          <w:rFonts w:hint="default" w:ascii="仿宋" w:hAnsi="仿宋" w:eastAsia="仿宋" w:cs="仿宋"/>
          <w:b/>
          <w:bCs/>
          <w:color w:val="000000"/>
          <w:kern w:val="0"/>
          <w:sz w:val="24"/>
          <w:szCs w:val="24"/>
          <w:highlight w:val="none"/>
          <w:lang w:val="en-US" w:eastAsia="zh-CN" w:bidi="ar"/>
        </w:rPr>
      </w:pPr>
      <w:bookmarkStart w:id="71" w:name="_Toc11606"/>
      <w:r>
        <w:rPr>
          <w:rFonts w:hint="eastAsia" w:ascii="仿宋" w:hAnsi="仿宋" w:eastAsia="仿宋" w:cs="仿宋"/>
          <w:b/>
          <w:bCs/>
          <w:color w:val="000000"/>
          <w:kern w:val="0"/>
          <w:sz w:val="24"/>
          <w:szCs w:val="24"/>
          <w:highlight w:val="none"/>
          <w:lang w:val="en-US" w:eastAsia="zh-CN" w:bidi="ar"/>
        </w:rPr>
        <w:t>二、报价文件</w:t>
      </w:r>
      <w:bookmarkEnd w:id="71"/>
    </w:p>
    <w:p w14:paraId="62A313DE">
      <w:pPr>
        <w:outlineLvl w:val="2"/>
        <w:rPr>
          <w:rFonts w:hint="eastAsia" w:ascii="仿宋" w:hAnsi="仿宋" w:eastAsia="仿宋" w:cs="仿宋"/>
          <w:b/>
          <w:bCs/>
          <w:sz w:val="24"/>
          <w:szCs w:val="24"/>
          <w:highlight w:val="none"/>
          <w:lang w:val="en-US" w:eastAsia="zh-CN"/>
        </w:rPr>
      </w:pPr>
      <w:bookmarkStart w:id="72" w:name="_Toc26817"/>
      <w:r>
        <w:rPr>
          <w:rFonts w:hint="eastAsia" w:ascii="仿宋" w:hAnsi="仿宋" w:eastAsia="仿宋" w:cs="仿宋"/>
          <w:b/>
          <w:bCs/>
          <w:sz w:val="24"/>
          <w:szCs w:val="24"/>
          <w:highlight w:val="none"/>
          <w:lang w:val="en-US" w:eastAsia="zh-CN"/>
        </w:rPr>
        <w:t>5、报价一览表</w:t>
      </w:r>
      <w:bookmarkEnd w:id="72"/>
    </w:p>
    <w:p w14:paraId="476B9C6D">
      <w:pPr>
        <w:rPr>
          <w:rFonts w:hint="eastAsia" w:ascii="仿宋" w:hAnsi="仿宋" w:eastAsia="仿宋" w:cs="仿宋"/>
          <w:highlight w:val="none"/>
          <w:lang w:val="en-US" w:eastAsia="zh-CN"/>
        </w:rPr>
      </w:pPr>
    </w:p>
    <w:p w14:paraId="08B571A6">
      <w:pPr>
        <w:jc w:val="center"/>
        <w:rPr>
          <w:rFonts w:hint="eastAsia" w:ascii="仿宋" w:hAnsi="仿宋" w:eastAsia="仿宋" w:cs="仿宋"/>
          <w:highlight w:val="none"/>
          <w:lang w:val="en-US" w:eastAsia="zh-CN"/>
        </w:rPr>
      </w:pPr>
      <w:r>
        <w:rPr>
          <w:rFonts w:hint="eastAsia" w:ascii="仿宋" w:hAnsi="仿宋" w:eastAsia="仿宋" w:cs="仿宋"/>
          <w:b/>
          <w:bCs/>
          <w:sz w:val="32"/>
          <w:szCs w:val="32"/>
          <w:highlight w:val="none"/>
          <w:lang w:val="en-US" w:eastAsia="zh-CN"/>
        </w:rPr>
        <w:t>首次报价表</w:t>
      </w:r>
    </w:p>
    <w:p w14:paraId="3DD2CED7">
      <w:pPr>
        <w:rPr>
          <w:rFonts w:hint="eastAsia" w:ascii="仿宋" w:hAnsi="仿宋" w:eastAsia="仿宋" w:cs="仿宋"/>
          <w:highlight w:val="none"/>
          <w:lang w:val="en-US" w:eastAsia="zh-CN"/>
        </w:rPr>
      </w:pPr>
    </w:p>
    <w:p w14:paraId="41581470">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项目编号：</w:t>
      </w:r>
      <w:r>
        <w:rPr>
          <w:rFonts w:hint="eastAsia" w:ascii="仿宋" w:hAnsi="仿宋" w:eastAsia="仿宋" w:cs="仿宋"/>
          <w:highlight w:val="none"/>
          <w:u w:val="single"/>
          <w:lang w:val="en-US" w:eastAsia="zh-CN"/>
        </w:rPr>
        <w:t xml:space="preserve">              </w:t>
      </w:r>
    </w:p>
    <w:p w14:paraId="0AC908CB">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报价单位：人民币元</w:t>
      </w:r>
    </w:p>
    <w:tbl>
      <w:tblPr>
        <w:tblStyle w:val="26"/>
        <w:tblpPr w:leftFromText="180" w:rightFromText="180" w:vertAnchor="text" w:horzAnchor="page" w:tblpX="1707" w:tblpY="344"/>
        <w:tblOverlap w:val="never"/>
        <w:tblW w:w="9075" w:type="dxa"/>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6926"/>
      </w:tblGrid>
      <w:tr w14:paraId="03B78A15">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776" w:hRule="atLeast"/>
        </w:trPr>
        <w:tc>
          <w:tcPr>
            <w:tcW w:w="2149" w:type="dxa"/>
            <w:tcBorders>
              <w:bottom w:val="single" w:color="000000" w:sz="6" w:space="0"/>
              <w:right w:val="single" w:color="000000" w:sz="6" w:space="0"/>
            </w:tcBorders>
            <w:vAlign w:val="top"/>
          </w:tcPr>
          <w:p w14:paraId="4375FC31">
            <w:pPr>
              <w:pStyle w:val="39"/>
              <w:spacing w:before="142"/>
              <w:ind w:left="92"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总价：</w:t>
            </w:r>
          </w:p>
        </w:tc>
        <w:tc>
          <w:tcPr>
            <w:tcW w:w="6926" w:type="dxa"/>
            <w:tcBorders>
              <w:left w:val="single" w:color="000000" w:sz="6" w:space="0"/>
              <w:bottom w:val="single" w:color="000000" w:sz="6" w:space="0"/>
            </w:tcBorders>
            <w:vAlign w:val="top"/>
          </w:tcPr>
          <w:p w14:paraId="4737EDFB">
            <w:pPr>
              <w:pStyle w:val="39"/>
              <w:tabs>
                <w:tab w:val="left" w:pos="1837"/>
                <w:tab w:val="left" w:pos="2313"/>
                <w:tab w:val="left" w:pos="4040"/>
              </w:tabs>
              <w:spacing w:before="142"/>
              <w:ind w:left="107"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r>
              <w:rPr>
                <w:rFonts w:hint="eastAsia" w:ascii="仿宋" w:hAnsi="仿宋" w:eastAsia="仿宋" w:cs="仿宋"/>
                <w:spacing w:val="-3"/>
                <w:sz w:val="21"/>
                <w:szCs w:val="21"/>
                <w:highlight w:val="none"/>
                <w:u w:val="single"/>
              </w:rPr>
              <w:t xml:space="preserve"> </w:t>
            </w:r>
            <w:r>
              <w:rPr>
                <w:rFonts w:hint="eastAsia" w:ascii="仿宋" w:hAnsi="仿宋" w:eastAsia="仿宋" w:cs="仿宋"/>
                <w:spacing w:val="-3"/>
                <w:sz w:val="21"/>
                <w:szCs w:val="21"/>
                <w:highlight w:val="none"/>
                <w:u w:val="single"/>
              </w:rPr>
              <w:tab/>
            </w:r>
            <w:r>
              <w:rPr>
                <w:rFonts w:hint="eastAsia" w:ascii="仿宋" w:hAnsi="仿宋" w:eastAsia="仿宋" w:cs="仿宋"/>
                <w:spacing w:val="-3"/>
                <w:sz w:val="21"/>
                <w:szCs w:val="21"/>
                <w:highlight w:val="none"/>
              </w:rPr>
              <w:tab/>
            </w: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lang w:val="en-US" w:eastAsia="zh-CN"/>
              </w:rPr>
              <w:t>元</w:t>
            </w:r>
          </w:p>
        </w:tc>
      </w:tr>
      <w:tr w14:paraId="18AA4708">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755" w:hRule="atLeast"/>
        </w:trPr>
        <w:tc>
          <w:tcPr>
            <w:tcW w:w="2149" w:type="dxa"/>
            <w:tcBorders>
              <w:top w:val="single" w:color="000000" w:sz="6" w:space="0"/>
              <w:bottom w:val="single" w:color="000000" w:sz="6" w:space="0"/>
              <w:right w:val="single" w:color="000000" w:sz="6" w:space="0"/>
            </w:tcBorders>
            <w:vAlign w:val="top"/>
          </w:tcPr>
          <w:p w14:paraId="1BCBBFBC">
            <w:pPr>
              <w:pStyle w:val="39"/>
              <w:spacing w:before="142"/>
              <w:ind w:left="92" w:leftChars="0"/>
              <w:rPr>
                <w:rFonts w:hint="default"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合同履行期限</w:t>
            </w:r>
          </w:p>
        </w:tc>
        <w:tc>
          <w:tcPr>
            <w:tcW w:w="6926" w:type="dxa"/>
            <w:tcBorders>
              <w:top w:val="single" w:color="000000" w:sz="6" w:space="0"/>
              <w:left w:val="single" w:color="000000" w:sz="6" w:space="0"/>
              <w:bottom w:val="single" w:color="000000" w:sz="6" w:space="0"/>
            </w:tcBorders>
            <w:vAlign w:val="top"/>
          </w:tcPr>
          <w:p w14:paraId="74B69C25">
            <w:pPr>
              <w:pStyle w:val="39"/>
              <w:tabs>
                <w:tab w:val="left" w:pos="1837"/>
                <w:tab w:val="left" w:pos="2313"/>
                <w:tab w:val="left" w:pos="4040"/>
              </w:tabs>
              <w:spacing w:before="142"/>
              <w:ind w:left="107"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 xml:space="preserve"> </w:t>
            </w:r>
          </w:p>
        </w:tc>
      </w:tr>
      <w:tr w14:paraId="185A782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553" w:hRule="atLeast"/>
        </w:trPr>
        <w:tc>
          <w:tcPr>
            <w:tcW w:w="2149" w:type="dxa"/>
            <w:tcBorders>
              <w:top w:val="single" w:color="000000" w:sz="6" w:space="0"/>
              <w:right w:val="single" w:color="000000" w:sz="6" w:space="0"/>
            </w:tcBorders>
          </w:tcPr>
          <w:p w14:paraId="2B3E9674">
            <w:pPr>
              <w:pStyle w:val="39"/>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tcBorders>
              <w:top w:val="single" w:color="000000" w:sz="6" w:space="0"/>
              <w:left w:val="single" w:color="000000" w:sz="6" w:space="0"/>
            </w:tcBorders>
          </w:tcPr>
          <w:p w14:paraId="55F55831">
            <w:pPr>
              <w:pStyle w:val="39"/>
              <w:tabs>
                <w:tab w:val="left" w:pos="1837"/>
                <w:tab w:val="left" w:pos="2313"/>
                <w:tab w:val="left" w:pos="4040"/>
              </w:tabs>
              <w:spacing w:before="142"/>
              <w:ind w:left="107"/>
              <w:rPr>
                <w:rFonts w:hint="eastAsia" w:ascii="仿宋" w:hAnsi="仿宋" w:eastAsia="仿宋" w:cs="仿宋"/>
                <w:sz w:val="21"/>
                <w:szCs w:val="21"/>
                <w:highlight w:val="none"/>
              </w:rPr>
            </w:pPr>
          </w:p>
        </w:tc>
      </w:tr>
    </w:tbl>
    <w:p w14:paraId="376952A3">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r>
        <w:rPr>
          <w:rFonts w:hint="eastAsia" w:ascii="仿宋" w:hAnsi="仿宋" w:eastAsia="仿宋" w:cs="仿宋"/>
          <w:kern w:val="2"/>
          <w:sz w:val="21"/>
          <w:szCs w:val="24"/>
          <w:highlight w:val="none"/>
          <w:lang w:val="en-US" w:eastAsia="zh-CN" w:bidi="zh-CN"/>
        </w:rPr>
        <w:t>注：1.此表中，每包的响应报价应和《报价明细表》中的总价相一致。</w:t>
      </w:r>
    </w:p>
    <w:p w14:paraId="68C07E1C">
      <w:pPr>
        <w:widowControl w:val="0"/>
        <w:spacing w:line="360" w:lineRule="auto"/>
        <w:ind w:firstLine="210" w:firstLineChars="100"/>
        <w:jc w:val="both"/>
        <w:outlineLvl w:val="9"/>
        <w:rPr>
          <w:rFonts w:hint="eastAsia" w:ascii="仿宋" w:hAnsi="仿宋" w:eastAsia="仿宋" w:cs="仿宋"/>
          <w:kern w:val="2"/>
          <w:sz w:val="21"/>
          <w:szCs w:val="24"/>
          <w:highlight w:val="none"/>
          <w:lang w:val="en-US" w:eastAsia="zh-CN" w:bidi="zh-CN"/>
        </w:rPr>
      </w:pPr>
      <w:bookmarkStart w:id="73" w:name="_Toc28372"/>
      <w:r>
        <w:rPr>
          <w:rFonts w:hint="eastAsia" w:ascii="仿宋" w:hAnsi="仿宋" w:eastAsia="仿宋" w:cs="仿宋"/>
          <w:kern w:val="2"/>
          <w:sz w:val="21"/>
          <w:szCs w:val="24"/>
          <w:highlight w:val="none"/>
          <w:lang w:val="en-US" w:eastAsia="zh-CN" w:bidi="zh-CN"/>
        </w:rPr>
        <w:t>2.本表必须按包分别填写。</w:t>
      </w:r>
      <w:bookmarkEnd w:id="73"/>
    </w:p>
    <w:p w14:paraId="771CBA1E">
      <w:pPr>
        <w:widowControl w:val="0"/>
        <w:spacing w:line="360" w:lineRule="auto"/>
        <w:ind w:firstLine="210" w:firstLineChars="100"/>
        <w:jc w:val="both"/>
        <w:rPr>
          <w:rFonts w:hint="default" w:ascii="仿宋" w:hAnsi="仿宋" w:eastAsia="仿宋" w:cs="仿宋"/>
          <w:kern w:val="2"/>
          <w:sz w:val="21"/>
          <w:szCs w:val="24"/>
          <w:highlight w:val="none"/>
          <w:lang w:val="en-US" w:eastAsia="zh-CN" w:bidi="zh-CN"/>
        </w:rPr>
      </w:pPr>
      <w:r>
        <w:rPr>
          <w:rFonts w:hint="eastAsia" w:ascii="仿宋" w:hAnsi="仿宋" w:eastAsia="仿宋" w:cs="仿宋"/>
          <w:kern w:val="2"/>
          <w:sz w:val="21"/>
          <w:szCs w:val="24"/>
          <w:highlight w:val="none"/>
          <w:lang w:val="en-US" w:eastAsia="zh-CN" w:bidi="zh-CN"/>
        </w:rPr>
        <w:t>3.首次报价不作为评审的依据。</w:t>
      </w:r>
    </w:p>
    <w:p w14:paraId="7FA638B4">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p>
    <w:p w14:paraId="1219DA46">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p>
    <w:p w14:paraId="0E07B029">
      <w:pPr>
        <w:widowControl w:val="0"/>
        <w:spacing w:line="360" w:lineRule="auto"/>
        <w:ind w:firstLine="240" w:firstLineChars="100"/>
        <w:jc w:val="both"/>
        <w:rPr>
          <w:rFonts w:hint="eastAsia" w:ascii="仿宋" w:hAnsi="仿宋" w:eastAsia="仿宋" w:cs="仿宋"/>
          <w:kern w:val="2"/>
          <w:sz w:val="24"/>
          <w:szCs w:val="24"/>
          <w:highlight w:val="none"/>
          <w:u w:val="single"/>
          <w:lang w:val="en-US" w:eastAsia="zh-CN" w:bidi="zh-CN"/>
        </w:rPr>
      </w:pPr>
      <w:r>
        <w:rPr>
          <w:rFonts w:hint="eastAsia" w:ascii="仿宋" w:hAnsi="仿宋" w:eastAsia="仿宋" w:cs="仿宋"/>
          <w:kern w:val="2"/>
          <w:sz w:val="24"/>
          <w:szCs w:val="24"/>
          <w:highlight w:val="none"/>
          <w:lang w:val="en-US" w:eastAsia="zh-CN" w:bidi="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kern w:val="2"/>
          <w:sz w:val="24"/>
          <w:szCs w:val="24"/>
          <w:highlight w:val="none"/>
          <w:lang w:val="en-US" w:eastAsia="zh-CN" w:bidi="zh-CN"/>
        </w:rPr>
        <w:t xml:space="preserve">）： </w:t>
      </w:r>
      <w:r>
        <w:rPr>
          <w:rFonts w:hint="eastAsia" w:ascii="仿宋" w:hAnsi="仿宋" w:eastAsia="仿宋" w:cs="仿宋"/>
          <w:kern w:val="2"/>
          <w:sz w:val="24"/>
          <w:szCs w:val="24"/>
          <w:highlight w:val="none"/>
          <w:u w:val="single"/>
          <w:lang w:val="en-US" w:eastAsia="zh-CN" w:bidi="zh-CN"/>
        </w:rPr>
        <w:t xml:space="preserve">                </w:t>
      </w:r>
    </w:p>
    <w:p w14:paraId="41402DF9">
      <w:pPr>
        <w:widowControl w:val="0"/>
        <w:spacing w:line="360" w:lineRule="auto"/>
        <w:ind w:firstLine="240" w:firstLineChars="100"/>
        <w:jc w:val="both"/>
        <w:rPr>
          <w:rFonts w:hint="eastAsia" w:ascii="仿宋" w:hAnsi="仿宋" w:eastAsia="仿宋" w:cs="仿宋"/>
          <w:kern w:val="2"/>
          <w:sz w:val="24"/>
          <w:szCs w:val="24"/>
          <w:highlight w:val="none"/>
          <w:lang w:val="en-US" w:eastAsia="zh-CN" w:bidi="zh-CN"/>
        </w:rPr>
      </w:pPr>
      <w:r>
        <w:rPr>
          <w:rFonts w:hint="eastAsia" w:ascii="仿宋" w:hAnsi="仿宋" w:eastAsia="仿宋" w:cs="仿宋"/>
          <w:kern w:val="2"/>
          <w:sz w:val="24"/>
          <w:szCs w:val="24"/>
          <w:highlight w:val="none"/>
          <w:lang w:val="en-US" w:eastAsia="zh-CN" w:bidi="zh-CN"/>
        </w:rPr>
        <w:t>日期：</w:t>
      </w:r>
      <w:r>
        <w:rPr>
          <w:rFonts w:hint="eastAsia" w:ascii="仿宋" w:hAnsi="仿宋" w:eastAsia="仿宋" w:cs="仿宋"/>
          <w:kern w:val="2"/>
          <w:sz w:val="24"/>
          <w:szCs w:val="24"/>
          <w:highlight w:val="none"/>
          <w:u w:val="single"/>
          <w:lang w:val="en-US" w:eastAsia="zh-CN" w:bidi="zh-CN"/>
        </w:rPr>
        <w:t xml:space="preserve">     年    月    日</w:t>
      </w:r>
    </w:p>
    <w:p w14:paraId="26BABE27">
      <w:pPr>
        <w:pStyle w:val="21"/>
        <w:rPr>
          <w:rFonts w:hint="eastAsia" w:ascii="仿宋" w:hAnsi="仿宋" w:eastAsia="仿宋" w:cs="仿宋"/>
          <w:highlight w:val="none"/>
          <w:lang w:val="en-US" w:eastAsia="zh-CN"/>
        </w:rPr>
      </w:pPr>
    </w:p>
    <w:p w14:paraId="708DCCF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25A7D998">
      <w:pPr>
        <w:pStyle w:val="25"/>
        <w:ind w:left="0" w:leftChars="0" w:firstLine="0" w:firstLineChars="0"/>
        <w:outlineLvl w:val="2"/>
        <w:rPr>
          <w:rFonts w:hint="default" w:ascii="仿宋" w:hAnsi="仿宋" w:eastAsia="仿宋" w:cs="仿宋"/>
          <w:b/>
          <w:bCs/>
          <w:sz w:val="24"/>
          <w:szCs w:val="24"/>
          <w:highlight w:val="none"/>
          <w:lang w:val="en-US" w:eastAsia="zh-CN"/>
        </w:rPr>
      </w:pPr>
      <w:bookmarkStart w:id="74" w:name="_Toc32732"/>
      <w:r>
        <w:rPr>
          <w:rFonts w:hint="eastAsia" w:ascii="仿宋" w:hAnsi="仿宋" w:eastAsia="仿宋" w:cs="仿宋"/>
          <w:b/>
          <w:bCs/>
          <w:sz w:val="24"/>
          <w:szCs w:val="24"/>
          <w:highlight w:val="none"/>
          <w:lang w:val="en-US" w:eastAsia="zh-CN"/>
        </w:rPr>
        <w:t>6、</w:t>
      </w:r>
      <w:bookmarkEnd w:id="74"/>
      <w:r>
        <w:rPr>
          <w:rFonts w:hint="eastAsia" w:ascii="仿宋" w:hAnsi="仿宋" w:eastAsia="仿宋" w:cs="仿宋"/>
          <w:b/>
          <w:bCs/>
          <w:sz w:val="24"/>
          <w:szCs w:val="24"/>
          <w:highlight w:val="none"/>
          <w:lang w:val="en-US" w:eastAsia="zh-CN"/>
        </w:rPr>
        <w:t>报价明细表</w:t>
      </w:r>
    </w:p>
    <w:p w14:paraId="644D8462">
      <w:pPr>
        <w:pStyle w:val="25"/>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报价明细表</w:t>
      </w:r>
    </w:p>
    <w:p w14:paraId="3D301CDB">
      <w:pPr>
        <w:pStyle w:val="25"/>
        <w:ind w:left="0" w:leftChars="0" w:firstLine="0" w:firstLineChars="0"/>
        <w:jc w:val="center"/>
        <w:rPr>
          <w:rFonts w:hint="eastAsia" w:ascii="仿宋" w:hAnsi="仿宋" w:eastAsia="仿宋" w:cs="仿宋"/>
          <w:highlight w:val="none"/>
          <w:lang w:val="en-US" w:eastAsia="zh-CN"/>
        </w:rPr>
      </w:pPr>
    </w:p>
    <w:p w14:paraId="12187523">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项目编号：</w:t>
      </w:r>
      <w:r>
        <w:rPr>
          <w:rFonts w:hint="eastAsia" w:ascii="仿宋" w:hAnsi="仿宋" w:eastAsia="仿宋" w:cs="仿宋"/>
          <w:highlight w:val="none"/>
          <w:u w:val="single"/>
          <w:lang w:val="en-US" w:eastAsia="zh-CN"/>
        </w:rPr>
        <w:t xml:space="preserve">              </w:t>
      </w:r>
    </w:p>
    <w:p w14:paraId="3B3D5E4B">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报价单位：人民币元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027"/>
        <w:gridCol w:w="1246"/>
        <w:gridCol w:w="548"/>
        <w:gridCol w:w="882"/>
        <w:gridCol w:w="882"/>
        <w:gridCol w:w="745"/>
        <w:gridCol w:w="944"/>
        <w:gridCol w:w="958"/>
        <w:gridCol w:w="864"/>
      </w:tblGrid>
      <w:tr w14:paraId="18D89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426" w:type="dxa"/>
            <w:vAlign w:val="center"/>
          </w:tcPr>
          <w:p w14:paraId="59BF6372">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089" w:type="dxa"/>
            <w:vAlign w:val="center"/>
          </w:tcPr>
          <w:p w14:paraId="21F211BE">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货物（或服务）名称</w:t>
            </w:r>
          </w:p>
        </w:tc>
        <w:tc>
          <w:tcPr>
            <w:tcW w:w="1342" w:type="dxa"/>
            <w:vAlign w:val="center"/>
          </w:tcPr>
          <w:p w14:paraId="45D6F8F7">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货物生产厂家（或服务承接方）</w:t>
            </w:r>
          </w:p>
        </w:tc>
        <w:tc>
          <w:tcPr>
            <w:tcW w:w="567" w:type="dxa"/>
            <w:vAlign w:val="center"/>
          </w:tcPr>
          <w:p w14:paraId="1C6FBDEC">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954" w:type="dxa"/>
            <w:vAlign w:val="center"/>
          </w:tcPr>
          <w:p w14:paraId="0C760C7A">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型号</w:t>
            </w:r>
          </w:p>
        </w:tc>
        <w:tc>
          <w:tcPr>
            <w:tcW w:w="954" w:type="dxa"/>
            <w:vAlign w:val="center"/>
          </w:tcPr>
          <w:p w14:paraId="1E5962E2">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规格</w:t>
            </w:r>
          </w:p>
        </w:tc>
        <w:tc>
          <w:tcPr>
            <w:tcW w:w="795" w:type="dxa"/>
            <w:vAlign w:val="center"/>
          </w:tcPr>
          <w:p w14:paraId="609D887C">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单位</w:t>
            </w:r>
          </w:p>
        </w:tc>
        <w:tc>
          <w:tcPr>
            <w:tcW w:w="1026" w:type="dxa"/>
            <w:vAlign w:val="center"/>
          </w:tcPr>
          <w:p w14:paraId="61BB3600">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数量</w:t>
            </w:r>
          </w:p>
        </w:tc>
        <w:tc>
          <w:tcPr>
            <w:tcW w:w="976" w:type="dxa"/>
            <w:vAlign w:val="center"/>
          </w:tcPr>
          <w:p w14:paraId="1ED702C4">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w:t>
            </w:r>
          </w:p>
        </w:tc>
        <w:tc>
          <w:tcPr>
            <w:tcW w:w="932" w:type="dxa"/>
            <w:vAlign w:val="center"/>
          </w:tcPr>
          <w:p w14:paraId="5DA9912E">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06041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2F206E8F">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6DA70AF6">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204504EA">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26F0DA14">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6C821B6C">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0F4E972C">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472F51AA">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7B2CD5FB">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3EBC4659">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5B1FC3CF">
            <w:pPr>
              <w:pStyle w:val="24"/>
              <w:jc w:val="center"/>
              <w:rPr>
                <w:rFonts w:hint="eastAsia" w:ascii="仿宋" w:hAnsi="仿宋" w:eastAsia="仿宋" w:cs="仿宋"/>
                <w:color w:val="auto"/>
                <w:sz w:val="21"/>
                <w:szCs w:val="21"/>
                <w:highlight w:val="none"/>
                <w:vertAlign w:val="baseline"/>
                <w:lang w:val="en-US" w:eastAsia="zh-CN"/>
              </w:rPr>
            </w:pPr>
          </w:p>
        </w:tc>
      </w:tr>
      <w:tr w14:paraId="73EEF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502D4507">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06D4B042">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737D8632">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40D2A6CD">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07BD6E5B">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39CF98A6">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52DCE5DB">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640439E8">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2A8D6B83">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7D37DCB6">
            <w:pPr>
              <w:pStyle w:val="24"/>
              <w:jc w:val="center"/>
              <w:rPr>
                <w:rFonts w:hint="eastAsia" w:ascii="仿宋" w:hAnsi="仿宋" w:eastAsia="仿宋" w:cs="仿宋"/>
                <w:color w:val="auto"/>
                <w:sz w:val="21"/>
                <w:szCs w:val="21"/>
                <w:highlight w:val="none"/>
                <w:vertAlign w:val="baseline"/>
                <w:lang w:val="en-US" w:eastAsia="zh-CN"/>
              </w:rPr>
            </w:pPr>
          </w:p>
        </w:tc>
      </w:tr>
      <w:tr w14:paraId="114DB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020F6751">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04B3B766">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1FBFA2FC">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13B2D581">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4FB05802">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4D585E6D">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4B12E43F">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1010AF53">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0F595AB6">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6CC22D46">
            <w:pPr>
              <w:pStyle w:val="24"/>
              <w:jc w:val="center"/>
              <w:rPr>
                <w:rFonts w:hint="eastAsia" w:ascii="仿宋" w:hAnsi="仿宋" w:eastAsia="仿宋" w:cs="仿宋"/>
                <w:color w:val="auto"/>
                <w:sz w:val="21"/>
                <w:szCs w:val="21"/>
                <w:highlight w:val="none"/>
                <w:vertAlign w:val="baseline"/>
                <w:lang w:val="en-US" w:eastAsia="zh-CN"/>
              </w:rPr>
            </w:pPr>
          </w:p>
        </w:tc>
      </w:tr>
      <w:tr w14:paraId="02240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65486B2C">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19F7E31A">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62F44DE4">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0D1285BF">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13486C68">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3D327203">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1D0E1826">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7E0D6298">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00A0EEFD">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458F2EDF">
            <w:pPr>
              <w:pStyle w:val="24"/>
              <w:jc w:val="center"/>
              <w:rPr>
                <w:rFonts w:hint="eastAsia" w:ascii="仿宋" w:hAnsi="仿宋" w:eastAsia="仿宋" w:cs="仿宋"/>
                <w:color w:val="auto"/>
                <w:sz w:val="21"/>
                <w:szCs w:val="21"/>
                <w:highlight w:val="none"/>
                <w:vertAlign w:val="baseline"/>
                <w:lang w:val="en-US" w:eastAsia="zh-CN"/>
              </w:rPr>
            </w:pPr>
          </w:p>
        </w:tc>
      </w:tr>
      <w:tr w14:paraId="7F0A1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7" w:type="dxa"/>
            <w:gridSpan w:val="7"/>
            <w:vAlign w:val="center"/>
          </w:tcPr>
          <w:p w14:paraId="0583ECDE">
            <w:pPr>
              <w:pStyle w:val="24"/>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合计</w:t>
            </w:r>
          </w:p>
        </w:tc>
        <w:tc>
          <w:tcPr>
            <w:tcW w:w="1026" w:type="dxa"/>
            <w:vAlign w:val="center"/>
          </w:tcPr>
          <w:p w14:paraId="281A97A7">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6E9C5964">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09D3CFB5">
            <w:pPr>
              <w:pStyle w:val="24"/>
              <w:jc w:val="center"/>
              <w:rPr>
                <w:rFonts w:hint="eastAsia" w:ascii="仿宋" w:hAnsi="仿宋" w:eastAsia="仿宋" w:cs="仿宋"/>
                <w:color w:val="auto"/>
                <w:sz w:val="21"/>
                <w:szCs w:val="21"/>
                <w:highlight w:val="none"/>
                <w:vertAlign w:val="baseline"/>
                <w:lang w:val="en-US" w:eastAsia="zh-CN"/>
              </w:rPr>
            </w:pPr>
          </w:p>
        </w:tc>
      </w:tr>
    </w:tbl>
    <w:p w14:paraId="611D4DA0">
      <w:pPr>
        <w:widowControl w:val="0"/>
        <w:spacing w:line="360" w:lineRule="auto"/>
        <w:ind w:left="0" w:leftChars="0" w:firstLine="0" w:firstLineChars="0"/>
        <w:jc w:val="both"/>
        <w:rPr>
          <w:rFonts w:hint="eastAsia" w:ascii="仿宋" w:hAnsi="仿宋" w:eastAsia="仿宋" w:cs="仿宋"/>
          <w:kern w:val="2"/>
          <w:sz w:val="21"/>
          <w:szCs w:val="24"/>
          <w:highlight w:val="none"/>
          <w:lang w:val="en-US" w:eastAsia="zh-CN" w:bidi="zh-CN"/>
        </w:rPr>
      </w:pPr>
    </w:p>
    <w:p w14:paraId="73B405D8">
      <w:pPr>
        <w:pStyle w:val="21"/>
        <w:rPr>
          <w:rFonts w:hint="eastAsia" w:ascii="仿宋" w:hAnsi="仿宋" w:eastAsia="仿宋" w:cs="仿宋"/>
          <w:highlight w:val="none"/>
          <w:lang w:val="en-US" w:eastAsia="zh-CN"/>
        </w:rPr>
      </w:pPr>
    </w:p>
    <w:p w14:paraId="578ABC5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注：1.本表应按包分别填写。</w:t>
      </w:r>
    </w:p>
    <w:p w14:paraId="4182BDE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2.如果不提供投标报价明细表将视为没有实质性响应招标文件。</w:t>
      </w:r>
    </w:p>
    <w:p w14:paraId="2F80037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3.上述各项的详细规格（如有），可另页描述。</w:t>
      </w:r>
    </w:p>
    <w:p w14:paraId="2D2BBF14">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4、表格中第二列填写货物名称时、第三列对应填写货物生产商；第二列填写服务名称时、第三列对应填写</w:t>
      </w:r>
      <w:r>
        <w:rPr>
          <w:rFonts w:hint="eastAsia" w:ascii="仿宋" w:hAnsi="仿宋" w:eastAsia="仿宋" w:cs="仿宋"/>
          <w:color w:val="auto"/>
          <w:sz w:val="21"/>
          <w:szCs w:val="21"/>
          <w:highlight w:val="none"/>
          <w:vertAlign w:val="baseline"/>
          <w:lang w:val="en-US" w:eastAsia="zh-CN"/>
        </w:rPr>
        <w:t>服务承接方。货物类采购项目</w:t>
      </w:r>
      <w:r>
        <w:rPr>
          <w:rFonts w:hint="eastAsia" w:ascii="仿宋" w:hAnsi="仿宋" w:eastAsia="仿宋" w:cs="仿宋"/>
          <w:color w:val="auto"/>
          <w:sz w:val="24"/>
          <w:szCs w:val="24"/>
          <w:highlight w:val="none"/>
          <w:lang w:val="en-US" w:eastAsia="zh-CN"/>
        </w:rPr>
        <w:t>除采购需求明确要求填写货物伴随服务外，无需填写货物伴随服务的服务名称、服务承接方，此费用包含在货物单价中。</w:t>
      </w:r>
    </w:p>
    <w:p w14:paraId="2D60EED8">
      <w:pPr>
        <w:spacing w:line="360" w:lineRule="auto"/>
        <w:rPr>
          <w:rFonts w:hint="eastAsia" w:ascii="仿宋" w:hAnsi="仿宋" w:eastAsia="仿宋" w:cs="仿宋"/>
          <w:sz w:val="24"/>
          <w:szCs w:val="24"/>
          <w:highlight w:val="none"/>
          <w:lang w:val="en-US" w:eastAsia="zh-CN"/>
        </w:rPr>
      </w:pPr>
    </w:p>
    <w:p w14:paraId="1EC3A79C">
      <w:pPr>
        <w:spacing w:line="360" w:lineRule="auto"/>
        <w:rPr>
          <w:rFonts w:hint="eastAsia" w:ascii="仿宋" w:hAnsi="仿宋" w:eastAsia="仿宋" w:cs="仿宋"/>
          <w:sz w:val="24"/>
          <w:szCs w:val="24"/>
          <w:highlight w:val="none"/>
          <w:lang w:val="en-US" w:eastAsia="zh-CN"/>
        </w:rPr>
      </w:pPr>
    </w:p>
    <w:p w14:paraId="122C9ABA">
      <w:pPr>
        <w:spacing w:line="360" w:lineRule="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lang w:val="en-US" w:eastAsia="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u w:val="single"/>
          <w:lang w:val="en-US" w:eastAsia="zh-CN"/>
        </w:rPr>
        <w:t xml:space="preserve">              </w:t>
      </w:r>
    </w:p>
    <w:p w14:paraId="6DC7A0B7">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05E507F6">
      <w:pPr>
        <w:pStyle w:val="21"/>
        <w:ind w:left="0" w:leftChars="0" w:firstLine="0" w:firstLineChars="0"/>
        <w:jc w:val="left"/>
        <w:outlineLvl w:val="9"/>
        <w:rPr>
          <w:rFonts w:hint="eastAsia" w:ascii="仿宋" w:hAnsi="仿宋" w:eastAsia="仿宋" w:cs="仿宋"/>
          <w:b/>
          <w:bCs/>
          <w:sz w:val="24"/>
          <w:szCs w:val="24"/>
          <w:highlight w:val="none"/>
          <w:lang w:val="en-US" w:eastAsia="zh-CN"/>
        </w:rPr>
      </w:pPr>
      <w:bookmarkStart w:id="75" w:name="_Toc24571"/>
      <w:bookmarkStart w:id="76" w:name="_Toc27376"/>
    </w:p>
    <w:p w14:paraId="16801FE4">
      <w:pPr>
        <w:pStyle w:val="21"/>
        <w:ind w:left="0" w:leftChars="0" w:firstLine="0" w:firstLineChars="0"/>
        <w:jc w:val="left"/>
        <w:outlineLvl w:val="1"/>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三、商务技术文件</w:t>
      </w:r>
      <w:bookmarkEnd w:id="75"/>
    </w:p>
    <w:bookmarkEnd w:id="76"/>
    <w:p w14:paraId="3ECAF38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2"/>
        <w:rPr>
          <w:rFonts w:hint="eastAsia" w:ascii="仿宋" w:hAnsi="仿宋" w:eastAsia="仿宋" w:cs="仿宋"/>
          <w:b/>
          <w:bCs/>
          <w:highlight w:val="none"/>
        </w:rPr>
      </w:pPr>
      <w:bookmarkStart w:id="77" w:name="_Toc26890"/>
      <w:r>
        <w:rPr>
          <w:rFonts w:hint="eastAsia" w:ascii="仿宋" w:hAnsi="仿宋" w:eastAsia="仿宋" w:cs="仿宋"/>
          <w:b/>
          <w:bCs/>
          <w:color w:val="000000"/>
          <w:kern w:val="0"/>
          <w:sz w:val="24"/>
          <w:szCs w:val="24"/>
          <w:highlight w:val="none"/>
          <w:lang w:val="en-US" w:eastAsia="zh-CN" w:bidi="ar"/>
        </w:rPr>
        <w:t xml:space="preserve">7、投标书 </w:t>
      </w:r>
    </w:p>
    <w:p w14:paraId="5E8996D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7EA3491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default" w:ascii="仿宋" w:hAnsi="仿宋" w:eastAsia="仿宋" w:cs="仿宋"/>
          <w:sz w:val="32"/>
          <w:szCs w:val="32"/>
          <w:highlight w:val="none"/>
          <w:lang w:val="en-US"/>
        </w:rPr>
      </w:pPr>
      <w:r>
        <w:rPr>
          <w:rFonts w:hint="eastAsia" w:ascii="仿宋" w:hAnsi="仿宋" w:eastAsia="仿宋" w:cs="仿宋"/>
          <w:b/>
          <w:bCs/>
          <w:color w:val="000000"/>
          <w:kern w:val="0"/>
          <w:sz w:val="32"/>
          <w:szCs w:val="32"/>
          <w:highlight w:val="none"/>
          <w:lang w:val="en-US" w:eastAsia="zh-CN" w:bidi="ar"/>
        </w:rPr>
        <w:t>投标书</w:t>
      </w:r>
    </w:p>
    <w:p w14:paraId="04A242A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39783B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14:paraId="4FECB54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我方参加你方就</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（采购项目名称）、</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（项目编号)、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（标项(包)名称）</w:t>
      </w:r>
      <w:r>
        <w:rPr>
          <w:rFonts w:hint="eastAsia" w:ascii="仿宋" w:hAnsi="仿宋" w:eastAsia="仿宋" w:cs="仿宋"/>
          <w:color w:val="000000"/>
          <w:kern w:val="0"/>
          <w:sz w:val="24"/>
          <w:szCs w:val="24"/>
          <w:highlight w:val="none"/>
          <w:lang w:val="en-US" w:eastAsia="zh-CN" w:bidi="ar"/>
        </w:rPr>
        <w:t xml:space="preserve">组织的采购活动，并对此项目进行投标响应。 </w:t>
      </w:r>
    </w:p>
    <w:p w14:paraId="1840F7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78" w:name="_Toc31541"/>
      <w:r>
        <w:rPr>
          <w:rFonts w:hint="eastAsia" w:ascii="仿宋" w:hAnsi="仿宋" w:eastAsia="仿宋" w:cs="仿宋"/>
          <w:color w:val="000000"/>
          <w:kern w:val="0"/>
          <w:sz w:val="24"/>
          <w:szCs w:val="24"/>
          <w:highlight w:val="none"/>
          <w:lang w:val="en-US" w:eastAsia="zh-CN" w:bidi="ar"/>
        </w:rPr>
        <w:t>1. 我方已详细审查全部采购文件，自愿参与投标响应并承诺如下：</w:t>
      </w:r>
      <w:bookmarkEnd w:id="78"/>
      <w:r>
        <w:rPr>
          <w:rFonts w:hint="eastAsia" w:ascii="仿宋" w:hAnsi="仿宋" w:eastAsia="仿宋" w:cs="仿宋"/>
          <w:color w:val="000000"/>
          <w:kern w:val="0"/>
          <w:sz w:val="24"/>
          <w:szCs w:val="24"/>
          <w:highlight w:val="none"/>
          <w:lang w:val="en-US" w:eastAsia="zh-CN" w:bidi="ar"/>
        </w:rPr>
        <w:t xml:space="preserve"> </w:t>
      </w:r>
    </w:p>
    <w:p w14:paraId="5219322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（1）本响应有效期为自提交响应文件的截止之日起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个日历日。 </w:t>
      </w:r>
    </w:p>
    <w:p w14:paraId="0D4D9CF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（2）除合同条款及采购需求偏离表列出的偏离外，我方响应采购文件的全部要求。 </w:t>
      </w:r>
    </w:p>
    <w:p w14:paraId="1B07C37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（3）我方已提供的全部文件资料是真实、准确的，并对此承担一切法律后果。 </w:t>
      </w:r>
    </w:p>
    <w:p w14:paraId="3EFE89B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（4）如我方成交，我方将在法律规定的期限内与你方签订合同，按照采购文件要求提交履约保证金，并在合同约定的期限内完成合同规定的全部义务。 </w:t>
      </w:r>
    </w:p>
    <w:p w14:paraId="20E4F37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79" w:name="_Toc30568"/>
      <w:r>
        <w:rPr>
          <w:rFonts w:hint="eastAsia" w:ascii="仿宋" w:hAnsi="仿宋" w:eastAsia="仿宋" w:cs="仿宋"/>
          <w:color w:val="000000"/>
          <w:kern w:val="0"/>
          <w:sz w:val="24"/>
          <w:szCs w:val="24"/>
          <w:highlight w:val="none"/>
          <w:lang w:val="en-US" w:eastAsia="zh-CN" w:bidi="ar"/>
        </w:rPr>
        <w:t>2. 其他补充条款（如有）：</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79"/>
      <w:r>
        <w:rPr>
          <w:rFonts w:hint="eastAsia" w:ascii="仿宋" w:hAnsi="仿宋" w:eastAsia="仿宋" w:cs="仿宋"/>
          <w:color w:val="000000"/>
          <w:kern w:val="0"/>
          <w:sz w:val="24"/>
          <w:szCs w:val="24"/>
          <w:highlight w:val="none"/>
          <w:lang w:val="en-US" w:eastAsia="zh-CN" w:bidi="ar"/>
        </w:rPr>
        <w:t xml:space="preserve"> </w:t>
      </w:r>
    </w:p>
    <w:p w14:paraId="477AF3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与本投标有关的一切正式往来信函请寄： </w:t>
      </w:r>
    </w:p>
    <w:p w14:paraId="038C12B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地址</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传真</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5A6AAE6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电话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电子函件</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5A64C6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87CBF4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7342D5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4ECF9C36">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3669162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2"/>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8、授权委托书</w:t>
      </w:r>
      <w:bookmarkEnd w:id="77"/>
      <w:r>
        <w:rPr>
          <w:rFonts w:hint="eastAsia" w:ascii="仿宋" w:hAnsi="仿宋" w:eastAsia="仿宋" w:cs="仿宋"/>
          <w:color w:val="000000"/>
          <w:kern w:val="0"/>
          <w:sz w:val="24"/>
          <w:szCs w:val="24"/>
          <w:highlight w:val="none"/>
          <w:lang w:val="en-US" w:eastAsia="zh-CN" w:bidi="ar"/>
        </w:rPr>
        <w:t xml:space="preserve"> </w:t>
      </w:r>
    </w:p>
    <w:p w14:paraId="0A19B44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000000"/>
          <w:kern w:val="0"/>
          <w:sz w:val="32"/>
          <w:szCs w:val="32"/>
          <w:highlight w:val="none"/>
          <w:lang w:val="en-US" w:eastAsia="zh-CN" w:bidi="ar"/>
        </w:rPr>
      </w:pPr>
    </w:p>
    <w:p w14:paraId="4A0F0A4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授权委托书</w:t>
      </w:r>
    </w:p>
    <w:p w14:paraId="73CE29D8">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3FEB8F89">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（姓名）系</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（供应商名称）的法定代表人（单位负责人），现委托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000000"/>
          <w:kern w:val="0"/>
          <w:sz w:val="24"/>
          <w:szCs w:val="24"/>
          <w:highlight w:val="none"/>
          <w:u w:val="single"/>
          <w:lang w:val="en-US" w:eastAsia="zh-CN" w:bidi="ar"/>
        </w:rPr>
        <w:t xml:space="preserve">           （项目名称）</w:t>
      </w:r>
      <w:r>
        <w:rPr>
          <w:rFonts w:hint="eastAsia" w:ascii="仿宋" w:hAnsi="仿宋" w:eastAsia="仿宋" w:cs="仿宋"/>
          <w:color w:val="000000"/>
          <w:kern w:val="0"/>
          <w:sz w:val="24"/>
          <w:szCs w:val="24"/>
          <w:highlight w:val="none"/>
          <w:lang w:val="en-US" w:eastAsia="zh-CN" w:bidi="ar"/>
        </w:rPr>
        <w:t xml:space="preserve">响应文件和处理有关事宜，其法律后果由我方承担。 </w:t>
      </w:r>
    </w:p>
    <w:p w14:paraId="7B0C1099">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委托期限：自本授权委托书签署之日起至响应有效期届满之日止。 </w:t>
      </w:r>
    </w:p>
    <w:p w14:paraId="7D5896EA">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代理人无转委托权。 </w:t>
      </w:r>
    </w:p>
    <w:p w14:paraId="7FFC664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4BD57B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441D12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AEC393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委托代理人（签字/签章）：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66501EC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1422A5B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BE059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62E9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6251DD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6450807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1CE385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0715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4AF5EB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2A6CDB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6B26FA7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说明：1.若供应商为事业单位或其他组织或分支机构（仅当采购文件注明允许分支机构投标的），则法定代表人（单位负责人）处的签署人可为单位负责人。 </w:t>
      </w:r>
    </w:p>
    <w:p w14:paraId="6FA3B9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2.若响应文件中签字之处均为法定代表人（单位负责人）本人签署，则可不提供本《授权委托书》，但须提供《法定代表人（单位负责人）身份证明》。 </w:t>
      </w:r>
    </w:p>
    <w:p w14:paraId="7234AB7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80" w:name="_Toc24165"/>
      <w:r>
        <w:rPr>
          <w:rFonts w:hint="eastAsia" w:ascii="仿宋" w:hAnsi="仿宋" w:eastAsia="仿宋" w:cs="仿宋"/>
          <w:color w:val="000000"/>
          <w:kern w:val="0"/>
          <w:sz w:val="24"/>
          <w:szCs w:val="24"/>
          <w:highlight w:val="none"/>
          <w:lang w:val="en-US" w:eastAsia="zh-CN" w:bidi="ar"/>
        </w:rPr>
        <w:t>3.供应商为自然人的情形，可不提供本《授权委托书》。</w:t>
      </w:r>
      <w:bookmarkEnd w:id="80"/>
    </w:p>
    <w:p w14:paraId="143D367E">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A184BFF">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附：法定代表人（单位负责人）身份证明</w:t>
      </w:r>
    </w:p>
    <w:p w14:paraId="1169063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88F2FD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11D8327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兹证明， </w:t>
      </w:r>
    </w:p>
    <w:p w14:paraId="6EB4ED2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姓名：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性别：</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年龄：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职务：</w:t>
      </w:r>
      <w:r>
        <w:rPr>
          <w:rFonts w:hint="eastAsia" w:ascii="仿宋" w:hAnsi="仿宋" w:eastAsia="仿宋" w:cs="仿宋"/>
          <w:color w:val="000000"/>
          <w:kern w:val="0"/>
          <w:sz w:val="24"/>
          <w:szCs w:val="24"/>
          <w:highlight w:val="none"/>
          <w:u w:val="single"/>
          <w:lang w:val="en-US" w:eastAsia="zh-CN" w:bidi="ar"/>
        </w:rPr>
        <w:t xml:space="preserve">     </w:t>
      </w:r>
    </w:p>
    <w:p w14:paraId="384D446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系</w:t>
      </w:r>
      <w:r>
        <w:rPr>
          <w:rFonts w:hint="eastAsia" w:ascii="仿宋" w:hAnsi="仿宋" w:eastAsia="仿宋" w:cs="仿宋"/>
          <w:color w:val="000000"/>
          <w:kern w:val="0"/>
          <w:sz w:val="24"/>
          <w:szCs w:val="24"/>
          <w:highlight w:val="none"/>
          <w:u w:val="single"/>
          <w:lang w:val="en-US" w:eastAsia="zh-CN" w:bidi="ar"/>
        </w:rPr>
        <w:t xml:space="preserve">       （供应商名称）</w:t>
      </w:r>
      <w:r>
        <w:rPr>
          <w:rFonts w:hint="eastAsia" w:ascii="仿宋" w:hAnsi="仿宋" w:eastAsia="仿宋" w:cs="仿宋"/>
          <w:color w:val="000000"/>
          <w:kern w:val="0"/>
          <w:sz w:val="24"/>
          <w:szCs w:val="24"/>
          <w:highlight w:val="none"/>
          <w:lang w:val="en-US" w:eastAsia="zh-CN" w:bidi="ar"/>
        </w:rPr>
        <w:t xml:space="preserve">的法定代表人（单位负责人）。 </w:t>
      </w:r>
    </w:p>
    <w:p w14:paraId="6DDF6B5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B4CDF2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740A70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附：法定代表人（单位负责人）有效期内的身份证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1CBB8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3A66FAE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4261" w:type="dxa"/>
          </w:tcPr>
          <w:p w14:paraId="7138C44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14:paraId="0933A4F3">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3A8E97A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3C42490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359E00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347BC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2292C3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2BD225A3">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153BD053">
      <w:pPr>
        <w:keepNext w:val="0"/>
        <w:keepLines w:val="0"/>
        <w:widowControl/>
        <w:suppressLineNumbers w:val="0"/>
        <w:jc w:val="left"/>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9、磋商保证金凭证/交款单据电子件</w:t>
      </w:r>
    </w:p>
    <w:p w14:paraId="0E1B1A5B">
      <w:pPr>
        <w:rPr>
          <w:rFonts w:hint="eastAsia" w:ascii="仿宋" w:hAnsi="仿宋" w:eastAsia="仿宋" w:cs="仿宋"/>
          <w:highlight w:val="none"/>
        </w:rPr>
      </w:pPr>
      <w:r>
        <w:rPr>
          <w:rFonts w:hint="eastAsia" w:ascii="仿宋" w:hAnsi="仿宋" w:eastAsia="仿宋" w:cs="仿宋"/>
          <w:highlight w:val="none"/>
        </w:rPr>
        <w:br w:type="page"/>
      </w:r>
    </w:p>
    <w:p w14:paraId="7877C91A">
      <w:pPr>
        <w:pStyle w:val="21"/>
        <w:ind w:left="0" w:leftChars="0" w:firstLine="0" w:firstLineChars="0"/>
        <w:jc w:val="left"/>
        <w:outlineLvl w:val="2"/>
        <w:rPr>
          <w:rFonts w:hint="eastAsia" w:ascii="仿宋" w:hAnsi="仿宋" w:eastAsia="仿宋" w:cs="仿宋"/>
          <w:b/>
          <w:bCs/>
          <w:sz w:val="32"/>
          <w:szCs w:val="32"/>
          <w:highlight w:val="none"/>
          <w:lang w:val="en-US" w:eastAsia="zh-CN"/>
        </w:rPr>
      </w:pPr>
      <w:r>
        <w:rPr>
          <w:rFonts w:hint="eastAsia" w:ascii="仿宋" w:hAnsi="仿宋" w:eastAsia="仿宋" w:cs="仿宋"/>
          <w:b/>
          <w:bCs/>
          <w:sz w:val="24"/>
          <w:szCs w:val="24"/>
          <w:highlight w:val="none"/>
          <w:lang w:val="en-US" w:eastAsia="zh-CN"/>
        </w:rPr>
        <w:t>10、商务条款偏离表</w:t>
      </w:r>
    </w:p>
    <w:p w14:paraId="6FA174C5">
      <w:pPr>
        <w:pStyle w:val="21"/>
        <w:ind w:left="0" w:leftChars="0" w:firstLine="0" w:firstLineChars="0"/>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商务条款偏离表</w:t>
      </w:r>
    </w:p>
    <w:p w14:paraId="09717F29">
      <w:pPr>
        <w:rPr>
          <w:rFonts w:hint="eastAsia" w:ascii="仿宋" w:hAnsi="仿宋" w:eastAsia="仿宋" w:cs="仿宋"/>
          <w:highlight w:val="none"/>
          <w:lang w:val="en-US" w:eastAsia="zh-CN"/>
        </w:rPr>
      </w:pPr>
    </w:p>
    <w:p w14:paraId="6B1BAE9E">
      <w:pPr>
        <w:pStyle w:val="21"/>
        <w:ind w:left="0" w:leftChars="0" w:firstLine="0" w:firstLineChars="0"/>
        <w:jc w:val="left"/>
        <w:rPr>
          <w:rFonts w:hint="eastAsia" w:ascii="仿宋" w:hAnsi="仿宋" w:eastAsia="仿宋" w:cs="仿宋"/>
          <w:highlight w:val="none"/>
          <w:u w:val="single"/>
          <w:lang w:val="en-US" w:eastAsia="zh-CN"/>
        </w:rPr>
      </w:pPr>
      <w:r>
        <w:rPr>
          <w:rFonts w:hint="eastAsia" w:ascii="仿宋" w:hAnsi="仿宋" w:eastAsia="仿宋" w:cs="仿宋"/>
          <w:highlight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项目编号</w:t>
      </w:r>
      <w:r>
        <w:rPr>
          <w:rFonts w:hint="eastAsia" w:ascii="仿宋" w:hAnsi="仿宋" w:eastAsia="仿宋" w:cs="仿宋"/>
          <w:highlight w:val="none"/>
          <w:u w:val="single"/>
          <w:lang w:val="en-US" w:eastAsia="zh-CN"/>
        </w:rPr>
        <w:t xml:space="preserve">                        </w:t>
      </w:r>
    </w:p>
    <w:p w14:paraId="0D482FDB">
      <w:pPr>
        <w:rPr>
          <w:rFonts w:hint="default"/>
          <w:highlight w:val="none"/>
          <w:lang w:val="en-US" w:eastAsia="zh-CN"/>
        </w:rPr>
      </w:pPr>
      <w:r>
        <w:rPr>
          <w:rFonts w:hint="eastAsia" w:ascii="仿宋" w:hAnsi="仿宋" w:eastAsia="仿宋" w:cs="仿宋"/>
          <w:highlight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2922C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06A145E6">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对本项目商务条款的偏离情况（请进行勾选）：</w:t>
            </w:r>
          </w:p>
          <w:p w14:paraId="08D08404">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r>
              <w:rPr>
                <w:rFonts w:hint="eastAsia" w:ascii="仿宋" w:hAnsi="仿宋" w:eastAsia="仿宋" w:cs="仿宋"/>
                <w:b/>
                <w:bCs/>
                <w:sz w:val="21"/>
                <w:szCs w:val="21"/>
                <w:highlight w:val="none"/>
                <w:vertAlign w:val="baseline"/>
                <w:lang w:val="en-US" w:eastAsia="zh-CN"/>
              </w:rPr>
              <w:t>无偏离</w:t>
            </w:r>
            <w:r>
              <w:rPr>
                <w:rFonts w:hint="eastAsia" w:ascii="仿宋" w:hAnsi="仿宋" w:eastAsia="仿宋" w:cs="仿宋"/>
                <w:sz w:val="21"/>
                <w:szCs w:val="21"/>
                <w:highlight w:val="none"/>
                <w:vertAlign w:val="baseline"/>
                <w:lang w:val="en-US" w:eastAsia="zh-CN"/>
              </w:rPr>
              <w:t>（如无偏离，仅勾选无偏离即可）</w:t>
            </w:r>
          </w:p>
          <w:p w14:paraId="6DBA86C4">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r>
              <w:rPr>
                <w:rFonts w:hint="eastAsia" w:ascii="仿宋" w:hAnsi="仿宋" w:eastAsia="仿宋" w:cs="仿宋"/>
                <w:b/>
                <w:bCs/>
                <w:sz w:val="21"/>
                <w:szCs w:val="21"/>
                <w:highlight w:val="none"/>
                <w:vertAlign w:val="baseline"/>
                <w:lang w:val="en-US" w:eastAsia="zh-CN"/>
              </w:rPr>
              <w:t>有偏离</w:t>
            </w:r>
            <w:r>
              <w:rPr>
                <w:rFonts w:hint="eastAsia" w:ascii="仿宋" w:hAnsi="仿宋" w:eastAsia="仿宋" w:cs="仿宋"/>
                <w:sz w:val="21"/>
                <w:szCs w:val="21"/>
                <w:highlight w:val="none"/>
                <w:vertAlign w:val="baseline"/>
                <w:lang w:val="en-US" w:eastAsia="zh-CN"/>
              </w:rPr>
              <w:t>（如有偏离，则应在本表中对偏离项逐一列明）</w:t>
            </w:r>
          </w:p>
        </w:tc>
      </w:tr>
      <w:tr w14:paraId="31F35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6E2F93E7">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1" w:type="dxa"/>
            <w:vAlign w:val="center"/>
          </w:tcPr>
          <w:p w14:paraId="0969B789">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w:t>
            </w:r>
          </w:p>
          <w:p w14:paraId="3D9A79FD">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条目号</w:t>
            </w:r>
          </w:p>
          <w:p w14:paraId="50D172C3">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（页码）</w:t>
            </w:r>
          </w:p>
        </w:tc>
        <w:tc>
          <w:tcPr>
            <w:tcW w:w="1901" w:type="dxa"/>
            <w:vAlign w:val="center"/>
          </w:tcPr>
          <w:p w14:paraId="66106D47">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753" w:type="dxa"/>
            <w:vAlign w:val="center"/>
          </w:tcPr>
          <w:p w14:paraId="7A85CC86">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561" w:type="dxa"/>
            <w:vAlign w:val="center"/>
          </w:tcPr>
          <w:p w14:paraId="2F1519E9">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052" w:type="dxa"/>
            <w:vAlign w:val="center"/>
          </w:tcPr>
          <w:p w14:paraId="1FB6AE43">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10735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214E1DBD">
            <w:pPr>
              <w:rPr>
                <w:rFonts w:hint="eastAsia" w:ascii="仿宋" w:hAnsi="仿宋" w:eastAsia="仿宋" w:cs="仿宋"/>
                <w:sz w:val="21"/>
                <w:szCs w:val="21"/>
                <w:highlight w:val="none"/>
                <w:vertAlign w:val="baseline"/>
                <w:lang w:val="en-US" w:eastAsia="zh-CN"/>
              </w:rPr>
            </w:pPr>
          </w:p>
        </w:tc>
        <w:tc>
          <w:tcPr>
            <w:tcW w:w="1421" w:type="dxa"/>
          </w:tcPr>
          <w:p w14:paraId="53460D97">
            <w:pPr>
              <w:rPr>
                <w:rFonts w:hint="eastAsia" w:ascii="仿宋" w:hAnsi="仿宋" w:eastAsia="仿宋" w:cs="仿宋"/>
                <w:sz w:val="21"/>
                <w:szCs w:val="21"/>
                <w:highlight w:val="none"/>
                <w:vertAlign w:val="baseline"/>
                <w:lang w:val="en-US" w:eastAsia="zh-CN"/>
              </w:rPr>
            </w:pPr>
          </w:p>
        </w:tc>
        <w:tc>
          <w:tcPr>
            <w:tcW w:w="1901" w:type="dxa"/>
          </w:tcPr>
          <w:p w14:paraId="70EB14E4">
            <w:pPr>
              <w:rPr>
                <w:rFonts w:hint="eastAsia" w:ascii="仿宋" w:hAnsi="仿宋" w:eastAsia="仿宋" w:cs="仿宋"/>
                <w:sz w:val="21"/>
                <w:szCs w:val="21"/>
                <w:highlight w:val="none"/>
                <w:vertAlign w:val="baseline"/>
                <w:lang w:val="en-US" w:eastAsia="zh-CN"/>
              </w:rPr>
            </w:pPr>
          </w:p>
        </w:tc>
        <w:tc>
          <w:tcPr>
            <w:tcW w:w="1753" w:type="dxa"/>
          </w:tcPr>
          <w:p w14:paraId="6B6C4DE6">
            <w:pPr>
              <w:rPr>
                <w:rFonts w:hint="eastAsia" w:ascii="仿宋" w:hAnsi="仿宋" w:eastAsia="仿宋" w:cs="仿宋"/>
                <w:sz w:val="21"/>
                <w:szCs w:val="21"/>
                <w:highlight w:val="none"/>
                <w:vertAlign w:val="baseline"/>
                <w:lang w:val="en-US" w:eastAsia="zh-CN"/>
              </w:rPr>
            </w:pPr>
          </w:p>
        </w:tc>
        <w:tc>
          <w:tcPr>
            <w:tcW w:w="1561" w:type="dxa"/>
          </w:tcPr>
          <w:p w14:paraId="6E502452">
            <w:pPr>
              <w:rPr>
                <w:rFonts w:hint="eastAsia" w:ascii="仿宋" w:hAnsi="仿宋" w:eastAsia="仿宋" w:cs="仿宋"/>
                <w:sz w:val="21"/>
                <w:szCs w:val="21"/>
                <w:highlight w:val="none"/>
                <w:vertAlign w:val="baseline"/>
                <w:lang w:val="en-US" w:eastAsia="zh-CN"/>
              </w:rPr>
            </w:pPr>
          </w:p>
        </w:tc>
        <w:tc>
          <w:tcPr>
            <w:tcW w:w="1052" w:type="dxa"/>
          </w:tcPr>
          <w:p w14:paraId="4BDDC65C">
            <w:pPr>
              <w:rPr>
                <w:rFonts w:hint="eastAsia" w:ascii="仿宋" w:hAnsi="仿宋" w:eastAsia="仿宋" w:cs="仿宋"/>
                <w:sz w:val="21"/>
                <w:szCs w:val="21"/>
                <w:highlight w:val="none"/>
                <w:vertAlign w:val="baseline"/>
                <w:lang w:val="en-US" w:eastAsia="zh-CN"/>
              </w:rPr>
            </w:pPr>
          </w:p>
        </w:tc>
      </w:tr>
      <w:tr w14:paraId="37919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45F22F88">
            <w:pPr>
              <w:rPr>
                <w:rFonts w:hint="eastAsia" w:ascii="仿宋" w:hAnsi="仿宋" w:eastAsia="仿宋" w:cs="仿宋"/>
                <w:sz w:val="21"/>
                <w:szCs w:val="21"/>
                <w:highlight w:val="none"/>
                <w:vertAlign w:val="baseline"/>
                <w:lang w:val="en-US" w:eastAsia="zh-CN"/>
              </w:rPr>
            </w:pPr>
          </w:p>
        </w:tc>
        <w:tc>
          <w:tcPr>
            <w:tcW w:w="1421" w:type="dxa"/>
          </w:tcPr>
          <w:p w14:paraId="7D8304AE">
            <w:pPr>
              <w:rPr>
                <w:rFonts w:hint="eastAsia" w:ascii="仿宋" w:hAnsi="仿宋" w:eastAsia="仿宋" w:cs="仿宋"/>
                <w:sz w:val="21"/>
                <w:szCs w:val="21"/>
                <w:highlight w:val="none"/>
                <w:vertAlign w:val="baseline"/>
                <w:lang w:val="en-US" w:eastAsia="zh-CN"/>
              </w:rPr>
            </w:pPr>
          </w:p>
        </w:tc>
        <w:tc>
          <w:tcPr>
            <w:tcW w:w="1901" w:type="dxa"/>
          </w:tcPr>
          <w:p w14:paraId="3F161D05">
            <w:pPr>
              <w:rPr>
                <w:rFonts w:hint="eastAsia" w:ascii="仿宋" w:hAnsi="仿宋" w:eastAsia="仿宋" w:cs="仿宋"/>
                <w:sz w:val="21"/>
                <w:szCs w:val="21"/>
                <w:highlight w:val="none"/>
                <w:vertAlign w:val="baseline"/>
                <w:lang w:val="en-US" w:eastAsia="zh-CN"/>
              </w:rPr>
            </w:pPr>
          </w:p>
        </w:tc>
        <w:tc>
          <w:tcPr>
            <w:tcW w:w="1753" w:type="dxa"/>
          </w:tcPr>
          <w:p w14:paraId="2F1A7503">
            <w:pPr>
              <w:rPr>
                <w:rFonts w:hint="eastAsia" w:ascii="仿宋" w:hAnsi="仿宋" w:eastAsia="仿宋" w:cs="仿宋"/>
                <w:sz w:val="21"/>
                <w:szCs w:val="21"/>
                <w:highlight w:val="none"/>
                <w:vertAlign w:val="baseline"/>
                <w:lang w:val="en-US" w:eastAsia="zh-CN"/>
              </w:rPr>
            </w:pPr>
          </w:p>
        </w:tc>
        <w:tc>
          <w:tcPr>
            <w:tcW w:w="1561" w:type="dxa"/>
          </w:tcPr>
          <w:p w14:paraId="2A86176B">
            <w:pPr>
              <w:rPr>
                <w:rFonts w:hint="eastAsia" w:ascii="仿宋" w:hAnsi="仿宋" w:eastAsia="仿宋" w:cs="仿宋"/>
                <w:sz w:val="21"/>
                <w:szCs w:val="21"/>
                <w:highlight w:val="none"/>
                <w:vertAlign w:val="baseline"/>
                <w:lang w:val="en-US" w:eastAsia="zh-CN"/>
              </w:rPr>
            </w:pPr>
          </w:p>
        </w:tc>
        <w:tc>
          <w:tcPr>
            <w:tcW w:w="1052" w:type="dxa"/>
          </w:tcPr>
          <w:p w14:paraId="413A35AB">
            <w:pPr>
              <w:rPr>
                <w:rFonts w:hint="eastAsia" w:ascii="仿宋" w:hAnsi="仿宋" w:eastAsia="仿宋" w:cs="仿宋"/>
                <w:sz w:val="21"/>
                <w:szCs w:val="21"/>
                <w:highlight w:val="none"/>
                <w:vertAlign w:val="baseline"/>
                <w:lang w:val="en-US" w:eastAsia="zh-CN"/>
              </w:rPr>
            </w:pPr>
          </w:p>
        </w:tc>
      </w:tr>
      <w:tr w14:paraId="309F2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5085AE9D">
            <w:pPr>
              <w:rPr>
                <w:rFonts w:hint="eastAsia" w:ascii="仿宋" w:hAnsi="仿宋" w:eastAsia="仿宋" w:cs="仿宋"/>
                <w:sz w:val="21"/>
                <w:szCs w:val="21"/>
                <w:highlight w:val="none"/>
                <w:vertAlign w:val="baseline"/>
                <w:lang w:val="en-US" w:eastAsia="zh-CN"/>
              </w:rPr>
            </w:pPr>
          </w:p>
        </w:tc>
        <w:tc>
          <w:tcPr>
            <w:tcW w:w="1421" w:type="dxa"/>
          </w:tcPr>
          <w:p w14:paraId="15916343">
            <w:pPr>
              <w:rPr>
                <w:rFonts w:hint="eastAsia" w:ascii="仿宋" w:hAnsi="仿宋" w:eastAsia="仿宋" w:cs="仿宋"/>
                <w:sz w:val="21"/>
                <w:szCs w:val="21"/>
                <w:highlight w:val="none"/>
                <w:vertAlign w:val="baseline"/>
                <w:lang w:val="en-US" w:eastAsia="zh-CN"/>
              </w:rPr>
            </w:pPr>
          </w:p>
        </w:tc>
        <w:tc>
          <w:tcPr>
            <w:tcW w:w="1901" w:type="dxa"/>
          </w:tcPr>
          <w:p w14:paraId="2A50F0F4">
            <w:pPr>
              <w:rPr>
                <w:rFonts w:hint="eastAsia" w:ascii="仿宋" w:hAnsi="仿宋" w:eastAsia="仿宋" w:cs="仿宋"/>
                <w:sz w:val="21"/>
                <w:szCs w:val="21"/>
                <w:highlight w:val="none"/>
                <w:vertAlign w:val="baseline"/>
                <w:lang w:val="en-US" w:eastAsia="zh-CN"/>
              </w:rPr>
            </w:pPr>
          </w:p>
        </w:tc>
        <w:tc>
          <w:tcPr>
            <w:tcW w:w="1753" w:type="dxa"/>
          </w:tcPr>
          <w:p w14:paraId="6ED9045A">
            <w:pPr>
              <w:rPr>
                <w:rFonts w:hint="eastAsia" w:ascii="仿宋" w:hAnsi="仿宋" w:eastAsia="仿宋" w:cs="仿宋"/>
                <w:sz w:val="21"/>
                <w:szCs w:val="21"/>
                <w:highlight w:val="none"/>
                <w:vertAlign w:val="baseline"/>
                <w:lang w:val="en-US" w:eastAsia="zh-CN"/>
              </w:rPr>
            </w:pPr>
          </w:p>
        </w:tc>
        <w:tc>
          <w:tcPr>
            <w:tcW w:w="1561" w:type="dxa"/>
          </w:tcPr>
          <w:p w14:paraId="31CC6630">
            <w:pPr>
              <w:rPr>
                <w:rFonts w:hint="eastAsia" w:ascii="仿宋" w:hAnsi="仿宋" w:eastAsia="仿宋" w:cs="仿宋"/>
                <w:sz w:val="21"/>
                <w:szCs w:val="21"/>
                <w:highlight w:val="none"/>
                <w:vertAlign w:val="baseline"/>
                <w:lang w:val="en-US" w:eastAsia="zh-CN"/>
              </w:rPr>
            </w:pPr>
          </w:p>
        </w:tc>
        <w:tc>
          <w:tcPr>
            <w:tcW w:w="1052" w:type="dxa"/>
          </w:tcPr>
          <w:p w14:paraId="49DE0FC8">
            <w:pPr>
              <w:rPr>
                <w:rFonts w:hint="eastAsia" w:ascii="仿宋" w:hAnsi="仿宋" w:eastAsia="仿宋" w:cs="仿宋"/>
                <w:sz w:val="21"/>
                <w:szCs w:val="21"/>
                <w:highlight w:val="none"/>
                <w:vertAlign w:val="baseline"/>
                <w:lang w:val="en-US" w:eastAsia="zh-CN"/>
              </w:rPr>
            </w:pPr>
          </w:p>
        </w:tc>
      </w:tr>
      <w:tr w14:paraId="78D23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73A08413">
            <w:pPr>
              <w:rPr>
                <w:rFonts w:hint="eastAsia" w:ascii="仿宋" w:hAnsi="仿宋" w:eastAsia="仿宋" w:cs="仿宋"/>
                <w:sz w:val="21"/>
                <w:szCs w:val="21"/>
                <w:highlight w:val="none"/>
                <w:vertAlign w:val="baseline"/>
                <w:lang w:val="en-US" w:eastAsia="zh-CN"/>
              </w:rPr>
            </w:pPr>
          </w:p>
        </w:tc>
        <w:tc>
          <w:tcPr>
            <w:tcW w:w="1421" w:type="dxa"/>
          </w:tcPr>
          <w:p w14:paraId="56B99DD5">
            <w:pPr>
              <w:rPr>
                <w:rFonts w:hint="eastAsia" w:ascii="仿宋" w:hAnsi="仿宋" w:eastAsia="仿宋" w:cs="仿宋"/>
                <w:sz w:val="21"/>
                <w:szCs w:val="21"/>
                <w:highlight w:val="none"/>
                <w:vertAlign w:val="baseline"/>
                <w:lang w:val="en-US" w:eastAsia="zh-CN"/>
              </w:rPr>
            </w:pPr>
          </w:p>
        </w:tc>
        <w:tc>
          <w:tcPr>
            <w:tcW w:w="1901" w:type="dxa"/>
          </w:tcPr>
          <w:p w14:paraId="7578F2D4">
            <w:pPr>
              <w:rPr>
                <w:rFonts w:hint="eastAsia" w:ascii="仿宋" w:hAnsi="仿宋" w:eastAsia="仿宋" w:cs="仿宋"/>
                <w:sz w:val="21"/>
                <w:szCs w:val="21"/>
                <w:highlight w:val="none"/>
                <w:vertAlign w:val="baseline"/>
                <w:lang w:val="en-US" w:eastAsia="zh-CN"/>
              </w:rPr>
            </w:pPr>
          </w:p>
        </w:tc>
        <w:tc>
          <w:tcPr>
            <w:tcW w:w="1753" w:type="dxa"/>
          </w:tcPr>
          <w:p w14:paraId="4D11176B">
            <w:pPr>
              <w:rPr>
                <w:rFonts w:hint="eastAsia" w:ascii="仿宋" w:hAnsi="仿宋" w:eastAsia="仿宋" w:cs="仿宋"/>
                <w:sz w:val="21"/>
                <w:szCs w:val="21"/>
                <w:highlight w:val="none"/>
                <w:vertAlign w:val="baseline"/>
                <w:lang w:val="en-US" w:eastAsia="zh-CN"/>
              </w:rPr>
            </w:pPr>
          </w:p>
        </w:tc>
        <w:tc>
          <w:tcPr>
            <w:tcW w:w="1561" w:type="dxa"/>
          </w:tcPr>
          <w:p w14:paraId="26F4CB04">
            <w:pPr>
              <w:rPr>
                <w:rFonts w:hint="eastAsia" w:ascii="仿宋" w:hAnsi="仿宋" w:eastAsia="仿宋" w:cs="仿宋"/>
                <w:sz w:val="21"/>
                <w:szCs w:val="21"/>
                <w:highlight w:val="none"/>
                <w:vertAlign w:val="baseline"/>
                <w:lang w:val="en-US" w:eastAsia="zh-CN"/>
              </w:rPr>
            </w:pPr>
          </w:p>
        </w:tc>
        <w:tc>
          <w:tcPr>
            <w:tcW w:w="1052" w:type="dxa"/>
          </w:tcPr>
          <w:p w14:paraId="16C22943">
            <w:pPr>
              <w:rPr>
                <w:rFonts w:hint="eastAsia" w:ascii="仿宋" w:hAnsi="仿宋" w:eastAsia="仿宋" w:cs="仿宋"/>
                <w:sz w:val="21"/>
                <w:szCs w:val="21"/>
                <w:highlight w:val="none"/>
                <w:vertAlign w:val="baseline"/>
                <w:lang w:val="en-US" w:eastAsia="zh-CN"/>
              </w:rPr>
            </w:pPr>
          </w:p>
        </w:tc>
      </w:tr>
      <w:tr w14:paraId="40D76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2C699E86">
            <w:pPr>
              <w:rPr>
                <w:rFonts w:hint="eastAsia" w:ascii="仿宋" w:hAnsi="仿宋" w:eastAsia="仿宋" w:cs="仿宋"/>
                <w:sz w:val="21"/>
                <w:szCs w:val="21"/>
                <w:highlight w:val="none"/>
                <w:vertAlign w:val="baseline"/>
                <w:lang w:val="en-US" w:eastAsia="zh-CN"/>
              </w:rPr>
            </w:pPr>
          </w:p>
        </w:tc>
        <w:tc>
          <w:tcPr>
            <w:tcW w:w="1421" w:type="dxa"/>
          </w:tcPr>
          <w:p w14:paraId="3F909490">
            <w:pPr>
              <w:rPr>
                <w:rFonts w:hint="eastAsia" w:ascii="仿宋" w:hAnsi="仿宋" w:eastAsia="仿宋" w:cs="仿宋"/>
                <w:sz w:val="21"/>
                <w:szCs w:val="21"/>
                <w:highlight w:val="none"/>
                <w:vertAlign w:val="baseline"/>
                <w:lang w:val="en-US" w:eastAsia="zh-CN"/>
              </w:rPr>
            </w:pPr>
          </w:p>
        </w:tc>
        <w:tc>
          <w:tcPr>
            <w:tcW w:w="1901" w:type="dxa"/>
          </w:tcPr>
          <w:p w14:paraId="395E7E9C">
            <w:pPr>
              <w:rPr>
                <w:rFonts w:hint="eastAsia" w:ascii="仿宋" w:hAnsi="仿宋" w:eastAsia="仿宋" w:cs="仿宋"/>
                <w:sz w:val="21"/>
                <w:szCs w:val="21"/>
                <w:highlight w:val="none"/>
                <w:vertAlign w:val="baseline"/>
                <w:lang w:val="en-US" w:eastAsia="zh-CN"/>
              </w:rPr>
            </w:pPr>
          </w:p>
        </w:tc>
        <w:tc>
          <w:tcPr>
            <w:tcW w:w="1753" w:type="dxa"/>
          </w:tcPr>
          <w:p w14:paraId="17C68389">
            <w:pPr>
              <w:rPr>
                <w:rFonts w:hint="eastAsia" w:ascii="仿宋" w:hAnsi="仿宋" w:eastAsia="仿宋" w:cs="仿宋"/>
                <w:sz w:val="21"/>
                <w:szCs w:val="21"/>
                <w:highlight w:val="none"/>
                <w:vertAlign w:val="baseline"/>
                <w:lang w:val="en-US" w:eastAsia="zh-CN"/>
              </w:rPr>
            </w:pPr>
          </w:p>
        </w:tc>
        <w:tc>
          <w:tcPr>
            <w:tcW w:w="1561" w:type="dxa"/>
          </w:tcPr>
          <w:p w14:paraId="4FEED657">
            <w:pPr>
              <w:rPr>
                <w:rFonts w:hint="eastAsia" w:ascii="仿宋" w:hAnsi="仿宋" w:eastAsia="仿宋" w:cs="仿宋"/>
                <w:sz w:val="21"/>
                <w:szCs w:val="21"/>
                <w:highlight w:val="none"/>
                <w:vertAlign w:val="baseline"/>
                <w:lang w:val="en-US" w:eastAsia="zh-CN"/>
              </w:rPr>
            </w:pPr>
          </w:p>
        </w:tc>
        <w:tc>
          <w:tcPr>
            <w:tcW w:w="1052" w:type="dxa"/>
          </w:tcPr>
          <w:p w14:paraId="21B205BC">
            <w:pPr>
              <w:rPr>
                <w:rFonts w:hint="eastAsia" w:ascii="仿宋" w:hAnsi="仿宋" w:eastAsia="仿宋" w:cs="仿宋"/>
                <w:sz w:val="21"/>
                <w:szCs w:val="21"/>
                <w:highlight w:val="none"/>
                <w:vertAlign w:val="baseline"/>
                <w:lang w:val="en-US" w:eastAsia="zh-CN"/>
              </w:rPr>
            </w:pPr>
          </w:p>
        </w:tc>
      </w:tr>
    </w:tbl>
    <w:p w14:paraId="25AA207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0EFBECA7">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 对商务条款中的所有要求，除本表所列明的所有偏离外，均视作供应商已对之理解和响应。</w:t>
      </w:r>
    </w:p>
    <w:p w14:paraId="29699988">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sz w:val="24"/>
          <w:szCs w:val="24"/>
          <w:highlight w:val="none"/>
          <w:lang w:val="en-US" w:eastAsia="zh-CN"/>
        </w:rPr>
      </w:pPr>
      <w:bookmarkStart w:id="81" w:name="_Toc30559"/>
      <w:r>
        <w:rPr>
          <w:rFonts w:hint="eastAsia" w:ascii="仿宋" w:hAnsi="仿宋" w:eastAsia="仿宋" w:cs="仿宋"/>
          <w:sz w:val="24"/>
          <w:szCs w:val="24"/>
          <w:highlight w:val="none"/>
          <w:lang w:val="en-US" w:eastAsia="zh-CN"/>
        </w:rPr>
        <w:t>2. “偏离情况”列应据实填写“正偏离”或“负偏离”。</w:t>
      </w:r>
      <w:bookmarkEnd w:id="81"/>
    </w:p>
    <w:p w14:paraId="23FD311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018CF1F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0BED156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u w:val="single"/>
          <w:lang w:val="en-US" w:eastAsia="zh-CN"/>
        </w:rPr>
        <w:t xml:space="preserve">                 </w:t>
      </w:r>
    </w:p>
    <w:p w14:paraId="13CC310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75A03D2D">
      <w:pPr>
        <w:pStyle w:val="25"/>
        <w:rPr>
          <w:rFonts w:hint="eastAsia" w:ascii="仿宋" w:hAnsi="仿宋" w:eastAsia="仿宋" w:cs="仿宋"/>
          <w:sz w:val="24"/>
          <w:szCs w:val="24"/>
          <w:highlight w:val="none"/>
          <w:lang w:val="en-US" w:eastAsia="zh-CN"/>
        </w:rPr>
      </w:pPr>
    </w:p>
    <w:p w14:paraId="56C69E6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3C53E033">
      <w:pPr>
        <w:pStyle w:val="21"/>
        <w:ind w:left="0" w:leftChars="0" w:firstLine="0" w:firstLineChars="0"/>
        <w:outlineLvl w:val="2"/>
        <w:rPr>
          <w:rFonts w:hint="eastAsia" w:ascii="仿宋" w:hAnsi="仿宋" w:eastAsia="仿宋" w:cs="仿宋"/>
          <w:b/>
          <w:bCs/>
          <w:sz w:val="24"/>
          <w:szCs w:val="24"/>
          <w:highlight w:val="none"/>
          <w:lang w:val="en-US" w:eastAsia="zh-CN"/>
        </w:rPr>
      </w:pPr>
      <w:bookmarkStart w:id="82" w:name="_Toc12415"/>
      <w:r>
        <w:rPr>
          <w:rFonts w:hint="eastAsia" w:ascii="仿宋" w:hAnsi="仿宋" w:eastAsia="仿宋" w:cs="仿宋"/>
          <w:b/>
          <w:bCs/>
          <w:sz w:val="24"/>
          <w:szCs w:val="24"/>
          <w:highlight w:val="none"/>
          <w:lang w:val="en-US" w:eastAsia="zh-CN"/>
        </w:rPr>
        <w:t>11、技术要求偏离表</w:t>
      </w:r>
      <w:bookmarkEnd w:id="82"/>
    </w:p>
    <w:p w14:paraId="395E8C83">
      <w:pPr>
        <w:pStyle w:val="21"/>
        <w:ind w:left="0" w:leftChars="0" w:firstLine="0" w:firstLineChars="0"/>
        <w:rPr>
          <w:rFonts w:hint="eastAsia" w:ascii="仿宋" w:hAnsi="仿宋" w:eastAsia="仿宋" w:cs="仿宋"/>
          <w:sz w:val="24"/>
          <w:szCs w:val="24"/>
          <w:highlight w:val="none"/>
          <w:lang w:val="en-US" w:eastAsia="zh-CN"/>
        </w:rPr>
      </w:pPr>
    </w:p>
    <w:p w14:paraId="273F7595">
      <w:pPr>
        <w:pStyle w:val="21"/>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技术要求偏离表</w:t>
      </w:r>
    </w:p>
    <w:p w14:paraId="255AF153">
      <w:pPr>
        <w:pStyle w:val="21"/>
        <w:ind w:left="0" w:leftChars="0" w:firstLine="0" w:firstLineChars="0"/>
        <w:rPr>
          <w:rFonts w:hint="eastAsia" w:ascii="仿宋" w:hAnsi="仿宋" w:eastAsia="仿宋" w:cs="仿宋"/>
          <w:sz w:val="24"/>
          <w:szCs w:val="24"/>
          <w:highlight w:val="none"/>
          <w:lang w:val="en-US" w:eastAsia="zh-CN"/>
        </w:rPr>
      </w:pPr>
    </w:p>
    <w:p w14:paraId="28CD1863">
      <w:pPr>
        <w:pStyle w:val="21"/>
        <w:ind w:left="0" w:leftChars="0" w:firstLine="0" w:firstLineChars="0"/>
        <w:jc w:val="left"/>
        <w:rPr>
          <w:rFonts w:hint="eastAsia" w:ascii="仿宋" w:hAnsi="仿宋" w:eastAsia="仿宋" w:cs="仿宋"/>
          <w:highlight w:val="none"/>
          <w:u w:val="single"/>
          <w:lang w:val="en-US" w:eastAsia="zh-CN"/>
        </w:rPr>
      </w:pPr>
      <w:r>
        <w:rPr>
          <w:rFonts w:hint="eastAsia" w:ascii="仿宋" w:hAnsi="仿宋" w:eastAsia="仿宋" w:cs="仿宋"/>
          <w:highlight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项目编号</w:t>
      </w:r>
      <w:r>
        <w:rPr>
          <w:rFonts w:hint="eastAsia" w:ascii="仿宋" w:hAnsi="仿宋" w:eastAsia="仿宋" w:cs="仿宋"/>
          <w:highlight w:val="none"/>
          <w:u w:val="single"/>
          <w:lang w:val="en-US" w:eastAsia="zh-CN"/>
        </w:rPr>
        <w:t xml:space="preserve">                        </w:t>
      </w:r>
    </w:p>
    <w:p w14:paraId="21C140EB">
      <w:pPr>
        <w:rPr>
          <w:rFonts w:hint="default"/>
          <w:highlight w:val="none"/>
          <w:lang w:val="en-US" w:eastAsia="zh-CN"/>
        </w:rPr>
      </w:pPr>
      <w:r>
        <w:rPr>
          <w:rFonts w:hint="eastAsia" w:ascii="仿宋" w:hAnsi="仿宋" w:eastAsia="仿宋" w:cs="仿宋"/>
          <w:highlight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555E9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1" w:type="dxa"/>
            <w:vAlign w:val="center"/>
          </w:tcPr>
          <w:p w14:paraId="5A26F94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2" w:type="dxa"/>
            <w:vAlign w:val="center"/>
          </w:tcPr>
          <w:p w14:paraId="1B34F2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采购文件条</w:t>
            </w:r>
          </w:p>
          <w:p w14:paraId="6B735A8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目号(页码)</w:t>
            </w:r>
          </w:p>
        </w:tc>
        <w:tc>
          <w:tcPr>
            <w:tcW w:w="1805" w:type="dxa"/>
            <w:vAlign w:val="center"/>
          </w:tcPr>
          <w:p w14:paraId="33B6E61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672" w:type="dxa"/>
            <w:vAlign w:val="center"/>
          </w:tcPr>
          <w:p w14:paraId="59FB968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421" w:type="dxa"/>
            <w:vAlign w:val="center"/>
          </w:tcPr>
          <w:p w14:paraId="3FFD1C8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421" w:type="dxa"/>
            <w:vAlign w:val="center"/>
          </w:tcPr>
          <w:p w14:paraId="6939FE1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68C5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FB457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26A3784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6EEEAE5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30AC3F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650BF21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CB62EA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D266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C24645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47D8DF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1FF50A3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36CC79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0E08E2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E8E919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C6AF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A21CE7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678CE78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0228CB6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4BFB6DC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D0A631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73C514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7713E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FE239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32848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5D89A3D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04D99C2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7715A0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757EE7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3EDEE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8375FA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7A66278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7076783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CF9C1E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882406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77B1076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5752A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ECFC4D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6348AD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07DBF8D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6CD410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62E3B58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9A6EEF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18F8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6085BA8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635FDC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109484A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3EB3671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6C5F2C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4E7E700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bl>
    <w:p w14:paraId="47F5407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3CE079D9">
      <w:pPr>
        <w:keepNext w:val="0"/>
        <w:keepLines w:val="0"/>
        <w:pageBreakBefore w:val="0"/>
        <w:widowControl w:val="0"/>
        <w:numPr>
          <w:ilvl w:val="0"/>
          <w:numId w:val="19"/>
        </w:numPr>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对照采购文件技术规格，逐条说明所提供产品或服务已对采购文件的技术规格做出了实质性的响应，或申明与技术规格条文的偏差和例外。</w:t>
      </w:r>
    </w:p>
    <w:p w14:paraId="60ED5F07">
      <w:pPr>
        <w:keepNext w:val="0"/>
        <w:keepLines w:val="0"/>
        <w:pageBreakBefore w:val="0"/>
        <w:widowControl w:val="0"/>
        <w:numPr>
          <w:ilvl w:val="0"/>
          <w:numId w:val="19"/>
        </w:numPr>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“偏离情况”列应据实填写“正偏离”、“负偏离”或“无偏离”。</w:t>
      </w:r>
    </w:p>
    <w:p w14:paraId="04E7CE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30101E0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7DE6590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供应商名称（加盖公章）： </w:t>
      </w:r>
      <w:r>
        <w:rPr>
          <w:rFonts w:hint="eastAsia" w:ascii="仿宋" w:hAnsi="仿宋" w:eastAsia="仿宋" w:cs="仿宋"/>
          <w:sz w:val="24"/>
          <w:szCs w:val="24"/>
          <w:highlight w:val="none"/>
          <w:u w:val="single"/>
          <w:lang w:val="en-US" w:eastAsia="zh-CN"/>
        </w:rPr>
        <w:t xml:space="preserve">              </w:t>
      </w:r>
    </w:p>
    <w:p w14:paraId="53C4045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0E76027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42EE9777">
      <w:pPr>
        <w:widowControl w:val="0"/>
        <w:spacing w:line="360" w:lineRule="auto"/>
        <w:ind w:left="0" w:leftChars="0" w:firstLine="0" w:firstLineChars="0"/>
        <w:jc w:val="both"/>
        <w:outlineLvl w:val="2"/>
        <w:rPr>
          <w:rFonts w:hint="default" w:ascii="仿宋" w:hAnsi="仿宋" w:eastAsia="仿宋" w:cs="仿宋"/>
          <w:b/>
          <w:bCs/>
          <w:kern w:val="2"/>
          <w:sz w:val="24"/>
          <w:szCs w:val="24"/>
          <w:highlight w:val="none"/>
          <w:lang w:val="en-US" w:eastAsia="zh-CN" w:bidi="zh-CN"/>
        </w:rPr>
      </w:pPr>
      <w:r>
        <w:rPr>
          <w:rFonts w:hint="eastAsia" w:ascii="仿宋" w:hAnsi="仿宋" w:eastAsia="仿宋" w:cs="仿宋"/>
          <w:b/>
          <w:bCs/>
          <w:kern w:val="2"/>
          <w:sz w:val="24"/>
          <w:szCs w:val="24"/>
          <w:highlight w:val="none"/>
          <w:lang w:val="en-US" w:eastAsia="zh-CN" w:bidi="zh-CN"/>
        </w:rPr>
        <w:t>12、采购文件要求提供或供应商认为应附的商务技术文件</w:t>
      </w:r>
    </w:p>
    <w:p w14:paraId="0CD469DE">
      <w:pPr>
        <w:pStyle w:val="42"/>
        <w:keepNext w:val="0"/>
        <w:keepLines w:val="0"/>
        <w:pageBreakBefore w:val="0"/>
        <w:widowControl/>
        <w:numPr>
          <w:ilvl w:val="0"/>
          <w:numId w:val="0"/>
        </w:numPr>
        <w:kinsoku/>
        <w:wordWrap/>
        <w:overflowPunct/>
        <w:topLinePunct w:val="0"/>
        <w:autoSpaceDE/>
        <w:autoSpaceDN/>
        <w:bidi w:val="0"/>
        <w:adjustRightInd w:val="0"/>
        <w:snapToGrid w:val="0"/>
        <w:spacing w:before="0" w:after="0" w:line="360" w:lineRule="auto"/>
        <w:ind w:left="0" w:leftChars="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供应商应根据采购文件的规定自行编写， 详细叙述拟提供产品/服务情况。</w:t>
      </w:r>
    </w:p>
    <w:p w14:paraId="5C675AF6">
      <w:pPr>
        <w:pStyle w:val="21"/>
        <w:ind w:left="0" w:leftChars="0" w:firstLine="0" w:firstLineChars="0"/>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0D115234">
      <w:pPr>
        <w:rPr>
          <w:rFonts w:hint="eastAsia" w:ascii="仿宋" w:hAnsi="仿宋" w:eastAsia="仿宋" w:cs="仿宋"/>
          <w:highlight w:val="none"/>
          <w:lang w:val="en-US" w:eastAsia="zh-CN"/>
        </w:rPr>
      </w:pPr>
    </w:p>
    <w:p w14:paraId="0A315644">
      <w:pPr>
        <w:keepNext/>
        <w:keepLines/>
        <w:widowControl w:val="0"/>
        <w:spacing w:before="0" w:after="260" w:line="240" w:lineRule="atLeast"/>
        <w:jc w:val="both"/>
        <w:outlineLvl w:val="2"/>
        <w:rPr>
          <w:rFonts w:hint="eastAsia" w:ascii="仿宋" w:hAnsi="仿宋" w:eastAsia="仿宋" w:cs="仿宋"/>
          <w:b/>
          <w:bCs/>
          <w:kern w:val="2"/>
          <w:sz w:val="24"/>
          <w:szCs w:val="32"/>
          <w:highlight w:val="none"/>
          <w:lang w:val="en-US" w:eastAsia="zh-CN" w:bidi="ar-SA"/>
        </w:rPr>
      </w:pPr>
      <w:bookmarkStart w:id="83" w:name="_Toc520356224"/>
      <w:bookmarkStart w:id="84" w:name="_Toc216582819"/>
      <w:bookmarkStart w:id="85" w:name="_Toc480942355"/>
      <w:bookmarkStart w:id="86" w:name="_Ref467988543"/>
      <w:bookmarkStart w:id="87" w:name="_Toc507399535"/>
      <w:bookmarkStart w:id="88" w:name="_Toc20238"/>
      <w:bookmarkStart w:id="89" w:name="_Toc9592"/>
      <w:bookmarkStart w:id="90" w:name="_Toc4183"/>
      <w:bookmarkStart w:id="91" w:name="_Toc21320"/>
      <w:bookmarkStart w:id="92" w:name="_Toc15963"/>
      <w:bookmarkStart w:id="93" w:name="_Toc21379"/>
      <w:bookmarkStart w:id="94" w:name="_Toc17143"/>
      <w:bookmarkStart w:id="95" w:name="_Toc3420"/>
      <w:bookmarkStart w:id="96" w:name="_Toc8281"/>
      <w:r>
        <w:rPr>
          <w:rFonts w:hint="eastAsia" w:ascii="仿宋" w:hAnsi="仿宋" w:eastAsia="仿宋" w:cs="仿宋"/>
          <w:b/>
          <w:bCs/>
          <w:kern w:val="2"/>
          <w:sz w:val="24"/>
          <w:szCs w:val="32"/>
          <w:highlight w:val="none"/>
          <w:lang w:val="en-US" w:eastAsia="zh-CN" w:bidi="ar-SA"/>
        </w:rPr>
        <w:t>13</w:t>
      </w:r>
      <w:bookmarkEnd w:id="83"/>
      <w:bookmarkEnd w:id="84"/>
      <w:bookmarkEnd w:id="85"/>
      <w:bookmarkEnd w:id="86"/>
      <w:bookmarkStart w:id="97" w:name="_Hlt520343000"/>
      <w:bookmarkEnd w:id="97"/>
      <w:bookmarkStart w:id="98" w:name="_Hlt520274393"/>
      <w:bookmarkEnd w:id="98"/>
      <w:bookmarkStart w:id="99" w:name="_Hlt520343392"/>
      <w:bookmarkEnd w:id="99"/>
      <w:bookmarkStart w:id="100" w:name="_Hlt520273973"/>
      <w:bookmarkEnd w:id="100"/>
      <w:bookmarkStart w:id="101" w:name="_Hlt520350957"/>
      <w:bookmarkEnd w:id="101"/>
      <w:bookmarkStart w:id="102" w:name="_Hlt520274065"/>
      <w:bookmarkEnd w:id="102"/>
      <w:bookmarkStart w:id="103" w:name="_Hlt520273711"/>
      <w:bookmarkEnd w:id="103"/>
      <w:bookmarkStart w:id="104" w:name="_Hlt520271212"/>
      <w:bookmarkEnd w:id="104"/>
      <w:bookmarkStart w:id="105" w:name="_Hlt520350918"/>
      <w:bookmarkEnd w:id="105"/>
      <w:bookmarkStart w:id="106" w:name="_Hlt520274911"/>
      <w:bookmarkEnd w:id="106"/>
      <w:bookmarkStart w:id="107" w:name="_Hlt520274407"/>
      <w:bookmarkEnd w:id="107"/>
      <w:bookmarkStart w:id="108" w:name="_Toc216582821"/>
      <w:bookmarkStart w:id="109" w:name="_Toc216513801"/>
      <w:r>
        <w:rPr>
          <w:rFonts w:hint="eastAsia" w:ascii="仿宋" w:hAnsi="仿宋" w:eastAsia="仿宋" w:cs="仿宋"/>
          <w:b/>
          <w:bCs/>
          <w:kern w:val="2"/>
          <w:sz w:val="24"/>
          <w:szCs w:val="32"/>
          <w:highlight w:val="none"/>
          <w:lang w:val="en-US" w:eastAsia="zh-CN" w:bidi="ar-SA"/>
        </w:rPr>
        <w:t>、中标服务费承诺书</w:t>
      </w:r>
      <w:bookmarkEnd w:id="87"/>
      <w:bookmarkEnd w:id="88"/>
      <w:bookmarkEnd w:id="89"/>
      <w:bookmarkEnd w:id="90"/>
      <w:bookmarkEnd w:id="91"/>
      <w:bookmarkEnd w:id="92"/>
      <w:bookmarkEnd w:id="93"/>
      <w:bookmarkEnd w:id="94"/>
    </w:p>
    <w:p w14:paraId="7088588E">
      <w:pPr>
        <w:spacing w:line="240" w:lineRule="atLeast"/>
        <w:ind w:left="1157" w:leftChars="257" w:hanging="540"/>
        <w:rPr>
          <w:rFonts w:hint="eastAsia" w:ascii="仿宋" w:hAnsi="仿宋" w:eastAsia="仿宋" w:cs="仿宋"/>
          <w:b/>
          <w:sz w:val="24"/>
          <w:highlight w:val="none"/>
        </w:rPr>
      </w:pPr>
    </w:p>
    <w:p w14:paraId="3E3E625A">
      <w:pPr>
        <w:spacing w:line="240" w:lineRule="atLeast"/>
        <w:ind w:left="1157"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rPr>
        <w:t>中标服务费承诺书</w:t>
      </w:r>
    </w:p>
    <w:p w14:paraId="7853C6C3">
      <w:pPr>
        <w:spacing w:line="440" w:lineRule="exact"/>
        <w:ind w:left="1080" w:hanging="1080"/>
        <w:rPr>
          <w:rFonts w:hint="eastAsia" w:ascii="仿宋" w:hAnsi="仿宋" w:eastAsia="仿宋" w:cs="仿宋"/>
          <w:sz w:val="24"/>
          <w:highlight w:val="none"/>
        </w:rPr>
      </w:pPr>
    </w:p>
    <w:p w14:paraId="289AF0CE">
      <w:pPr>
        <w:spacing w:line="360" w:lineRule="auto"/>
        <w:ind w:left="1080" w:hanging="1080"/>
        <w:rPr>
          <w:rFonts w:hint="eastAsia" w:ascii="仿宋" w:hAnsi="仿宋" w:eastAsia="仿宋" w:cs="仿宋"/>
          <w:sz w:val="24"/>
          <w:highlight w:val="none"/>
          <w:u w:val="single"/>
          <w:lang w:val="en-US" w:eastAsia="zh-CN"/>
        </w:rPr>
      </w:pPr>
      <w:r>
        <w:rPr>
          <w:rFonts w:hint="eastAsia" w:ascii="仿宋" w:hAnsi="仿宋" w:eastAsia="仿宋" w:cs="仿宋"/>
          <w:sz w:val="24"/>
          <w:highlight w:val="none"/>
        </w:rPr>
        <w:t>致：</w:t>
      </w:r>
      <w:r>
        <w:rPr>
          <w:rFonts w:hint="eastAsia" w:ascii="仿宋" w:hAnsi="仿宋" w:eastAsia="仿宋" w:cs="仿宋"/>
          <w:sz w:val="24"/>
          <w:highlight w:val="none"/>
          <w:lang w:val="en-US" w:eastAsia="zh-CN"/>
        </w:rPr>
        <w:t>新疆恒晟华工程项目管理有限公司</w:t>
      </w:r>
    </w:p>
    <w:p w14:paraId="64DE2BAE">
      <w:pPr>
        <w:spacing w:line="360" w:lineRule="auto"/>
        <w:ind w:left="1157" w:leftChars="257" w:hanging="540"/>
        <w:rPr>
          <w:rFonts w:hint="eastAsia" w:ascii="仿宋" w:hAnsi="仿宋" w:eastAsia="仿宋" w:cs="仿宋"/>
          <w:sz w:val="24"/>
          <w:highlight w:val="none"/>
        </w:rPr>
      </w:pPr>
    </w:p>
    <w:p w14:paraId="5EC7D8B9">
      <w:pPr>
        <w:spacing w:line="360" w:lineRule="auto"/>
        <w:rPr>
          <w:rFonts w:hint="eastAsia"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 xml:space="preserve"> 我们在贵公司组织的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sz w:val="24"/>
          <w:highlight w:val="none"/>
        </w:rPr>
        <w:t>项目招标中若获得中标资格，我们保证在领取中标通知书的同时按</w:t>
      </w:r>
      <w:r>
        <w:rPr>
          <w:rFonts w:hint="eastAsia" w:ascii="仿宋" w:hAnsi="仿宋" w:eastAsia="仿宋" w:cs="仿宋"/>
          <w:sz w:val="24"/>
          <w:highlight w:val="none"/>
          <w:lang w:val="en-US" w:eastAsia="zh-CN"/>
        </w:rPr>
        <w:t>采购文件</w:t>
      </w:r>
      <w:r>
        <w:rPr>
          <w:rFonts w:hint="eastAsia" w:ascii="仿宋" w:hAnsi="仿宋" w:eastAsia="仿宋" w:cs="仿宋"/>
          <w:sz w:val="24"/>
          <w:highlight w:val="none"/>
        </w:rPr>
        <w:t>的规定，以支票、电汇等形式，向贵公司一次性支付应由我们交纳的中标服务费用。</w:t>
      </w:r>
    </w:p>
    <w:p w14:paraId="61139890">
      <w:pPr>
        <w:spacing w:line="360" w:lineRule="auto"/>
        <w:ind w:left="1157" w:leftChars="257" w:hanging="540"/>
        <w:rPr>
          <w:rFonts w:hint="eastAsia" w:ascii="仿宋" w:hAnsi="仿宋" w:eastAsia="仿宋" w:cs="仿宋"/>
          <w:sz w:val="24"/>
          <w:highlight w:val="none"/>
        </w:rPr>
      </w:pPr>
      <w:r>
        <w:rPr>
          <w:rFonts w:hint="eastAsia" w:ascii="仿宋" w:hAnsi="仿宋" w:eastAsia="仿宋" w:cs="仿宋"/>
          <w:sz w:val="24"/>
          <w:highlight w:val="none"/>
        </w:rPr>
        <w:t>特此承诺！</w:t>
      </w:r>
    </w:p>
    <w:p w14:paraId="21E8A312">
      <w:pPr>
        <w:spacing w:line="440" w:lineRule="exact"/>
        <w:ind w:left="1157" w:leftChars="257" w:hanging="540"/>
        <w:rPr>
          <w:rFonts w:hint="eastAsia" w:ascii="仿宋" w:hAnsi="仿宋" w:eastAsia="仿宋" w:cs="仿宋"/>
          <w:sz w:val="24"/>
          <w:highlight w:val="none"/>
        </w:rPr>
      </w:pPr>
    </w:p>
    <w:p w14:paraId="1B180CEE">
      <w:pPr>
        <w:spacing w:line="440" w:lineRule="exact"/>
        <w:ind w:left="1157" w:leftChars="257" w:hanging="540"/>
        <w:rPr>
          <w:rFonts w:hint="eastAsia" w:ascii="仿宋" w:hAnsi="仿宋" w:eastAsia="仿宋" w:cs="仿宋"/>
          <w:sz w:val="24"/>
          <w:highlight w:val="none"/>
        </w:rPr>
      </w:pPr>
    </w:p>
    <w:p w14:paraId="193C95CA">
      <w:pPr>
        <w:spacing w:line="440" w:lineRule="exact"/>
        <w:ind w:left="1157" w:leftChars="257" w:hanging="540"/>
        <w:rPr>
          <w:rFonts w:hint="eastAsia" w:ascii="仿宋" w:hAnsi="仿宋" w:eastAsia="仿宋" w:cs="仿宋"/>
          <w:sz w:val="24"/>
          <w:highlight w:val="none"/>
        </w:rPr>
      </w:pPr>
    </w:p>
    <w:p w14:paraId="20054664">
      <w:pPr>
        <w:spacing w:line="440" w:lineRule="exact"/>
        <w:ind w:left="1157" w:leftChars="257" w:hanging="540"/>
        <w:rPr>
          <w:rFonts w:hint="eastAsia" w:ascii="仿宋" w:hAnsi="仿宋" w:eastAsia="仿宋" w:cs="仿宋"/>
          <w:sz w:val="24"/>
          <w:highlight w:val="none"/>
        </w:rPr>
      </w:pPr>
    </w:p>
    <w:p w14:paraId="79C3DDF8">
      <w:pPr>
        <w:spacing w:line="440" w:lineRule="exact"/>
        <w:ind w:left="1080" w:hanging="1080"/>
        <w:rPr>
          <w:rFonts w:hint="eastAsia" w:ascii="仿宋" w:hAnsi="仿宋" w:eastAsia="仿宋" w:cs="仿宋"/>
          <w:sz w:val="24"/>
          <w:highlight w:val="none"/>
        </w:rPr>
      </w:pPr>
    </w:p>
    <w:p w14:paraId="505FE187">
      <w:pPr>
        <w:spacing w:line="440" w:lineRule="exact"/>
        <w:ind w:left="1495" w:leftChars="273" w:hanging="840" w:hangingChars="350"/>
        <w:rPr>
          <w:rFonts w:hint="eastAsia" w:ascii="仿宋" w:hAnsi="仿宋" w:eastAsia="仿宋" w:cs="仿宋"/>
          <w:sz w:val="24"/>
          <w:highlight w:val="none"/>
        </w:rPr>
      </w:pPr>
      <w:r>
        <w:rPr>
          <w:rFonts w:hint="eastAsia" w:ascii="仿宋" w:hAnsi="仿宋" w:eastAsia="仿宋" w:cs="仿宋"/>
          <w:sz w:val="24"/>
          <w:highlight w:val="none"/>
        </w:rPr>
        <w:t>承诺方法定名称</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电子印章</w:t>
      </w:r>
      <w:r>
        <w:rPr>
          <w:rFonts w:hint="eastAsia" w:ascii="仿宋" w:hAnsi="仿宋" w:eastAsia="仿宋" w:cs="仿宋"/>
          <w:sz w:val="24"/>
          <w:highlight w:val="none"/>
          <w:lang w:eastAsia="zh-CN"/>
        </w:rPr>
        <w:t>）</w:t>
      </w:r>
      <w:r>
        <w:rPr>
          <w:rFonts w:hint="eastAsia" w:ascii="仿宋" w:hAnsi="仿宋" w:eastAsia="仿宋" w:cs="仿宋"/>
          <w:sz w:val="24"/>
          <w:highlight w:val="none"/>
        </w:rPr>
        <w:t>：</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7DAEC4A3">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F42D504">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传真：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598D908">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电传：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邮编：</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58B2CEDC">
      <w:pPr>
        <w:spacing w:line="440" w:lineRule="exact"/>
        <w:ind w:left="1697"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承诺方</w:t>
      </w:r>
      <w:r>
        <w:rPr>
          <w:rFonts w:hint="eastAsia" w:ascii="仿宋" w:hAnsi="仿宋" w:eastAsia="仿宋" w:cs="仿宋"/>
          <w:sz w:val="24"/>
          <w:highlight w:val="none"/>
          <w:lang w:val="en-US" w:eastAsia="zh-CN"/>
        </w:rPr>
        <w:t>法定代表人或法定代表人授权代表（签字或电子印章）：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1A27C898">
      <w:pPr>
        <w:spacing w:line="440" w:lineRule="exact"/>
        <w:ind w:left="1697"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承诺日期：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bookmarkEnd w:id="108"/>
      <w:bookmarkEnd w:id="109"/>
    </w:p>
    <w:p w14:paraId="4D376664">
      <w:pPr>
        <w:rPr>
          <w:rFonts w:hint="eastAsia" w:ascii="仿宋" w:hAnsi="仿宋" w:eastAsia="仿宋" w:cs="仿宋"/>
          <w:b w:val="0"/>
          <w:bCs w:val="0"/>
          <w:kern w:val="2"/>
          <w:sz w:val="24"/>
          <w:szCs w:val="24"/>
          <w:highlight w:val="none"/>
          <w:lang w:val="en-US" w:eastAsia="zh-CN" w:bidi="zh-CN"/>
        </w:rPr>
      </w:pPr>
      <w:r>
        <w:rPr>
          <w:rFonts w:hint="eastAsia" w:ascii="仿宋" w:hAnsi="仿宋" w:eastAsia="仿宋" w:cs="仿宋"/>
          <w:b w:val="0"/>
          <w:bCs w:val="0"/>
          <w:kern w:val="2"/>
          <w:sz w:val="24"/>
          <w:szCs w:val="24"/>
          <w:highlight w:val="none"/>
          <w:lang w:val="en-US" w:eastAsia="zh-CN" w:bidi="zh-CN"/>
        </w:rPr>
        <w:br w:type="page"/>
      </w:r>
    </w:p>
    <w:p w14:paraId="3764840B">
      <w:pPr>
        <w:widowControl w:val="0"/>
        <w:spacing w:before="1"/>
        <w:jc w:val="both"/>
        <w:outlineLvl w:val="2"/>
        <w:rPr>
          <w:rFonts w:hint="eastAsia" w:ascii="仿宋" w:hAnsi="仿宋" w:eastAsia="仿宋" w:cs="仿宋"/>
          <w:b/>
          <w:bCs/>
          <w:kern w:val="2"/>
          <w:sz w:val="24"/>
          <w:szCs w:val="24"/>
          <w:highlight w:val="none"/>
          <w:lang w:val="zh-CN" w:eastAsia="zh-CN" w:bidi="zh-CN"/>
        </w:rPr>
      </w:pPr>
      <w:bookmarkStart w:id="110" w:name="_Toc15106"/>
      <w:bookmarkStart w:id="111" w:name="_Toc571"/>
      <w:bookmarkStart w:id="112" w:name="_Toc20782"/>
      <w:bookmarkStart w:id="113" w:name="_Toc24678"/>
      <w:bookmarkStart w:id="114" w:name="_Toc8649"/>
      <w:r>
        <w:rPr>
          <w:rFonts w:hint="eastAsia" w:ascii="仿宋" w:hAnsi="仿宋" w:eastAsia="仿宋" w:cs="仿宋"/>
          <w:b/>
          <w:bCs/>
          <w:kern w:val="2"/>
          <w:sz w:val="24"/>
          <w:szCs w:val="24"/>
          <w:highlight w:val="none"/>
          <w:lang w:val="en-US" w:eastAsia="zh-CN" w:bidi="zh-CN"/>
        </w:rPr>
        <w:t>14、</w:t>
      </w:r>
      <w:r>
        <w:rPr>
          <w:rFonts w:hint="eastAsia" w:ascii="仿宋" w:hAnsi="仿宋" w:eastAsia="仿宋" w:cs="仿宋"/>
          <w:b/>
          <w:bCs/>
          <w:kern w:val="2"/>
          <w:sz w:val="24"/>
          <w:szCs w:val="24"/>
          <w:highlight w:val="none"/>
          <w:lang w:val="zh-CN" w:eastAsia="zh-CN" w:bidi="zh-CN"/>
        </w:rPr>
        <w:t>保证金信息表</w:t>
      </w:r>
      <w:bookmarkEnd w:id="95"/>
      <w:bookmarkEnd w:id="96"/>
      <w:r>
        <w:rPr>
          <w:rFonts w:hint="eastAsia" w:ascii="仿宋" w:hAnsi="仿宋" w:eastAsia="仿宋" w:cs="仿宋"/>
          <w:b/>
          <w:bCs/>
          <w:kern w:val="2"/>
          <w:sz w:val="24"/>
          <w:szCs w:val="24"/>
          <w:highlight w:val="none"/>
          <w:lang w:val="zh-CN" w:eastAsia="zh-CN" w:bidi="zh-CN"/>
        </w:rPr>
        <w:t>（</w:t>
      </w:r>
      <w:r>
        <w:rPr>
          <w:rFonts w:hint="eastAsia" w:ascii="仿宋" w:hAnsi="仿宋" w:eastAsia="仿宋" w:cs="仿宋"/>
          <w:b/>
          <w:bCs/>
          <w:kern w:val="2"/>
          <w:sz w:val="24"/>
          <w:szCs w:val="24"/>
          <w:highlight w:val="none"/>
          <w:lang w:val="en-US" w:eastAsia="zh-CN" w:bidi="zh-CN"/>
        </w:rPr>
        <w:t>保函方式提交的无需提供</w:t>
      </w:r>
      <w:r>
        <w:rPr>
          <w:rFonts w:hint="eastAsia" w:ascii="仿宋" w:hAnsi="仿宋" w:eastAsia="仿宋" w:cs="仿宋"/>
          <w:b/>
          <w:bCs/>
          <w:kern w:val="2"/>
          <w:sz w:val="24"/>
          <w:szCs w:val="24"/>
          <w:highlight w:val="none"/>
          <w:lang w:val="zh-CN" w:eastAsia="zh-CN" w:bidi="zh-CN"/>
        </w:rPr>
        <w:t>）</w:t>
      </w:r>
      <w:bookmarkEnd w:id="110"/>
      <w:bookmarkEnd w:id="111"/>
      <w:bookmarkEnd w:id="112"/>
      <w:bookmarkEnd w:id="113"/>
      <w:bookmarkEnd w:id="114"/>
    </w:p>
    <w:p w14:paraId="266708D1">
      <w:pPr>
        <w:widowControl w:val="0"/>
        <w:snapToGrid w:val="0"/>
        <w:spacing w:line="440" w:lineRule="exact"/>
        <w:jc w:val="center"/>
        <w:outlineLvl w:val="9"/>
        <w:rPr>
          <w:rFonts w:hint="eastAsia" w:ascii="仿宋" w:hAnsi="仿宋" w:eastAsia="仿宋" w:cs="仿宋"/>
          <w:b/>
          <w:kern w:val="2"/>
          <w:sz w:val="32"/>
          <w:szCs w:val="32"/>
          <w:highlight w:val="none"/>
          <w:lang w:val="en-US" w:eastAsia="zh-CN" w:bidi="ar-SA"/>
        </w:rPr>
      </w:pPr>
    </w:p>
    <w:p w14:paraId="65FAC123">
      <w:pPr>
        <w:widowControl w:val="0"/>
        <w:snapToGrid w:val="0"/>
        <w:spacing w:line="440" w:lineRule="exact"/>
        <w:jc w:val="center"/>
        <w:outlineLvl w:val="9"/>
        <w:rPr>
          <w:rFonts w:hint="eastAsia" w:ascii="仿宋" w:hAnsi="仿宋" w:eastAsia="仿宋" w:cs="仿宋"/>
          <w:b/>
          <w:kern w:val="2"/>
          <w:sz w:val="32"/>
          <w:szCs w:val="32"/>
          <w:highlight w:val="none"/>
          <w:lang w:val="en-US" w:eastAsia="zh-CN" w:bidi="ar-SA"/>
        </w:rPr>
      </w:pPr>
      <w:bookmarkStart w:id="115" w:name="_Toc16938"/>
      <w:bookmarkStart w:id="116" w:name="_Toc14307"/>
      <w:bookmarkStart w:id="117" w:name="_Toc27316"/>
      <w:bookmarkStart w:id="118" w:name="_Toc31463"/>
      <w:bookmarkStart w:id="119" w:name="_Toc28181"/>
      <w:bookmarkStart w:id="120" w:name="_Toc25967"/>
      <w:bookmarkStart w:id="121" w:name="_Toc26104"/>
      <w:r>
        <w:rPr>
          <w:rFonts w:hint="eastAsia" w:ascii="仿宋" w:hAnsi="仿宋" w:eastAsia="仿宋" w:cs="仿宋"/>
          <w:b/>
          <w:kern w:val="2"/>
          <w:sz w:val="24"/>
          <w:szCs w:val="24"/>
          <w:highlight w:val="none"/>
          <w:lang w:val="en-US" w:eastAsia="zh-CN" w:bidi="ar-SA"/>
        </w:rPr>
        <w:t>退还保证金申请函</w:t>
      </w:r>
      <w:bookmarkEnd w:id="115"/>
      <w:bookmarkEnd w:id="116"/>
      <w:bookmarkEnd w:id="117"/>
      <w:bookmarkEnd w:id="118"/>
      <w:bookmarkEnd w:id="119"/>
      <w:bookmarkEnd w:id="120"/>
      <w:bookmarkEnd w:id="121"/>
    </w:p>
    <w:p w14:paraId="5CCD1966">
      <w:pPr>
        <w:spacing w:line="360" w:lineRule="auto"/>
        <w:rPr>
          <w:rFonts w:hint="eastAsia" w:ascii="仿宋" w:hAnsi="仿宋" w:eastAsia="仿宋" w:cs="仿宋"/>
          <w:color w:val="000000"/>
          <w:sz w:val="21"/>
          <w:szCs w:val="21"/>
          <w:highlight w:val="none"/>
          <w:u w:val="single"/>
          <w:lang w:eastAsia="zh-CN"/>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lang w:eastAsia="zh-CN"/>
        </w:rPr>
        <w:t>新疆恒晟华工程项目管理有限公司</w:t>
      </w:r>
    </w:p>
    <w:p w14:paraId="27E89570">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w:t>
      </w:r>
      <w:r>
        <w:rPr>
          <w:rFonts w:hint="eastAsia" w:ascii="仿宋" w:hAnsi="仿宋" w:eastAsia="仿宋" w:cs="仿宋"/>
          <w:color w:val="000000"/>
          <w:sz w:val="21"/>
          <w:szCs w:val="21"/>
          <w:highlight w:val="none"/>
          <w:u w:val="single"/>
          <w:lang w:val="en-US" w:eastAsia="zh-CN"/>
        </w:rPr>
        <w:t>供应商</w:t>
      </w:r>
      <w:r>
        <w:rPr>
          <w:rFonts w:hint="eastAsia" w:ascii="仿宋" w:hAnsi="仿宋" w:eastAsia="仿宋" w:cs="仿宋"/>
          <w:color w:val="000000"/>
          <w:sz w:val="21"/>
          <w:szCs w:val="21"/>
          <w:highlight w:val="none"/>
          <w:u w:val="single"/>
        </w:rPr>
        <w:t xml:space="preserve">全称) </w:t>
      </w:r>
      <w:r>
        <w:rPr>
          <w:rFonts w:hint="eastAsia" w:ascii="仿宋" w:hAnsi="仿宋" w:eastAsia="仿宋" w:cs="仿宋"/>
          <w:color w:val="000000"/>
          <w:sz w:val="21"/>
          <w:szCs w:val="21"/>
          <w:highlight w:val="none"/>
        </w:rPr>
        <w:t>参加贵方组织的，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color w:val="000000"/>
          <w:sz w:val="21"/>
          <w:szCs w:val="21"/>
          <w:highlight w:val="none"/>
        </w:rPr>
        <w:t>的</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采购活动。按</w:t>
      </w:r>
      <w:r>
        <w:rPr>
          <w:rFonts w:hint="eastAsia" w:ascii="仿宋" w:hAnsi="仿宋" w:eastAsia="仿宋" w:cs="仿宋"/>
          <w:color w:val="000000"/>
          <w:sz w:val="21"/>
          <w:szCs w:val="21"/>
          <w:highlight w:val="none"/>
          <w:lang w:val="en-US" w:eastAsia="zh-CN"/>
        </w:rPr>
        <w:t>采购文件</w:t>
      </w:r>
      <w:r>
        <w:rPr>
          <w:rFonts w:hint="eastAsia" w:ascii="仿宋" w:hAnsi="仿宋" w:eastAsia="仿宋" w:cs="仿宋"/>
          <w:color w:val="000000"/>
          <w:sz w:val="21"/>
          <w:szCs w:val="21"/>
          <w:highlight w:val="none"/>
        </w:rPr>
        <w:t>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14:paraId="2ED0186C">
      <w:pPr>
        <w:autoSpaceDE w:val="0"/>
        <w:autoSpaceDN w:val="0"/>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14:paraId="458B82CC">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14:paraId="7F083108">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w:t>
      </w:r>
      <w:r>
        <w:rPr>
          <w:rFonts w:hint="eastAsia" w:ascii="仿宋" w:hAnsi="仿宋" w:eastAsia="仿宋" w:cs="仿宋"/>
          <w:color w:val="000000"/>
          <w:sz w:val="21"/>
          <w:szCs w:val="21"/>
          <w:highlight w:val="none"/>
          <w:u w:val="single"/>
        </w:rPr>
        <w:t xml:space="preserve">                             </w:t>
      </w:r>
    </w:p>
    <w:p w14:paraId="7B7B0DF3">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开户银行行号：</w:t>
      </w:r>
      <w:r>
        <w:rPr>
          <w:rFonts w:hint="eastAsia" w:ascii="仿宋" w:hAnsi="仿宋" w:eastAsia="仿宋" w:cs="仿宋"/>
          <w:color w:val="000000"/>
          <w:sz w:val="21"/>
          <w:szCs w:val="21"/>
          <w:highlight w:val="none"/>
          <w:u w:val="single"/>
        </w:rPr>
        <w:t xml:space="preserve">                         </w:t>
      </w:r>
    </w:p>
    <w:p w14:paraId="31C7FE37">
      <w:pPr>
        <w:spacing w:line="360" w:lineRule="auto"/>
        <w:ind w:firstLine="420" w:firstLineChars="200"/>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银行帐号：</w:t>
      </w:r>
      <w:r>
        <w:rPr>
          <w:rFonts w:hint="eastAsia" w:ascii="仿宋" w:hAnsi="仿宋" w:eastAsia="仿宋" w:cs="仿宋"/>
          <w:color w:val="000000"/>
          <w:sz w:val="21"/>
          <w:szCs w:val="21"/>
          <w:highlight w:val="none"/>
          <w:u w:val="single"/>
        </w:rPr>
        <w:t xml:space="preserve">                             </w:t>
      </w:r>
    </w:p>
    <w:p w14:paraId="075937F5">
      <w:pPr>
        <w:adjustRightInd w:val="0"/>
        <w:snapToGrid w:val="0"/>
        <w:spacing w:line="360" w:lineRule="auto"/>
        <w:rPr>
          <w:rFonts w:hint="eastAsia" w:ascii="仿宋" w:hAnsi="仿宋" w:eastAsia="仿宋" w:cs="仿宋"/>
          <w:color w:val="000000"/>
          <w:sz w:val="21"/>
          <w:szCs w:val="21"/>
          <w:highlight w:val="none"/>
        </w:rPr>
      </w:pPr>
    </w:p>
    <w:p w14:paraId="7D0BE1D1">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签字</w:t>
      </w:r>
      <w:r>
        <w:rPr>
          <w:rFonts w:hint="eastAsia" w:ascii="仿宋" w:hAnsi="仿宋" w:eastAsia="仿宋" w:cs="仿宋"/>
          <w:color w:val="000000"/>
          <w:sz w:val="21"/>
          <w:szCs w:val="21"/>
          <w:highlight w:val="none"/>
          <w:lang w:val="en-US" w:eastAsia="zh-CN"/>
        </w:rPr>
        <w:t>或电子印章</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w:t>
      </w:r>
    </w:p>
    <w:p w14:paraId="69F08885">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color w:val="000000"/>
          <w:sz w:val="21"/>
          <w:szCs w:val="21"/>
          <w:highlight w:val="none"/>
          <w:lang w:val="en-US" w:eastAsia="zh-CN"/>
        </w:rPr>
        <w:t>电子印章</w:t>
      </w:r>
      <w:r>
        <w:rPr>
          <w:rFonts w:hint="eastAsia" w:ascii="仿宋" w:hAnsi="仿宋" w:eastAsia="仿宋" w:cs="仿宋"/>
          <w:color w:val="000000"/>
          <w:sz w:val="21"/>
          <w:szCs w:val="21"/>
          <w:highlight w:val="none"/>
        </w:rPr>
        <w:t>）：</w:t>
      </w:r>
    </w:p>
    <w:p w14:paraId="6C76E22E">
      <w:pPr>
        <w:adjustRightInd w:val="0"/>
        <w:snapToGrid w:val="0"/>
        <w:spacing w:line="360" w:lineRule="auto"/>
        <w:rPr>
          <w:rFonts w:hint="eastAsia" w:ascii="仿宋" w:hAnsi="仿宋" w:eastAsia="仿宋" w:cs="仿宋"/>
          <w:bCs/>
          <w:kern w:val="2"/>
          <w:sz w:val="21"/>
          <w:szCs w:val="21"/>
          <w:highlight w:val="none"/>
          <w:lang w:val="en-US" w:eastAsia="zh-CN" w:bidi="ar-SA"/>
        </w:rPr>
      </w:pPr>
      <w:r>
        <w:rPr>
          <w:rFonts w:hint="eastAsia" w:ascii="仿宋" w:hAnsi="仿宋" w:eastAsia="仿宋" w:cs="仿宋"/>
          <w:color w:val="000000"/>
          <w:sz w:val="21"/>
          <w:szCs w:val="21"/>
          <w:highlight w:val="none"/>
        </w:rPr>
        <w:t>日期：   年   月   日</w:t>
      </w:r>
    </w:p>
    <w:p w14:paraId="5F379DD1">
      <w:pPr>
        <w:widowControl w:val="0"/>
        <w:snapToGrid w:val="0"/>
        <w:spacing w:line="440" w:lineRule="exact"/>
        <w:jc w:val="both"/>
        <w:rPr>
          <w:rFonts w:hint="eastAsia" w:ascii="仿宋" w:hAnsi="仿宋" w:eastAsia="仿宋" w:cs="仿宋"/>
          <w:b/>
          <w:kern w:val="2"/>
          <w:sz w:val="21"/>
          <w:szCs w:val="21"/>
          <w:highlight w:val="none"/>
          <w:lang w:val="en-US" w:eastAsia="zh-CN" w:bidi="ar-SA"/>
        </w:rPr>
      </w:pPr>
      <w:r>
        <w:rPr>
          <w:rFonts w:hint="eastAsia" w:ascii="仿宋" w:hAnsi="仿宋" w:eastAsia="仿宋" w:cs="仿宋"/>
          <w:b/>
          <w:kern w:val="2"/>
          <w:sz w:val="21"/>
          <w:szCs w:val="21"/>
          <w:highlight w:val="none"/>
          <w:lang w:val="en-US" w:eastAsia="zh-CN" w:bidi="ar-SA"/>
        </w:rPr>
        <w:t>注：为方便代理机构后续退款事宜，请供应商认真填写此函信息，并后附转帐或汇款的银行凭证复印件。</w:t>
      </w:r>
    </w:p>
    <w:tbl>
      <w:tblPr>
        <w:tblStyle w:val="26"/>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0E637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6C40B278">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14:paraId="5B628C66">
      <w:pPr>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both"/>
        <w:textAlignment w:val="auto"/>
        <w:rPr>
          <w:rFonts w:hint="eastAsia" w:ascii="仿宋" w:hAnsi="仿宋" w:eastAsia="仿宋" w:cs="仿宋"/>
          <w:kern w:val="2"/>
          <w:sz w:val="21"/>
          <w:szCs w:val="21"/>
          <w:highlight w:val="none"/>
          <w:lang w:val="zh-CN" w:eastAsia="zh-CN" w:bidi="zh-CN"/>
        </w:rPr>
      </w:pPr>
    </w:p>
    <w:p w14:paraId="6C95316E">
      <w:pPr>
        <w:widowControl w:val="0"/>
        <w:tabs>
          <w:tab w:val="left" w:pos="1325"/>
        </w:tabs>
        <w:spacing w:before="90"/>
        <w:jc w:val="both"/>
        <w:outlineLvl w:val="2"/>
        <w:rPr>
          <w:rFonts w:hint="eastAsia" w:ascii="仿宋" w:hAnsi="仿宋" w:eastAsia="仿宋" w:cs="仿宋"/>
          <w:b/>
          <w:bCs/>
          <w:kern w:val="2"/>
          <w:sz w:val="24"/>
          <w:szCs w:val="24"/>
          <w:highlight w:val="none"/>
          <w:lang w:val="zh-CN" w:eastAsia="zh-CN" w:bidi="zh-CN"/>
        </w:rPr>
      </w:pPr>
      <w:bookmarkStart w:id="122" w:name="_Toc8576"/>
      <w:bookmarkStart w:id="123" w:name="_Toc19434"/>
      <w:bookmarkStart w:id="124" w:name="_Toc28409"/>
      <w:bookmarkStart w:id="125" w:name="_Toc17857"/>
      <w:bookmarkStart w:id="126" w:name="_Toc2994"/>
      <w:bookmarkStart w:id="127" w:name="_Toc21100"/>
      <w:bookmarkStart w:id="128" w:name="_Toc1413"/>
      <w:r>
        <w:rPr>
          <w:rFonts w:hint="eastAsia" w:ascii="仿宋" w:hAnsi="仿宋" w:eastAsia="仿宋" w:cs="仿宋"/>
          <w:b/>
          <w:bCs/>
          <w:kern w:val="2"/>
          <w:sz w:val="24"/>
          <w:szCs w:val="24"/>
          <w:highlight w:val="none"/>
          <w:lang w:val="en-US" w:eastAsia="zh-CN" w:bidi="zh-CN"/>
        </w:rPr>
        <w:t>15、开票信息</w:t>
      </w:r>
      <w:r>
        <w:rPr>
          <w:rFonts w:hint="eastAsia" w:ascii="仿宋" w:hAnsi="仿宋" w:eastAsia="仿宋" w:cs="仿宋"/>
          <w:b/>
          <w:bCs/>
          <w:kern w:val="2"/>
          <w:sz w:val="24"/>
          <w:szCs w:val="24"/>
          <w:highlight w:val="none"/>
          <w:lang w:val="zh-CN" w:eastAsia="zh-CN" w:bidi="zh-CN"/>
        </w:rPr>
        <w:t>（统一格式）</w:t>
      </w:r>
      <w:bookmarkEnd w:id="122"/>
      <w:bookmarkEnd w:id="123"/>
      <w:bookmarkEnd w:id="124"/>
      <w:bookmarkEnd w:id="125"/>
      <w:bookmarkEnd w:id="126"/>
      <w:bookmarkEnd w:id="127"/>
      <w:bookmarkEnd w:id="128"/>
    </w:p>
    <w:p w14:paraId="24F275E8">
      <w:pPr>
        <w:widowControl w:val="0"/>
        <w:snapToGrid w:val="0"/>
        <w:spacing w:line="440" w:lineRule="exact"/>
        <w:ind w:firstLine="480" w:firstLineChars="200"/>
        <w:jc w:val="both"/>
        <w:rPr>
          <w:rFonts w:hint="eastAsia" w:ascii="仿宋" w:hAnsi="仿宋" w:eastAsia="仿宋" w:cs="仿宋"/>
          <w:bCs/>
          <w:kern w:val="2"/>
          <w:sz w:val="24"/>
          <w:szCs w:val="18"/>
          <w:highlight w:val="none"/>
          <w:lang w:val="en-US" w:eastAsia="zh-CN" w:bidi="ar-SA"/>
        </w:rPr>
      </w:pPr>
    </w:p>
    <w:p w14:paraId="2409D6FB">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新疆恒晟华工程项目管理有限公司：</w:t>
      </w:r>
    </w:p>
    <w:p w14:paraId="298DC0EA">
      <w:pPr>
        <w:widowControl w:val="0"/>
        <w:snapToGrid w:val="0"/>
        <w:spacing w:line="440" w:lineRule="exact"/>
        <w:ind w:firstLine="420" w:firstLineChars="200"/>
        <w:jc w:val="both"/>
        <w:rPr>
          <w:rFonts w:hint="eastAsia" w:ascii="仿宋" w:hAnsi="仿宋" w:eastAsia="仿宋" w:cs="仿宋"/>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 xml:space="preserve">    </w:t>
      </w:r>
      <w:r>
        <w:rPr>
          <w:rFonts w:hint="eastAsia" w:ascii="仿宋" w:hAnsi="仿宋" w:eastAsia="仿宋" w:cs="仿宋"/>
          <w:kern w:val="2"/>
          <w:sz w:val="21"/>
          <w:szCs w:val="21"/>
          <w:highlight w:val="none"/>
          <w:lang w:val="en-US" w:eastAsia="zh-CN" w:bidi="ar-SA"/>
        </w:rPr>
        <w:t>本</w:t>
      </w:r>
      <w:r>
        <w:rPr>
          <w:rFonts w:hint="eastAsia" w:ascii="仿宋" w:hAnsi="仿宋" w:eastAsia="仿宋" w:cs="仿宋"/>
          <w:kern w:val="2"/>
          <w:sz w:val="21"/>
          <w:szCs w:val="21"/>
          <w:highlight w:val="none"/>
          <w:u w:val="single"/>
          <w:lang w:val="en-US" w:eastAsia="zh-CN" w:bidi="ar-SA"/>
        </w:rPr>
        <w:t xml:space="preserve">   （供应商名称）   </w:t>
      </w:r>
      <w:r>
        <w:rPr>
          <w:rFonts w:hint="eastAsia" w:ascii="仿宋" w:hAnsi="仿宋" w:eastAsia="仿宋" w:cs="仿宋"/>
          <w:kern w:val="2"/>
          <w:sz w:val="21"/>
          <w:szCs w:val="21"/>
          <w:highlight w:val="none"/>
          <w:lang w:val="en-US" w:eastAsia="zh-CN" w:bidi="ar-SA"/>
        </w:rPr>
        <w:t>公司在参加在贵司进行的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kern w:val="2"/>
          <w:sz w:val="21"/>
          <w:szCs w:val="21"/>
          <w:highlight w:val="none"/>
          <w:lang w:val="en-US" w:eastAsia="zh-CN" w:bidi="ar-SA"/>
        </w:rPr>
        <w:t xml:space="preserve">招标，我司缴纳标书费和代理服务费后开具发票的事宜，我司声明如下： </w:t>
      </w:r>
    </w:p>
    <w:p w14:paraId="45056B49">
      <w:pPr>
        <w:widowControl w:val="0"/>
        <w:snapToGrid w:val="0"/>
        <w:spacing w:line="440" w:lineRule="exact"/>
        <w:ind w:firstLine="420" w:firstLineChars="200"/>
        <w:jc w:val="both"/>
        <w:rPr>
          <w:rFonts w:hint="eastAsia" w:ascii="仿宋" w:hAnsi="仿宋" w:eastAsia="仿宋" w:cs="仿宋"/>
          <w:kern w:val="2"/>
          <w:sz w:val="21"/>
          <w:szCs w:val="21"/>
          <w:highlight w:val="none"/>
          <w:lang w:val="en-US" w:eastAsia="zh-CN" w:bidi="ar-SA"/>
        </w:rPr>
      </w:pPr>
    </w:p>
    <w:tbl>
      <w:tblPr>
        <w:tblStyle w:val="27"/>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6D5BB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3D407235">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增值税发票开票信息</w:t>
            </w:r>
          </w:p>
        </w:tc>
      </w:tr>
      <w:tr w14:paraId="5835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313B463">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增值税发票开票种类</w:t>
            </w:r>
          </w:p>
        </w:tc>
        <w:tc>
          <w:tcPr>
            <w:tcW w:w="7472" w:type="dxa"/>
            <w:gridSpan w:val="3"/>
            <w:vAlign w:val="center"/>
          </w:tcPr>
          <w:p w14:paraId="178DDF39">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（请在此处注明增值税专用发票或增值税普通发票）</w:t>
            </w:r>
          </w:p>
        </w:tc>
      </w:tr>
      <w:tr w14:paraId="66000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75F455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单位名称</w:t>
            </w:r>
          </w:p>
        </w:tc>
        <w:tc>
          <w:tcPr>
            <w:tcW w:w="7472" w:type="dxa"/>
            <w:gridSpan w:val="3"/>
            <w:vAlign w:val="center"/>
          </w:tcPr>
          <w:p w14:paraId="1D6C8B49">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50FA2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292A671C">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单位地址</w:t>
            </w:r>
          </w:p>
        </w:tc>
        <w:tc>
          <w:tcPr>
            <w:tcW w:w="7472" w:type="dxa"/>
            <w:gridSpan w:val="3"/>
            <w:vAlign w:val="center"/>
          </w:tcPr>
          <w:p w14:paraId="04354358">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77867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A0DC62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纳税人识别号</w:t>
            </w:r>
          </w:p>
        </w:tc>
        <w:tc>
          <w:tcPr>
            <w:tcW w:w="3576" w:type="dxa"/>
            <w:vAlign w:val="center"/>
          </w:tcPr>
          <w:p w14:paraId="2C934284">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2A115566">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固定电话</w:t>
            </w:r>
          </w:p>
        </w:tc>
        <w:tc>
          <w:tcPr>
            <w:tcW w:w="2105" w:type="dxa"/>
            <w:vAlign w:val="center"/>
          </w:tcPr>
          <w:p w14:paraId="3083593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7BDB7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A87696C">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开户银行名称</w:t>
            </w:r>
          </w:p>
        </w:tc>
        <w:tc>
          <w:tcPr>
            <w:tcW w:w="3576" w:type="dxa"/>
            <w:vAlign w:val="center"/>
          </w:tcPr>
          <w:p w14:paraId="7289B9B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3F595A72">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联系人姓名</w:t>
            </w:r>
          </w:p>
        </w:tc>
        <w:tc>
          <w:tcPr>
            <w:tcW w:w="2105" w:type="dxa"/>
            <w:vAlign w:val="center"/>
          </w:tcPr>
          <w:p w14:paraId="22224A5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3B565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E4B2DC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开户银行账号</w:t>
            </w:r>
          </w:p>
        </w:tc>
        <w:tc>
          <w:tcPr>
            <w:tcW w:w="3576" w:type="dxa"/>
            <w:vAlign w:val="center"/>
          </w:tcPr>
          <w:p w14:paraId="07C4153D">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5A4076B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联系人电话</w:t>
            </w:r>
          </w:p>
        </w:tc>
        <w:tc>
          <w:tcPr>
            <w:tcW w:w="2105" w:type="dxa"/>
            <w:vAlign w:val="center"/>
          </w:tcPr>
          <w:p w14:paraId="04DF431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17C12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33B0678">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电子发票收件</w:t>
            </w:r>
          </w:p>
          <w:p w14:paraId="4DFFB33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电子邮箱</w:t>
            </w:r>
          </w:p>
        </w:tc>
        <w:tc>
          <w:tcPr>
            <w:tcW w:w="7472" w:type="dxa"/>
            <w:gridSpan w:val="3"/>
            <w:vAlign w:val="center"/>
          </w:tcPr>
          <w:p w14:paraId="691806E6">
            <w:pPr>
              <w:widowControl w:val="0"/>
              <w:snapToGrid w:val="0"/>
              <w:spacing w:line="440" w:lineRule="exact"/>
              <w:jc w:val="left"/>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Email:</w:t>
            </w:r>
          </w:p>
        </w:tc>
      </w:tr>
      <w:tr w14:paraId="29B24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29148FB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发票邮寄地址：</w:t>
            </w:r>
          </w:p>
        </w:tc>
        <w:tc>
          <w:tcPr>
            <w:tcW w:w="7472" w:type="dxa"/>
            <w:gridSpan w:val="3"/>
            <w:vAlign w:val="center"/>
          </w:tcPr>
          <w:p w14:paraId="50F2B1D1">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地址：</w:t>
            </w:r>
          </w:p>
          <w:p w14:paraId="5C1887C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收件人：                电话：</w:t>
            </w:r>
          </w:p>
        </w:tc>
      </w:tr>
    </w:tbl>
    <w:p w14:paraId="4F2AC46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 xml:space="preserve">    我公司提供的上述开票信息准确无误，如果因我公司提供上述信息错误，导致发票无效的，将由我公司承担相应后果。</w:t>
      </w:r>
    </w:p>
    <w:p w14:paraId="38A591A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p>
    <w:p w14:paraId="62C2D2C2">
      <w:pPr>
        <w:widowControl w:val="0"/>
        <w:snapToGrid w:val="0"/>
        <w:spacing w:line="440" w:lineRule="exact"/>
        <w:ind w:firstLine="420" w:firstLineChars="200"/>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注：供应商需要采购代理机构开具增值税发票的，请在上表中填写相关信息，</w:t>
      </w:r>
      <w:r>
        <w:rPr>
          <w:rFonts w:hint="eastAsia" w:ascii="仿宋" w:hAnsi="仿宋" w:eastAsia="仿宋" w:cs="仿宋"/>
          <w:b/>
          <w:kern w:val="2"/>
          <w:sz w:val="21"/>
          <w:szCs w:val="21"/>
          <w:highlight w:val="none"/>
          <w:lang w:val="en-US" w:eastAsia="zh-CN" w:bidi="ar-SA"/>
        </w:rPr>
        <w:t>如供应商需要开具增值税专用发票的须附供应商开户许可证、一般纳税人认定文件的清晰复印件加盖公章，以及开票信息（见上表）。</w:t>
      </w:r>
      <w:r>
        <w:rPr>
          <w:rFonts w:hint="eastAsia" w:ascii="仿宋" w:hAnsi="仿宋" w:eastAsia="仿宋" w:cs="仿宋"/>
          <w:bCs/>
          <w:kern w:val="2"/>
          <w:sz w:val="21"/>
          <w:szCs w:val="21"/>
          <w:highlight w:val="none"/>
          <w:lang w:val="en-US" w:eastAsia="zh-CN" w:bidi="ar-SA"/>
        </w:rPr>
        <w:t>如供应商在开票信息中未注明开具</w:t>
      </w:r>
      <w:r>
        <w:rPr>
          <w:rFonts w:hint="eastAsia" w:ascii="仿宋" w:hAnsi="仿宋" w:eastAsia="仿宋" w:cs="仿宋"/>
          <w:b/>
          <w:kern w:val="2"/>
          <w:sz w:val="21"/>
          <w:szCs w:val="21"/>
          <w:highlight w:val="none"/>
          <w:lang w:val="en-US" w:eastAsia="zh-CN" w:bidi="ar-SA"/>
        </w:rPr>
        <w:t>增值税专用发票</w:t>
      </w:r>
      <w:r>
        <w:rPr>
          <w:rFonts w:hint="eastAsia" w:ascii="仿宋" w:hAnsi="仿宋" w:eastAsia="仿宋" w:cs="仿宋"/>
          <w:bCs/>
          <w:kern w:val="2"/>
          <w:sz w:val="21"/>
          <w:szCs w:val="21"/>
          <w:highlight w:val="none"/>
          <w:lang w:val="en-US" w:eastAsia="zh-CN" w:bidi="ar-SA"/>
        </w:rPr>
        <w:t>且未提供上述材料，代理机构将默认开具增值税普通发票。</w:t>
      </w:r>
    </w:p>
    <w:p w14:paraId="1CAEFF3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p>
    <w:p w14:paraId="2AF88251">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签字</w:t>
      </w:r>
      <w:r>
        <w:rPr>
          <w:rFonts w:hint="eastAsia" w:ascii="仿宋" w:hAnsi="仿宋" w:eastAsia="仿宋" w:cs="仿宋"/>
          <w:color w:val="000000"/>
          <w:sz w:val="21"/>
          <w:szCs w:val="21"/>
          <w:highlight w:val="none"/>
          <w:lang w:val="en-US" w:eastAsia="zh-CN"/>
        </w:rPr>
        <w:t>或电子印章</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w:t>
      </w:r>
    </w:p>
    <w:p w14:paraId="2A905A58">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color w:val="000000"/>
          <w:sz w:val="21"/>
          <w:szCs w:val="21"/>
          <w:highlight w:val="none"/>
          <w:lang w:val="en-US" w:eastAsia="zh-CN"/>
        </w:rPr>
        <w:t>电子印章</w:t>
      </w:r>
      <w:r>
        <w:rPr>
          <w:rFonts w:hint="eastAsia" w:ascii="仿宋" w:hAnsi="仿宋" w:eastAsia="仿宋" w:cs="仿宋"/>
          <w:color w:val="000000"/>
          <w:sz w:val="21"/>
          <w:szCs w:val="21"/>
          <w:highlight w:val="none"/>
        </w:rPr>
        <w:t>）：</w:t>
      </w:r>
    </w:p>
    <w:p w14:paraId="3BB8CF3F">
      <w:pPr>
        <w:widowControl w:val="0"/>
        <w:snapToGrid w:val="0"/>
        <w:spacing w:line="440" w:lineRule="exact"/>
        <w:jc w:val="both"/>
        <w:rPr>
          <w:rFonts w:hint="eastAsia" w:ascii="仿宋" w:hAnsi="仿宋" w:eastAsia="仿宋" w:cs="仿宋"/>
          <w:b/>
          <w:bCs/>
          <w:color w:val="000000"/>
          <w:kern w:val="2"/>
          <w:sz w:val="21"/>
          <w:szCs w:val="21"/>
          <w:highlight w:val="none"/>
          <w:lang w:val="en-US" w:eastAsia="zh-CN" w:bidi="ar"/>
        </w:rPr>
      </w:pPr>
      <w:r>
        <w:rPr>
          <w:rFonts w:hint="eastAsia" w:ascii="仿宋" w:hAnsi="仿宋" w:eastAsia="仿宋" w:cs="仿宋"/>
          <w:color w:val="000000"/>
          <w:kern w:val="2"/>
          <w:sz w:val="21"/>
          <w:szCs w:val="21"/>
          <w:highlight w:val="none"/>
          <w:lang w:val="en-US" w:eastAsia="zh-CN" w:bidi="ar-SA"/>
        </w:rPr>
        <w:t>日期：   年   月   日</w:t>
      </w:r>
    </w:p>
    <w:p w14:paraId="3964B6F7">
      <w:pPr>
        <w:pStyle w:val="24"/>
        <w:rPr>
          <w:rFonts w:hint="eastAsia" w:ascii="仿宋" w:hAnsi="仿宋" w:eastAsia="仿宋" w:cs="仿宋"/>
          <w:highlight w:val="none"/>
          <w:lang w:val="en-US" w:eastAsia="zh-CN"/>
        </w:rPr>
      </w:pPr>
    </w:p>
    <w:p w14:paraId="41FD5CCA">
      <w:pPr>
        <w:pStyle w:val="24"/>
        <w:rPr>
          <w:rFonts w:hint="eastAsia" w:ascii="仿宋" w:hAnsi="仿宋" w:eastAsia="仿宋" w:cs="仿宋"/>
          <w:highlight w:val="none"/>
          <w:lang w:val="en-US" w:eastAsia="zh-CN"/>
        </w:rPr>
      </w:pPr>
    </w:p>
    <w:sectPr>
      <w:headerReference r:id="rId6" w:type="default"/>
      <w:footerReference r:id="rId7" w:type="default"/>
      <w:pgSz w:w="11906" w:h="16838"/>
      <w:pgMar w:top="1440" w:right="1800" w:bottom="1440" w:left="1800" w:header="851" w:footer="992" w:gutter="0"/>
      <w:pgNumType w:fmt="decimal"/>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FC69C6D-F847-41BD-BE32-D46B07C6422B}"/>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F1362F6C-539C-4DB4-88C7-148B4BB2A815}"/>
  </w:font>
  <w:font w:name="仿宋_GB2312">
    <w:panose1 w:val="02010609030101010101"/>
    <w:charset w:val="86"/>
    <w:family w:val="auto"/>
    <w:pitch w:val="default"/>
    <w:sig w:usb0="00000001" w:usb1="080E0000" w:usb2="00000000" w:usb3="00000000" w:csb0="00040000" w:csb1="00000000"/>
    <w:embedRegular r:id="rId3" w:fontKey="{EA5F8C02-9ABC-4306-BCFB-617761BEB011}"/>
  </w:font>
  <w:font w:name="微软雅黑">
    <w:panose1 w:val="020B0503020204020204"/>
    <w:charset w:val="86"/>
    <w:family w:val="auto"/>
    <w:pitch w:val="default"/>
    <w:sig w:usb0="80000287" w:usb1="2ACF3C50" w:usb2="00000016" w:usb3="00000000" w:csb0="0004001F" w:csb1="00000000"/>
    <w:embedRegular r:id="rId4" w:fontKey="{CEF2D8F4-3672-44A4-B211-2543B35B27D8}"/>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5" w:fontKey="{02EABE77-0577-4A37-AAD8-989D2D565080}"/>
  </w:font>
  <w:font w:name="Wingdings 2">
    <w:panose1 w:val="05020102010507070707"/>
    <w:charset w:val="00"/>
    <w:family w:val="auto"/>
    <w:pitch w:val="default"/>
    <w:sig w:usb0="00000000" w:usb1="00000000" w:usb2="00000000" w:usb3="00000000" w:csb0="80000000" w:csb1="00000000"/>
    <w:embedRegular r:id="rId6" w:fontKey="{74CA342A-9A32-4046-A7F3-1ED1694F8B8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51CE4">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C58B6E">
                          <w:pPr>
                            <w:pStyle w:val="18"/>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6C58B6E">
                    <w:pPr>
                      <w:pStyle w:val="18"/>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393CD">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55D77">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28CB3F">
                          <w:pPr>
                            <w:pStyle w:val="18"/>
                          </w:pPr>
                          <w:r>
                            <w:t xml:space="preserve">第 </w:t>
                          </w:r>
                          <w:r>
                            <w:fldChar w:fldCharType="begin"/>
                          </w:r>
                          <w:r>
                            <w:instrText xml:space="preserve"> PAGE  \* MERGEFORMAT </w:instrText>
                          </w:r>
                          <w:r>
                            <w:fldChar w:fldCharType="separate"/>
                          </w:r>
                          <w:r>
                            <w:t>- 1 -</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328CB3F">
                    <w:pPr>
                      <w:pStyle w:val="18"/>
                    </w:pPr>
                    <w:r>
                      <w:t xml:space="preserve">第 </w:t>
                    </w:r>
                    <w:r>
                      <w:fldChar w:fldCharType="begin"/>
                    </w:r>
                    <w:r>
                      <w:instrText xml:space="preserve"> PAGE  \* MERGEFORMAT </w:instrText>
                    </w:r>
                    <w:r>
                      <w:fldChar w:fldCharType="separate"/>
                    </w:r>
                    <w:r>
                      <w:t>- 1 -</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BCAA0">
    <w:pPr>
      <w:rPr>
        <w:rFonts w:hint="eastAsia"/>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00B24">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A90914A5"/>
    <w:multiLevelType w:val="singleLevel"/>
    <w:tmpl w:val="A90914A5"/>
    <w:lvl w:ilvl="0" w:tentative="0">
      <w:start w:val="1"/>
      <w:numFmt w:val="decimal"/>
      <w:suff w:val="space"/>
      <w:lvlText w:val="%1."/>
      <w:lvlJc w:val="left"/>
    </w:lvl>
  </w:abstractNum>
  <w:abstractNum w:abstractNumId="2">
    <w:nsid w:val="BC82F1D4"/>
    <w:multiLevelType w:val="singleLevel"/>
    <w:tmpl w:val="BC82F1D4"/>
    <w:lvl w:ilvl="0" w:tentative="0">
      <w:start w:val="1"/>
      <w:numFmt w:val="chineseCounting"/>
      <w:suff w:val="space"/>
      <w:lvlText w:val="第%1章"/>
      <w:lvlJc w:val="left"/>
      <w:rPr>
        <w:rFonts w:hint="eastAsia"/>
      </w:rPr>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F15E2F75"/>
    <w:multiLevelType w:val="singleLevel"/>
    <w:tmpl w:val="F15E2F75"/>
    <w:lvl w:ilvl="0" w:tentative="0">
      <w:start w:val="2"/>
      <w:numFmt w:val="decimal"/>
      <w:suff w:val="nothing"/>
      <w:lvlText w:val="%1、"/>
      <w:lvlJc w:val="left"/>
    </w:lvl>
  </w:abstractNum>
  <w:abstractNum w:abstractNumId="5">
    <w:nsid w:val="F48A5215"/>
    <w:multiLevelType w:val="singleLevel"/>
    <w:tmpl w:val="F48A5215"/>
    <w:lvl w:ilvl="0" w:tentative="0">
      <w:start w:val="1"/>
      <w:numFmt w:val="decimal"/>
      <w:suff w:val="nothing"/>
      <w:lvlText w:val="（%1）"/>
      <w:lvlJc w:val="left"/>
    </w:lvl>
  </w:abstractNum>
  <w:abstractNum w:abstractNumId="6">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7">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8">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9">
    <w:nsid w:val="16A32F38"/>
    <w:multiLevelType w:val="multilevel"/>
    <w:tmpl w:val="16A32F38"/>
    <w:lvl w:ilvl="0" w:tentative="0">
      <w:start w:val="1"/>
      <w:numFmt w:val="japaneseCounting"/>
      <w:lvlText w:val="第%1条"/>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1C5656EC"/>
    <w:multiLevelType w:val="singleLevel"/>
    <w:tmpl w:val="1C5656EC"/>
    <w:lvl w:ilvl="0" w:tentative="0">
      <w:start w:val="1"/>
      <w:numFmt w:val="decimal"/>
      <w:suff w:val="space"/>
      <w:lvlText w:val="（%1）"/>
      <w:lvlJc w:val="left"/>
    </w:lvl>
  </w:abstractNum>
  <w:abstractNum w:abstractNumId="11">
    <w:nsid w:val="401F449F"/>
    <w:multiLevelType w:val="singleLevel"/>
    <w:tmpl w:val="401F449F"/>
    <w:lvl w:ilvl="0" w:tentative="0">
      <w:start w:val="1"/>
      <w:numFmt w:val="decimal"/>
      <w:suff w:val="nothing"/>
      <w:lvlText w:val="（%1）"/>
      <w:lvlJc w:val="left"/>
    </w:lvl>
  </w:abstractNum>
  <w:abstractNum w:abstractNumId="12">
    <w:nsid w:val="54B0E084"/>
    <w:multiLevelType w:val="singleLevel"/>
    <w:tmpl w:val="54B0E084"/>
    <w:lvl w:ilvl="0" w:tentative="0">
      <w:start w:val="2"/>
      <w:numFmt w:val="chineseCounting"/>
      <w:suff w:val="space"/>
      <w:lvlText w:val="第%1章"/>
      <w:lvlJc w:val="left"/>
      <w:rPr>
        <w:rFonts w:hint="eastAsia"/>
      </w:rPr>
    </w:lvl>
  </w:abstractNum>
  <w:abstractNum w:abstractNumId="13">
    <w:nsid w:val="63862E25"/>
    <w:multiLevelType w:val="singleLevel"/>
    <w:tmpl w:val="63862E25"/>
    <w:lvl w:ilvl="0" w:tentative="0">
      <w:start w:val="1"/>
      <w:numFmt w:val="decimal"/>
      <w:suff w:val="space"/>
      <w:lvlText w:val="（%1）"/>
      <w:lvlJc w:val="left"/>
    </w:lvl>
  </w:abstractNum>
  <w:abstractNum w:abstractNumId="14">
    <w:nsid w:val="6B0D1804"/>
    <w:multiLevelType w:val="singleLevel"/>
    <w:tmpl w:val="6B0D1804"/>
    <w:lvl w:ilvl="0" w:tentative="0">
      <w:start w:val="1"/>
      <w:numFmt w:val="decimal"/>
      <w:suff w:val="space"/>
      <w:lvlText w:val="（%1）"/>
      <w:lvlJc w:val="left"/>
    </w:lvl>
  </w:abstractNum>
  <w:abstractNum w:abstractNumId="15">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6">
    <w:nsid w:val="73E6972B"/>
    <w:multiLevelType w:val="singleLevel"/>
    <w:tmpl w:val="73E6972B"/>
    <w:lvl w:ilvl="0" w:tentative="0">
      <w:start w:val="1"/>
      <w:numFmt w:val="chineseCounting"/>
      <w:suff w:val="space"/>
      <w:lvlText w:val="%1、"/>
      <w:lvlJc w:val="left"/>
      <w:rPr>
        <w:rFonts w:hint="eastAsia"/>
      </w:rPr>
    </w:lvl>
  </w:abstractNum>
  <w:abstractNum w:abstractNumId="17">
    <w:nsid w:val="7633D9B6"/>
    <w:multiLevelType w:val="singleLevel"/>
    <w:tmpl w:val="7633D9B6"/>
    <w:lvl w:ilvl="0" w:tentative="0">
      <w:start w:val="3"/>
      <w:numFmt w:val="chineseCounting"/>
      <w:suff w:val="space"/>
      <w:lvlText w:val="第%1章"/>
      <w:lvlJc w:val="left"/>
      <w:rPr>
        <w:rFonts w:hint="eastAsia"/>
      </w:rPr>
    </w:lvl>
  </w:abstractNum>
  <w:abstractNum w:abstractNumId="18">
    <w:nsid w:val="78F60E4F"/>
    <w:multiLevelType w:val="singleLevel"/>
    <w:tmpl w:val="78F60E4F"/>
    <w:lvl w:ilvl="0" w:tentative="0">
      <w:start w:val="1"/>
      <w:numFmt w:val="chineseCounting"/>
      <w:suff w:val="nothing"/>
      <w:lvlText w:val="%1、"/>
      <w:lvlJc w:val="left"/>
      <w:rPr>
        <w:rFonts w:hint="eastAsia"/>
      </w:rPr>
    </w:lvl>
  </w:abstractNum>
  <w:num w:numId="1">
    <w:abstractNumId w:val="2"/>
  </w:num>
  <w:num w:numId="2">
    <w:abstractNumId w:val="16"/>
  </w:num>
  <w:num w:numId="3">
    <w:abstractNumId w:val="12"/>
  </w:num>
  <w:num w:numId="4">
    <w:abstractNumId w:val="4"/>
  </w:num>
  <w:num w:numId="5">
    <w:abstractNumId w:val="17"/>
  </w:num>
  <w:num w:numId="6">
    <w:abstractNumId w:val="18"/>
  </w:num>
  <w:num w:numId="7">
    <w:abstractNumId w:val="15"/>
  </w:num>
  <w:num w:numId="8">
    <w:abstractNumId w:val="8"/>
  </w:num>
  <w:num w:numId="9">
    <w:abstractNumId w:val="3"/>
  </w:num>
  <w:num w:numId="10">
    <w:abstractNumId w:val="13"/>
  </w:num>
  <w:num w:numId="11">
    <w:abstractNumId w:val="6"/>
  </w:num>
  <w:num w:numId="12">
    <w:abstractNumId w:val="9"/>
  </w:num>
  <w:num w:numId="13">
    <w:abstractNumId w:val="14"/>
  </w:num>
  <w:num w:numId="14">
    <w:abstractNumId w:val="10"/>
  </w:num>
  <w:num w:numId="15">
    <w:abstractNumId w:val="11"/>
  </w:num>
  <w:num w:numId="16">
    <w:abstractNumId w:val="7"/>
  </w:num>
  <w:num w:numId="17">
    <w:abstractNumId w:val="5"/>
  </w:num>
  <w:num w:numId="18">
    <w:abstractNumId w:val="0"/>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3YjI3M2I4NjFkYmE4NmI1YmU0ZjVjMjIyMjkyYWYifQ=="/>
  </w:docVars>
  <w:rsids>
    <w:rsidRoot w:val="1AA24D9F"/>
    <w:rsid w:val="00306FA2"/>
    <w:rsid w:val="0103400D"/>
    <w:rsid w:val="0130308D"/>
    <w:rsid w:val="015809AE"/>
    <w:rsid w:val="02353A89"/>
    <w:rsid w:val="02545219"/>
    <w:rsid w:val="029A10B1"/>
    <w:rsid w:val="04071455"/>
    <w:rsid w:val="04FE49DF"/>
    <w:rsid w:val="061B1E9A"/>
    <w:rsid w:val="0697688C"/>
    <w:rsid w:val="06C4362D"/>
    <w:rsid w:val="06D66EBD"/>
    <w:rsid w:val="07011CC2"/>
    <w:rsid w:val="07644792"/>
    <w:rsid w:val="07BE71A8"/>
    <w:rsid w:val="0822060B"/>
    <w:rsid w:val="08E17110"/>
    <w:rsid w:val="09284798"/>
    <w:rsid w:val="096F3463"/>
    <w:rsid w:val="099153F6"/>
    <w:rsid w:val="09B85581"/>
    <w:rsid w:val="09BC4A90"/>
    <w:rsid w:val="09DE1F54"/>
    <w:rsid w:val="0C6E02C3"/>
    <w:rsid w:val="0C965028"/>
    <w:rsid w:val="0CC57098"/>
    <w:rsid w:val="0D6A1561"/>
    <w:rsid w:val="0D8A6C86"/>
    <w:rsid w:val="0D9F625A"/>
    <w:rsid w:val="0E0407B3"/>
    <w:rsid w:val="0EDA0595"/>
    <w:rsid w:val="0F2941FB"/>
    <w:rsid w:val="0F2B6FD9"/>
    <w:rsid w:val="0F6459AD"/>
    <w:rsid w:val="10240C99"/>
    <w:rsid w:val="11286567"/>
    <w:rsid w:val="11950D59"/>
    <w:rsid w:val="1294398E"/>
    <w:rsid w:val="1324792E"/>
    <w:rsid w:val="1393060F"/>
    <w:rsid w:val="1483303E"/>
    <w:rsid w:val="153727FE"/>
    <w:rsid w:val="1585667E"/>
    <w:rsid w:val="15EC2259"/>
    <w:rsid w:val="16175528"/>
    <w:rsid w:val="169821D2"/>
    <w:rsid w:val="170B3BD8"/>
    <w:rsid w:val="17363E85"/>
    <w:rsid w:val="17780F73"/>
    <w:rsid w:val="183C240D"/>
    <w:rsid w:val="18EE62E8"/>
    <w:rsid w:val="19A83DCB"/>
    <w:rsid w:val="19E82794"/>
    <w:rsid w:val="1A564613"/>
    <w:rsid w:val="1A677554"/>
    <w:rsid w:val="1A7D3DC7"/>
    <w:rsid w:val="1A824F3A"/>
    <w:rsid w:val="1A8607B2"/>
    <w:rsid w:val="1AA24D9F"/>
    <w:rsid w:val="1AA9696A"/>
    <w:rsid w:val="1B723BA2"/>
    <w:rsid w:val="1C2A70BE"/>
    <w:rsid w:val="1D7D1F6A"/>
    <w:rsid w:val="1DC90DE8"/>
    <w:rsid w:val="1DCB5CE7"/>
    <w:rsid w:val="1FB05EDF"/>
    <w:rsid w:val="21464F13"/>
    <w:rsid w:val="22491B20"/>
    <w:rsid w:val="22FD7853"/>
    <w:rsid w:val="239A32F4"/>
    <w:rsid w:val="23B5644D"/>
    <w:rsid w:val="23CF5A1D"/>
    <w:rsid w:val="240E29A5"/>
    <w:rsid w:val="24302374"/>
    <w:rsid w:val="247753D8"/>
    <w:rsid w:val="24C437F9"/>
    <w:rsid w:val="25C66622"/>
    <w:rsid w:val="25DA03A1"/>
    <w:rsid w:val="25E218A9"/>
    <w:rsid w:val="27257379"/>
    <w:rsid w:val="28DA2E89"/>
    <w:rsid w:val="28DD6C00"/>
    <w:rsid w:val="2A4254F9"/>
    <w:rsid w:val="2B065713"/>
    <w:rsid w:val="2D1F32F4"/>
    <w:rsid w:val="2DC15F85"/>
    <w:rsid w:val="2FE43D35"/>
    <w:rsid w:val="323B4D81"/>
    <w:rsid w:val="32DA370D"/>
    <w:rsid w:val="346104E7"/>
    <w:rsid w:val="34992F4E"/>
    <w:rsid w:val="34B222E9"/>
    <w:rsid w:val="34B70380"/>
    <w:rsid w:val="34C646DD"/>
    <w:rsid w:val="356B2D42"/>
    <w:rsid w:val="35887686"/>
    <w:rsid w:val="35DE3514"/>
    <w:rsid w:val="35E13004"/>
    <w:rsid w:val="365C69BF"/>
    <w:rsid w:val="366D4898"/>
    <w:rsid w:val="36725CA2"/>
    <w:rsid w:val="36C31C10"/>
    <w:rsid w:val="3899537C"/>
    <w:rsid w:val="3A9F0DF8"/>
    <w:rsid w:val="3AAD0267"/>
    <w:rsid w:val="3AE174A3"/>
    <w:rsid w:val="3B810614"/>
    <w:rsid w:val="3C6109FB"/>
    <w:rsid w:val="3D1B32A0"/>
    <w:rsid w:val="3E3D4DBF"/>
    <w:rsid w:val="3F172BE7"/>
    <w:rsid w:val="3F3314F0"/>
    <w:rsid w:val="3F7C1E27"/>
    <w:rsid w:val="40624945"/>
    <w:rsid w:val="407C674B"/>
    <w:rsid w:val="40BE2AD0"/>
    <w:rsid w:val="421F113C"/>
    <w:rsid w:val="42630400"/>
    <w:rsid w:val="426B7C83"/>
    <w:rsid w:val="42AC04F6"/>
    <w:rsid w:val="42B71375"/>
    <w:rsid w:val="43446334"/>
    <w:rsid w:val="43D83BE7"/>
    <w:rsid w:val="442C18EF"/>
    <w:rsid w:val="448C5F4F"/>
    <w:rsid w:val="44A84E71"/>
    <w:rsid w:val="44C775F5"/>
    <w:rsid w:val="477DCE1E"/>
    <w:rsid w:val="48D6451F"/>
    <w:rsid w:val="4C2061DD"/>
    <w:rsid w:val="4D363C19"/>
    <w:rsid w:val="4E3046D1"/>
    <w:rsid w:val="4E880069"/>
    <w:rsid w:val="4E9C3B15"/>
    <w:rsid w:val="4EC72940"/>
    <w:rsid w:val="4F1418FD"/>
    <w:rsid w:val="4F9D7B44"/>
    <w:rsid w:val="50A4106D"/>
    <w:rsid w:val="50B74C36"/>
    <w:rsid w:val="51A52CE0"/>
    <w:rsid w:val="5236471D"/>
    <w:rsid w:val="5253098E"/>
    <w:rsid w:val="525C3CE7"/>
    <w:rsid w:val="535A4B1B"/>
    <w:rsid w:val="536A4041"/>
    <w:rsid w:val="537C536E"/>
    <w:rsid w:val="544B5DC1"/>
    <w:rsid w:val="5523302C"/>
    <w:rsid w:val="56557314"/>
    <w:rsid w:val="56E60023"/>
    <w:rsid w:val="570D1A54"/>
    <w:rsid w:val="573E1E21"/>
    <w:rsid w:val="57FD0AF5"/>
    <w:rsid w:val="58C61EBA"/>
    <w:rsid w:val="590057FE"/>
    <w:rsid w:val="592A2449"/>
    <w:rsid w:val="593D0B75"/>
    <w:rsid w:val="5A571512"/>
    <w:rsid w:val="5A9757AC"/>
    <w:rsid w:val="5B392E17"/>
    <w:rsid w:val="5B44356A"/>
    <w:rsid w:val="5B487E91"/>
    <w:rsid w:val="5C553C81"/>
    <w:rsid w:val="5CF9550F"/>
    <w:rsid w:val="5D6B74D4"/>
    <w:rsid w:val="5E4C10B3"/>
    <w:rsid w:val="5E781EA8"/>
    <w:rsid w:val="5E955F07"/>
    <w:rsid w:val="5EA84152"/>
    <w:rsid w:val="5EDF5636"/>
    <w:rsid w:val="5EFEBDE8"/>
    <w:rsid w:val="6085265B"/>
    <w:rsid w:val="60F82C5A"/>
    <w:rsid w:val="60FD0443"/>
    <w:rsid w:val="614D13CA"/>
    <w:rsid w:val="6155202D"/>
    <w:rsid w:val="62442705"/>
    <w:rsid w:val="625B691D"/>
    <w:rsid w:val="626D784A"/>
    <w:rsid w:val="642B176B"/>
    <w:rsid w:val="64FD3107"/>
    <w:rsid w:val="663721B8"/>
    <w:rsid w:val="66C51D4D"/>
    <w:rsid w:val="67E61C31"/>
    <w:rsid w:val="682A148F"/>
    <w:rsid w:val="68CA2609"/>
    <w:rsid w:val="68CC1AED"/>
    <w:rsid w:val="68F705E2"/>
    <w:rsid w:val="692A0243"/>
    <w:rsid w:val="69BB0F42"/>
    <w:rsid w:val="6A1038A7"/>
    <w:rsid w:val="6A5B3E5E"/>
    <w:rsid w:val="6A637494"/>
    <w:rsid w:val="6AD23432"/>
    <w:rsid w:val="6AF5515A"/>
    <w:rsid w:val="6B1308BC"/>
    <w:rsid w:val="6B2F46AC"/>
    <w:rsid w:val="6B6374FE"/>
    <w:rsid w:val="6BB81877"/>
    <w:rsid w:val="6BCF62E6"/>
    <w:rsid w:val="6BF06008"/>
    <w:rsid w:val="6C094140"/>
    <w:rsid w:val="6C8639E2"/>
    <w:rsid w:val="6CD3A16D"/>
    <w:rsid w:val="6D126F53"/>
    <w:rsid w:val="6D535020"/>
    <w:rsid w:val="6DE43627"/>
    <w:rsid w:val="6E5F49A6"/>
    <w:rsid w:val="6F23376B"/>
    <w:rsid w:val="6F2474E3"/>
    <w:rsid w:val="6FBE656C"/>
    <w:rsid w:val="6FE0165C"/>
    <w:rsid w:val="6FF637CB"/>
    <w:rsid w:val="6FFF37D2"/>
    <w:rsid w:val="70127B77"/>
    <w:rsid w:val="70AD3C34"/>
    <w:rsid w:val="70DE2EF1"/>
    <w:rsid w:val="71013199"/>
    <w:rsid w:val="711D41EA"/>
    <w:rsid w:val="71447BFE"/>
    <w:rsid w:val="71520337"/>
    <w:rsid w:val="71AA1F21"/>
    <w:rsid w:val="7221658E"/>
    <w:rsid w:val="7230633C"/>
    <w:rsid w:val="73624468"/>
    <w:rsid w:val="73BF43B6"/>
    <w:rsid w:val="750A1056"/>
    <w:rsid w:val="75203B28"/>
    <w:rsid w:val="758B3BA6"/>
    <w:rsid w:val="75D700A5"/>
    <w:rsid w:val="76057F95"/>
    <w:rsid w:val="760B6CA9"/>
    <w:rsid w:val="767B4F55"/>
    <w:rsid w:val="769413F2"/>
    <w:rsid w:val="780D6D66"/>
    <w:rsid w:val="788A47C2"/>
    <w:rsid w:val="78F148D9"/>
    <w:rsid w:val="79D815F5"/>
    <w:rsid w:val="7B436597"/>
    <w:rsid w:val="7BB75966"/>
    <w:rsid w:val="7C5F4108"/>
    <w:rsid w:val="7CCF6CE0"/>
    <w:rsid w:val="7F09075D"/>
    <w:rsid w:val="7F79C282"/>
    <w:rsid w:val="7F7B6CAE"/>
    <w:rsid w:val="7FB126CD"/>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Arial" w:hAnsi="Arial" w:eastAsia="仿宋_GB2312" w:cs="Times New Roman"/>
      <w:kern w:val="2"/>
      <w:sz w:val="24"/>
      <w:szCs w:val="24"/>
      <w:lang w:val="en-US" w:eastAsia="zh-CN" w:bidi="ar-SA"/>
    </w:rPr>
  </w:style>
  <w:style w:type="paragraph" w:styleId="2">
    <w:name w:val="heading 1"/>
    <w:basedOn w:val="1"/>
    <w:next w:val="1"/>
    <w:link w:val="41"/>
    <w:autoRedefine/>
    <w:qFormat/>
    <w:uiPriority w:val="0"/>
    <w:pPr>
      <w:keepNext/>
      <w:keepLines/>
      <w:spacing w:before="260" w:beforeLines="0" w:beforeAutospacing="0" w:after="220" w:afterLines="0" w:afterAutospacing="0" w:line="240" w:lineRule="auto"/>
      <w:outlineLvl w:val="0"/>
    </w:pPr>
    <w:rPr>
      <w:rFonts w:ascii="Arial" w:hAnsi="Arial"/>
      <w:b/>
      <w:kern w:val="44"/>
      <w:sz w:val="36"/>
    </w:rPr>
  </w:style>
  <w:style w:type="paragraph" w:styleId="3">
    <w:name w:val="heading 2"/>
    <w:basedOn w:val="1"/>
    <w:next w:val="1"/>
    <w:autoRedefine/>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4">
    <w:name w:val="heading 3"/>
    <w:basedOn w:val="1"/>
    <w:next w:val="1"/>
    <w:link w:val="44"/>
    <w:autoRedefine/>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5">
    <w:name w:val="heading 4"/>
    <w:basedOn w:val="1"/>
    <w:next w:val="6"/>
    <w:autoRedefine/>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7">
    <w:name w:val="heading 5"/>
    <w:basedOn w:val="1"/>
    <w:next w:val="1"/>
    <w:autoRedefine/>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8">
    <w:name w:val="heading 6"/>
    <w:basedOn w:val="1"/>
    <w:next w:val="1"/>
    <w:autoRedefine/>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9">
    <w:name w:val="heading 7"/>
    <w:basedOn w:val="1"/>
    <w:next w:val="1"/>
    <w:autoRedefine/>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10">
    <w:name w:val="heading 8"/>
    <w:basedOn w:val="1"/>
    <w:next w:val="1"/>
    <w:autoRedefine/>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1">
    <w:name w:val="heading 9"/>
    <w:basedOn w:val="1"/>
    <w:next w:val="1"/>
    <w:autoRedefine/>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28">
    <w:name w:val="Default Paragraph Font"/>
    <w:autoRedefine/>
    <w:qFormat/>
    <w:uiPriority w:val="0"/>
    <w:rPr>
      <w:rFonts w:eastAsia="微软雅黑" w:asciiTheme="minorAscii" w:hAnsiTheme="minorAscii"/>
    </w:rPr>
  </w:style>
  <w:style w:type="table" w:default="1" w:styleId="26">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firstLineChars="200"/>
    </w:pPr>
  </w:style>
  <w:style w:type="paragraph" w:styleId="12">
    <w:name w:val="Body Text"/>
    <w:basedOn w:val="1"/>
    <w:next w:val="13"/>
    <w:autoRedefine/>
    <w:qFormat/>
    <w:uiPriority w:val="1"/>
    <w:pPr>
      <w:widowControl w:val="0"/>
      <w:autoSpaceDE w:val="0"/>
      <w:autoSpaceDN w:val="0"/>
      <w:spacing w:before="0" w:after="0" w:line="240" w:lineRule="auto"/>
      <w:ind w:left="0" w:right="0"/>
      <w:jc w:val="left"/>
    </w:pPr>
    <w:rPr>
      <w:rFonts w:ascii="楷体" w:hAnsi="楷体" w:eastAsia="楷体" w:cs="楷体"/>
      <w:sz w:val="24"/>
      <w:szCs w:val="24"/>
      <w:lang w:val="zh-CN" w:eastAsia="zh-CN" w:bidi="zh-CN"/>
    </w:rPr>
  </w:style>
  <w:style w:type="paragraph" w:styleId="13">
    <w:name w:val="Body Text 2"/>
    <w:basedOn w:val="1"/>
    <w:qFormat/>
    <w:uiPriority w:val="0"/>
    <w:pPr>
      <w:jc w:val="center"/>
    </w:pPr>
  </w:style>
  <w:style w:type="paragraph" w:styleId="14">
    <w:name w:val="Body Text Indent"/>
    <w:basedOn w:val="1"/>
    <w:next w:val="15"/>
    <w:autoRedefine/>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5">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6">
    <w:name w:val="Plain Text"/>
    <w:basedOn w:val="1"/>
    <w:autoRedefine/>
    <w:qFormat/>
    <w:uiPriority w:val="0"/>
    <w:rPr>
      <w:rFonts w:ascii="宋体" w:hAnsi="Courier New"/>
      <w:szCs w:val="22"/>
    </w:rPr>
  </w:style>
  <w:style w:type="paragraph" w:styleId="17">
    <w:name w:val="toc 8"/>
    <w:next w:val="1"/>
    <w:autoRedefine/>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8">
    <w:name w:val="footer"/>
    <w:basedOn w:val="1"/>
    <w:autoRedefine/>
    <w:qFormat/>
    <w:uiPriority w:val="99"/>
    <w:pPr>
      <w:widowControl w:val="0"/>
      <w:tabs>
        <w:tab w:val="center" w:pos="4153"/>
        <w:tab w:val="right" w:pos="8306"/>
      </w:tabs>
      <w:autoSpaceDE w:val="0"/>
      <w:autoSpaceDN w:val="0"/>
      <w:snapToGrid w:val="0"/>
      <w:spacing w:before="0" w:after="0" w:line="240" w:lineRule="auto"/>
      <w:ind w:left="0" w:right="0"/>
      <w:jc w:val="left"/>
    </w:pPr>
    <w:rPr>
      <w:rFonts w:ascii="楷体" w:hAnsi="楷体" w:eastAsia="楷体" w:cs="楷体"/>
      <w:sz w:val="18"/>
      <w:szCs w:val="18"/>
      <w:lang w:val="zh-CN" w:eastAsia="zh-CN" w:bidi="zh-CN"/>
    </w:rPr>
  </w:style>
  <w:style w:type="paragraph" w:styleId="1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Arial" w:hAnsi="Arial" w:eastAsia="仿宋_GB2312"/>
      <w:sz w:val="18"/>
    </w:rPr>
  </w:style>
  <w:style w:type="paragraph" w:styleId="20">
    <w:name w:val="toc 1"/>
    <w:basedOn w:val="1"/>
    <w:next w:val="1"/>
    <w:autoRedefine/>
    <w:qFormat/>
    <w:uiPriority w:val="0"/>
  </w:style>
  <w:style w:type="paragraph" w:styleId="21">
    <w:name w:val="toc 6"/>
    <w:next w:val="1"/>
    <w:autoRedefine/>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2">
    <w:name w:val="toc 2"/>
    <w:basedOn w:val="1"/>
    <w:next w:val="1"/>
    <w:autoRedefine/>
    <w:qFormat/>
    <w:uiPriority w:val="0"/>
    <w:pPr>
      <w:ind w:left="420" w:leftChars="200"/>
    </w:pPr>
  </w:style>
  <w:style w:type="paragraph" w:styleId="23">
    <w:name w:val="Normal (Web)"/>
    <w:basedOn w:val="1"/>
    <w:autoRedefine/>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24">
    <w:name w:val="Body Text First Indent"/>
    <w:basedOn w:val="12"/>
    <w:autoRedefine/>
    <w:qFormat/>
    <w:uiPriority w:val="99"/>
    <w:pPr>
      <w:widowControl w:val="0"/>
      <w:autoSpaceDE w:val="0"/>
      <w:autoSpaceDN w:val="0"/>
      <w:spacing w:before="0" w:after="0" w:line="240" w:lineRule="auto"/>
      <w:ind w:left="0" w:right="0" w:firstLine="420" w:firstLineChars="100"/>
      <w:jc w:val="left"/>
    </w:pPr>
    <w:rPr>
      <w:rFonts w:ascii="楷体" w:hAnsi="楷体" w:eastAsia="楷体" w:cs="楷体"/>
      <w:sz w:val="24"/>
      <w:szCs w:val="24"/>
      <w:lang w:val="zh-CN" w:eastAsia="zh-CN" w:bidi="zh-CN"/>
    </w:rPr>
  </w:style>
  <w:style w:type="paragraph" w:styleId="25">
    <w:name w:val="Body Text First Indent 2"/>
    <w:basedOn w:val="14"/>
    <w:next w:val="24"/>
    <w:autoRedefine/>
    <w:unhideWhenUsed/>
    <w:qFormat/>
    <w:uiPriority w:val="99"/>
    <w:pPr>
      <w:widowControl w:val="0"/>
      <w:spacing w:after="120" w:line="360" w:lineRule="auto"/>
      <w:ind w:left="420" w:leftChars="200" w:firstLine="420" w:firstLineChars="200"/>
      <w:jc w:val="both"/>
    </w:pPr>
    <w:rPr>
      <w:rFonts w:ascii="Times New Roman" w:hAnsi="Times New Roman" w:eastAsia="仿宋_GB2312" w:cstheme="minorBidi"/>
      <w:kern w:val="0"/>
      <w:sz w:val="24"/>
      <w:szCs w:val="24"/>
      <w:lang w:val="en-US" w:eastAsia="zh-CN" w:bidi="ar-SA"/>
    </w:rPr>
  </w:style>
  <w:style w:type="table" w:styleId="27">
    <w:name w:val="Table Grid"/>
    <w:basedOn w:val="26"/>
    <w:autoRedefine/>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autoRedefine/>
    <w:qFormat/>
    <w:uiPriority w:val="0"/>
    <w:rPr>
      <w:b/>
    </w:rPr>
  </w:style>
  <w:style w:type="character" w:styleId="30">
    <w:name w:val="page number"/>
    <w:basedOn w:val="28"/>
    <w:autoRedefine/>
    <w:qFormat/>
    <w:uiPriority w:val="0"/>
  </w:style>
  <w:style w:type="character" w:styleId="31">
    <w:name w:val="Hyperlink"/>
    <w:autoRedefine/>
    <w:qFormat/>
    <w:uiPriority w:val="99"/>
    <w:rPr>
      <w:color w:val="136EC2"/>
      <w:u w:val="single"/>
    </w:rPr>
  </w:style>
  <w:style w:type="paragraph" w:customStyle="1" w:styleId="32">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3">
    <w:name w:val="Intense Quote"/>
    <w:basedOn w:val="1"/>
    <w:next w:val="1"/>
    <w:autoRedefine/>
    <w:qFormat/>
    <w:uiPriority w:val="0"/>
    <w:pPr>
      <w:wordWrap w:val="0"/>
      <w:spacing w:before="360" w:after="360" w:line="240" w:lineRule="auto"/>
      <w:ind w:left="950" w:right="950"/>
      <w:jc w:val="center"/>
    </w:pPr>
    <w:rPr>
      <w:rFonts w:ascii="Times New Roman" w:hAnsi="Times New Roman" w:eastAsia="宋体" w:cs="Times New Roman"/>
      <w:i/>
      <w:color w:val="auto"/>
      <w:sz w:val="21"/>
    </w:rPr>
  </w:style>
  <w:style w:type="paragraph" w:customStyle="1" w:styleId="34">
    <w:name w:val="Char Char Char Char"/>
    <w:basedOn w:val="35"/>
    <w:autoRedefine/>
    <w:qFormat/>
    <w:uiPriority w:val="0"/>
    <w:rPr>
      <w:szCs w:val="20"/>
    </w:rPr>
  </w:style>
  <w:style w:type="paragraph" w:customStyle="1" w:styleId="35">
    <w:name w:val="Normal_0"/>
    <w:next w:val="3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
    <w:name w:val="WPSOffice手动目录 1"/>
    <w:autoRedefine/>
    <w:qFormat/>
    <w:uiPriority w:val="0"/>
    <w:pPr>
      <w:ind w:leftChars="0"/>
    </w:pPr>
    <w:rPr>
      <w:rFonts w:ascii="Times New Roman" w:hAnsi="Times New Roman" w:eastAsia="宋体" w:cs="Times New Roman"/>
      <w:sz w:val="20"/>
      <w:szCs w:val="20"/>
    </w:rPr>
  </w:style>
  <w:style w:type="paragraph" w:customStyle="1" w:styleId="37">
    <w:name w:val="WPSOffice手动目录 2"/>
    <w:autoRedefine/>
    <w:qFormat/>
    <w:uiPriority w:val="0"/>
    <w:pPr>
      <w:ind w:leftChars="200"/>
    </w:pPr>
    <w:rPr>
      <w:rFonts w:ascii="Times New Roman" w:hAnsi="Times New Roman" w:eastAsia="宋体" w:cs="Times New Roman"/>
      <w:sz w:val="20"/>
      <w:szCs w:val="20"/>
    </w:rPr>
  </w:style>
  <w:style w:type="paragraph" w:customStyle="1" w:styleId="38">
    <w:name w:val="List Paragraph"/>
    <w:basedOn w:val="1"/>
    <w:autoRedefine/>
    <w:qFormat/>
    <w:uiPriority w:val="0"/>
    <w:pPr>
      <w:ind w:firstLine="420" w:firstLineChars="200"/>
    </w:pPr>
    <w:rPr>
      <w:rFonts w:ascii="Calibri" w:hAnsi="Calibri"/>
      <w:szCs w:val="22"/>
    </w:rPr>
  </w:style>
  <w:style w:type="paragraph" w:customStyle="1" w:styleId="39">
    <w:name w:val="Table Paragraph"/>
    <w:basedOn w:val="1"/>
    <w:autoRedefine/>
    <w:qFormat/>
    <w:uiPriority w:val="1"/>
  </w:style>
  <w:style w:type="paragraph" w:customStyle="1" w:styleId="40">
    <w:name w:val="正文/正文"/>
    <w:basedOn w:val="1"/>
    <w:autoRedefine/>
    <w:qFormat/>
    <w:uiPriority w:val="0"/>
    <w:pPr>
      <w:adjustRightInd/>
      <w:spacing w:before="120" w:beforeLines="50" w:after="120" w:afterLines="50" w:line="360" w:lineRule="auto"/>
      <w:ind w:firstLine="422" w:firstLineChars="200"/>
      <w:textAlignment w:val="auto"/>
    </w:pPr>
    <w:rPr>
      <w:rFonts w:ascii="Times New Roman" w:hAnsi="Times New Roman"/>
      <w:b/>
      <w:kern w:val="2"/>
      <w:szCs w:val="24"/>
    </w:rPr>
  </w:style>
  <w:style w:type="character" w:customStyle="1" w:styleId="41">
    <w:name w:val="标题 1 字符"/>
    <w:link w:val="2"/>
    <w:autoRedefine/>
    <w:qFormat/>
    <w:uiPriority w:val="0"/>
    <w:rPr>
      <w:rFonts w:ascii="Arial" w:hAnsi="Arial"/>
      <w:b/>
      <w:kern w:val="44"/>
      <w:sz w:val="36"/>
    </w:rPr>
  </w:style>
  <w:style w:type="paragraph" w:customStyle="1" w:styleId="42">
    <w:name w:val="表格文字2"/>
    <w:basedOn w:val="43"/>
    <w:autoRedefine/>
    <w:qFormat/>
    <w:uiPriority w:val="99"/>
    <w:pPr>
      <w:spacing w:before="25" w:after="25"/>
      <w:jc w:val="left"/>
    </w:pPr>
    <w:rPr>
      <w:bCs/>
      <w:spacing w:val="10"/>
      <w:kern w:val="0"/>
    </w:rPr>
  </w:style>
  <w:style w:type="paragraph" w:customStyle="1" w:styleId="43">
    <w:name w:val="Normal"/>
    <w:autoRedefine/>
    <w:qFormat/>
    <w:uiPriority w:val="0"/>
    <w:rPr>
      <w:rFonts w:ascii="Times New Roman" w:hAnsi="Times New Roman" w:eastAsia="Times New Roman" w:cs="Times New Roman"/>
      <w:sz w:val="24"/>
      <w:szCs w:val="24"/>
      <w:lang w:val="en-US" w:eastAsia="zh-CN" w:bidi="ar-SA"/>
    </w:rPr>
  </w:style>
  <w:style w:type="character" w:customStyle="1" w:styleId="44">
    <w:name w:val="标题 3 Char"/>
    <w:basedOn w:val="28"/>
    <w:link w:val="4"/>
    <w:autoRedefine/>
    <w:qFormat/>
    <w:uiPriority w:val="0"/>
    <w:rPr>
      <w:rFonts w:ascii="Arial" w:hAnsi="Arial"/>
      <w:b/>
      <w:sz w:val="30"/>
    </w:rPr>
  </w:style>
  <w:style w:type="character" w:customStyle="1" w:styleId="45">
    <w:name w:val="bookmark-item"/>
    <w:basedOn w:val="28"/>
    <w:autoRedefine/>
    <w:qFormat/>
    <w:uiPriority w:val="0"/>
  </w:style>
  <w:style w:type="paragraph" w:customStyle="1" w:styleId="46">
    <w:name w:val="Table Text"/>
    <w:basedOn w:val="1"/>
    <w:semiHidden/>
    <w:qFormat/>
    <w:uiPriority w:val="0"/>
    <w:rPr>
      <w:rFonts w:ascii="仿宋" w:hAnsi="仿宋" w:eastAsia="仿宋" w:cs="仿宋"/>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78</Pages>
  <Words>521</Words>
  <Characters>602</Characters>
  <Lines>0</Lines>
  <Paragraphs>0</Paragraphs>
  <TotalTime>14</TotalTime>
  <ScaleCrop>false</ScaleCrop>
  <LinksUpToDate>false</LinksUpToDate>
  <CharactersWithSpaces>747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Lee</cp:lastModifiedBy>
  <dcterms:modified xsi:type="dcterms:W3CDTF">2025-04-14T06:20:05Z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1F66942F5A184FC3B62B15BBD7D7AC85_13</vt:lpwstr>
  </property>
  <property fmtid="{D5CDD505-2E9C-101B-9397-08002B2CF9AE}" pid="6" name="KSOTemplateDocerSaveRecord">
    <vt:lpwstr>eyJoZGlkIjoiMjY0MzEyZjg3YTkyZGM0ZWYxOTQ4MzUwOTFmMDVhMzIiLCJ1c2VySWQiOiIzNjQxMzI1MDcifQ==</vt:lpwstr>
  </property>
</Properties>
</file>