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_GB2312"/>
          <w:color w:val="auto"/>
          <w:highlight w:val="none"/>
        </w:rPr>
      </w:pPr>
      <w:r>
        <w:rPr>
          <w:rFonts w:ascii="仿宋" w:hAnsi="仿宋" w:eastAsia="仿宋"/>
          <w:color w:val="auto"/>
          <w:highlight w:val="none"/>
        </w:rPr>
        <w:drawing>
          <wp:anchor distT="0" distB="0" distL="114300" distR="11430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pPr>
        <w:rPr>
          <w:rFonts w:ascii="仿宋" w:hAnsi="仿宋" w:eastAsia="仿宋" w:cs="仿宋_GB2312"/>
          <w:color w:val="auto"/>
          <w:highlight w:val="none"/>
        </w:rPr>
      </w:pPr>
    </w:p>
    <w:p>
      <w:pPr>
        <w:jc w:val="center"/>
        <w:rPr>
          <w:rFonts w:ascii="仿宋" w:hAnsi="仿宋" w:eastAsia="仿宋" w:cs="仿宋_GB2312"/>
          <w:color w:val="auto"/>
          <w:sz w:val="32"/>
          <w:szCs w:val="32"/>
          <w:highlight w:val="none"/>
        </w:rPr>
        <w:sectPr>
          <w:pgSz w:w="11906" w:h="16838"/>
          <w:pgMar w:top="1701" w:right="1474" w:bottom="1701" w:left="1587" w:header="0" w:footer="0" w:gutter="0"/>
          <w:cols w:space="0" w:num="1"/>
          <w:rtlGutter w:val="0"/>
          <w:docGrid w:linePitch="312" w:charSpace="0"/>
        </w:sectPr>
      </w:pPr>
      <w:r>
        <w:rPr>
          <w:rFonts w:ascii="仿宋" w:hAnsi="仿宋" w:eastAsia="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339090</wp:posOffset>
                </wp:positionV>
                <wp:extent cx="6859270" cy="1701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9270" cy="170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ascii="微软雅黑" w:hAnsi="微软雅黑" w:eastAsia="微软雅黑" w:cs="微软雅黑"/>
                                <w:b/>
                                <w:bCs/>
                                <w:color w:val="237085"/>
                                <w:sz w:val="36"/>
                                <w:szCs w:val="36"/>
                                <w:highlight w:val="none"/>
                                <w:lang w:val="en-US" w:eastAsia="zh-CN"/>
                              </w:rPr>
                            </w:pPr>
                            <w:r>
                              <w:rPr>
                                <w:rFonts w:hint="eastAsia" w:ascii="微软雅黑" w:hAnsi="微软雅黑" w:eastAsia="微软雅黑" w:cs="微软雅黑"/>
                                <w:b/>
                                <w:bCs/>
                                <w:color w:val="237085"/>
                                <w:sz w:val="36"/>
                                <w:szCs w:val="36"/>
                                <w:lang w:val="en-US" w:eastAsia="zh-CN"/>
                              </w:rPr>
                              <w:t>新疆维吾尔自治区第三人民医院肛肠科设备采购项目</w:t>
                            </w:r>
                          </w:p>
                          <w:p>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SJX-2024-423</w:t>
                            </w:r>
                            <w:r>
                              <w:rPr>
                                <w:rFonts w:hint="eastAsia" w:ascii="微软雅黑" w:hAnsi="微软雅黑" w:eastAsia="微软雅黑" w:cs="微软雅黑"/>
                                <w:b/>
                                <w:bCs/>
                                <w:color w:val="237085"/>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26.7pt;height:134pt;width:540.1pt;z-index:251660288;mso-width-relative:page;mso-height-relative:page;" filled="f" stroked="f" coordsize="21600,21600" o:gfxdata="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nIdFbcAAAACwEAAA8AAAAAAAAAAQAgAAAAIgAA&#10;AGRycy9kb3ducmV2LnhtbFBLAQIUABQAAAAIAIdO4kBVs5yAPQIAAGcEAAAOAAAAAAAAAAEAIAAA&#10;ACsBAABkcnMvZTJvRG9jLnhtbFBLBQYAAAAABgAGAFkBAADaBQAAAAA=&#10;">
                <v:fill on="f" focussize="0,0"/>
                <v:stroke on="f" weight="0.5pt"/>
                <v:imagedata o:title=""/>
                <o:lock v:ext="edit" aspectratio="f"/>
                <v:textbox>
                  <w:txbxContent>
                    <w:p>
                      <w:pPr>
                        <w:spacing w:line="360" w:lineRule="auto"/>
                        <w:jc w:val="center"/>
                        <w:rPr>
                          <w:rFonts w:hint="eastAsia" w:ascii="微软雅黑" w:hAnsi="微软雅黑" w:eastAsia="微软雅黑" w:cs="微软雅黑"/>
                          <w:b/>
                          <w:bCs/>
                          <w:color w:val="237085"/>
                          <w:sz w:val="36"/>
                          <w:szCs w:val="36"/>
                          <w:highlight w:val="none"/>
                          <w:lang w:val="en-US" w:eastAsia="zh-CN"/>
                        </w:rPr>
                      </w:pPr>
                      <w:r>
                        <w:rPr>
                          <w:rFonts w:hint="eastAsia" w:ascii="微软雅黑" w:hAnsi="微软雅黑" w:eastAsia="微软雅黑" w:cs="微软雅黑"/>
                          <w:b/>
                          <w:bCs/>
                          <w:color w:val="237085"/>
                          <w:sz w:val="36"/>
                          <w:szCs w:val="36"/>
                          <w:lang w:val="en-US" w:eastAsia="zh-CN"/>
                        </w:rPr>
                        <w:t>新疆维吾尔自治区第三人民医院肛肠科设备采购项目</w:t>
                      </w:r>
                    </w:p>
                    <w:p>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highlight w:val="none"/>
                          <w:lang w:eastAsia="zh-CN"/>
                        </w:rPr>
                        <w:t>SJX-2024-423</w:t>
                      </w:r>
                      <w:r>
                        <w:rPr>
                          <w:rFonts w:hint="eastAsia" w:ascii="微软雅黑" w:hAnsi="微软雅黑" w:eastAsia="微软雅黑" w:cs="微软雅黑"/>
                          <w:b/>
                          <w:bCs/>
                          <w:color w:val="237085"/>
                          <w:sz w:val="28"/>
                          <w:szCs w:val="28"/>
                        </w:rPr>
                        <w:t>）</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2336;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pPr>
                        <w:pStyle w:val="22"/>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新疆维吾尔自治区第三人民医院（盖章）</w:t>
                            </w:r>
                          </w:p>
                          <w:p>
                            <w:pPr>
                              <w:jc w:val="left"/>
                              <w:rPr>
                                <w:rFonts w:ascii="微软雅黑" w:hAnsi="微软雅黑" w:eastAsia="微软雅黑" w:cs="微软雅黑"/>
                                <w:b/>
                                <w:bCs/>
                                <w:color w:val="237085"/>
                                <w:sz w:val="32"/>
                                <w:szCs w:val="32"/>
                              </w:rPr>
                            </w:pPr>
                          </w:p>
                          <w:p>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pPr>
                              <w:jc w:val="center"/>
                              <w:rPr>
                                <w:rFonts w:ascii="微软雅黑" w:hAnsi="微软雅黑" w:eastAsia="微软雅黑" w:cs="微软雅黑"/>
                                <w:b/>
                                <w:bCs/>
                                <w:color w:val="237085"/>
                                <w:sz w:val="32"/>
                                <w:szCs w:val="32"/>
                              </w:rPr>
                            </w:pPr>
                          </w:p>
                          <w:p>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4</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9</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3360;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t>新疆维吾尔自治区第三人民医院（盖章）</w:t>
                      </w:r>
                    </w:p>
                    <w:p>
                      <w:pPr>
                        <w:jc w:val="left"/>
                        <w:rPr>
                          <w:rFonts w:ascii="微软雅黑" w:hAnsi="微软雅黑" w:eastAsia="微软雅黑" w:cs="微软雅黑"/>
                          <w:b/>
                          <w:bCs/>
                          <w:color w:val="237085"/>
                          <w:sz w:val="32"/>
                          <w:szCs w:val="32"/>
                        </w:rPr>
                      </w:pPr>
                    </w:p>
                    <w:p>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pPr>
                        <w:jc w:val="center"/>
                        <w:rPr>
                          <w:rFonts w:ascii="微软雅黑" w:hAnsi="微软雅黑" w:eastAsia="微软雅黑" w:cs="微软雅黑"/>
                          <w:b/>
                          <w:bCs/>
                          <w:color w:val="237085"/>
                          <w:sz w:val="32"/>
                          <w:szCs w:val="32"/>
                        </w:rPr>
                      </w:pPr>
                    </w:p>
                    <w:p>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4</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9</w:t>
                      </w:r>
                      <w:r>
                        <w:rPr>
                          <w:rFonts w:hint="eastAsia" w:ascii="微软雅黑" w:hAnsi="微软雅黑" w:eastAsia="微软雅黑" w:cs="微软雅黑"/>
                          <w:b/>
                          <w:bCs/>
                          <w:color w:val="237085"/>
                          <w:sz w:val="32"/>
                          <w:szCs w:val="32"/>
                        </w:rPr>
                        <w:t>月</w:t>
                      </w:r>
                    </w:p>
                  </w:txbxContent>
                </v:textbox>
              </v:shape>
            </w:pict>
          </mc:Fallback>
        </mc:AlternateContent>
      </w:r>
    </w:p>
    <w:p>
      <w:pPr>
        <w:jc w:val="center"/>
        <w:rPr>
          <w:rFonts w:ascii="仿宋" w:hAnsi="仿宋" w:eastAsia="仿宋" w:cs="仿宋_GB2312"/>
          <w:color w:val="auto"/>
          <w:sz w:val="32"/>
          <w:szCs w:val="32"/>
          <w:highlight w:val="none"/>
        </w:rPr>
      </w:pPr>
    </w:p>
    <w:tbl>
      <w:tblPr>
        <w:tblStyle w:val="23"/>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pPr>
              <w:rPr>
                <w:rFonts w:ascii="仿宋" w:hAnsi="仿宋" w:eastAsia="仿宋" w:cs="Arial"/>
                <w:b/>
                <w:bCs/>
                <w:color w:val="auto"/>
                <w:sz w:val="32"/>
                <w:szCs w:val="32"/>
                <w:highlight w:val="none"/>
              </w:rPr>
            </w:pPr>
            <w:r>
              <w:rPr>
                <w:rFonts w:hint="eastAsia" w:ascii="仿宋" w:hAnsi="仿宋" w:eastAsia="仿宋" w:cs="仿宋_GB2312"/>
                <w:color w:val="auto"/>
                <w:sz w:val="32"/>
                <w:szCs w:val="32"/>
                <w:highlight w:val="none"/>
              </w:rPr>
              <w:br w:type="page"/>
            </w:r>
          </w:p>
          <w:p>
            <w:pPr>
              <w:spacing w:line="360" w:lineRule="auto"/>
              <w:ind w:right="31" w:rightChars="15"/>
              <w:jc w:val="center"/>
              <w:rPr>
                <w:rFonts w:ascii="仿宋" w:hAnsi="仿宋" w:eastAsia="仿宋" w:cs="Arial"/>
                <w:b/>
                <w:bCs/>
                <w:color w:val="auto"/>
                <w:sz w:val="32"/>
                <w:szCs w:val="32"/>
                <w:highlight w:val="none"/>
              </w:rPr>
            </w:pPr>
          </w:p>
          <w:p>
            <w:pPr>
              <w:spacing w:line="360" w:lineRule="auto"/>
              <w:ind w:right="31" w:rightChars="15"/>
              <w:jc w:val="center"/>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招标文件确认表</w:t>
            </w:r>
          </w:p>
          <w:p>
            <w:pPr>
              <w:spacing w:line="360" w:lineRule="auto"/>
              <w:ind w:firstLine="720" w:firstLineChars="300"/>
              <w:rPr>
                <w:rFonts w:ascii="仿宋" w:hAnsi="仿宋" w:eastAsia="仿宋" w:cs="Arial"/>
                <w:color w:val="auto"/>
                <w:sz w:val="24"/>
                <w:highlight w:val="none"/>
              </w:rPr>
            </w:pPr>
          </w:p>
          <w:p>
            <w:pPr>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新疆世纪星工程咨询有限公司：</w:t>
            </w:r>
          </w:p>
          <w:p>
            <w:pPr>
              <w:spacing w:line="360" w:lineRule="auto"/>
              <w:ind w:firstLine="840" w:firstLineChars="300"/>
              <w:rPr>
                <w:rFonts w:ascii="仿宋" w:hAnsi="仿宋" w:eastAsia="仿宋" w:cs="Arial"/>
                <w:color w:val="auto"/>
                <w:sz w:val="28"/>
                <w:szCs w:val="28"/>
                <w:highlight w:val="none"/>
              </w:rPr>
            </w:pPr>
            <w:r>
              <w:rPr>
                <w:rFonts w:hint="eastAsia" w:ascii="仿宋" w:hAnsi="仿宋" w:eastAsia="仿宋" w:cs="Arial"/>
                <w:color w:val="auto"/>
                <w:sz w:val="28"/>
                <w:szCs w:val="28"/>
                <w:highlight w:val="none"/>
                <w:u w:val="single"/>
                <w:lang w:eastAsia="zh-CN"/>
              </w:rPr>
              <w:t>新疆维吾尔自治区第三人民医院肛肠科设备采购项目</w:t>
            </w:r>
            <w:r>
              <w:rPr>
                <w:rFonts w:hint="eastAsia" w:ascii="仿宋" w:hAnsi="仿宋" w:eastAsia="仿宋" w:cs="Arial"/>
                <w:color w:val="auto"/>
                <w:sz w:val="28"/>
                <w:szCs w:val="28"/>
                <w:highlight w:val="none"/>
                <w:u w:val="single"/>
              </w:rPr>
              <w:t>（项目编号：</w:t>
            </w:r>
            <w:r>
              <w:rPr>
                <w:rFonts w:hint="eastAsia" w:ascii="仿宋" w:hAnsi="仿宋" w:eastAsia="仿宋" w:cs="Arial"/>
                <w:color w:val="auto"/>
                <w:sz w:val="28"/>
                <w:szCs w:val="28"/>
                <w:highlight w:val="none"/>
                <w:u w:val="single"/>
                <w:lang w:eastAsia="zh-CN"/>
              </w:rPr>
              <w:t>SJX-2024-423</w:t>
            </w:r>
            <w:r>
              <w:rPr>
                <w:rFonts w:hint="eastAsia" w:ascii="仿宋" w:hAnsi="仿宋" w:eastAsia="仿宋" w:cs="Arial"/>
                <w:color w:val="auto"/>
                <w:sz w:val="28"/>
                <w:szCs w:val="28"/>
                <w:highlight w:val="none"/>
                <w:u w:val="single"/>
              </w:rPr>
              <w:t>）</w:t>
            </w:r>
            <w:r>
              <w:rPr>
                <w:rFonts w:hint="eastAsia" w:ascii="仿宋" w:hAnsi="仿宋" w:eastAsia="仿宋" w:cs="Arial"/>
                <w:color w:val="auto"/>
                <w:sz w:val="28"/>
                <w:szCs w:val="28"/>
                <w:highlight w:val="none"/>
              </w:rPr>
              <w:t>招标文件，经我单位审核符合我单位提出的招标要求，同意对外发布。</w:t>
            </w:r>
          </w:p>
          <w:p>
            <w:pPr>
              <w:spacing w:line="360" w:lineRule="auto"/>
              <w:rPr>
                <w:rFonts w:ascii="仿宋" w:hAnsi="仿宋" w:eastAsia="仿宋" w:cs="Arial"/>
                <w:color w:val="auto"/>
                <w:sz w:val="28"/>
                <w:szCs w:val="28"/>
                <w:highlight w:val="none"/>
              </w:rPr>
            </w:pPr>
          </w:p>
          <w:p>
            <w:pPr>
              <w:spacing w:line="360" w:lineRule="auto"/>
              <w:ind w:right="240"/>
              <w:rPr>
                <w:rFonts w:ascii="仿宋" w:hAnsi="仿宋" w:eastAsia="仿宋" w:cs="Arial"/>
                <w:color w:val="auto"/>
                <w:sz w:val="28"/>
                <w:szCs w:val="28"/>
                <w:highlight w:val="none"/>
              </w:rPr>
            </w:pPr>
          </w:p>
          <w:p>
            <w:pPr>
              <w:spacing w:line="360" w:lineRule="auto"/>
              <w:ind w:right="240"/>
              <w:rPr>
                <w:rFonts w:ascii="仿宋" w:hAnsi="仿宋" w:eastAsia="仿宋" w:cs="Arial"/>
                <w:color w:val="auto"/>
                <w:sz w:val="28"/>
                <w:szCs w:val="28"/>
                <w:highlight w:val="none"/>
              </w:rPr>
            </w:pPr>
          </w:p>
          <w:p>
            <w:pPr>
              <w:spacing w:line="360" w:lineRule="auto"/>
              <w:ind w:right="840"/>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rPr>
              <w:t xml:space="preserve">：  </w:t>
            </w:r>
          </w:p>
          <w:p>
            <w:pPr>
              <w:spacing w:line="360" w:lineRule="auto"/>
              <w:ind w:right="960"/>
              <w:rPr>
                <w:rFonts w:ascii="仿宋" w:hAnsi="仿宋" w:eastAsia="仿宋" w:cs="Times New Roman"/>
                <w:b/>
                <w:color w:val="auto"/>
                <w:sz w:val="40"/>
                <w:szCs w:val="32"/>
                <w:highlight w:val="none"/>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2024</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9</w:t>
            </w:r>
            <w:r>
              <w:rPr>
                <w:rFonts w:hint="eastAsia" w:ascii="仿宋" w:hAnsi="仿宋" w:eastAsia="仿宋" w:cs="Arial"/>
                <w:color w:val="auto"/>
                <w:sz w:val="28"/>
                <w:szCs w:val="28"/>
                <w:highlight w:val="none"/>
              </w:rPr>
              <w:t>月   日</w:t>
            </w:r>
          </w:p>
        </w:tc>
      </w:tr>
    </w:tbl>
    <w:p>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p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目  录</w:t>
      </w:r>
    </w:p>
    <w:sdt>
      <w:sdtPr>
        <w:rPr>
          <w:rFonts w:ascii="仿宋" w:hAnsi="仿宋" w:eastAsia="仿宋"/>
          <w:color w:val="auto"/>
          <w:highlight w:val="none"/>
        </w:rPr>
        <w:id w:val="147457632"/>
        <w15:color w:val="DBDBDB"/>
        <w:docPartObj>
          <w:docPartGallery w:val="Table of Contents"/>
          <w:docPartUnique/>
        </w:docPartObj>
      </w:sdtPr>
      <w:sdtEndPr>
        <w:rPr>
          <w:rFonts w:hint="eastAsia" w:ascii="仿宋" w:hAnsi="仿宋" w:eastAsia="仿宋" w:cs="仿宋_GB2312"/>
          <w:b/>
          <w:color w:val="auto"/>
          <w:szCs w:val="32"/>
          <w:highlight w:val="none"/>
        </w:rPr>
      </w:sdtEndPr>
      <w:sdtContent>
        <w:p>
          <w:pPr>
            <w:jc w:val="center"/>
            <w:rPr>
              <w:rFonts w:ascii="仿宋" w:hAnsi="仿宋" w:eastAsia="仿宋"/>
              <w:color w:val="auto"/>
              <w:highlight w:val="none"/>
            </w:rPr>
          </w:pPr>
        </w:p>
        <w:p>
          <w:pPr>
            <w:pStyle w:val="35"/>
            <w:tabs>
              <w:tab w:val="right" w:leader="dot" w:pos="8306"/>
            </w:tabs>
            <w:rPr>
              <w:rFonts w:ascii="仿宋" w:hAnsi="仿宋" w:eastAsia="仿宋"/>
              <w:b/>
              <w:color w:val="auto"/>
              <w:highlight w:val="none"/>
            </w:rPr>
          </w:pPr>
          <w:r>
            <w:rPr>
              <w:rFonts w:hint="eastAsia" w:ascii="仿宋" w:hAnsi="仿宋" w:eastAsia="仿宋" w:cs="仿宋_GB2312"/>
              <w:color w:val="auto"/>
              <w:sz w:val="32"/>
              <w:szCs w:val="32"/>
              <w:highlight w:val="none"/>
            </w:rPr>
            <w:fldChar w:fldCharType="begin"/>
          </w:r>
          <w:r>
            <w:rPr>
              <w:rFonts w:hint="eastAsia" w:ascii="仿宋" w:hAnsi="仿宋" w:eastAsia="仿宋" w:cs="仿宋_GB2312"/>
              <w:color w:val="auto"/>
              <w:sz w:val="32"/>
              <w:szCs w:val="32"/>
              <w:highlight w:val="none"/>
            </w:rPr>
            <w:instrText xml:space="preserve">TOC \o "1-2" \h \u </w:instrText>
          </w:r>
          <w:r>
            <w:rPr>
              <w:rFonts w:hint="eastAsia" w:ascii="仿宋" w:hAnsi="仿宋" w:eastAsia="仿宋" w:cs="仿宋_GB2312"/>
              <w:color w:val="auto"/>
              <w:sz w:val="32"/>
              <w:szCs w:val="32"/>
              <w:highlight w:val="none"/>
            </w:rPr>
            <w:fldChar w:fldCharType="separate"/>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"_Toc11868"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第一章 公开招标公告</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_Toc11868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4</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"_Toc31403"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第二章 投标须知前附表</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_Toc31403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7</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"_Toc27881"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 xml:space="preserve">第三章 </w:t>
          </w:r>
          <w:r>
            <w:rPr>
              <w:rFonts w:hint="eastAsia" w:ascii="仿宋" w:hAnsi="仿宋" w:eastAsia="仿宋" w:cs="仿宋_GB2312"/>
              <w:b/>
              <w:color w:val="auto"/>
              <w:sz w:val="28"/>
              <w:szCs w:val="28"/>
              <w:highlight w:val="none"/>
              <w:lang w:eastAsia="zh-CN"/>
            </w:rPr>
            <w:t>投标人</w:t>
          </w:r>
          <w:r>
            <w:rPr>
              <w:rFonts w:hint="eastAsia" w:ascii="仿宋" w:hAnsi="仿宋" w:eastAsia="仿宋" w:cs="仿宋_GB2312"/>
              <w:b/>
              <w:color w:val="auto"/>
              <w:sz w:val="28"/>
              <w:szCs w:val="28"/>
              <w:highlight w:val="none"/>
            </w:rPr>
            <w:t>须知</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_Toc27881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13</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"_Toc22543"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第四章 政府采购合同</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_Toc22543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30</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"_Toc20159"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第五章 采购需求</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_Toc20159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37</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"_Toc21893"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第六章 评标程序、评标方法和评标标准</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_Toc21893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38</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_GB2312"/>
              <w:b/>
              <w:color w:val="auto"/>
              <w:sz w:val="24"/>
              <w:szCs w:val="24"/>
              <w:highlight w:val="none"/>
            </w:rPr>
          </w:pPr>
          <w:r>
            <w:rPr>
              <w:color w:val="auto"/>
              <w:sz w:val="28"/>
              <w:szCs w:val="28"/>
              <w:highlight w:val="none"/>
            </w:rPr>
            <w:fldChar w:fldCharType="begin"/>
          </w:r>
          <w:r>
            <w:rPr>
              <w:color w:val="auto"/>
              <w:sz w:val="28"/>
              <w:szCs w:val="28"/>
              <w:highlight w:val="none"/>
            </w:rPr>
            <w:instrText xml:space="preserve"> HYPERLINK \l "_Toc31337" </w:instrText>
          </w:r>
          <w:r>
            <w:rPr>
              <w:color w:val="auto"/>
              <w:sz w:val="28"/>
              <w:szCs w:val="28"/>
              <w:highlight w:val="none"/>
            </w:rPr>
            <w:fldChar w:fldCharType="separate"/>
          </w:r>
          <w:r>
            <w:rPr>
              <w:rFonts w:hint="eastAsia" w:ascii="仿宋" w:hAnsi="仿宋" w:eastAsia="仿宋" w:cs="仿宋_GB2312"/>
              <w:b/>
              <w:color w:val="auto"/>
              <w:sz w:val="28"/>
              <w:szCs w:val="28"/>
              <w:highlight w:val="none"/>
            </w:rPr>
            <w:t>第七章 投标文件格式</w:t>
          </w:r>
          <w:r>
            <w:rPr>
              <w:rFonts w:hint="eastAsia" w:ascii="仿宋" w:hAnsi="仿宋" w:eastAsia="仿宋" w:cs="仿宋_GB2312"/>
              <w:b/>
              <w:color w:val="auto"/>
              <w:sz w:val="28"/>
              <w:szCs w:val="28"/>
              <w:highlight w:val="none"/>
            </w:rPr>
            <w:tab/>
          </w:r>
          <w:r>
            <w:rPr>
              <w:rFonts w:hint="eastAsia" w:ascii="仿宋" w:hAnsi="仿宋" w:eastAsia="仿宋" w:cs="仿宋_GB2312"/>
              <w:b/>
              <w:color w:val="auto"/>
              <w:sz w:val="28"/>
              <w:szCs w:val="28"/>
              <w:highlight w:val="none"/>
            </w:rPr>
            <w:fldChar w:fldCharType="begin"/>
          </w:r>
          <w:r>
            <w:rPr>
              <w:rFonts w:hint="eastAsia" w:ascii="仿宋" w:hAnsi="仿宋" w:eastAsia="仿宋" w:cs="仿宋_GB2312"/>
              <w:b/>
              <w:color w:val="auto"/>
              <w:sz w:val="28"/>
              <w:szCs w:val="28"/>
              <w:highlight w:val="none"/>
            </w:rPr>
            <w:instrText xml:space="preserve"> PAGEREF _Toc31337 \h </w:instrText>
          </w:r>
          <w:r>
            <w:rPr>
              <w:rFonts w:hint="eastAsia" w:ascii="仿宋" w:hAnsi="仿宋" w:eastAsia="仿宋" w:cs="仿宋_GB2312"/>
              <w:b/>
              <w:color w:val="auto"/>
              <w:sz w:val="28"/>
              <w:szCs w:val="28"/>
              <w:highlight w:val="none"/>
            </w:rPr>
            <w:fldChar w:fldCharType="separate"/>
          </w:r>
          <w:r>
            <w:rPr>
              <w:rFonts w:hint="eastAsia" w:ascii="仿宋" w:hAnsi="仿宋" w:eastAsia="仿宋" w:cs="仿宋_GB2312"/>
              <w:b/>
              <w:color w:val="auto"/>
              <w:sz w:val="28"/>
              <w:szCs w:val="28"/>
              <w:highlight w:val="none"/>
            </w:rPr>
            <w:t>51</w:t>
          </w:r>
          <w:r>
            <w:rPr>
              <w:rFonts w:hint="eastAsia" w:ascii="仿宋" w:hAnsi="仿宋" w:eastAsia="仿宋" w:cs="仿宋_GB2312"/>
              <w:b/>
              <w:color w:val="auto"/>
              <w:sz w:val="28"/>
              <w:szCs w:val="28"/>
              <w:highlight w:val="none"/>
            </w:rPr>
            <w:fldChar w:fldCharType="end"/>
          </w:r>
          <w:r>
            <w:rPr>
              <w:rFonts w:hint="eastAsia" w:ascii="仿宋" w:hAnsi="仿宋" w:eastAsia="仿宋" w:cs="仿宋_GB2312"/>
              <w:b/>
              <w:color w:val="auto"/>
              <w:sz w:val="28"/>
              <w:szCs w:val="28"/>
              <w:highlight w:val="none"/>
            </w:rPr>
            <w:fldChar w:fldCharType="end"/>
          </w:r>
        </w:p>
        <w:p>
          <w:pPr>
            <w:pStyle w:val="36"/>
            <w:tabs>
              <w:tab w:val="right" w:leader="dot" w:pos="8306"/>
            </w:tabs>
            <w:ind w:left="420"/>
            <w:rPr>
              <w:rFonts w:ascii="仿宋" w:hAnsi="仿宋" w:eastAsia="仿宋"/>
              <w:color w:val="auto"/>
              <w:highlight w:val="none"/>
            </w:rPr>
          </w:pPr>
        </w:p>
        <w:p>
          <w:pPr>
            <w:rPr>
              <w:rFonts w:ascii="仿宋" w:hAnsi="仿宋" w:eastAsia="仿宋" w:cs="仿宋_GB2312"/>
              <w:color w:val="auto"/>
              <w:sz w:val="32"/>
              <w:szCs w:val="32"/>
              <w:highlight w:val="none"/>
            </w:rPr>
          </w:pPr>
          <w:r>
            <w:rPr>
              <w:rFonts w:hint="eastAsia" w:ascii="仿宋" w:hAnsi="仿宋" w:eastAsia="仿宋" w:cs="仿宋_GB2312"/>
              <w:b/>
              <w:color w:val="auto"/>
              <w:szCs w:val="32"/>
              <w:highlight w:val="none"/>
            </w:rPr>
            <w:fldChar w:fldCharType="end"/>
          </w:r>
        </w:p>
      </w:sdtContent>
    </w:sdt>
    <w:p>
      <w:pPr>
        <w:pStyle w:val="2"/>
        <w:numPr>
          <w:ilvl w:val="0"/>
          <w:numId w:val="1"/>
        </w:numPr>
        <w:jc w:val="center"/>
        <w:rPr>
          <w:rFonts w:ascii="仿宋" w:hAnsi="仿宋" w:eastAsia="仿宋" w:cs="仿宋_GB2312"/>
          <w:color w:val="auto"/>
          <w:sz w:val="32"/>
          <w:szCs w:val="32"/>
          <w:highlight w:val="none"/>
        </w:rPr>
        <w:sectPr>
          <w:headerReference r:id="rId3" w:type="default"/>
          <w:footerReference r:id="rId4" w:type="default"/>
          <w:pgSz w:w="11906" w:h="16838"/>
          <w:pgMar w:top="1701" w:right="1474" w:bottom="1701" w:left="1587" w:header="0" w:footer="0" w:gutter="0"/>
          <w:cols w:space="0" w:num="1"/>
          <w:rtlGutter w:val="0"/>
          <w:docGrid w:linePitch="312" w:charSpace="0"/>
        </w:sectPr>
      </w:pPr>
      <w:bookmarkStart w:id="0" w:name="_Toc11868"/>
    </w:p>
    <w:p>
      <w:pPr>
        <w:pStyle w:val="2"/>
        <w:numPr>
          <w:ilvl w:val="0"/>
          <w:numId w:val="1"/>
        </w:num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公开招标公告</w:t>
      </w:r>
      <w:bookmarkEnd w:id="0"/>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ascii="仿宋" w:hAnsi="仿宋" w:eastAsia="仿宋" w:cs="仿宋_GB2312"/>
          <w:color w:val="auto"/>
          <w:sz w:val="32"/>
          <w:szCs w:val="32"/>
          <w:highlight w:val="none"/>
        </w:rPr>
      </w:pPr>
      <w:r>
        <w:rPr>
          <w:rFonts w:hint="eastAsia" w:ascii="仿宋" w:hAnsi="仿宋" w:eastAsia="仿宋" w:cs="微软雅黑"/>
          <w:color w:val="auto"/>
          <w:sz w:val="24"/>
          <w:highlight w:val="none"/>
          <w:lang w:eastAsia="zh-CN"/>
        </w:rPr>
        <w:t>新疆维吾尔自治区第三人民医院肛肠科设备采购项目</w:t>
      </w:r>
      <w:r>
        <w:rPr>
          <w:rFonts w:hint="eastAsia" w:ascii="仿宋" w:hAnsi="仿宋" w:eastAsia="仿宋" w:cs="仿宋"/>
          <w:i w:val="0"/>
          <w:iCs w:val="0"/>
          <w:caps w:val="0"/>
          <w:color w:val="auto"/>
          <w:spacing w:val="0"/>
          <w:sz w:val="24"/>
          <w:szCs w:val="24"/>
          <w:highlight w:val="none"/>
        </w:rPr>
        <w:t>招标项目的潜在投标人应在政采云平台http://www.zcygov.cn/获取招标文件，并于</w:t>
      </w:r>
      <w:r>
        <w:rPr>
          <w:rFonts w:hint="eastAsia" w:ascii="仿宋" w:hAnsi="仿宋" w:eastAsia="仿宋" w:cs="仿宋"/>
          <w:color w:val="auto"/>
          <w:sz w:val="24"/>
          <w:szCs w:val="24"/>
          <w:highlight w:val="none"/>
          <w:lang w:eastAsia="zh-CN"/>
        </w:rPr>
        <w:t>2024年10月9日</w:t>
      </w: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11:00</w:t>
      </w:r>
      <w:r>
        <w:rPr>
          <w:rFonts w:hint="eastAsia" w:ascii="仿宋" w:hAnsi="仿宋" w:eastAsia="仿宋" w:cs="仿宋"/>
          <w:i w:val="0"/>
          <w:iCs w:val="0"/>
          <w:caps w:val="0"/>
          <w:color w:val="auto"/>
          <w:spacing w:val="0"/>
          <w:sz w:val="24"/>
          <w:szCs w:val="24"/>
          <w:highlight w:val="none"/>
        </w:rPr>
        <w:t>（北京时间）前递交投标文件。</w:t>
      </w:r>
    </w:p>
    <w:p>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1" w:name="_Toc21739"/>
      <w:r>
        <w:rPr>
          <w:rFonts w:hint="eastAsia" w:ascii="仿宋" w:hAnsi="仿宋" w:eastAsia="仿宋" w:cs="仿宋_GB2312"/>
          <w:b/>
          <w:bCs/>
          <w:color w:val="auto"/>
          <w:sz w:val="24"/>
          <w:highlight w:val="none"/>
        </w:rPr>
        <w:t>一、项目基本情况</w:t>
      </w:r>
      <w:bookmarkEnd w:id="1"/>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___WRD_EMBED_SUB_41"/>
          <w:color w:val="auto"/>
          <w:sz w:val="24"/>
          <w:highlight w:val="none"/>
          <w:lang w:eastAsia="zh-CN"/>
        </w:rPr>
      </w:pPr>
      <w:r>
        <w:rPr>
          <w:rFonts w:hint="eastAsia" w:ascii="仿宋" w:hAnsi="仿宋" w:eastAsia="仿宋" w:cs="___WRD_EMBED_SUB_41"/>
          <w:color w:val="auto"/>
          <w:sz w:val="24"/>
          <w:highlight w:val="none"/>
        </w:rPr>
        <w:t>项目编号：</w:t>
      </w:r>
      <w:r>
        <w:rPr>
          <w:rFonts w:hint="eastAsia" w:ascii="仿宋" w:hAnsi="仿宋" w:eastAsia="仿宋" w:cs="___WRD_EMBED_SUB_41"/>
          <w:color w:val="auto"/>
          <w:sz w:val="24"/>
          <w:highlight w:val="none"/>
          <w:lang w:eastAsia="zh-CN"/>
        </w:rPr>
        <w:t>SJX-2024-423</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s="微软雅黑"/>
          <w:color w:val="auto"/>
          <w:sz w:val="24"/>
          <w:highlight w:val="none"/>
          <w:lang w:eastAsia="zh-CN"/>
        </w:rPr>
        <w:t>新疆维吾尔自治区第三人民医院肛肠科设备采购项目</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采购方式：公开招标</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148000元</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rPr>
        <w:t>最高限价（元）：</w:t>
      </w:r>
      <w:r>
        <w:rPr>
          <w:rFonts w:hint="eastAsia" w:ascii="仿宋" w:hAnsi="仿宋" w:eastAsia="仿宋" w:cs="仿宋_GB2312"/>
          <w:color w:val="auto"/>
          <w:sz w:val="24"/>
          <w:highlight w:val="none"/>
          <w:lang w:val="en-US" w:eastAsia="zh-CN"/>
        </w:rPr>
        <w:t>148000元</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采购需求：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_GB2312"/>
          <w:b/>
          <w:bCs/>
          <w:color w:val="auto"/>
          <w:sz w:val="24"/>
          <w:highlight w:val="none"/>
        </w:rPr>
      </w:pPr>
      <w:r>
        <w:rPr>
          <w:rFonts w:hint="eastAsia" w:ascii="仿宋" w:hAnsi="仿宋" w:eastAsia="仿宋" w:cs="仿宋"/>
          <w:b/>
          <w:bCs/>
          <w:color w:val="auto"/>
          <w:sz w:val="24"/>
          <w:szCs w:val="24"/>
          <w:highlight w:val="none"/>
          <w:lang w:val="en-US" w:eastAsia="zh-CN"/>
        </w:rPr>
        <w:t>标项1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微软雅黑"/>
          <w:color w:val="auto"/>
          <w:sz w:val="24"/>
          <w:highlight w:val="none"/>
          <w:lang w:val="en-US" w:eastAsia="zh-CN"/>
        </w:rPr>
      </w:pPr>
      <w:r>
        <w:rPr>
          <w:rFonts w:hint="eastAsia" w:ascii="仿宋" w:hAnsi="仿宋" w:eastAsia="仿宋" w:cs="仿宋_GB2312"/>
          <w:color w:val="auto"/>
          <w:sz w:val="24"/>
          <w:highlight w:val="none"/>
        </w:rPr>
        <w:t>标项名称:</w:t>
      </w:r>
      <w:r>
        <w:rPr>
          <w:rFonts w:hint="eastAsia" w:ascii="仿宋" w:hAnsi="仿宋" w:eastAsia="仿宋" w:cs="微软雅黑"/>
          <w:color w:val="auto"/>
          <w:sz w:val="24"/>
          <w:highlight w:val="none"/>
        </w:rPr>
        <w:t xml:space="preserve"> </w:t>
      </w:r>
      <w:r>
        <w:rPr>
          <w:rFonts w:hint="eastAsia" w:ascii="仿宋" w:hAnsi="仿宋" w:eastAsia="仿宋" w:cs="微软雅黑"/>
          <w:color w:val="auto"/>
          <w:sz w:val="24"/>
          <w:highlight w:val="none"/>
          <w:lang w:val="en-US" w:eastAsia="zh-CN"/>
        </w:rPr>
        <w:t xml:space="preserve"> </w:t>
      </w:r>
      <w:r>
        <w:rPr>
          <w:rFonts w:hint="eastAsia" w:ascii="仿宋" w:hAnsi="仿宋" w:eastAsia="仿宋" w:cs="微软雅黑"/>
          <w:color w:val="auto"/>
          <w:sz w:val="24"/>
          <w:highlight w:val="none"/>
          <w:lang w:eastAsia="zh-CN"/>
        </w:rPr>
        <w:t>新疆维吾尔自治区第三人民医院肛肠科设备采购项目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数量:</w:t>
      </w:r>
      <w:r>
        <w:rPr>
          <w:rFonts w:hint="eastAsia" w:ascii="仿宋" w:hAnsi="仿宋" w:eastAsia="仿宋" w:cs="仿宋_GB2312"/>
          <w:color w:val="auto"/>
          <w:sz w:val="24"/>
          <w:highlight w:val="none"/>
          <w:lang w:val="en-US" w:eastAsia="zh-CN"/>
        </w:rPr>
        <w:t>不限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148000元</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color w:val="auto"/>
          <w:sz w:val="24"/>
          <w:highlight w:val="none"/>
        </w:rPr>
        <w:t>简要规格描述或项目基本</w:t>
      </w:r>
      <w:r>
        <w:rPr>
          <w:rFonts w:hint="eastAsia" w:ascii="仿宋" w:hAnsi="仿宋" w:eastAsia="仿宋" w:cs="仿宋_GB2312"/>
          <w:color w:val="auto"/>
          <w:sz w:val="24"/>
          <w:highlight w:val="none"/>
          <w:lang w:eastAsia="zh-CN"/>
        </w:rPr>
        <w:t>概况介绍、用途：</w:t>
      </w:r>
      <w:r>
        <w:rPr>
          <w:rFonts w:hint="eastAsia" w:ascii="仿宋" w:hAnsi="仿宋" w:eastAsia="仿宋" w:cs="微软雅黑"/>
          <w:color w:val="auto"/>
          <w:sz w:val="24"/>
          <w:highlight w:val="none"/>
          <w:lang w:val="en-US" w:eastAsia="zh-CN"/>
        </w:rPr>
        <w:t>1台超声雾化熏洗仪、4台微波治疗机</w:t>
      </w:r>
      <w:r>
        <w:rPr>
          <w:rFonts w:hint="eastAsia" w:ascii="仿宋" w:hAnsi="仿宋" w:eastAsia="仿宋" w:cs="微软雅黑"/>
          <w:color w:val="auto"/>
          <w:sz w:val="24"/>
          <w:highlight w:val="none"/>
          <w:lang w:eastAsia="zh-CN"/>
        </w:rPr>
        <w:t>，</w:t>
      </w:r>
      <w:r>
        <w:rPr>
          <w:rFonts w:hint="eastAsia" w:ascii="仿宋" w:hAnsi="仿宋" w:eastAsia="仿宋" w:cs="仿宋_GB2312"/>
          <w:color w:val="auto"/>
          <w:sz w:val="24"/>
          <w:highlight w:val="none"/>
          <w:lang w:val="en-US" w:eastAsia="zh-CN"/>
        </w:rPr>
        <w:t>具体要求</w:t>
      </w:r>
      <w:r>
        <w:rPr>
          <w:rFonts w:hint="eastAsia" w:ascii="仿宋" w:hAnsi="仿宋" w:eastAsia="仿宋" w:cs="宋体"/>
          <w:color w:val="auto"/>
          <w:sz w:val="24"/>
          <w:highlight w:val="none"/>
        </w:rPr>
        <w:t>详见招标文件采购需求。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备注：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合同履约期限</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_GB2312"/>
          <w:color w:val="auto"/>
          <w:sz w:val="24"/>
          <w:highlight w:val="none"/>
        </w:rPr>
        <w:t>标项 1合同签订后</w:t>
      </w:r>
      <w:r>
        <w:rPr>
          <w:rFonts w:hint="eastAsia" w:ascii="仿宋" w:hAnsi="仿宋" w:eastAsia="仿宋" w:cs="仿宋_GB2312"/>
          <w:color w:val="auto"/>
          <w:sz w:val="24"/>
          <w:highlight w:val="none"/>
          <w:lang w:val="en-US" w:eastAsia="zh-CN"/>
        </w:rPr>
        <w:t>30日历日</w:t>
      </w:r>
      <w:r>
        <w:rPr>
          <w:rFonts w:hint="eastAsia" w:ascii="仿宋" w:hAnsi="仿宋" w:eastAsia="仿宋" w:cs="仿宋_GB2312"/>
          <w:color w:val="auto"/>
          <w:sz w:val="24"/>
          <w:highlight w:val="none"/>
        </w:rPr>
        <w:t>完成</w:t>
      </w:r>
      <w:r>
        <w:rPr>
          <w:rFonts w:hint="eastAsia" w:ascii="仿宋" w:hAnsi="仿宋" w:eastAsia="仿宋" w:cs="仿宋_GB2312"/>
          <w:color w:val="auto"/>
          <w:sz w:val="24"/>
          <w:highlight w:val="none"/>
          <w:lang w:val="en-US" w:eastAsia="zh-CN"/>
        </w:rPr>
        <w:t>供货、安装、调试、培训、验收</w:t>
      </w:r>
      <w:r>
        <w:rPr>
          <w:rFonts w:hint="eastAsia" w:ascii="仿宋" w:hAnsi="仿宋" w:eastAsia="仿宋" w:cs="仿宋"/>
          <w:color w:val="auto"/>
          <w:sz w:val="24"/>
          <w:szCs w:val="24"/>
          <w:highlight w:val="none"/>
        </w:rPr>
        <w:t>等工作。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仿宋" w:hAnsi="仿宋" w:eastAsia="仿宋" w:cs="仿宋_GB2312"/>
          <w:color w:val="auto"/>
          <w:sz w:val="24"/>
          <w:highlight w:val="none"/>
        </w:rPr>
        <w:t>本项目（否）接受联合体投标。</w:t>
      </w:r>
    </w:p>
    <w:p>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2" w:name="_Toc15364"/>
      <w:r>
        <w:rPr>
          <w:rFonts w:hint="eastAsia" w:ascii="仿宋" w:hAnsi="仿宋" w:eastAsia="仿宋" w:cs="仿宋_GB2312"/>
          <w:b/>
          <w:bCs/>
          <w:color w:val="auto"/>
          <w:sz w:val="24"/>
          <w:highlight w:val="none"/>
        </w:rPr>
        <w:t>二、申请人的资格要求：</w:t>
      </w:r>
      <w:bookmarkEnd w:id="2"/>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1.满足《中华人民共和国政府采购法》第二十二条规定；</w:t>
      </w:r>
    </w:p>
    <w:p>
      <w:pPr>
        <w:pStyle w:val="22"/>
        <w:keepNext w:val="0"/>
        <w:keepLines w:val="0"/>
        <w:pageBreakBefore w:val="0"/>
        <w:widowControl w:val="0"/>
        <w:kinsoku/>
        <w:wordWrap/>
        <w:overflowPunct/>
        <w:topLinePunct w:val="0"/>
        <w:bidi w:val="0"/>
        <w:adjustRightInd/>
        <w:snapToGrid/>
        <w:spacing w:after="0" w:line="500" w:lineRule="exact"/>
        <w:ind w:left="0" w:leftChars="0"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lang w:val="en-US" w:eastAsia="zh-CN"/>
        </w:rPr>
        <w:t>本项目</w:t>
      </w:r>
      <w:r>
        <w:rPr>
          <w:rFonts w:hint="eastAsia" w:ascii="仿宋" w:hAnsi="仿宋" w:eastAsia="仿宋" w:cs="仿宋_GB2312"/>
          <w:color w:val="auto"/>
          <w:sz w:val="24"/>
          <w:highlight w:val="none"/>
        </w:rPr>
        <w:t>标项 1</w:t>
      </w:r>
      <w:r>
        <w:rPr>
          <w:rFonts w:hint="eastAsia" w:ascii="仿宋" w:hAnsi="仿宋" w:eastAsia="仿宋" w:cs="仿宋"/>
          <w:b w:val="0"/>
          <w:bCs w:val="0"/>
          <w:color w:val="auto"/>
          <w:sz w:val="24"/>
          <w:szCs w:val="24"/>
          <w:highlight w:val="none"/>
          <w:lang w:val="en-US" w:eastAsia="zh-CN"/>
        </w:rPr>
        <w:t>专门面向小微企业（含小型、微型企业）采购，所投产品应为小微企业或监狱企业或残疾人福利性单位所生产。</w:t>
      </w:r>
    </w:p>
    <w:p>
      <w:pPr>
        <w:pStyle w:val="31"/>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lang w:val="en-US" w:eastAsia="zh-CN"/>
        </w:rPr>
      </w:pPr>
      <w:bookmarkStart w:id="3" w:name="_Toc29084"/>
      <w:r>
        <w:rPr>
          <w:rFonts w:hint="eastAsia" w:ascii="仿宋" w:hAnsi="仿宋" w:eastAsia="仿宋" w:cs="仿宋"/>
          <w:color w:val="auto"/>
          <w:sz w:val="24"/>
          <w:szCs w:val="24"/>
          <w:highlight w:val="none"/>
          <w:lang w:val="en-US" w:eastAsia="zh-CN"/>
        </w:rPr>
        <w:t>投标产品属于医疗器械的。若</w:t>
      </w:r>
      <w:r>
        <w:rPr>
          <w:rFonts w:hint="eastAsia" w:ascii="仿宋" w:hAnsi="仿宋" w:eastAsia="仿宋" w:cs="仿宋"/>
          <w:b/>
          <w:bCs w:val="0"/>
          <w:color w:val="auto"/>
          <w:sz w:val="24"/>
          <w:szCs w:val="24"/>
          <w:highlight w:val="none"/>
          <w:lang w:val="en-US" w:eastAsia="zh-CN"/>
        </w:rPr>
        <w:t>投标人为货物制造商，</w:t>
      </w:r>
      <w:r>
        <w:rPr>
          <w:rFonts w:hint="eastAsia" w:ascii="仿宋" w:hAnsi="仿宋" w:eastAsia="仿宋" w:cs="仿宋"/>
          <w:b w:val="0"/>
          <w:bCs/>
          <w:color w:val="auto"/>
          <w:sz w:val="24"/>
          <w:szCs w:val="24"/>
          <w:highlight w:val="none"/>
          <w:lang w:val="en-US" w:eastAsia="zh-CN"/>
        </w:rPr>
        <w:t>使用自身生产的产品投标时，所投产品属第一类医疗器械的应具有《医疗器械生产备案凭证》，属第二类、第三类医疗器械的应具有《医疗器械生产许可证》</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val="0"/>
          <w:color w:val="auto"/>
          <w:sz w:val="24"/>
          <w:szCs w:val="24"/>
          <w:highlight w:val="none"/>
          <w:lang w:val="en-US" w:eastAsia="zh-CN"/>
        </w:rPr>
        <w:t>若投标人为代理商</w:t>
      </w:r>
      <w:r>
        <w:rPr>
          <w:rFonts w:hint="eastAsia" w:ascii="仿宋" w:hAnsi="仿宋" w:eastAsia="仿宋" w:cs="仿宋"/>
          <w:color w:val="auto"/>
          <w:sz w:val="24"/>
          <w:szCs w:val="24"/>
          <w:highlight w:val="none"/>
          <w:lang w:val="en-US" w:eastAsia="zh-CN"/>
        </w:rPr>
        <w:t>所投产品属于第二类医疗器械的的须具有《医疗器械经营备案凭证》或《医疗器械经营许可证》；所投产品属于第三类医疗器械的的须具有《医疗器械经营许可证》。</w:t>
      </w:r>
    </w:p>
    <w:p>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三、获取招标文件</w:t>
      </w:r>
      <w:bookmarkEnd w:id="3"/>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时间：</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日至2024年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r>
        <w:rPr>
          <w:rFonts w:hint="eastAsia" w:ascii="仿宋" w:hAnsi="仿宋" w:eastAsia="仿宋" w:cs="仿宋_GB2312"/>
          <w:color w:val="auto"/>
          <w:sz w:val="24"/>
          <w:highlight w:val="none"/>
        </w:rPr>
        <w:t>，每天上午00:00至12:00，下午12:00至23:59（北京时间，法定节假日除外）</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_GB2312"/>
          <w:color w:val="auto"/>
          <w:sz w:val="24"/>
          <w:highlight w:val="none"/>
        </w:rPr>
        <w:t>地点：</w:t>
      </w:r>
      <w:r>
        <w:rPr>
          <w:rFonts w:hint="eastAsia" w:ascii="仿宋" w:hAnsi="仿宋" w:eastAsia="仿宋" w:cs="仿宋"/>
          <w:color w:val="auto"/>
          <w:sz w:val="24"/>
          <w:szCs w:val="24"/>
          <w:highlight w:val="none"/>
        </w:rPr>
        <w:t>政采云平台</w:t>
      </w:r>
      <w:r>
        <w:rPr>
          <w:rFonts w:hint="eastAsia" w:ascii="仿宋" w:hAnsi="仿宋" w:eastAsia="仿宋" w:cs="仿宋"/>
          <w:color w:val="auto"/>
          <w:sz w:val="24"/>
          <w:szCs w:val="24"/>
          <w:highlight w:val="none"/>
          <w:lang w:val="en-US" w:eastAsia="zh-CN"/>
        </w:rPr>
        <w:t>线上获取</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方式：</w:t>
      </w:r>
      <w:r>
        <w:rPr>
          <w:rFonts w:hint="eastAsia" w:ascii="仿宋" w:hAnsi="仿宋" w:eastAsia="仿宋" w:cs="仿宋_GB2312"/>
          <w:color w:val="auto"/>
          <w:sz w:val="24"/>
          <w:highlight w:val="none"/>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售价（元）：0元</w:t>
      </w:r>
    </w:p>
    <w:p>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4" w:name="_Toc24224"/>
      <w:r>
        <w:rPr>
          <w:rFonts w:hint="eastAsia" w:ascii="仿宋" w:hAnsi="仿宋" w:eastAsia="仿宋" w:cs="仿宋_GB2312"/>
          <w:b/>
          <w:bCs/>
          <w:color w:val="auto"/>
          <w:sz w:val="24"/>
          <w:highlight w:val="none"/>
        </w:rPr>
        <w:t>四、提交投标文件截止时间、开标时间和地点</w:t>
      </w:r>
      <w:bookmarkEnd w:id="4"/>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提交投标文件截止时间：</w:t>
      </w:r>
      <w:r>
        <w:rPr>
          <w:rFonts w:hint="eastAsia" w:ascii="仿宋" w:hAnsi="仿宋" w:eastAsia="仿宋" w:cs="仿宋_GB2312"/>
          <w:color w:val="auto"/>
          <w:sz w:val="24"/>
          <w:highlight w:val="none"/>
          <w:lang w:eastAsia="zh-CN"/>
        </w:rPr>
        <w:t>2024年10月9日11:00</w:t>
      </w:r>
      <w:r>
        <w:rPr>
          <w:rFonts w:hint="eastAsia" w:ascii="仿宋" w:hAnsi="仿宋" w:eastAsia="仿宋" w:cs="仿宋_GB2312"/>
          <w:color w:val="auto"/>
          <w:sz w:val="24"/>
          <w:highlight w:val="none"/>
        </w:rPr>
        <w:t>（北京时间）</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投标地点：政采云平台（https://www.zcygov.cn/），本项目采用不见面开标，加密的电子投标文件在投标截止时间前在政采云平台上传。</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highlight w:val="none"/>
          <w:lang w:eastAsia="zh-CN"/>
        </w:rPr>
        <w:t>2024年10月9日11:00</w:t>
      </w:r>
      <w:r>
        <w:rPr>
          <w:rFonts w:hint="eastAsia" w:ascii="仿宋" w:hAnsi="仿宋" w:eastAsia="仿宋" w:cs="仿宋_GB2312"/>
          <w:color w:val="auto"/>
          <w:sz w:val="24"/>
          <w:highlight w:val="none"/>
        </w:rPr>
        <w:t>（北京时间）</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开标地点：政采云平台（https://www.zcygov.cn/）不见面开标系统</w:t>
      </w:r>
    </w:p>
    <w:p>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5" w:name="_Toc17115"/>
      <w:r>
        <w:rPr>
          <w:rFonts w:hint="eastAsia" w:ascii="仿宋" w:hAnsi="仿宋" w:eastAsia="仿宋" w:cs="仿宋_GB2312"/>
          <w:b/>
          <w:bCs/>
          <w:color w:val="auto"/>
          <w:sz w:val="24"/>
          <w:highlight w:val="none"/>
        </w:rPr>
        <w:t>五、公告期限</w:t>
      </w:r>
      <w:bookmarkEnd w:id="5"/>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自本公告发布之日起5个工作日。</w:t>
      </w:r>
    </w:p>
    <w:p>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6" w:name="_Toc22084"/>
      <w:r>
        <w:rPr>
          <w:rFonts w:hint="eastAsia" w:ascii="仿宋" w:hAnsi="仿宋" w:eastAsia="仿宋" w:cs="仿宋_GB2312"/>
          <w:b/>
          <w:bCs/>
          <w:color w:val="auto"/>
          <w:sz w:val="24"/>
          <w:highlight w:val="none"/>
        </w:rPr>
        <w:t>六、其他补充事宜</w:t>
      </w:r>
      <w:bookmarkEnd w:id="6"/>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1、关于本项目所有公告、公示在新疆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兵团</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政府采购网发布。</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2、请投标单位随时关注本项目的澄清、答疑、变更事项。</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3、本项目实行电子招投标，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须登录政采云平台申请获取招标文件，并通过政采云电子投标客户端制作响应文件，同时自行承担与投标有关的一切费用。</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4、各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应在开标前确保成为</w:t>
      </w:r>
      <w:r>
        <w:rPr>
          <w:rFonts w:hint="eastAsia" w:ascii="仿宋" w:hAnsi="仿宋" w:eastAsia="仿宋" w:cs="仿宋_GB2312"/>
          <w:b w:val="0"/>
          <w:bCs w:val="0"/>
          <w:color w:val="auto"/>
          <w:sz w:val="24"/>
          <w:highlight w:val="none"/>
        </w:rPr>
        <w:t>新疆</w:t>
      </w:r>
      <w:r>
        <w:rPr>
          <w:rFonts w:hint="eastAsia" w:ascii="仿宋" w:hAnsi="仿宋" w:eastAsia="仿宋" w:cs="仿宋_GB2312"/>
          <w:b w:val="0"/>
          <w:bCs w:val="0"/>
          <w:color w:val="auto"/>
          <w:sz w:val="24"/>
          <w:highlight w:val="none"/>
          <w:lang w:eastAsia="zh-CN"/>
        </w:rPr>
        <w:t>（</w:t>
      </w:r>
      <w:r>
        <w:rPr>
          <w:rFonts w:hint="eastAsia" w:ascii="仿宋" w:hAnsi="仿宋" w:eastAsia="仿宋" w:cs="仿宋_GB2312"/>
          <w:b w:val="0"/>
          <w:bCs w:val="0"/>
          <w:color w:val="auto"/>
          <w:sz w:val="24"/>
          <w:highlight w:val="none"/>
          <w:lang w:val="en-US" w:eastAsia="zh-CN"/>
        </w:rPr>
        <w:t>兵团</w:t>
      </w:r>
      <w:r>
        <w:rPr>
          <w:rFonts w:hint="eastAsia" w:ascii="仿宋" w:hAnsi="仿宋" w:eastAsia="仿宋" w:cs="仿宋_GB2312"/>
          <w:b w:val="0"/>
          <w:bCs w:val="0"/>
          <w:color w:val="auto"/>
          <w:sz w:val="24"/>
          <w:highlight w:val="none"/>
          <w:lang w:eastAsia="zh-CN"/>
        </w:rPr>
        <w:t>）</w:t>
      </w:r>
      <w:r>
        <w:rPr>
          <w:rFonts w:hint="eastAsia" w:ascii="仿宋" w:hAnsi="仿宋" w:eastAsia="仿宋" w:cs="仿宋_GB2312"/>
          <w:b w:val="0"/>
          <w:bCs w:val="0"/>
          <w:color w:val="auto"/>
          <w:sz w:val="24"/>
          <w:highlight w:val="none"/>
        </w:rPr>
        <w:t>政府采购网</w:t>
      </w:r>
      <w:r>
        <w:rPr>
          <w:rFonts w:hint="eastAsia" w:ascii="仿宋" w:hAnsi="仿宋" w:eastAsia="仿宋" w:cs="仿宋_GB2312"/>
          <w:color w:val="auto"/>
          <w:sz w:val="24"/>
          <w:highlight w:val="none"/>
        </w:rPr>
        <w:t>正式注册入库</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，并完成CA数字证书申领。因未注册入库、未办理CA数字证书等原因造成无法投标或投标失败等后果由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5、有意向参与电子开评标的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，可访问新疆数字证书认证中心官方网站（https://www.xjca.com.cn/）或下载“新疆政务通”APP自行进行申领。如需咨询，请联系新疆CA服务热线0991-2819290。</w:t>
      </w:r>
    </w:p>
    <w:p>
      <w:pPr>
        <w:keepNext w:val="0"/>
        <w:keepLines w:val="0"/>
        <w:pageBreakBefore w:val="0"/>
        <w:kinsoku/>
        <w:wordWrap/>
        <w:overflowPunct/>
        <w:topLinePunct w:val="0"/>
        <w:autoSpaceDE/>
        <w:autoSpaceDN/>
        <w:bidi w:val="0"/>
        <w:adjustRightInd/>
        <w:snapToGrid/>
        <w:spacing w:line="440" w:lineRule="exact"/>
        <w:textAlignment w:val="auto"/>
        <w:outlineLvl w:val="1"/>
        <w:rPr>
          <w:rFonts w:ascii="仿宋" w:hAnsi="仿宋" w:eastAsia="仿宋" w:cs="仿宋_GB2312"/>
          <w:b/>
          <w:bCs/>
          <w:color w:val="auto"/>
          <w:sz w:val="24"/>
          <w:highlight w:val="none"/>
        </w:rPr>
      </w:pPr>
      <w:bookmarkStart w:id="7" w:name="_Toc21999"/>
      <w:r>
        <w:rPr>
          <w:rFonts w:hint="eastAsia" w:ascii="仿宋" w:hAnsi="仿宋" w:eastAsia="仿宋" w:cs="仿宋_GB2312"/>
          <w:b/>
          <w:bCs/>
          <w:color w:val="auto"/>
          <w:sz w:val="24"/>
          <w:highlight w:val="none"/>
        </w:rPr>
        <w:t>七、对本次采购提出询问，请按以下方式联系</w:t>
      </w:r>
      <w:bookmarkEnd w:id="7"/>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1.采购人信息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名 称：</w:t>
      </w:r>
      <w:r>
        <w:rPr>
          <w:rFonts w:hint="eastAsia" w:ascii="仿宋" w:hAnsi="仿宋" w:eastAsia="仿宋" w:cs="仿宋_GB2312"/>
          <w:color w:val="auto"/>
          <w:sz w:val="24"/>
          <w:highlight w:val="none"/>
          <w:lang w:eastAsia="zh-CN"/>
        </w:rPr>
        <w:t>新疆维吾尔自治区第三人民医院（新疆维吾尔自治区职业病防治院）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地 址：新疆维吾尔自治区乌鲁木齐市沙依巴克区南昌路9号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联系方式：0991-7523760 </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2.采购代理机构信息</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称：新疆世纪星工程咨询有限公司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地 址：乌鲁木齐经济技术开发区二期黄山街一品九点阳光德港大厦B座20楼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联系方式：13999295080</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3.项目联系方式</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项目联系人：</w:t>
      </w:r>
      <w:r>
        <w:rPr>
          <w:rFonts w:hint="eastAsia" w:ascii="仿宋" w:hAnsi="仿宋" w:eastAsia="仿宋" w:cs="仿宋_GB2312"/>
          <w:color w:val="auto"/>
          <w:sz w:val="24"/>
          <w:highlight w:val="none"/>
          <w:lang w:eastAsia="zh-CN"/>
        </w:rPr>
        <w:t>李航、訾王贝、范燕娥、杜萍</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电话：</w:t>
      </w:r>
      <w:r>
        <w:rPr>
          <w:rFonts w:hint="eastAsia" w:ascii="仿宋" w:hAnsi="仿宋" w:eastAsia="仿宋" w:cs="仿宋_GB2312"/>
          <w:color w:val="auto"/>
          <w:sz w:val="24"/>
          <w:highlight w:val="none"/>
          <w:lang w:eastAsia="zh-CN"/>
        </w:rPr>
        <w:t>13999295080</w:t>
      </w:r>
    </w:p>
    <w:p>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2"/>
        <w:numPr>
          <w:ilvl w:val="0"/>
          <w:numId w:val="1"/>
        </w:numPr>
        <w:jc w:val="center"/>
        <w:rPr>
          <w:rFonts w:ascii="仿宋" w:hAnsi="仿宋" w:eastAsia="仿宋" w:cs="仿宋_GB2312"/>
          <w:color w:val="auto"/>
          <w:sz w:val="32"/>
          <w:szCs w:val="32"/>
          <w:highlight w:val="none"/>
        </w:rPr>
      </w:pPr>
      <w:bookmarkStart w:id="8" w:name="_Toc31403"/>
      <w:r>
        <w:rPr>
          <w:rFonts w:hint="eastAsia" w:ascii="仿宋" w:hAnsi="仿宋" w:eastAsia="仿宋" w:cs="仿宋_GB2312"/>
          <w:color w:val="auto"/>
          <w:sz w:val="32"/>
          <w:szCs w:val="32"/>
          <w:highlight w:val="none"/>
        </w:rPr>
        <w:t>投标须知前附表</w:t>
      </w:r>
      <w:bookmarkEnd w:id="8"/>
    </w:p>
    <w:p>
      <w:pPr>
        <w:spacing w:line="500" w:lineRule="exact"/>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lang w:val="en-US" w:eastAsia="zh-CN"/>
        </w:rPr>
        <w:t>本表是本招标项目的具体资料，是对投标人须知的具体补充和修改，如有矛盾，均以本资</w:t>
      </w:r>
      <w:r>
        <w:rPr>
          <w:rFonts w:hint="default" w:ascii="仿宋" w:hAnsi="仿宋" w:eastAsia="仿宋" w:cs="仿宋_GB2312"/>
          <w:color w:val="auto"/>
          <w:sz w:val="24"/>
          <w:highlight w:val="none"/>
          <w:lang w:val="en-US" w:eastAsia="zh-CN"/>
        </w:rPr>
        <w:t>料表为准。标记“</w:t>
      </w:r>
      <w:r>
        <w:rPr>
          <w:rFonts w:ascii="仿宋" w:hAnsi="仿宋" w:eastAsia="仿宋" w:cs="仿宋_GB2312"/>
          <w:color w:val="auto"/>
          <w:sz w:val="24"/>
          <w:highlight w:val="none"/>
          <w:lang w:val="en-US" w:eastAsia="zh-CN"/>
        </w:rPr>
        <w:t>☑</w:t>
      </w:r>
      <w:r>
        <w:rPr>
          <w:rFonts w:hint="default" w:ascii="仿宋" w:hAnsi="仿宋" w:eastAsia="仿宋" w:cs="仿宋_GB2312"/>
          <w:color w:val="auto"/>
          <w:sz w:val="24"/>
          <w:highlight w:val="none"/>
          <w:lang w:val="en-US" w:eastAsia="zh-CN"/>
        </w:rPr>
        <w:t>”的选项意为适用于本项目，标记“□”的选项意为不适用于本项目。</w:t>
      </w:r>
    </w:p>
    <w:tbl>
      <w:tblPr>
        <w:tblStyle w:val="24"/>
        <w:tblW w:w="903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807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条款号</w:t>
            </w:r>
          </w:p>
        </w:tc>
        <w:tc>
          <w:tcPr>
            <w:tcW w:w="8074" w:type="dxa"/>
            <w:tcBorders>
              <w:tl2br w:val="nil"/>
              <w:tr2bl w:val="nil"/>
            </w:tcBorders>
          </w:tcPr>
          <w:p>
            <w:pPr>
              <w:spacing w:line="500" w:lineRule="exact"/>
              <w:jc w:val="center"/>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8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采购人：</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新疆维吾尔自治区第三人民医院（新疆维吾尔自治区职业病防治院）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  址：</w:t>
            </w:r>
            <w:r>
              <w:rPr>
                <w:rFonts w:hint="eastAsia" w:ascii="仿宋" w:hAnsi="仿宋" w:eastAsia="仿宋" w:cs="仿宋"/>
                <w:b w:val="0"/>
                <w:bCs w:val="0"/>
                <w:color w:val="auto"/>
                <w:kern w:val="0"/>
                <w:sz w:val="24"/>
                <w:szCs w:val="24"/>
                <w:highlight w:val="none"/>
                <w:u w:val="none"/>
                <w:vertAlign w:val="baseline"/>
                <w:lang w:val="en-US" w:eastAsia="zh-CN" w:bidi="ar"/>
              </w:rPr>
              <w:t>新疆维吾尔自治区乌鲁木齐市沙依巴克区南昌路9号</w:t>
            </w:r>
            <w:r>
              <w:rPr>
                <w:rFonts w:hint="eastAsia" w:ascii="仿宋" w:hAnsi="仿宋" w:eastAsia="仿宋" w:cs="仿宋"/>
                <w:color w:val="auto"/>
                <w:sz w:val="24"/>
                <w:szCs w:val="24"/>
                <w:highlight w:val="none"/>
                <w:vertAlign w:val="baseli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 xml:space="preserve">联系人：钟老师    </w:t>
            </w:r>
          </w:p>
          <w:p>
            <w:pPr>
              <w:spacing w:line="500" w:lineRule="exact"/>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联系电话：0991-7523760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8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联系人：李航、訾王贝、范燕娥、杜萍</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color w:val="auto"/>
                <w:kern w:val="0"/>
                <w:sz w:val="24"/>
                <w:szCs w:val="24"/>
                <w:highlight w:val="none"/>
                <w:u w:val="none"/>
                <w:vertAlign w:val="baseline"/>
                <w:lang w:val="en-US" w:eastAsia="zh-CN" w:bidi="ar"/>
              </w:rPr>
            </w:pPr>
            <w:r>
              <w:rPr>
                <w:rFonts w:hint="eastAsia" w:ascii="仿宋" w:hAnsi="仿宋" w:eastAsia="仿宋" w:cs="仿宋"/>
                <w:b w:val="0"/>
                <w:bCs w:val="0"/>
                <w:color w:val="auto"/>
                <w:kern w:val="0"/>
                <w:sz w:val="24"/>
                <w:szCs w:val="24"/>
                <w:highlight w:val="none"/>
                <w:u w:val="none"/>
                <w:vertAlign w:val="baseline"/>
                <w:lang w:val="en-US" w:eastAsia="zh-CN" w:bidi="ar"/>
              </w:rPr>
              <w:t>联系电话：13999295080</w:t>
            </w:r>
          </w:p>
          <w:p>
            <w:pPr>
              <w:spacing w:line="500" w:lineRule="exact"/>
              <w:rPr>
                <w:rFonts w:ascii="仿宋" w:hAnsi="仿宋" w:eastAsia="仿宋" w:cs="仿宋_GB2312"/>
                <w:color w:val="auto"/>
                <w:sz w:val="24"/>
                <w:highlight w:val="none"/>
              </w:rPr>
            </w:pPr>
            <w:r>
              <w:rPr>
                <w:rFonts w:hint="eastAsia" w:ascii="仿宋" w:hAnsi="仿宋" w:eastAsia="仿宋" w:cs="仿宋"/>
                <w:b w:val="0"/>
                <w:bCs w:val="0"/>
                <w:color w:val="auto"/>
                <w:kern w:val="0"/>
                <w:sz w:val="24"/>
                <w:szCs w:val="24"/>
                <w:highlight w:val="none"/>
                <w:u w:val="none"/>
                <w:vertAlign w:val="baseline"/>
                <w:lang w:val="en-US" w:eastAsia="zh-CN" w:bidi="ar"/>
              </w:rPr>
              <w:t>电子邮箱：1814019006@qq.com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1.3.3</w:t>
            </w:r>
          </w:p>
        </w:tc>
        <w:tc>
          <w:tcPr>
            <w:tcW w:w="8074" w:type="dxa"/>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合格</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的其他资格要求：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未被列入“信用中国”网站（ www.creditchina.gov.cn）信用记录失信被执行人、税收违法黑名单以及政府采购严重违法失信行为记录名单。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8074" w:type="dxa"/>
            <w:tcBorders>
              <w:tl2br w:val="nil"/>
              <w:tr2bl w:val="nil"/>
            </w:tcBorders>
            <w:vAlign w:val="center"/>
          </w:tcPr>
          <w:p>
            <w:pPr>
              <w:spacing w:line="500" w:lineRule="exact"/>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是否允许采购进口产品：</w:t>
            </w:r>
            <w:r>
              <w:rPr>
                <w:rFonts w:hint="eastAsia" w:ascii="仿宋" w:hAnsi="仿宋" w:eastAsia="仿宋" w:cs="仿宋_GB2312"/>
                <w:color w:val="auto"/>
                <w:sz w:val="24"/>
                <w:highlight w:val="none"/>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1.5.1</w:t>
            </w:r>
          </w:p>
        </w:tc>
        <w:tc>
          <w:tcPr>
            <w:tcW w:w="8074" w:type="dxa"/>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本项目采购标的对应的中小企业划分标准所属行业：工业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1.5.2</w:t>
            </w:r>
          </w:p>
        </w:tc>
        <w:tc>
          <w:tcPr>
            <w:tcW w:w="807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标项 非</w:t>
            </w:r>
            <w:r>
              <w:rPr>
                <w:rFonts w:hint="eastAsia" w:ascii="仿宋" w:hAnsi="仿宋" w:eastAsia="仿宋" w:cs="仿宋_GB2312"/>
                <w:color w:val="auto"/>
                <w:sz w:val="24"/>
                <w:highlight w:val="none"/>
              </w:rPr>
              <w:t>专门面向中小企业预留采购份额。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 xml:space="preserve">标项  </w:t>
            </w:r>
            <w:r>
              <w:rPr>
                <w:rFonts w:hint="eastAsia" w:ascii="仿宋" w:hAnsi="仿宋" w:eastAsia="仿宋" w:cs="仿宋_GB2312"/>
                <w:color w:val="auto"/>
                <w:sz w:val="24"/>
                <w:highlight w:val="none"/>
              </w:rPr>
              <w:t>专门面向中小</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含中型、小型、微型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或监狱企业或残疾人福利性单位承接。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w:t>
            </w:r>
            <w:r>
              <w:rPr>
                <w:rFonts w:hint="eastAsia" w:ascii="仿宋" w:hAnsi="仿宋" w:eastAsia="仿宋" w:cs="仿宋_GB2312"/>
                <w:color w:val="auto"/>
                <w:sz w:val="24"/>
                <w:highlight w:val="none"/>
                <w:lang w:val="en-US" w:eastAsia="zh-CN"/>
              </w:rPr>
              <w:t xml:space="preserve">标项1 </w:t>
            </w:r>
            <w:r>
              <w:rPr>
                <w:rFonts w:hint="eastAsia" w:ascii="仿宋" w:hAnsi="仿宋" w:eastAsia="仿宋" w:cs="仿宋_GB2312"/>
                <w:color w:val="auto"/>
                <w:sz w:val="24"/>
                <w:highlight w:val="none"/>
              </w:rPr>
              <w:t>专门面向</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含小型、微型</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 xml:space="preserve">企业采购。即: </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提供的货物全部由符合政策要求的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w:t>
            </w:r>
            <w:r>
              <w:rPr>
                <w:rFonts w:hint="eastAsia" w:ascii="仿宋" w:hAnsi="仿宋" w:eastAsia="仿宋" w:cs="仿宋_GB2312"/>
                <w:color w:val="auto"/>
                <w:sz w:val="24"/>
                <w:highlight w:val="none"/>
                <w:lang w:val="en-US" w:eastAsia="zh-CN"/>
              </w:rPr>
              <w:t>小微</w:t>
            </w:r>
            <w:r>
              <w:rPr>
                <w:rFonts w:hint="eastAsia" w:ascii="仿宋" w:hAnsi="仿宋" w:eastAsia="仿宋" w:cs="仿宋_GB2312"/>
                <w:color w:val="auto"/>
                <w:sz w:val="24"/>
                <w:highlight w:val="none"/>
              </w:rPr>
              <w:t>企业</w:t>
            </w:r>
            <w:r>
              <w:rPr>
                <w:rFonts w:hint="eastAsia" w:ascii="仿宋" w:hAnsi="仿宋" w:eastAsia="仿宋" w:cs="仿宋_GB2312"/>
                <w:color w:val="auto"/>
                <w:sz w:val="24"/>
                <w:highlight w:val="none"/>
                <w:lang w:val="en-US" w:eastAsia="zh-CN"/>
              </w:rPr>
              <w:t>或监狱企业或残疾人福利性单位承接。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本项目预留部分采购项目预算专门面向中小企业采购。对于预留份额，</w:t>
            </w:r>
            <w:r>
              <w:rPr>
                <w:rFonts w:hint="eastAsia" w:ascii="仿宋" w:hAnsi="仿宋" w:eastAsia="仿宋" w:cs="仿宋_GB2312"/>
                <w:color w:val="auto"/>
                <w:sz w:val="24"/>
                <w:highlight w:val="none"/>
                <w:lang w:val="en-US" w:eastAsia="zh-CN"/>
              </w:rPr>
              <w:t>【货物类项目】</w:t>
            </w:r>
            <w:r>
              <w:rPr>
                <w:rFonts w:hint="eastAsia" w:ascii="仿宋" w:hAnsi="仿宋" w:eastAsia="仿宋" w:cs="仿宋_GB2312"/>
                <w:color w:val="auto"/>
                <w:sz w:val="24"/>
                <w:highlight w:val="none"/>
              </w:rPr>
              <w:t>提供的货物由符合政策要求的中小企业</w:t>
            </w:r>
            <w:r>
              <w:rPr>
                <w:rFonts w:hint="eastAsia" w:ascii="仿宋" w:hAnsi="仿宋" w:eastAsia="仿宋" w:cs="仿宋"/>
                <w:b w:val="0"/>
                <w:bCs w:val="0"/>
                <w:color w:val="auto"/>
                <w:sz w:val="24"/>
                <w:szCs w:val="24"/>
                <w:highlight w:val="none"/>
                <w:lang w:val="en-US" w:eastAsia="zh-CN"/>
              </w:rPr>
              <w:t>或监狱企业或残疾人福利性单位所</w:t>
            </w:r>
            <w:r>
              <w:rPr>
                <w:rFonts w:hint="eastAsia" w:ascii="仿宋" w:hAnsi="仿宋" w:eastAsia="仿宋" w:cs="仿宋_GB2312"/>
                <w:color w:val="auto"/>
                <w:sz w:val="24"/>
                <w:highlight w:val="none"/>
              </w:rPr>
              <w:t>制造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服务</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工程类项目】</w:t>
            </w:r>
            <w:r>
              <w:rPr>
                <w:rFonts w:hint="eastAsia" w:ascii="仿宋" w:hAnsi="仿宋" w:eastAsia="仿宋" w:cs="仿宋_GB2312"/>
                <w:color w:val="auto"/>
                <w:sz w:val="24"/>
                <w:highlight w:val="none"/>
              </w:rPr>
              <w:t>服务(或工程) 由符合政策要求的中小企业</w:t>
            </w:r>
            <w:r>
              <w:rPr>
                <w:rFonts w:hint="eastAsia" w:ascii="仿宋" w:hAnsi="仿宋" w:eastAsia="仿宋" w:cs="仿宋_GB2312"/>
                <w:color w:val="auto"/>
                <w:sz w:val="24"/>
                <w:highlight w:val="none"/>
                <w:lang w:val="en-US" w:eastAsia="zh-CN"/>
              </w:rPr>
              <w:t>或监狱企业或残疾人福利性单位</w:t>
            </w:r>
            <w:r>
              <w:rPr>
                <w:rFonts w:hint="eastAsia" w:ascii="仿宋" w:hAnsi="仿宋" w:eastAsia="仿宋" w:cs="仿宋_GB2312"/>
                <w:color w:val="auto"/>
                <w:sz w:val="24"/>
                <w:highlight w:val="none"/>
              </w:rPr>
              <w:t>承接。预留份额通过以下措施进行</w:t>
            </w:r>
            <w:r>
              <w:rPr>
                <w:rFonts w:hint="eastAsia" w:ascii="仿宋" w:hAnsi="仿宋" w:eastAsia="仿宋" w:cs="仿宋_GB2312"/>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eastAsiaTheme="minorEastAsia"/>
                <w:color w:val="auto"/>
                <w:highlight w:val="none"/>
                <w:lang w:val="en-US" w:eastAsia="zh-CN"/>
              </w:rPr>
            </w:pPr>
            <w:r>
              <w:rPr>
                <w:rFonts w:hint="eastAsia" w:ascii="仿宋" w:hAnsi="仿宋" w:eastAsia="仿宋" w:cs="仿宋_GB2312"/>
                <w:color w:val="auto"/>
                <w:sz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1.10</w:t>
            </w:r>
          </w:p>
        </w:tc>
        <w:tc>
          <w:tcPr>
            <w:tcW w:w="8074" w:type="dxa"/>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是否允许联合体投标：否</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w:t>
            </w:r>
          </w:p>
        </w:tc>
        <w:tc>
          <w:tcPr>
            <w:tcW w:w="8074" w:type="dxa"/>
            <w:tcBorders>
              <w:tl2br w:val="nil"/>
              <w:tr2bl w:val="nil"/>
            </w:tcBorders>
            <w:vAlign w:val="center"/>
          </w:tcPr>
          <w:p>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项目预算金额：</w:t>
            </w:r>
            <w:r>
              <w:rPr>
                <w:rFonts w:hint="eastAsia" w:ascii="仿宋" w:hAnsi="仿宋" w:eastAsia="仿宋" w:cs="仿宋_GB2312"/>
                <w:color w:val="auto"/>
                <w:sz w:val="24"/>
                <w:highlight w:val="none"/>
                <w:lang w:val="en-US" w:eastAsia="zh-CN"/>
              </w:rPr>
              <w:t>148000元；其中标项1：148000元。</w:t>
            </w:r>
          </w:p>
          <w:p>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最高限价：</w:t>
            </w:r>
            <w:r>
              <w:rPr>
                <w:rFonts w:hint="eastAsia" w:ascii="仿宋" w:hAnsi="仿宋" w:eastAsia="仿宋" w:cs="仿宋_GB2312"/>
                <w:color w:val="auto"/>
                <w:sz w:val="24"/>
                <w:highlight w:val="none"/>
                <w:lang w:val="en-US" w:eastAsia="zh-CN"/>
              </w:rPr>
              <w:t>同采购预算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5.4</w:t>
            </w:r>
          </w:p>
        </w:tc>
        <w:tc>
          <w:tcPr>
            <w:tcW w:w="8074" w:type="dxa"/>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是否组织现场考察或者召开答疑会：否 </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组织现场考察或者召开答疑会相关要求：/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5.7 </w:t>
            </w:r>
          </w:p>
        </w:tc>
        <w:tc>
          <w:tcPr>
            <w:tcW w:w="8074" w:type="dxa"/>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是否需要提供样品：否 </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提供样品要求包括：/</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7.1 </w:t>
            </w:r>
          </w:p>
        </w:tc>
        <w:tc>
          <w:tcPr>
            <w:tcW w:w="80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☑本条</w:t>
            </w:r>
            <w:r>
              <w:rPr>
                <w:rFonts w:hint="eastAsia" w:ascii="仿宋" w:hAnsi="仿宋" w:eastAsia="仿宋" w:cs="仿宋"/>
                <w:color w:val="auto"/>
                <w:sz w:val="24"/>
                <w:szCs w:val="24"/>
                <w:highlight w:val="none"/>
                <w:vertAlign w:val="baseline"/>
                <w:lang w:val="en-US" w:eastAsia="zh-CN"/>
              </w:rPr>
              <w:t>本项目不适用。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
                <w:color w:val="auto"/>
                <w:sz w:val="24"/>
                <w:szCs w:val="24"/>
                <w:highlight w:val="none"/>
                <w:vertAlign w:val="baseline"/>
                <w:lang w:val="en-US" w:eastAsia="zh-CN"/>
              </w:rPr>
              <w:t>投标人对</w:t>
            </w:r>
            <w:r>
              <w:rPr>
                <w:rFonts w:hint="eastAsia" w:ascii="仿宋" w:hAnsi="仿宋" w:eastAsia="仿宋" w:cs="仿宋"/>
                <w:color w:val="auto"/>
                <w:sz w:val="24"/>
                <w:szCs w:val="24"/>
                <w:highlight w:val="none"/>
                <w:vertAlign w:val="baseline"/>
              </w:rPr>
              <w:t>本项目</w:t>
            </w:r>
            <w:r>
              <w:rPr>
                <w:rFonts w:hint="eastAsia" w:ascii="仿宋" w:hAnsi="仿宋" w:eastAsia="仿宋" w:cs="仿宋"/>
                <w:color w:val="auto"/>
                <w:sz w:val="24"/>
                <w:szCs w:val="24"/>
                <w:highlight w:val="none"/>
                <w:vertAlign w:val="baseline"/>
                <w:lang w:val="en-US" w:eastAsia="zh-CN"/>
              </w:rPr>
              <w:t>各</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可以兼投兼中。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可以对以上本项目第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包同时进行投标，但第</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包中一家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最多只能中1个包；评审按上述包号先后顺序进行，当一家</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已被推荐为前</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一包的排名第一的中标候选人后，该</w:t>
            </w:r>
            <w:r>
              <w:rPr>
                <w:rFonts w:hint="eastAsia" w:ascii="仿宋" w:hAnsi="仿宋" w:eastAsia="仿宋" w:cs="仿宋"/>
                <w:color w:val="auto"/>
                <w:sz w:val="24"/>
                <w:szCs w:val="24"/>
                <w:highlight w:val="none"/>
                <w:vertAlign w:val="baseline"/>
                <w:lang w:eastAsia="zh-CN"/>
              </w:rPr>
              <w:t>投标人</w:t>
            </w:r>
            <w:r>
              <w:rPr>
                <w:rFonts w:hint="eastAsia" w:ascii="仿宋" w:hAnsi="仿宋" w:eastAsia="仿宋" w:cs="仿宋"/>
                <w:color w:val="auto"/>
                <w:sz w:val="24"/>
                <w:szCs w:val="24"/>
                <w:highlight w:val="none"/>
                <w:vertAlign w:val="baseline"/>
              </w:rPr>
              <w:t>将不再被推荐为后</w:t>
            </w:r>
            <w:r>
              <w:rPr>
                <w:rFonts w:hint="eastAsia" w:ascii="仿宋" w:hAnsi="仿宋" w:eastAsia="仿宋" w:cs="仿宋"/>
                <w:color w:val="auto"/>
                <w:sz w:val="24"/>
                <w:szCs w:val="24"/>
                <w:highlight w:val="none"/>
                <w:vertAlign w:val="baseline"/>
                <w:lang w:val="en-US" w:eastAsia="zh-CN"/>
              </w:rPr>
              <w:t>任意</w:t>
            </w:r>
            <w:r>
              <w:rPr>
                <w:rFonts w:hint="eastAsia" w:ascii="仿宋" w:hAnsi="仿宋" w:eastAsia="仿宋" w:cs="仿宋"/>
                <w:color w:val="auto"/>
                <w:sz w:val="24"/>
                <w:szCs w:val="24"/>
                <w:highlight w:val="none"/>
                <w:vertAlign w:val="baseline"/>
              </w:rPr>
              <w:t>一包的中标人。但可以参加其余包的评审，以此类推。</w:t>
            </w:r>
            <w:r>
              <w:rPr>
                <w:rFonts w:hint="eastAsia" w:ascii="仿宋" w:hAnsi="仿宋" w:eastAsia="仿宋" w:cs="仿宋"/>
                <w:color w:val="auto"/>
                <w:sz w:val="24"/>
                <w:szCs w:val="24"/>
                <w:highlight w:val="none"/>
                <w:vertAlign w:val="baseline"/>
                <w:lang w:val="en-US" w:eastAsia="zh-CN"/>
              </w:rPr>
              <w:t>若出现无法避免同一供应商同时中2个及以上包的情况，则允许1个供应商可以中多个标项，且第一中标候选人为中标人。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8074" w:type="dxa"/>
            <w:tcBorders>
              <w:tl2br w:val="nil"/>
              <w:tr2bl w:val="nil"/>
            </w:tcBorders>
            <w:vAlign w:val="center"/>
          </w:tcPr>
          <w:p>
            <w:pPr>
              <w:spacing w:line="500" w:lineRule="exact"/>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_GB2312"/>
                <w:color w:val="auto"/>
                <w:sz w:val="24"/>
                <w:highlight w:val="none"/>
              </w:rPr>
              <w:t>保证金形式：支票、汇票、本票、网上银行支付或者金融机构、担保机构出具的保函等政府采购法律法规中要求的非现金形式</w:t>
            </w:r>
          </w:p>
          <w:p>
            <w:pPr>
              <w:spacing w:line="500" w:lineRule="exac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保证金数额：</w:t>
            </w:r>
            <w:r>
              <w:rPr>
                <w:rFonts w:hint="eastAsia" w:ascii="仿宋" w:hAnsi="仿宋" w:eastAsia="仿宋" w:cs="仿宋_GB2312"/>
                <w:color w:val="auto"/>
                <w:sz w:val="24"/>
                <w:highlight w:val="none"/>
                <w:lang w:val="en-US" w:eastAsia="zh-CN"/>
              </w:rPr>
              <w:t>标项1：2960元</w:t>
            </w:r>
          </w:p>
          <w:p>
            <w:pPr>
              <w:keepNext w:val="0"/>
              <w:keepLines w:val="0"/>
              <w:widowControl/>
              <w:suppressLineNumbers w:val="0"/>
              <w:jc w:val="left"/>
              <w:rPr>
                <w:b/>
                <w:bCs/>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一、</w:t>
            </w:r>
            <w:r>
              <w:rPr>
                <w:rFonts w:ascii="仿宋_GB2312" w:hAnsi="仿宋_GB2312" w:eastAsia="仿宋_GB2312" w:cs="仿宋_GB2312"/>
                <w:b/>
                <w:bCs/>
                <w:color w:val="auto"/>
                <w:kern w:val="0"/>
                <w:sz w:val="24"/>
                <w:szCs w:val="24"/>
                <w:highlight w:val="none"/>
                <w:lang w:val="en-US" w:eastAsia="zh-CN" w:bidi="ar"/>
              </w:rPr>
              <w:t>采用网上银行方式</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1、采购代理机构账号信息如下：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（提示：此账号为保证金账号，保证金不要转到23.1条规定</w:t>
            </w:r>
            <w:r>
              <w:rPr>
                <w:rFonts w:hint="eastAsia" w:ascii="仿宋" w:hAnsi="仿宋" w:eastAsia="仿宋" w:cs="仿宋"/>
                <w:b/>
                <w:bCs/>
                <w:color w:val="auto"/>
                <w:sz w:val="36"/>
                <w:szCs w:val="36"/>
                <w:highlight w:val="none"/>
                <w:lang w:val="en-US" w:eastAsia="zh-CN"/>
              </w:rPr>
              <w:t>服务费缴纳账号</w:t>
            </w:r>
            <w:r>
              <w:rPr>
                <w:rFonts w:hint="eastAsia" w:ascii="仿宋" w:hAnsi="仿宋" w:eastAsia="仿宋" w:cs="仿宋"/>
                <w:b/>
                <w:bCs/>
                <w:color w:val="auto"/>
                <w:sz w:val="36"/>
                <w:szCs w:val="36"/>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t>以电汇或银行转账形式缴纳保证金的投标人注意事项：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在汇款附言（或银行摘要）中，标明项目编号、</w:t>
            </w:r>
            <w:r>
              <w:rPr>
                <w:rFonts w:hint="eastAsia" w:ascii="仿宋" w:hAnsi="仿宋" w:eastAsia="仿宋" w:cs="仿宋"/>
                <w:color w:val="auto"/>
                <w:sz w:val="24"/>
                <w:szCs w:val="24"/>
                <w:highlight w:val="none"/>
                <w:vertAlign w:val="baseline"/>
                <w:lang w:val="en-US" w:eastAsia="zh-CN"/>
              </w:rPr>
              <w:t>包号</w:t>
            </w:r>
            <w:r>
              <w:rPr>
                <w:rFonts w:hint="eastAsia" w:ascii="仿宋" w:hAnsi="仿宋" w:eastAsia="仿宋" w:cs="仿宋"/>
                <w:color w:val="auto"/>
                <w:sz w:val="24"/>
                <w:szCs w:val="24"/>
                <w:highlight w:val="none"/>
                <w:vertAlign w:val="baseline"/>
              </w:rPr>
              <w:t>（如分包）。每个项目须按照分包分别提交投标保证金。</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(2)投标保证金必须以网银、电汇、银行柜台公对公等转账的形式由投标人的企业基本账户汇出(个体工商户除外) ，并开具银行汇款凭证。 </w:t>
            </w:r>
          </w:p>
          <w:p>
            <w:pPr>
              <w:keepNext w:val="0"/>
              <w:keepLines w:val="0"/>
              <w:widowControl/>
              <w:numPr>
                <w:ilvl w:val="0"/>
                <w:numId w:val="0"/>
              </w:numPr>
              <w:suppressLineNumbers w:val="0"/>
              <w:jc w:val="left"/>
              <w:rPr>
                <w:rFonts w:hint="eastAsia" w:ascii="仿宋" w:hAnsi="仿宋" w:eastAsia="仿宋" w:cs="仿宋"/>
                <w:color w:val="auto"/>
                <w:sz w:val="24"/>
                <w:szCs w:val="24"/>
                <w:highlight w:val="none"/>
                <w:vertAlign w:val="baseline"/>
              </w:rPr>
            </w:pPr>
            <w:r>
              <w:rPr>
                <w:rFonts w:hint="eastAsia" w:ascii="仿宋" w:hAnsi="仿宋" w:eastAsia="仿宋" w:cs="仿宋"/>
                <w:b/>
                <w:bCs/>
                <w:color w:val="auto"/>
                <w:kern w:val="2"/>
                <w:sz w:val="24"/>
                <w:szCs w:val="24"/>
                <w:highlight w:val="none"/>
                <w:vertAlign w:val="baseline"/>
                <w:lang w:val="en-US" w:eastAsia="zh-CN" w:bidi="ar-SA"/>
              </w:rPr>
              <w:t>二、</w:t>
            </w:r>
            <w:r>
              <w:rPr>
                <w:rFonts w:hint="eastAsia" w:ascii="仿宋" w:hAnsi="仿宋" w:eastAsia="仿宋" w:cs="仿宋"/>
                <w:b/>
                <w:bCs/>
                <w:color w:val="auto"/>
                <w:sz w:val="24"/>
                <w:szCs w:val="24"/>
                <w:highlight w:val="none"/>
                <w:vertAlign w:val="baseline"/>
              </w:rPr>
              <w:t>投标保函提交方式</w:t>
            </w:r>
            <w:r>
              <w:rPr>
                <w:rFonts w:hint="eastAsia" w:ascii="仿宋" w:hAnsi="仿宋" w:eastAsia="仿宋" w:cs="仿宋"/>
                <w:color w:val="auto"/>
                <w:sz w:val="24"/>
                <w:szCs w:val="24"/>
                <w:highlight w:val="none"/>
                <w:vertAlign w:val="baseline"/>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1、以金融机构、担保机构出具的纸质保函形式提交投标保证金的（除政采云平台金融服务中心办理的电子保函外），应在投标截止时间前将原件提交至采购代理机构，未提交原件的将按无效投标（响应）处理。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2、如 供 应 商 通 过 " 政 采 云 平 台 金 融 服 务 中 心"(https://jinrong.zcygov.cn/)，申请办理投标电子保函，开标时采购人或代理机构通过政采云平台保函系统进行查询，保函信息以查询结果为准，未查询到的电子保函评审时将按无效投标（响应）处理。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三、说明</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1、投标保证金到账（保函提交）截止时间同投标截止时间。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2、以支票、汇票、本票、网上银行支付等形式提交投标保证金的，应在投标截止时间前到账；</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hAnsi="仿宋" w:eastAsia="仿宋" w:cs="仿宋"/>
                <w:color w:val="auto"/>
                <w:sz w:val="24"/>
                <w:szCs w:val="24"/>
                <w:highlight w:val="none"/>
                <w:lang w:val="en-US" w:eastAsia="zh-CN"/>
              </w:rPr>
              <w:t xml:space="preserve">3、由于到账时间晚于投标截止时间的，或者票据错误、印鉴不清等原因导致不能到账的，其投标无效。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4、投标保证金（投标电子保函）有效期与投标有效期一致。</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r>
              <w:rPr>
                <w:rFonts w:hint="eastAsia" w:ascii="仿宋" w:hAnsi="仿宋" w:eastAsia="仿宋" w:cs="仿宋"/>
                <w:color w:val="auto"/>
                <w:sz w:val="24"/>
                <w:szCs w:val="24"/>
                <w:highlight w:val="none"/>
                <w:lang w:val="en-US" w:eastAsia="zh-CN"/>
              </w:rPr>
              <w:t>5、若本项目是废标项目重新组织招标，参加上次投标的供应商再次参与投标需重新缴纳投标保证金，否则按无效响应处理，上次投标的投标保证金在废标后原路退回。</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11.1</w:t>
            </w:r>
          </w:p>
        </w:tc>
        <w:tc>
          <w:tcPr>
            <w:tcW w:w="8074" w:type="dxa"/>
            <w:tcBorders>
              <w:tl2br w:val="nil"/>
              <w:tr2bl w:val="nil"/>
            </w:tcBorders>
            <w:vAlign w:val="center"/>
          </w:tcPr>
          <w:p>
            <w:pPr>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投标有效期：90 日历日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13.1</w:t>
            </w:r>
          </w:p>
        </w:tc>
        <w:tc>
          <w:tcPr>
            <w:tcW w:w="8074" w:type="dxa"/>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w:t>
            </w:r>
            <w:r>
              <w:rPr>
                <w:rFonts w:hint="eastAsia" w:ascii="仿宋" w:hAnsi="仿宋" w:eastAsia="仿宋" w:cs="仿宋_GB2312"/>
                <w:color w:val="auto"/>
                <w:sz w:val="24"/>
                <w:highlight w:val="none"/>
                <w:lang w:eastAsia="zh-CN"/>
              </w:rPr>
              <w:t>2024年10月9日11:00</w:t>
            </w:r>
            <w:r>
              <w:rPr>
                <w:rFonts w:hint="eastAsia" w:ascii="仿宋" w:hAnsi="仿宋" w:eastAsia="仿宋" w:cs="仿宋_GB2312"/>
                <w:color w:val="auto"/>
                <w:sz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14.1</w:t>
            </w:r>
          </w:p>
        </w:tc>
        <w:tc>
          <w:tcPr>
            <w:tcW w:w="8074" w:type="dxa"/>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开标时间：同投标截止时间 </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开标地点：政采云平台（https://www.zcygov.cn/）不见面开标系统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18.1</w:t>
            </w:r>
          </w:p>
        </w:tc>
        <w:tc>
          <w:tcPr>
            <w:tcW w:w="8074" w:type="dxa"/>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采购人是否委托评标委员会直接确定中标人：否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959" w:type="dxa"/>
            <w:tcBorders>
              <w:tl2br w:val="nil"/>
              <w:tr2bl w:val="nil"/>
            </w:tcBorders>
            <w:vAlign w:val="center"/>
          </w:tcPr>
          <w:p>
            <w:pPr>
              <w:spacing w:line="500" w:lineRule="exact"/>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21.4</w:t>
            </w:r>
          </w:p>
        </w:tc>
        <w:tc>
          <w:tcPr>
            <w:tcW w:w="8074" w:type="dxa"/>
            <w:tcBorders>
              <w:tl2br w:val="nil"/>
              <w:tr2bl w:val="nil"/>
            </w:tcBorders>
            <w:vAlign w:val="center"/>
          </w:tcPr>
          <w:p>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本项目是否允许分包： </w:t>
            </w:r>
          </w:p>
          <w:p>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☑不允许 </w:t>
            </w:r>
          </w:p>
          <w:p>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□允许，具体要求： </w:t>
            </w:r>
          </w:p>
          <w:p>
            <w:pPr>
              <w:spacing w:line="500" w:lineRule="exact"/>
              <w:rPr>
                <w:rFonts w:hint="eastAsia" w:ascii="仿宋" w:hAnsi="仿宋" w:eastAsia="仿宋" w:cs="仿宋_GB2312"/>
                <w:color w:val="auto"/>
                <w:sz w:val="24"/>
                <w:highlight w:val="none"/>
                <w:u w:val="single"/>
              </w:rPr>
            </w:pPr>
            <w:r>
              <w:rPr>
                <w:rFonts w:hint="eastAsia" w:ascii="仿宋" w:hAnsi="仿宋" w:eastAsia="仿宋" w:cs="仿宋_GB2312"/>
                <w:color w:val="auto"/>
                <w:sz w:val="24"/>
                <w:highlight w:val="none"/>
                <w:lang w:val="en-US" w:eastAsia="zh-CN"/>
              </w:rPr>
              <w:t>（1）可以分包履行的具体内容：</w:t>
            </w:r>
            <w:r>
              <w:rPr>
                <w:rFonts w:hint="eastAsia" w:ascii="仿宋" w:hAnsi="仿宋" w:eastAsia="仿宋" w:cs="仿宋_GB2312"/>
                <w:color w:val="auto"/>
                <w:sz w:val="24"/>
                <w:highlight w:val="none"/>
                <w:u w:val="single"/>
                <w:lang w:val="en-US" w:eastAsia="zh-CN"/>
              </w:rPr>
              <w:t xml:space="preserve">        </w:t>
            </w:r>
          </w:p>
          <w:p>
            <w:p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（2）允许分包的金额或者比例：</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 xml:space="preserve"> </w:t>
            </w:r>
          </w:p>
          <w:p>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（3）其他要求：</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22.1</w:t>
            </w:r>
          </w:p>
        </w:tc>
        <w:tc>
          <w:tcPr>
            <w:tcW w:w="8074" w:type="dxa"/>
            <w:tcBorders>
              <w:tl2br w:val="nil"/>
              <w:tr2bl w:val="nil"/>
            </w:tcBorders>
            <w:vAlign w:val="center"/>
          </w:tcPr>
          <w:p>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提交履约保证金的时间：/ </w:t>
            </w:r>
          </w:p>
          <w:p>
            <w:pPr>
              <w:spacing w:line="500" w:lineRule="exac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履约保证金金额：/</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履约保证金形式：/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pPr>
              <w:spacing w:line="5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23.1</w:t>
            </w:r>
          </w:p>
        </w:tc>
        <w:tc>
          <w:tcPr>
            <w:tcW w:w="80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1、是否由中标人缴纳招标代理费：是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招标代理费：□参照原国家计委计价格【2002】1980 号文的计算方法收取。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☑本项目招标代理费：4000元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 xml:space="preserve">支付形式：支票、电汇等形式 </w:t>
            </w:r>
          </w:p>
          <w:p>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3、支付时间：领取中标通知书的同时，由中标人向采购代理机构一次性支付全部招标代理服务费</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36"/>
                <w:szCs w:val="36"/>
                <w:highlight w:val="none"/>
                <w:lang w:val="en-US" w:eastAsia="zh-CN"/>
              </w:rPr>
              <w:t>4、服务费缴纳账号（提示：保证金账号详见第10条）：</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收款单位全称：新疆世纪星工程咨询有限公司</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银行账号：651651056018800020157</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 交通银行股份有限公司乌鲁木齐卫星路支行</w:t>
            </w:r>
          </w:p>
          <w:p>
            <w:pPr>
              <w:spacing w:line="500" w:lineRule="exact"/>
              <w:rPr>
                <w:rFonts w:ascii="仿宋" w:hAnsi="仿宋" w:eastAsia="仿宋" w:cs="仿宋_GB2312"/>
                <w:color w:val="auto"/>
                <w:sz w:val="24"/>
                <w:highlight w:val="none"/>
              </w:rPr>
            </w:pPr>
            <w:r>
              <w:rPr>
                <w:rFonts w:hint="eastAsia" w:ascii="仿宋" w:hAnsi="仿宋" w:eastAsia="仿宋" w:cs="仿宋"/>
                <w:color w:val="auto"/>
                <w:sz w:val="24"/>
                <w:szCs w:val="24"/>
                <w:highlight w:val="none"/>
                <w:lang w:val="en-US" w:eastAsia="zh-CN"/>
              </w:rPr>
              <w:t>银行行号： 301881000569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pPr>
              <w:spacing w:line="500" w:lineRule="exact"/>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24</w:t>
            </w:r>
          </w:p>
        </w:tc>
        <w:tc>
          <w:tcPr>
            <w:tcW w:w="80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接收询问和质疑的联系方式：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1、询问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联系部门、联系电话、通讯地址：见第一章《招标公告》中的采购代理机构信息和项目联系方式。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2、质疑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联系部门：新疆世纪星工程咨询有限公司招标部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联系人、联系电话：</w:t>
            </w:r>
            <w:r>
              <w:rPr>
                <w:rFonts w:hint="eastAsia" w:ascii="仿宋" w:hAnsi="仿宋" w:eastAsia="仿宋" w:cs="仿宋"/>
                <w:b w:val="0"/>
                <w:bCs w:val="0"/>
                <w:color w:val="auto"/>
                <w:kern w:val="0"/>
                <w:sz w:val="24"/>
                <w:szCs w:val="24"/>
                <w:highlight w:val="none"/>
                <w:u w:val="none"/>
                <w:vertAlign w:val="baseline"/>
                <w:lang w:val="en-US" w:eastAsia="zh-CN" w:bidi="ar"/>
              </w:rPr>
              <w:t>李航、訾王贝、范燕娥、杜萍</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kern w:val="0"/>
                <w:sz w:val="24"/>
                <w:szCs w:val="24"/>
                <w:highlight w:val="none"/>
                <w:u w:val="none"/>
                <w:vertAlign w:val="baseline"/>
                <w:lang w:val="en-US" w:eastAsia="zh-CN" w:bidi="ar"/>
              </w:rPr>
              <w:t>13999295080</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通讯地址：乌鲁木齐经济技术开发区二期黄山街一品九点阳光德港大厦 B 座 20 楼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b/>
                <w:bCs/>
                <w:color w:val="auto"/>
                <w:sz w:val="24"/>
                <w:szCs w:val="24"/>
                <w:highlight w:val="none"/>
                <w:lang w:val="en-US" w:eastAsia="zh-CN"/>
              </w:rPr>
              <w:t>其他要求：质疑书、授权委托书及报名成功截图 PDF 扫描件发送至代理机构邮箱，以上资料原件邮寄或送至代理机构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033" w:type="dxa"/>
            <w:gridSpan w:val="2"/>
            <w:tcBorders>
              <w:tl2br w:val="nil"/>
              <w:tr2bl w:val="nil"/>
            </w:tcBorders>
            <w:vAlign w:val="center"/>
          </w:tcPr>
          <w:p>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 xml:space="preserve">核心产品： </w:t>
            </w:r>
          </w:p>
          <w:p>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 xml:space="preserve"> 标项  </w:t>
            </w:r>
            <w:r>
              <w:rPr>
                <w:rFonts w:hint="eastAsia" w:ascii="仿宋" w:hAnsi="仿宋" w:eastAsia="仿宋" w:cs="仿宋_GB2312"/>
                <w:color w:val="auto"/>
                <w:kern w:val="2"/>
                <w:sz w:val="24"/>
                <w:szCs w:val="24"/>
                <w:highlight w:val="none"/>
                <w:lang w:val="en-US" w:eastAsia="zh-CN" w:bidi="ar-SA"/>
              </w:rPr>
              <w:t xml:space="preserve">为单一产品采购项目，采购产品即为核心产品。 </w:t>
            </w:r>
          </w:p>
          <w:p>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☑本项目</w:t>
            </w:r>
            <w:r>
              <w:rPr>
                <w:rFonts w:hint="eastAsia" w:ascii="仿宋" w:hAnsi="仿宋" w:eastAsia="仿宋" w:cs="仿宋_GB2312"/>
                <w:color w:val="auto"/>
                <w:kern w:val="2"/>
                <w:sz w:val="24"/>
                <w:szCs w:val="24"/>
                <w:highlight w:val="none"/>
                <w:u w:val="single"/>
                <w:lang w:val="en-US" w:eastAsia="zh-CN" w:bidi="ar-SA"/>
              </w:rPr>
              <w:t>标项1</w:t>
            </w:r>
            <w:r>
              <w:rPr>
                <w:rFonts w:hint="eastAsia" w:ascii="仿宋" w:hAnsi="仿宋" w:eastAsia="仿宋" w:cs="仿宋_GB2312"/>
                <w:color w:val="auto"/>
                <w:kern w:val="2"/>
                <w:sz w:val="24"/>
                <w:szCs w:val="24"/>
                <w:highlight w:val="none"/>
                <w:lang w:val="en-US" w:eastAsia="zh-CN" w:bidi="ar-SA"/>
              </w:rPr>
              <w:t xml:space="preserve">为非单一产品采购项目，核心产品为：微波治疗机。 </w:t>
            </w:r>
          </w:p>
          <w:p>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注：若不单独标明核心产品则所有产品均被视为核心产品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评标方法：综合评分法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959" w:type="dxa"/>
            <w:tcBorders>
              <w:tl2br w:val="nil"/>
              <w:tr2bl w:val="nil"/>
            </w:tcBorders>
            <w:vAlign w:val="center"/>
          </w:tcPr>
          <w:p>
            <w:pPr>
              <w:spacing w:line="500" w:lineRule="exact"/>
              <w:jc w:val="center"/>
              <w:rPr>
                <w:rFonts w:hint="eastAsia" w:ascii="仿宋" w:hAnsi="仿宋" w:eastAsia="仿宋" w:cs="仿宋_GB2312"/>
                <w:color w:val="auto"/>
                <w:sz w:val="24"/>
                <w:highlight w:val="none"/>
              </w:rPr>
            </w:pPr>
          </w:p>
        </w:tc>
        <w:tc>
          <w:tcPr>
            <w:tcW w:w="8074" w:type="dxa"/>
            <w:tcBorders>
              <w:tl2br w:val="nil"/>
              <w:tr2bl w:val="nil"/>
            </w:tcBorders>
            <w:vAlign w:val="center"/>
          </w:tcPr>
          <w:p>
            <w:pPr>
              <w:spacing w:line="500" w:lineRule="exac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项目属性：货物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9033" w:type="dxa"/>
            <w:gridSpan w:val="2"/>
            <w:tcBorders>
              <w:tl2br w:val="nil"/>
              <w:tr2bl w:val="nil"/>
            </w:tcBorders>
            <w:vAlign w:val="center"/>
          </w:tcPr>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1、关于本项目所有公告、公示在新疆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兵团</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政府采购网发布。</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2、请投标单位随时关注本项目的澄清、答疑、变更事项。</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3、本项目实行电子招投标，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须登录政采云平台申请获取招标文件，并通过政采云电子投标客户端制作响应文件，同时自行承担与投标有关的一切费用。</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应在开标前确保成为新疆维吾尔自治区政府采购网正式注册入库</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，并完成CA数字证书申领。因未注册入库、未办理CA数字证书等原因造成无法投标或投标失败等后果由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5、有意向参与新疆区域电子开评标的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，可访问新疆数字证书认证中心官方网站（https://www.xjca.com.cn/）或下载“新疆政务通”APP自行进行申领。如需咨询，请联系新疆CA服务热线0991-2819290。</w:t>
            </w:r>
          </w:p>
          <w:p>
            <w:pPr>
              <w:spacing w:line="500" w:lineRule="exact"/>
              <w:rPr>
                <w:rFonts w:hint="eastAsia" w:ascii="仿宋" w:hAnsi="仿宋" w:eastAsia="仿宋" w:cs="仿宋_GB2312"/>
                <w:color w:val="auto"/>
                <w:sz w:val="24"/>
                <w:highlight w:val="none"/>
              </w:rPr>
            </w:pP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pPr>
              <w:spacing w:line="500" w:lineRule="exact"/>
              <w:rPr>
                <w:rFonts w:ascii="仿宋" w:hAnsi="仿宋" w:eastAsia="仿宋" w:cs="仿宋_GB2312"/>
                <w:color w:val="auto"/>
                <w:sz w:val="24"/>
                <w:highlight w:val="none"/>
              </w:rPr>
            </w:pPr>
            <w:r>
              <w:rPr>
                <w:rFonts w:ascii="仿宋" w:hAnsi="仿宋" w:eastAsia="仿宋" w:cs="仿宋_GB2312"/>
                <w:color w:val="auto"/>
                <w:sz w:val="24"/>
                <w:highlight w:val="none"/>
              </w:rPr>
              <w:t>7</w:t>
            </w:r>
            <w:r>
              <w:rPr>
                <w:rFonts w:hint="eastAsia" w:ascii="仿宋" w:hAnsi="仿宋" w:eastAsia="仿宋" w:cs="仿宋_GB2312"/>
                <w:color w:val="auto"/>
                <w:sz w:val="24"/>
                <w:highlight w:val="none"/>
              </w:rPr>
              <w:t>、本项目采用不见面开标，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须在投标截止时间前通过CA在政采云平台上传加密的电子响应文件。备注：</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”版面获取操作指南，同时对自助查询无法解决的问题可通过钉钉群及政采云在线客服获取服务支持。</w:t>
            </w:r>
          </w:p>
          <w:p>
            <w:pPr>
              <w:spacing w:line="500" w:lineRule="exact"/>
              <w:rPr>
                <w:rFonts w:ascii="仿宋" w:hAnsi="仿宋" w:eastAsia="仿宋" w:cs="仿宋_GB2312"/>
                <w:color w:val="auto"/>
                <w:sz w:val="24"/>
                <w:highlight w:val="none"/>
              </w:rPr>
            </w:pPr>
            <w:r>
              <w:rPr>
                <w:rFonts w:ascii="仿宋" w:hAnsi="仿宋" w:eastAsia="仿宋" w:cs="仿宋_GB2312"/>
                <w:color w:val="auto"/>
                <w:sz w:val="24"/>
                <w:highlight w:val="none"/>
              </w:rPr>
              <w:t>8</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在开标前须提前配置好电脑浏览器（建议使用360浏览器或谷歌浏览器），开标时请使用制作加密电子响应文件的CA锁进行解密及报价确认。</w:t>
            </w:r>
          </w:p>
          <w:p>
            <w:pPr>
              <w:spacing w:line="500" w:lineRule="exact"/>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本项目投标文件解密时间定为30分钟，如</w:t>
            </w: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因自身原因导致在规定的时间无法正常解密，视为开标后撤销其投标文件，投标保证金招标人有权不予退还。</w:t>
            </w:r>
          </w:p>
        </w:tc>
      </w:tr>
    </w:tbl>
    <w:p>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pPr>
        <w:pStyle w:val="2"/>
        <w:numPr>
          <w:ilvl w:val="0"/>
          <w:numId w:val="1"/>
        </w:numPr>
        <w:jc w:val="center"/>
        <w:rPr>
          <w:rFonts w:ascii="仿宋" w:hAnsi="仿宋" w:eastAsia="仿宋" w:cs="仿宋_GB2312"/>
          <w:color w:val="auto"/>
          <w:sz w:val="32"/>
          <w:szCs w:val="32"/>
          <w:highlight w:val="none"/>
        </w:rPr>
      </w:pPr>
      <w:bookmarkStart w:id="9" w:name="_Toc27881"/>
      <w:r>
        <w:rPr>
          <w:rFonts w:hint="eastAsia" w:ascii="仿宋" w:hAnsi="仿宋" w:eastAsia="仿宋" w:cs="仿宋_GB2312"/>
          <w:color w:val="auto"/>
          <w:sz w:val="32"/>
          <w:szCs w:val="32"/>
          <w:highlight w:val="none"/>
          <w:lang w:eastAsia="zh-CN"/>
        </w:rPr>
        <w:t>投标人</w:t>
      </w:r>
      <w:r>
        <w:rPr>
          <w:rFonts w:hint="eastAsia" w:ascii="仿宋" w:hAnsi="仿宋" w:eastAsia="仿宋" w:cs="仿宋_GB2312"/>
          <w:color w:val="auto"/>
          <w:sz w:val="32"/>
          <w:szCs w:val="32"/>
          <w:highlight w:val="none"/>
        </w:rPr>
        <w:t>须知</w:t>
      </w:r>
      <w:bookmarkEnd w:id="9"/>
    </w:p>
    <w:p>
      <w:pPr>
        <w:numPr>
          <w:ilvl w:val="0"/>
          <w:numId w:val="0"/>
        </w:numPr>
        <w:spacing w:line="500" w:lineRule="exact"/>
        <w:jc w:val="center"/>
        <w:outlineLvl w:val="1"/>
        <w:rPr>
          <w:rFonts w:ascii="仿宋" w:hAnsi="仿宋" w:eastAsia="仿宋" w:cs="仿宋_GB2312"/>
          <w:b/>
          <w:bCs/>
          <w:color w:val="auto"/>
          <w:sz w:val="24"/>
          <w:highlight w:val="none"/>
        </w:rPr>
      </w:pPr>
      <w:bookmarkStart w:id="10" w:name="_Toc20936"/>
      <w:r>
        <w:rPr>
          <w:rFonts w:hint="eastAsia" w:ascii="仿宋" w:hAnsi="仿宋" w:eastAsia="仿宋" w:cs="仿宋_GB2312"/>
          <w:b/>
          <w:bCs/>
          <w:color w:val="auto"/>
          <w:kern w:val="2"/>
          <w:sz w:val="24"/>
          <w:szCs w:val="24"/>
          <w:highlight w:val="none"/>
          <w:lang w:val="en-US" w:eastAsia="zh-CN" w:bidi="ar-SA"/>
        </w:rPr>
        <w:t>一、</w:t>
      </w:r>
      <w:r>
        <w:rPr>
          <w:rFonts w:hint="eastAsia" w:ascii="仿宋" w:hAnsi="仿宋" w:eastAsia="仿宋" w:cs="仿宋_GB2312"/>
          <w:b/>
          <w:bCs/>
          <w:color w:val="auto"/>
          <w:sz w:val="24"/>
          <w:highlight w:val="none"/>
        </w:rPr>
        <w:t>说 明</w:t>
      </w:r>
      <w:bookmarkEnd w:id="10"/>
    </w:p>
    <w:p>
      <w:pPr>
        <w:numPr>
          <w:ilvl w:val="0"/>
          <w:numId w:val="2"/>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采购人、采购代理机构及</w:t>
      </w: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lang w:val="en-US" w:eastAsia="zh-CN"/>
        </w:rPr>
        <w:t>供应商</w:t>
      </w:r>
      <w:r>
        <w:rPr>
          <w:rFonts w:hint="eastAsia" w:ascii="仿宋" w:hAnsi="仿宋" w:eastAsia="仿宋" w:cs="仿宋_GB2312"/>
          <w:b/>
          <w:bCs/>
          <w:color w:val="auto"/>
          <w:sz w:val="24"/>
          <w:highlight w:val="none"/>
          <w:lang w:eastAsia="zh-CN"/>
        </w:rPr>
        <w:t>）</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采购人：是指依法进行政府采购的国家机构、事业单位、团体组织。</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采购代理机构：本次招标的采购代理机构为新疆世纪星工程咨询有限公司。</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：是指向采购人提供货物、工程或者服务的法人、其他组织或者自然人。</w:t>
      </w:r>
      <w:r>
        <w:rPr>
          <w:rFonts w:hint="eastAsia" w:ascii="仿宋" w:hAnsi="仿宋" w:eastAsia="仿宋" w:cs="仿宋_GB2312"/>
          <w:color w:val="auto"/>
          <w:sz w:val="24"/>
          <w:highlight w:val="none"/>
          <w:lang w:val="en-US" w:eastAsia="zh-CN"/>
        </w:rPr>
        <w:t>本招标文件中投标人、供应商的含义相同</w:t>
      </w:r>
      <w:r>
        <w:rPr>
          <w:rFonts w:hint="eastAsia" w:ascii="仿宋" w:hAnsi="仿宋" w:eastAsia="仿宋" w:cs="仿宋_GB2312"/>
          <w:color w:val="auto"/>
          <w:sz w:val="24"/>
          <w:highlight w:val="none"/>
        </w:rPr>
        <w:t>。</w:t>
      </w:r>
    </w:p>
    <w:p>
      <w:p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须满足以下条件：</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具备《中华人民共和国政府采购法》第二十二条关于</w:t>
      </w:r>
      <w:r>
        <w:rPr>
          <w:rFonts w:hint="eastAsia" w:ascii="仿宋" w:hAnsi="仿宋" w:eastAsia="仿宋" w:cs="仿宋_GB2312"/>
          <w:color w:val="auto"/>
          <w:sz w:val="24"/>
          <w:highlight w:val="none"/>
          <w:lang w:val="en-US" w:eastAsia="zh-CN"/>
        </w:rPr>
        <w:t>供应商</w:t>
      </w:r>
      <w:r>
        <w:rPr>
          <w:rFonts w:hint="eastAsia" w:ascii="仿宋" w:hAnsi="仿宋" w:eastAsia="仿宋" w:cs="仿宋_GB2312"/>
          <w:color w:val="auto"/>
          <w:sz w:val="24"/>
          <w:highlight w:val="none"/>
        </w:rPr>
        <w:t>条件的规定，遵守国家、本项目采购人本级和上级财政部门政府采购的有关规定。</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以招标文件规定的方式获得了本项目的招标文件。</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符合</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中规定的其他资格要求。</w:t>
      </w:r>
    </w:p>
    <w:p>
      <w:pPr>
        <w:numPr>
          <w:ilvl w:val="2"/>
          <w:numId w:val="3"/>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符合</w:t>
      </w:r>
      <w:r>
        <w:rPr>
          <w:rFonts w:hint="eastAsia" w:ascii="仿宋" w:hAnsi="仿宋" w:eastAsia="仿宋" w:cs="仿宋_GB2312"/>
          <w:color w:val="auto"/>
          <w:sz w:val="24"/>
          <w:highlight w:val="none"/>
          <w:u w:val="single"/>
          <w:lang w:val="en-US" w:eastAsia="zh-CN"/>
        </w:rPr>
        <w:t>招标公告</w:t>
      </w:r>
      <w:r>
        <w:rPr>
          <w:rFonts w:hint="eastAsia" w:ascii="仿宋" w:hAnsi="仿宋" w:eastAsia="仿宋" w:cs="仿宋_GB2312"/>
          <w:color w:val="auto"/>
          <w:sz w:val="24"/>
          <w:highlight w:val="none"/>
        </w:rPr>
        <w:t>规定的</w:t>
      </w:r>
      <w:r>
        <w:rPr>
          <w:rFonts w:hint="eastAsia" w:ascii="仿宋" w:hAnsi="仿宋" w:eastAsia="仿宋" w:cs="仿宋_GB2312"/>
          <w:color w:val="auto"/>
          <w:sz w:val="24"/>
          <w:highlight w:val="none"/>
          <w:lang w:val="en-US" w:eastAsia="zh-CN"/>
        </w:rPr>
        <w:t>本项目特定</w:t>
      </w:r>
      <w:r>
        <w:rPr>
          <w:rFonts w:hint="eastAsia" w:ascii="仿宋" w:hAnsi="仿宋" w:eastAsia="仿宋" w:cs="仿宋_GB2312"/>
          <w:color w:val="auto"/>
          <w:sz w:val="24"/>
          <w:highlight w:val="none"/>
        </w:rPr>
        <w:t>资格要求。</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如经财政主管部门批准可以采购进口产品，将在投标须知前附表中写明。但</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应保证所投产品可履行合法报通关手续进入中国关境内。若</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中未写明允许采购进口产品，如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所投产品为进口产品，其投标将作为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 xml:space="preserve">被拒绝。 </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中小企业、监狱企业及残疾人福利性单位。</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采购标的对应的中小企业划分标准所属行业见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若投标须知前附表中写明专门面向中小企业采购的，如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所提供的货物为非中小企业制造或提供的服务、工程为非中小企业承接，其投标将被认定为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。本项目是否面向中小企业采购预留份额、措施及比例见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，未达到上述比例的投标将被认定为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。承接企业如为监狱企业或残疾人福利性单位的，视同为小型、微型企业。</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提供的货物、工程或者服务符合下列情形的，享受中小企业扶持政策：</w:t>
      </w:r>
    </w:p>
    <w:p>
      <w:pPr>
        <w:numPr>
          <w:ilvl w:val="0"/>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在货物采购项目中，货物由中小企业制造，即货物由中小企业生产且使用该中小企业商号或者注册商标；</w:t>
      </w:r>
    </w:p>
    <w:p>
      <w:pPr>
        <w:numPr>
          <w:ilvl w:val="0"/>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在工程采购项目中，工程由中小企业承建，即工程施工单位为中小企业；</w:t>
      </w:r>
    </w:p>
    <w:p>
      <w:pPr>
        <w:numPr>
          <w:ilvl w:val="0"/>
          <w:numId w:val="4"/>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在服务采购项目中，服务由中小企业承接，即提供服务的人员为中小企业依照《中华人民共和国劳动合同法》订立劳动合同的从业人员。 </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在货物采购项目中，</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提供的货物既有中小企业制造货物，也有大型企业制造货物的，不享受中小企业扶持政策。 </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以联合体形式参加政府采购活动，联合体各方均为中小企业的，联合体视同中小企业。其中，联合体各方均为小微企业的，联合体视同小微企业。</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享受政府采购支持政策的残疾人福利性单位根据《关于促进残疾人就业政府采购政策的通知》（财库〔2017〕141号）应当同时满足以下条件： </w:t>
      </w:r>
    </w:p>
    <w:p>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安置的残疾人占本单位在职职工人数的比例不低于25%（含25%），并且安置的残疾人人数不少于10人（含10人）； </w:t>
      </w:r>
    </w:p>
    <w:p>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依法与安置的每位残疾人签订了一年以上（含一年）的劳动合同或服务协议；</w:t>
      </w:r>
    </w:p>
    <w:p>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为安置的每位残疾人按月足额缴纳了基本养老保险、基本医疗保险、失业保险、工伤保险和生育保险等社会保险费；</w:t>
      </w:r>
    </w:p>
    <w:p>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通过银行等金融机构向安置的每位残疾人，按月支付了不低于单位所在区县适用的经省级人民政府批准的月最低工资标准的工资；</w:t>
      </w:r>
    </w:p>
    <w:p>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提供本单位制造的货物、承担的工程或者服务，或者提供其他残疾人福利性单位制造的货物（不包括使用非残疾人福利性单位注册商标的货物）。</w:t>
      </w:r>
    </w:p>
    <w:p>
      <w:pPr>
        <w:numPr>
          <w:ilvl w:val="0"/>
          <w:numId w:val="5"/>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享受中小企业扶持政策获得政府采购合同的，小微企业不得将合同分包给大中型企业，中型企业不得将合同分包给大型企业。</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政府采购节能产品、环境标志产品</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如本项目采购产品属于实施政府强制采购品目清单范围的节能产品，则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所报产品必须获得国家确定的认证机构出具的、处于有效期之内的节能产品认证证书，否则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非政府强制采购的节能产品或环境标志产品，依据品目清单和认证证书实施政府优先采购。优先采购的具体规定见第六章《评标程序、评标方法和评标标准》（如涉及）。</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支持乡村产业振兴管理</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正版软件</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信息安全产品</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所投产品属于《关于调整信息安全产品强制性认证实施要求的公告》（2009 年第 33 号）范围的，采购经国家认证的信息安全产品，否则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。关于信息安全相关规定依据《关于信息安全产品实施政府采购的通知》（财库〔2010〕48 号）。</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中允许联合体投标，对联合体规定如下：</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两个以上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可以组成一个投标联合体，以一个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的身份投标。  </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联合体各方均应符合《中华人民共和国政府采购法》第二十二条规定的条件，遵守国家、本项目采购人本级和上级财政部门政府采购的有关规定。</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采购人根据采购项目对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的特殊要求，联合体中至少应当有一方符合相关规定。</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联合体各方应签订共同投标协议，明确约定联合体各方承担的工作和相应的责任，并将共同投标协议连同投标文件一并提交采购人或采购代理机构。</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联合体中有同类资质的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按照联合体分工承担相同工作的，按照资质等级较低的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确定资质等级。</w:t>
      </w:r>
    </w:p>
    <w:p>
      <w:pPr>
        <w:numPr>
          <w:ilvl w:val="2"/>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对联合体投标的其他资格要求见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单位负责人为同一人或者存在直接控股、管理关系的不同</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pPr>
        <w:numPr>
          <w:ilvl w:val="1"/>
          <w:numId w:val="3"/>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为本项目提供整体设计、规范编制或者项目管理、监理、检测等服务的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 xml:space="preserve"> 资金来源 </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本项目的采购人已获得足以支付本次招标后所签订的合同项下的资金（包括财政性资金和本项目采购中无法与财政性资金分割的非财政性资金）。 </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项目预算金额和最高限价见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报价超过招标文件规定的预算金额或者最高限价的，其投标将被认定为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投标费用</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应自行承担所有与准备和参加投标有关的费用，无论投标的结果如何，采购人或采购代理机构在任何情况下均无承担这些费用的义务和责任。</w:t>
      </w:r>
    </w:p>
    <w:p>
      <w:pPr>
        <w:numPr>
          <w:ilvl w:val="0"/>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适用法律</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本项目采购人、采购代理机构、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pPr>
        <w:tabs>
          <w:tab w:val="left" w:pos="0"/>
        </w:tabs>
        <w:spacing w:line="500" w:lineRule="exact"/>
        <w:rPr>
          <w:rFonts w:ascii="仿宋" w:hAnsi="仿宋" w:eastAsia="仿宋" w:cs="仿宋_GB2312"/>
          <w:b/>
          <w:bCs/>
          <w:color w:val="auto"/>
          <w:sz w:val="24"/>
          <w:highlight w:val="none"/>
        </w:rPr>
      </w:pPr>
    </w:p>
    <w:p>
      <w:pPr>
        <w:numPr>
          <w:ilvl w:val="0"/>
          <w:numId w:val="7"/>
        </w:numPr>
        <w:tabs>
          <w:tab w:val="left" w:pos="0"/>
        </w:tabs>
        <w:spacing w:line="500" w:lineRule="exact"/>
        <w:jc w:val="center"/>
        <w:outlineLvl w:val="1"/>
        <w:rPr>
          <w:rFonts w:ascii="仿宋" w:hAnsi="仿宋" w:eastAsia="仿宋" w:cs="仿宋_GB2312"/>
          <w:b/>
          <w:bCs/>
          <w:color w:val="auto"/>
          <w:sz w:val="24"/>
          <w:highlight w:val="none"/>
        </w:rPr>
      </w:pPr>
      <w:bookmarkStart w:id="11" w:name="_Toc6547"/>
      <w:r>
        <w:rPr>
          <w:rFonts w:hint="eastAsia" w:ascii="仿宋" w:hAnsi="仿宋" w:eastAsia="仿宋" w:cs="仿宋_GB2312"/>
          <w:b/>
          <w:bCs/>
          <w:color w:val="auto"/>
          <w:sz w:val="24"/>
          <w:highlight w:val="none"/>
        </w:rPr>
        <w:t>招标文件</w:t>
      </w:r>
      <w:bookmarkEnd w:id="11"/>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招标文件构成</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招标文件包括以下部分：</w:t>
      </w:r>
    </w:p>
    <w:p>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第一章 招标公告</w:t>
      </w:r>
    </w:p>
    <w:p>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第二章 投标须知前附表 </w:t>
      </w:r>
    </w:p>
    <w:p>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第三章 </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w:t>
      </w:r>
    </w:p>
    <w:p>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第四章 政府采购合同 </w:t>
      </w:r>
    </w:p>
    <w:p>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第五章 采购需求 </w:t>
      </w:r>
    </w:p>
    <w:p>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第六章 评标程序、评标方法和评标标准</w:t>
      </w:r>
    </w:p>
    <w:p>
      <w:pPr>
        <w:tabs>
          <w:tab w:val="left" w:pos="0"/>
        </w:tabs>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第七章 投标文件格式 </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应认真阅读招标文件的全部内容。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应按照招标文件要求提交投标文件并保证所提供的全部资料的真实性，并对招标文件做出实质性响应，否则</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招标文件中有不一致的，有澄清的部分以最终的澄清更正内容为准；未澄清的，以投标须知前附表为准；投标须知前附表不涉及的内容，以编排在后的最后描述为准。</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现场考察或者答疑会及相关事项见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采购人在踏勘现场中介绍的资料和数据等，只是为了使</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能够利用招标人现有的资料。招标人对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由此而作出的推论、解释和结论概不负责。</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自行承担踏勘现场发生的责任、风险和自身费用。</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原则上采购人、采购代理机构不要求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，对样品的评审方法及评审标准见招标文件第六章《评标程序、评标方法和评标标准》。</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招标文件规定</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提交样品的，样品属于投标文件的组成部分。样品的生产、运输、安装、保全等一切费用由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自理。</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采购结果公告发布后，中标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的样品由采购人封存，作为履约验收的依据之一。未中标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在接到采购代理机构通知后，应按规定时间尽快自行取回样品，否则视同</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不再认领，代理机构有权进行处理。</w:t>
      </w:r>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对招标文件的澄清或修改</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采购人或采购代理机构对已发出的招标文件进行必要澄清或者修改的，将在原公告发布媒体（网站）上发布更正公告（通知），因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未及时登陆媒体（网站）查看导致通知未及时收到通知的，采购人或采购代理机构不承担责任。</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更正公告及其所发布的内容或信息（包括但不限于：招标文件的澄清或修改、现场考察或答疑会的有关事宜等）作为招标文件的组成部分，对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具有约束力。一经在指定媒体上发布后，更正公告将作为通知所有招标文件收受人的书面形式。</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澄清或者修改的内容为招标文件的组成部分，并对所有获取招标文件的潜在</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具有约束力。澄清或者修改的内容可能影响投标文件编制的，将在投标截止时间至少 15 日前发布；不足 15 日的，将顺延提交投标文件的截止时间和开标时间。</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为了保证对招标文件的澄清和修改满足法律的时限要求，任何要求对招标文件进行澄清的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，均应在投标截止期十五日前，以书面形式将澄清要求通知采购人或采购代理机构。</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如更正公告有重新发布电子招标文件的，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应登录电子招投标平台下载最新发布的电子招标文件制作投标文件。</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pPr>
        <w:tabs>
          <w:tab w:val="left" w:pos="0"/>
        </w:tabs>
        <w:spacing w:line="500" w:lineRule="exact"/>
        <w:rPr>
          <w:rFonts w:ascii="仿宋" w:hAnsi="仿宋" w:eastAsia="仿宋" w:cs="仿宋_GB2312"/>
          <w:color w:val="auto"/>
          <w:sz w:val="24"/>
          <w:highlight w:val="none"/>
        </w:rPr>
      </w:pPr>
    </w:p>
    <w:p>
      <w:pPr>
        <w:numPr>
          <w:ilvl w:val="0"/>
          <w:numId w:val="7"/>
        </w:numPr>
        <w:tabs>
          <w:tab w:val="left" w:pos="0"/>
        </w:tabs>
        <w:spacing w:line="500" w:lineRule="exact"/>
        <w:jc w:val="center"/>
        <w:outlineLvl w:val="1"/>
        <w:rPr>
          <w:rFonts w:ascii="仿宋" w:hAnsi="仿宋" w:eastAsia="仿宋" w:cs="仿宋_GB2312"/>
          <w:b/>
          <w:bCs/>
          <w:color w:val="auto"/>
          <w:sz w:val="24"/>
          <w:highlight w:val="none"/>
        </w:rPr>
      </w:pPr>
      <w:bookmarkStart w:id="12" w:name="_Toc9070"/>
      <w:r>
        <w:rPr>
          <w:rFonts w:hint="eastAsia" w:ascii="仿宋" w:hAnsi="仿宋" w:eastAsia="仿宋" w:cs="仿宋_GB2312"/>
          <w:b/>
          <w:bCs/>
          <w:color w:val="auto"/>
          <w:sz w:val="24"/>
          <w:highlight w:val="none"/>
        </w:rPr>
        <w:t>投标文件的编制</w:t>
      </w:r>
      <w:bookmarkEnd w:id="12"/>
    </w:p>
    <w:p>
      <w:pPr>
        <w:numPr>
          <w:ilvl w:val="0"/>
          <w:numId w:val="6"/>
        </w:numPr>
        <w:tabs>
          <w:tab w:val="left" w:pos="0"/>
        </w:tabs>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投标范围、投标文件中计量单位的使用及投标语言</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可对招标文件中一个或几个分包进行投标，除非在</w:t>
      </w:r>
      <w:r>
        <w:rPr>
          <w:rFonts w:hint="eastAsia" w:ascii="仿宋" w:hAnsi="仿宋" w:eastAsia="仿宋" w:cs="仿宋_GB2312"/>
          <w:color w:val="auto"/>
          <w:sz w:val="24"/>
          <w:highlight w:val="none"/>
          <w:u w:val="single"/>
        </w:rPr>
        <w:t>投标须知前附表中另有规定</w:t>
      </w:r>
      <w:r>
        <w:rPr>
          <w:rFonts w:hint="eastAsia" w:ascii="仿宋" w:hAnsi="仿宋" w:eastAsia="仿宋" w:cs="仿宋_GB2312"/>
          <w:color w:val="auto"/>
          <w:sz w:val="24"/>
          <w:highlight w:val="none"/>
        </w:rPr>
        <w:t xml:space="preserve">。 </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应当对所投采购包对应第五章《采购需求》所列的全部内容进行投标，如仅响应采购包中的部分内容，其该包投标将被认定为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无论招标文件中是否要求，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所投货物或服务均应符合国家强制性标准。</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除招标文件有特殊要求外，本项目投标所使用的计量单位，应采用中华人民共和国法定计量单位。</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除专用术语外，投标文件及来往函电均应使用中文书写。必要时专用术语应附有中文解释。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提交的支持资料和已印制的文献可以用外文，但相应内容应附有中文翻译本，在解释投标文件时以中文翻译本为准。未附中文翻译本或翻译本中文内容明显与外文内容不一致的，其不利后果由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自行承担。 </w:t>
      </w:r>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投标文件构成</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应当按照招标文件的要求编制投标文件。投标文件应由资格证明文件、报价文件、商务技术文件</w:t>
      </w:r>
      <w:r>
        <w:rPr>
          <w:rFonts w:hint="eastAsia" w:ascii="仿宋" w:hAnsi="仿宋" w:eastAsia="仿宋" w:cs="仿宋_GB2312"/>
          <w:color w:val="auto"/>
          <w:sz w:val="24"/>
          <w:highlight w:val="none"/>
          <w:lang w:val="en-US" w:eastAsia="zh-CN"/>
        </w:rPr>
        <w:t>三</w:t>
      </w:r>
      <w:r>
        <w:rPr>
          <w:rFonts w:hint="eastAsia" w:ascii="仿宋" w:hAnsi="仿宋" w:eastAsia="仿宋" w:cs="仿宋_GB2312"/>
          <w:color w:val="auto"/>
          <w:sz w:val="24"/>
          <w:highlight w:val="none"/>
        </w:rPr>
        <w:t>部分构成。投标文件的部分格式要求，见第七章《投标文件格式》。</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第五章《采购需求》及第六章《评标程序、评标方法和评标标准》中涉及的证明文件。</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对照第五章《采购需求》，说明所提供货物或服务已对第五章《采购需求》做出了响应，或申明与第五章《采购需求》的偏差和例外。如第五章《采购需求》中要求提供证明文件的，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应当按具体要求提供证明文件。</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认为应附的其他材料。</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投标报价</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所有投标均以人民币报价。</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的报价应当包括满足本次招标全部采购需求所应提供的全部内容。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的投标报价应遵守《中华人民共和国价格法》。同时，根据《中华人民共和国政府采购法》及相关配套法律、法规的规定，为保证公平竞争，如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有赠与行为的，将导致其</w:t>
      </w:r>
      <w:r>
        <w:rPr>
          <w:rFonts w:hint="eastAsia" w:ascii="仿宋" w:hAnsi="仿宋" w:eastAsia="仿宋" w:cs="仿宋_GB2312"/>
          <w:b/>
          <w:bCs/>
          <w:color w:val="auto"/>
          <w:sz w:val="24"/>
          <w:highlight w:val="none"/>
        </w:rPr>
        <w:t>投标被拒绝</w:t>
      </w:r>
      <w:r>
        <w:rPr>
          <w:rFonts w:hint="eastAsia" w:ascii="仿宋" w:hAnsi="仿宋" w:eastAsia="仿宋" w:cs="仿宋_GB2312"/>
          <w:color w:val="auto"/>
          <w:sz w:val="24"/>
          <w:highlight w:val="none"/>
        </w:rPr>
        <w:t>。</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 xml:space="preserve">。 </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投标保证金</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中规定的金额及要求交纳投标保证金，并作为其投标的一部分。</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交纳投标保证金的形式除</w:t>
      </w:r>
      <w:r>
        <w:rPr>
          <w:rFonts w:hint="eastAsia" w:ascii="仿宋" w:hAnsi="仿宋" w:eastAsia="仿宋" w:cs="仿宋_GB2312"/>
          <w:color w:val="auto"/>
          <w:sz w:val="24"/>
          <w:highlight w:val="none"/>
          <w:u w:val="single"/>
        </w:rPr>
        <w:t>投标须知前附表中</w:t>
      </w:r>
      <w:r>
        <w:rPr>
          <w:rFonts w:hint="eastAsia" w:ascii="仿宋" w:hAnsi="仿宋" w:eastAsia="仿宋" w:cs="仿宋_GB2312"/>
          <w:color w:val="auto"/>
          <w:sz w:val="24"/>
          <w:highlight w:val="none"/>
        </w:rPr>
        <w:t>另有约定外，可采用的形式：政府采购法律法规接受的支票、汇票、本票、网上银行支付或者金融机构、担保机构出具的保函等非现金形式。</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保证金到账（保函提交）截止时间同投标截止时间。以支票、汇票、本票、网上银行支付等形式提交投标保证金的，应在投标截止时间前到账。由于到账时间晚于投标截止时间的，或者票据错误、印鉴不清等原因导致不能到账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。电子保函与纸质保函具有同样效力。</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投标保证金（保函）有效期同投标有效期。</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联合体投标的，可以由联合体中的一方或者共同提交投标保证金，以一方名义提交投标保证金的，对联合体各方均具有约束力。</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采购人、采购代理机构将及时退还</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的投标保证金，采用银行保函、担保机构担保函等形式递交的投标保证金，经</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同意后采购人、采购代理机构可以不再退还，但因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自身原因导致无法及时退还的除外。</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在投标截止时间前撤回已提交的投标文件的，自收到</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书面撤回通知之日起 5 个工作日内退还已收取的投标保证金。 </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中标人的投标保证金，自采购合同签订之日起 5 个工作日内退还中标人。 </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未中标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的投标保证金，自中标通知书发出之日起 5 个工作日内退还未中标人。</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终止采购活动的项目已经收取投标保证金的，自终止采购活动后 5 个工作日内退还已收取的投标保证金。</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有下列情形之一的，采购人或采购代理机构可以不予退还投标保证金：</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在投标有效期内，</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撤回投标的； </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中标人不按本招标文件的规定与采购人签订合同的； </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中标人不按本招标文件的规定提交履约保证金的； </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中标人不按本招标文件的规定缴纳中标服务费的； </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存在的串通投标情形的； </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存在向采购人、代理机构或评标专家行贿事实的； </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法律、法规规定的其它情况。 </w:t>
      </w:r>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投标有效期</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投标文件应在</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中规定的投标有效期内保持有效，投标有效期少于招标文件规定期限的，其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采购人或采购代理机构可根据实际情况，在原投标有效期截止之前，要求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延长投标文件的有效期。接受该要求的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将不会被要求和允许修正其投标，且本须知中有关投标保证金的要求须在延长的有效期内继续有效。</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也可以拒绝延长投标有效期的要求，退还其投标保证金。上述要求和答复都应以书面形式提交。</w:t>
      </w:r>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投标文件的制作</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投标文件中，所有内容均以电子文件编制，如因不按电子招投标平台要求编制导致系统无法检索、读取相关信息时，其后果由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承担。由于本项目采用电子化投标，请充分考虑设备、网络环境、人员对系统熟悉度等因素，合理安排投标文件制作、提交时间，建议至少提前一天完成制作、提交工作。</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应使用电子招投标平台提供的投标客户端编制、标记、加密投标文件，成功加密后将生成指定格式的电子投标文件和电子备用投标文件</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如有对多个采购包投标的，要对每个采购包独立制作电子投标文件。</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须对招标文件的对应要求给予唯一的实质性响应，否则将视为</w:t>
      </w:r>
      <w:r>
        <w:rPr>
          <w:rFonts w:hint="eastAsia" w:ascii="仿宋" w:hAnsi="仿宋" w:eastAsia="仿宋" w:cs="仿宋_GB2312"/>
          <w:b/>
          <w:bCs/>
          <w:color w:val="auto"/>
          <w:sz w:val="24"/>
          <w:highlight w:val="none"/>
        </w:rPr>
        <w:t>不响应</w:t>
      </w:r>
      <w:r>
        <w:rPr>
          <w:rFonts w:hint="eastAsia" w:ascii="仿宋" w:hAnsi="仿宋" w:eastAsia="仿宋" w:cs="仿宋_GB2312"/>
          <w:color w:val="auto"/>
          <w:sz w:val="24"/>
          <w:highlight w:val="none"/>
        </w:rPr>
        <w:t>。</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应按招标文件的规定及附件要求的内容和格式完整地填写和提供资料。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必须对投标文件所提供的全部资料的真实性承担法律责任，并无条件接受采购人和政府采购监督管理部门对其中任何资料进行核实（核对原件）的要求。</w:t>
      </w:r>
    </w:p>
    <w:p>
      <w:pPr>
        <w:tabs>
          <w:tab w:val="left" w:pos="0"/>
        </w:tabs>
        <w:spacing w:line="500" w:lineRule="exact"/>
        <w:rPr>
          <w:rFonts w:ascii="仿宋" w:hAnsi="仿宋" w:eastAsia="仿宋" w:cs="仿宋_GB2312"/>
          <w:color w:val="auto"/>
          <w:sz w:val="24"/>
          <w:highlight w:val="none"/>
        </w:rPr>
      </w:pPr>
    </w:p>
    <w:p>
      <w:pPr>
        <w:numPr>
          <w:ilvl w:val="0"/>
          <w:numId w:val="7"/>
        </w:numPr>
        <w:tabs>
          <w:tab w:val="left" w:pos="0"/>
        </w:tabs>
        <w:spacing w:line="500" w:lineRule="exact"/>
        <w:jc w:val="center"/>
        <w:outlineLvl w:val="1"/>
        <w:rPr>
          <w:rFonts w:ascii="仿宋" w:hAnsi="仿宋" w:eastAsia="仿宋" w:cs="仿宋_GB2312"/>
          <w:b/>
          <w:bCs/>
          <w:color w:val="auto"/>
          <w:sz w:val="24"/>
          <w:highlight w:val="none"/>
        </w:rPr>
      </w:pPr>
      <w:bookmarkStart w:id="13" w:name="_Toc21719"/>
      <w:r>
        <w:rPr>
          <w:rFonts w:hint="eastAsia" w:ascii="仿宋" w:hAnsi="仿宋" w:eastAsia="仿宋" w:cs="仿宋_GB2312"/>
          <w:b/>
          <w:bCs/>
          <w:color w:val="auto"/>
          <w:sz w:val="24"/>
          <w:highlight w:val="none"/>
        </w:rPr>
        <w:t>投标文件的提交</w:t>
      </w:r>
      <w:bookmarkEnd w:id="13"/>
    </w:p>
    <w:p>
      <w:pPr>
        <w:numPr>
          <w:ilvl w:val="0"/>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投标文件的提交</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上传投标文件，已上传投标文件但未完成传输的文件系统将拒绝接收。</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代理机构对因不可抗力事件造成的投标文件的损坏、丢失的，不承担责任。</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出现下述情形之一，属于未成功提交投标文件，按</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至提交投标文件截止时，投标文件未完整上传的。 </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投标文件未按投标格式中注明需签字盖章的要求进行签名（含电子签名）和加盖电子印章，或签名（含电子签名）或电子印章不完整的。</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投标文件损坏或格式不正确的。</w:t>
      </w:r>
    </w:p>
    <w:p>
      <w:pPr>
        <w:numPr>
          <w:ilvl w:val="1"/>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投标文件的修改、撤回与撤销</w:t>
      </w:r>
    </w:p>
    <w:p>
      <w:pPr>
        <w:numPr>
          <w:ilvl w:val="2"/>
          <w:numId w:val="6"/>
        </w:numPr>
        <w:tabs>
          <w:tab w:val="left" w:pos="0"/>
        </w:tabs>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在提交投标文件截止时间前，</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可以修改或撤回未解密的电子投标文件，并于提交投标文件截止时间前将修改后重新生成的电子投标文件上传至系统，到达投标文件提交截止时间后，将不允许修改或撤回。</w:t>
      </w:r>
    </w:p>
    <w:p>
      <w:pPr>
        <w:numPr>
          <w:ilvl w:val="2"/>
          <w:numId w:val="6"/>
        </w:numPr>
        <w:tabs>
          <w:tab w:val="left" w:pos="0"/>
        </w:tabs>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在提交投标文件截止时间后，</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不得补充、修改和更换投标文件。</w:t>
      </w:r>
      <w:r>
        <w:rPr>
          <w:rFonts w:hint="eastAsia" w:ascii="仿宋" w:hAnsi="仿宋" w:eastAsia="仿宋" w:cs="仿宋_GB2312"/>
          <w:b/>
          <w:bCs/>
          <w:color w:val="auto"/>
          <w:sz w:val="24"/>
          <w:highlight w:val="none"/>
        </w:rPr>
        <w:t xml:space="preserve"> </w:t>
      </w:r>
    </w:p>
    <w:p>
      <w:pPr>
        <w:tabs>
          <w:tab w:val="left" w:pos="0"/>
        </w:tabs>
        <w:spacing w:line="500" w:lineRule="exact"/>
        <w:rPr>
          <w:rFonts w:ascii="仿宋" w:hAnsi="仿宋" w:eastAsia="仿宋" w:cs="仿宋_GB2312"/>
          <w:b/>
          <w:bCs/>
          <w:color w:val="auto"/>
          <w:sz w:val="24"/>
          <w:highlight w:val="none"/>
        </w:rPr>
      </w:pPr>
    </w:p>
    <w:p>
      <w:pPr>
        <w:numPr>
          <w:ilvl w:val="0"/>
          <w:numId w:val="7"/>
        </w:numPr>
        <w:tabs>
          <w:tab w:val="left" w:pos="0"/>
        </w:tabs>
        <w:spacing w:line="500" w:lineRule="exact"/>
        <w:jc w:val="center"/>
        <w:outlineLvl w:val="1"/>
        <w:rPr>
          <w:rFonts w:ascii="仿宋" w:hAnsi="仿宋" w:eastAsia="仿宋" w:cs="仿宋_GB2312"/>
          <w:b/>
          <w:bCs/>
          <w:color w:val="auto"/>
          <w:sz w:val="24"/>
          <w:highlight w:val="none"/>
        </w:rPr>
      </w:pPr>
      <w:bookmarkStart w:id="14" w:name="_Toc15263"/>
      <w:r>
        <w:rPr>
          <w:rFonts w:hint="eastAsia" w:ascii="仿宋" w:hAnsi="仿宋" w:eastAsia="仿宋" w:cs="仿宋_GB2312"/>
          <w:b/>
          <w:bCs/>
          <w:color w:val="auto"/>
          <w:sz w:val="24"/>
          <w:highlight w:val="none"/>
        </w:rPr>
        <w:t>开标、资格审查及评标</w:t>
      </w:r>
      <w:bookmarkEnd w:id="14"/>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开标</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采购人和采购代理机构将按</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中规定的开标时间和地点组织公开开标并邀请所有</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代表参加。开标时，由采购人或者采购代理机构工作人员宣布</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名称、解密情况，投标价格和招标文件规定的需要宣布的其他内容（以开标一览表要求为准），开标为远程电子开标。</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采用远程电子开标的：</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应当使用编制本项目（采购包）电子投标文件时加密所用数字证书在开始解密后按照代理机构规定的时间内完成电子投标文件的解密，如遇不可抗力等其他特殊情况，采购代理机构可视情况延长解密时间。</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未携带数字证书或其他非系统原因导致的在规定时间内未解密投标文件，将作</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。（采用远程电子开标的，各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在参加开标以前须自行对使用电脑的网络环境、驱动安装、客户端安装以及数字证书的有效性等进行检测，确保可以正常使用）。</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无法在代理规定的时间内完成备用电子投标文件的上传，投标将被拒绝，作</w:t>
      </w:r>
      <w:r>
        <w:rPr>
          <w:rFonts w:hint="eastAsia" w:ascii="仿宋" w:hAnsi="仿宋" w:eastAsia="仿宋" w:cs="仿宋_GB2312"/>
          <w:b/>
          <w:bCs/>
          <w:color w:val="auto"/>
          <w:sz w:val="24"/>
          <w:highlight w:val="none"/>
        </w:rPr>
        <w:t>无效投标处理</w:t>
      </w:r>
      <w:r>
        <w:rPr>
          <w:rFonts w:hint="eastAsia" w:ascii="仿宋" w:hAnsi="仿宋" w:eastAsia="仿宋" w:cs="仿宋_GB2312"/>
          <w:color w:val="auto"/>
          <w:sz w:val="24"/>
          <w:highlight w:val="none"/>
        </w:rPr>
        <w:t>。</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代表对开标过程和开标记录有疑义，以及认为采购人、采购代理机构相关工作人员有需要回避的情形的，应当场提出询问或者回避申请。</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未参加开标的，视同认可开标结果。</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投标截止时间后，</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不足3家的，不得开标。同时，本次采购活动结束。</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开标时出现下列情况的，视为</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处理：</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自身原因，未在规定时间内完成电子投标文件解密的；</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采购人或采购代理机构将对开标过程进行记录，由参加开标的各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代表和相关工作人员签字确认。</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资格审查</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采购人或采购代理机构依据法律法规和招标文件中规定的内容，对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及其投标货物或服务的资格进行审查，未通过资格审查的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不进入评标；资格证明文件不按电子招投标平台要求编制导致系统无法检索、读取相关信息时，将被认定为未通过资格审查；通过资格审查的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少于三家的，不进行评标。 </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资格审查要求详见第六章《评标程序、评标方法和评标标准》。</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采购人或采购代理机构将按第六章《评标程序、评标方法和评标标准》中规定的时间查询</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的信用记录。采购人或采购代理机构将查询网页打印、签字并存档备查。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不良信用记录以采购人或采购代理机构查询结果为准。在本招标文件规定的查询时间之外，网站信息发生的任何变更均不作为资格审查依据。</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评标委员会</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评标委员会根据政府采购有关规定和本次招标采购项目的特点进行组建，并负责具体评标事务，独立履行职责。 </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评标程序、评标方法和评标标准</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详见第六章《评标程序、评标方法和评标标准》</w:t>
      </w:r>
    </w:p>
    <w:p>
      <w:pPr>
        <w:spacing w:line="500" w:lineRule="exact"/>
        <w:rPr>
          <w:rFonts w:ascii="仿宋" w:hAnsi="仿宋" w:eastAsia="仿宋" w:cs="仿宋_GB2312"/>
          <w:color w:val="auto"/>
          <w:sz w:val="24"/>
          <w:highlight w:val="none"/>
        </w:rPr>
      </w:pPr>
    </w:p>
    <w:p>
      <w:pPr>
        <w:numPr>
          <w:ilvl w:val="0"/>
          <w:numId w:val="7"/>
        </w:numPr>
        <w:spacing w:line="500" w:lineRule="exact"/>
        <w:jc w:val="center"/>
        <w:outlineLvl w:val="1"/>
        <w:rPr>
          <w:rFonts w:ascii="仿宋" w:hAnsi="仿宋" w:eastAsia="仿宋" w:cs="仿宋_GB2312"/>
          <w:b/>
          <w:bCs/>
          <w:color w:val="auto"/>
          <w:sz w:val="24"/>
          <w:highlight w:val="none"/>
        </w:rPr>
      </w:pPr>
      <w:bookmarkStart w:id="15" w:name="_Toc7787"/>
      <w:r>
        <w:rPr>
          <w:rFonts w:hint="eastAsia" w:ascii="仿宋" w:hAnsi="仿宋" w:eastAsia="仿宋" w:cs="仿宋_GB2312"/>
          <w:b/>
          <w:bCs/>
          <w:color w:val="auto"/>
          <w:sz w:val="24"/>
          <w:highlight w:val="none"/>
        </w:rPr>
        <w:t>确定中标</w:t>
      </w:r>
      <w:bookmarkEnd w:id="15"/>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确定中标人</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采购人将在评标报告确定的中标候选人名单中按综合得分排名顺序确定中标人。采购人是否委托评标委员会直接确定中标人见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中标公告与中标通知书</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采购人或采购代理机构自中标人确定之日起 2 个工作日内，在招标公告发布媒体发布中标结果，同时向中标人发出中标通知书，中标公告期限为 1 个工作日。</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中标通知书对采购人和中标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均具有法律效力。中标通知书发出后，中标</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放弃中标项目的，应当依法承担法律责任。</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废标</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在招标采购中，出现下列情形之一的，应予废标：</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符合专业条件的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或者对招标文件作实质响应的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不足三家的；</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出现影响采购公正的违法、违规行为的；</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的报价均超过了采购预算，采购人不能支付的；</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因重大变故，采购任务取消的。</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废标后，采购人将废标理由通知所有</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签订合同</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中标人拒绝与采购人签订合同的，采购人可以按照评标报告推荐的中标候选人名单排序，确定下一候选人为中标人，也可以重新开展政府采购活动。</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联合体中标的，联合体各方应当共同与采购人签订合同，就中标项目向采购人承担连带责任。 </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政府采购合同不能转包。如采购人允许采用分包方式履行合同的，中标人可以依法在中标后将中标项目的非主体、非关键性工作采取分包方式履行合同。</w:t>
      </w:r>
    </w:p>
    <w:p>
      <w:pPr>
        <w:numPr>
          <w:ilvl w:val="1"/>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val="en-US" w:eastAsia="zh-CN"/>
        </w:rPr>
        <w:t>进口产品供货时，中标人必须提供有效的进口产品报关手续证明材料</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履约保证金</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中标人应按照</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规定的金额、形式和时间向采购人缴纳履约保证金。</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经采购人同意，中标人也可以自愿采用其他履约保证金的提供方式。</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代理服务费</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收费对象、收费标准及缴纳时间见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 xml:space="preserve">。由中标人支付的，中标人须一次性向采购代理机构缴纳代理费，投标报价应包含代理费用。 </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询问与质疑</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询问</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中“采购人、采购代理机构的名称、地址和联系方式”。</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质疑</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认为招标文件、采购过程、中标结果使自己的权益受到损害的，可以在知道或者应知其权益受到损害之日起 7 个工作日内，由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派授权代表以书面形式向采购人、采购代理机构提出质疑。采购人、采购代理机构在收到质疑函后 7 个工作日内作出答复。</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应知其权益受到损害之日是指：</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（1）对招标文件提出质疑的，为获取招标文件之日或者招标文件获取期限届满之日；</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（2）对采购过程提出质疑的，为各采购程序环节结束之日；</w:t>
      </w:r>
    </w:p>
    <w:p>
      <w:p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（3）对中标结果提出质疑的，为中标结果公告期限届满之日。 </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质疑函须使用财政部制定的范本文件。</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为自然人的，应当由本人签字；</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为法人或者其他组织的，应当由法定代表人、主要负责人，或者其授权代表签字或者盖章，并加盖公章。</w:t>
      </w:r>
    </w:p>
    <w:p>
      <w:pPr>
        <w:numPr>
          <w:ilvl w:val="2"/>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pPr>
        <w:numPr>
          <w:ilvl w:val="0"/>
          <w:numId w:val="6"/>
        </w:num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其他</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在采购人或采购代理机构认为适当时、国家机关调查、审查、审计时以及其他符合法律规定的情形下，采购人或采购代理机构无须事先征求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同意而可以披露关于采购过程、合同文本、签署情况的资料、</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的名称及地址、投标文件的有关信息以及补充条款等，但应当在合理的必要范围内。对任何已经公布过的内容或与之内容相同的资料，以及</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已经泄露或公开的，无须再承担保密责任。</w:t>
      </w:r>
    </w:p>
    <w:p>
      <w:pPr>
        <w:numPr>
          <w:ilvl w:val="1"/>
          <w:numId w:val="6"/>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适用于本</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须知的额外增加的变动详见</w:t>
      </w:r>
      <w:r>
        <w:rPr>
          <w:rFonts w:hint="eastAsia" w:ascii="仿宋" w:hAnsi="仿宋" w:eastAsia="仿宋" w:cs="仿宋_GB2312"/>
          <w:color w:val="auto"/>
          <w:sz w:val="24"/>
          <w:highlight w:val="none"/>
          <w:u w:val="single"/>
        </w:rPr>
        <w:t>投标须知前附表</w:t>
      </w:r>
      <w:r>
        <w:rPr>
          <w:rFonts w:hint="eastAsia" w:ascii="仿宋" w:hAnsi="仿宋" w:eastAsia="仿宋" w:cs="仿宋_GB2312"/>
          <w:color w:val="auto"/>
          <w:sz w:val="24"/>
          <w:highlight w:val="none"/>
        </w:rPr>
        <w:t>。</w:t>
      </w:r>
    </w:p>
    <w:p>
      <w:pPr>
        <w:spacing w:line="500" w:lineRule="exact"/>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2"/>
        <w:numPr>
          <w:ilvl w:val="0"/>
          <w:numId w:val="1"/>
        </w:numPr>
        <w:jc w:val="center"/>
        <w:rPr>
          <w:rFonts w:ascii="仿宋" w:hAnsi="仿宋" w:eastAsia="仿宋" w:cs="仿宋_GB2312"/>
          <w:color w:val="auto"/>
          <w:sz w:val="32"/>
          <w:szCs w:val="32"/>
          <w:highlight w:val="none"/>
        </w:rPr>
      </w:pPr>
      <w:bookmarkStart w:id="16" w:name="_Toc22543"/>
      <w:r>
        <w:rPr>
          <w:rFonts w:hint="eastAsia" w:ascii="仿宋" w:hAnsi="仿宋" w:eastAsia="仿宋" w:cs="仿宋_GB2312"/>
          <w:color w:val="auto"/>
          <w:sz w:val="32"/>
          <w:szCs w:val="32"/>
          <w:highlight w:val="none"/>
        </w:rPr>
        <w:t>政府采购合同</w:t>
      </w:r>
      <w:bookmarkEnd w:id="16"/>
    </w:p>
    <w:p>
      <w:pPr>
        <w:keepNext w:val="0"/>
        <w:keepLines w:val="0"/>
        <w:widowControl/>
        <w:suppressLineNumbers w:val="0"/>
        <w:jc w:val="center"/>
        <w:rPr>
          <w:color w:val="auto"/>
          <w:highlight w:val="none"/>
        </w:rPr>
      </w:pPr>
      <w:r>
        <w:rPr>
          <w:rFonts w:ascii="浠垮畫" w:hAnsi="浠垮畫" w:eastAsia="浠垮畫" w:cs="浠垮畫"/>
          <w:b/>
          <w:bCs/>
          <w:color w:val="auto"/>
          <w:kern w:val="0"/>
          <w:sz w:val="48"/>
          <w:szCs w:val="48"/>
          <w:highlight w:val="none"/>
          <w:lang w:val="en-US" w:eastAsia="zh-CN" w:bidi="ar"/>
        </w:rPr>
        <w:t>政府采购合同</w:t>
      </w:r>
    </w:p>
    <w:p>
      <w:pPr>
        <w:keepNext w:val="0"/>
        <w:keepLines w:val="0"/>
        <w:widowControl/>
        <w:suppressLineNumbers w:val="0"/>
        <w:jc w:val="center"/>
        <w:rPr>
          <w:color w:val="auto"/>
          <w:highlight w:val="none"/>
        </w:rPr>
      </w:pPr>
      <w:r>
        <w:rPr>
          <w:rFonts w:hint="default" w:ascii="浠垮畫" w:hAnsi="浠垮畫" w:eastAsia="浠垮畫" w:cs="浠垮畫"/>
          <w:b/>
          <w:bCs/>
          <w:color w:val="auto"/>
          <w:kern w:val="0"/>
          <w:sz w:val="20"/>
          <w:szCs w:val="20"/>
          <w:highlight w:val="none"/>
          <w:lang w:val="en-US" w:eastAsia="zh-CN" w:bidi="ar"/>
        </w:rPr>
        <w:t>（本合同仅供参考，具体以实际签订的合同为准）</w:t>
      </w:r>
    </w:p>
    <w:p>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项目名称：</w:t>
      </w:r>
      <w:r>
        <w:rPr>
          <w:rFonts w:hint="eastAsia" w:ascii="浠垮畫" w:hAnsi="浠垮畫" w:eastAsia="浠垮畫" w:cs="浠垮畫"/>
          <w:color w:val="auto"/>
          <w:kern w:val="0"/>
          <w:sz w:val="24"/>
          <w:szCs w:val="24"/>
          <w:highlight w:val="none"/>
          <w:u w:val="single"/>
          <w:lang w:val="en-US" w:eastAsia="zh-CN" w:bidi="ar"/>
        </w:rPr>
        <w:t xml:space="preserve">                   </w:t>
      </w:r>
    </w:p>
    <w:p>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甲</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 xml:space="preserve"> 方</w:t>
      </w:r>
      <w:r>
        <w:rPr>
          <w:rFonts w:hint="eastAsia" w:ascii="浠垮畫" w:hAnsi="浠垮畫" w:eastAsia="浠垮畫" w:cs="浠垮畫"/>
          <w:color w:val="auto"/>
          <w:kern w:val="0"/>
          <w:sz w:val="24"/>
          <w:szCs w:val="24"/>
          <w:highlight w:val="none"/>
          <w:lang w:val="en-US" w:eastAsia="zh-CN" w:bidi="ar"/>
        </w:rPr>
        <w:t>：</w:t>
      </w:r>
      <w:r>
        <w:rPr>
          <w:rFonts w:hint="eastAsia" w:ascii="浠垮畫" w:hAnsi="浠垮畫" w:eastAsia="浠垮畫" w:cs="浠垮畫"/>
          <w:color w:val="auto"/>
          <w:kern w:val="0"/>
          <w:sz w:val="24"/>
          <w:szCs w:val="24"/>
          <w:highlight w:val="none"/>
          <w:u w:val="single"/>
          <w:lang w:val="en-US" w:eastAsia="zh-CN" w:bidi="ar"/>
        </w:rPr>
        <w:t xml:space="preserve">                   </w:t>
      </w:r>
    </w:p>
    <w:p>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pPr>
        <w:keepNext w:val="0"/>
        <w:keepLines w:val="0"/>
        <w:widowControl/>
        <w:suppressLineNumbers w:val="0"/>
        <w:ind w:firstLine="2160" w:firstLineChars="900"/>
        <w:jc w:val="left"/>
        <w:rPr>
          <w:rFonts w:hint="eastAsia" w:ascii="浠垮畫" w:hAnsi="浠垮畫" w:eastAsia="浠垮畫" w:cs="浠垮畫"/>
          <w:color w:val="auto"/>
          <w:kern w:val="0"/>
          <w:sz w:val="24"/>
          <w:szCs w:val="24"/>
          <w:highlight w:val="none"/>
          <w:u w:val="single"/>
          <w:lang w:val="en-US" w:eastAsia="zh-CN" w:bidi="ar"/>
        </w:rPr>
      </w:pPr>
      <w:r>
        <w:rPr>
          <w:rFonts w:hint="default" w:ascii="浠垮畫" w:hAnsi="浠垮畫" w:eastAsia="浠垮畫" w:cs="浠垮畫"/>
          <w:color w:val="auto"/>
          <w:kern w:val="0"/>
          <w:sz w:val="24"/>
          <w:szCs w:val="24"/>
          <w:highlight w:val="none"/>
          <w:lang w:val="en-US" w:eastAsia="zh-CN" w:bidi="ar"/>
        </w:rPr>
        <w:t xml:space="preserve">乙 </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方：</w:t>
      </w:r>
      <w:r>
        <w:rPr>
          <w:rFonts w:hint="eastAsia" w:ascii="浠垮畫" w:hAnsi="浠垮畫" w:eastAsia="浠垮畫" w:cs="浠垮畫"/>
          <w:color w:val="auto"/>
          <w:kern w:val="0"/>
          <w:sz w:val="24"/>
          <w:szCs w:val="24"/>
          <w:highlight w:val="none"/>
          <w:u w:val="single"/>
          <w:lang w:val="en-US" w:eastAsia="zh-CN" w:bidi="ar"/>
        </w:rPr>
        <w:t xml:space="preserve">                   </w:t>
      </w:r>
    </w:p>
    <w:p>
      <w:pPr>
        <w:keepNext w:val="0"/>
        <w:keepLines w:val="0"/>
        <w:widowControl/>
        <w:suppressLineNumbers w:val="0"/>
        <w:jc w:val="left"/>
        <w:rPr>
          <w:color w:val="auto"/>
          <w:highlight w:val="none"/>
        </w:rPr>
      </w:pPr>
    </w:p>
    <w:p>
      <w:pPr>
        <w:keepNext w:val="0"/>
        <w:keepLines w:val="0"/>
        <w:widowControl/>
        <w:suppressLineNumbers w:val="0"/>
        <w:jc w:val="left"/>
        <w:rPr>
          <w:rFonts w:hint="default" w:ascii="浠垮畫" w:hAnsi="浠垮畫" w:eastAsia="浠垮畫" w:cs="浠垮畫"/>
          <w:color w:val="auto"/>
          <w:kern w:val="0"/>
          <w:sz w:val="24"/>
          <w:szCs w:val="24"/>
          <w:highlight w:val="none"/>
          <w:lang w:val="en-US" w:eastAsia="zh-CN" w:bidi="ar"/>
        </w:rPr>
      </w:pPr>
    </w:p>
    <w:p>
      <w:pPr>
        <w:keepNext w:val="0"/>
        <w:keepLines w:val="0"/>
        <w:widowControl/>
        <w:suppressLineNumbers w:val="0"/>
        <w:ind w:firstLine="2160" w:firstLineChars="900"/>
        <w:jc w:val="left"/>
        <w:rPr>
          <w:color w:val="auto"/>
          <w:highlight w:val="none"/>
        </w:rPr>
      </w:pPr>
      <w:r>
        <w:rPr>
          <w:rFonts w:hint="default" w:ascii="浠垮畫" w:hAnsi="浠垮畫" w:eastAsia="浠垮畫" w:cs="浠垮畫"/>
          <w:color w:val="auto"/>
          <w:kern w:val="0"/>
          <w:sz w:val="24"/>
          <w:szCs w:val="24"/>
          <w:highlight w:val="none"/>
          <w:lang w:val="en-US" w:eastAsia="zh-CN" w:bidi="ar"/>
        </w:rPr>
        <w:t>签订时间：</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年</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月</w:t>
      </w:r>
      <w:r>
        <w:rPr>
          <w:rFonts w:hint="eastAsia" w:ascii="浠垮畫" w:hAnsi="浠垮畫" w:eastAsia="浠垮畫" w:cs="浠垮畫"/>
          <w:color w:val="auto"/>
          <w:kern w:val="0"/>
          <w:sz w:val="24"/>
          <w:szCs w:val="24"/>
          <w:highlight w:val="none"/>
          <w:lang w:val="en-US" w:eastAsia="zh-CN" w:bidi="ar"/>
        </w:rPr>
        <w:t xml:space="preserve">    </w:t>
      </w:r>
      <w:r>
        <w:rPr>
          <w:rFonts w:hint="default" w:ascii="浠垮畫" w:hAnsi="浠垮畫" w:eastAsia="浠垮畫" w:cs="浠垮畫"/>
          <w:color w:val="auto"/>
          <w:kern w:val="0"/>
          <w:sz w:val="24"/>
          <w:szCs w:val="24"/>
          <w:highlight w:val="none"/>
          <w:lang w:val="en-US" w:eastAsia="zh-CN" w:bidi="ar"/>
        </w:rPr>
        <w:t>日</w:t>
      </w:r>
    </w:p>
    <w:p>
      <w:pPr>
        <w:rPr>
          <w:rFonts w:hint="default" w:ascii="浠垮畫" w:hAnsi="浠垮畫" w:eastAsia="浠垮畫" w:cs="浠垮畫"/>
          <w:color w:val="auto"/>
          <w:kern w:val="0"/>
          <w:sz w:val="24"/>
          <w:szCs w:val="24"/>
          <w:highlight w:val="none"/>
          <w:lang w:val="en-US" w:eastAsia="zh-CN" w:bidi="ar"/>
        </w:rPr>
      </w:pPr>
      <w:r>
        <w:rPr>
          <w:rFonts w:hint="default" w:ascii="浠垮畫" w:hAnsi="浠垮畫" w:eastAsia="浠垮畫" w:cs="浠垮畫"/>
          <w:color w:val="auto"/>
          <w:kern w:val="0"/>
          <w:sz w:val="24"/>
          <w:szCs w:val="24"/>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）委托（新疆世纪星工程咨询有限公司）进行了政府采购。按照评委会评审推荐、甲方确定乙方为成交单位。现甲乙双方协商同意签订本合同。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第一条 合同文件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下列与本次采购活动有关的文件及附件是本合同不可分割的组成部分，与本合同具有同等法律效力，这些文件包括但不限于：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1.招标文件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2.成交供应商投标文件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3.乙方在投标时的书面承诺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4.成交通知书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5.合同补充条款或说明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6.保密协议或条款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7.相关附件、图纸及电子版资料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第二条 合同内容 </w:t>
      </w:r>
    </w:p>
    <w:tbl>
      <w:tblPr>
        <w:tblStyle w:val="23"/>
        <w:tblW w:w="876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87"/>
        <w:gridCol w:w="1238"/>
        <w:gridCol w:w="887"/>
        <w:gridCol w:w="1013"/>
        <w:gridCol w:w="1137"/>
        <w:gridCol w:w="1213"/>
        <w:gridCol w:w="13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11" w:hRule="atLeast"/>
        </w:trPr>
        <w:tc>
          <w:tcPr>
            <w:tcW w:w="188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238"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8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01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13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121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139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88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238"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88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01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13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21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firstLine="480"/>
              <w:jc w:val="center"/>
              <w:textAlignment w:val="auto"/>
              <w:rPr>
                <w:rFonts w:hint="eastAsia" w:ascii="仿宋" w:hAnsi="仿宋" w:eastAsia="仿宋" w:cs="仿宋"/>
                <w:color w:val="auto"/>
                <w:sz w:val="24"/>
                <w:szCs w:val="24"/>
                <w:highlight w:val="none"/>
              </w:rPr>
            </w:pPr>
          </w:p>
        </w:tc>
        <w:tc>
          <w:tcPr>
            <w:tcW w:w="139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trPr>
        <w:tc>
          <w:tcPr>
            <w:tcW w:w="188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238"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88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01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137"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21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c>
          <w:tcPr>
            <w:tcW w:w="1393" w:type="dxa"/>
            <w:noWrap w:val="0"/>
            <w:tcMar>
              <w:top w:w="0" w:type="dxa"/>
              <w:left w:w="108" w:type="dxa"/>
              <w:bottom w:w="0" w:type="dxa"/>
              <w:right w:w="108" w:type="dxa"/>
            </w:tcMar>
            <w:vAlign w:val="center"/>
          </w:tcPr>
          <w:p>
            <w:pPr>
              <w:keepNext w:val="0"/>
              <w:keepLines w:val="0"/>
              <w:pageBreakBefore w:val="0"/>
              <w:kinsoku/>
              <w:wordWrap/>
              <w:topLinePunct w:val="0"/>
              <w:autoSpaceDE/>
              <w:autoSpaceDN/>
              <w:bidi w:val="0"/>
              <w:adjustRightInd/>
              <w:spacing w:line="360" w:lineRule="auto"/>
              <w:ind w:left="0" w:leftChars="0"/>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第三条 合同总金额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本合同总金额：￥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大 写：</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合同总价款包括服务期间必须的日常物料、易耗品、工具、调试费、培训费等相关费用。（该合同总价是货物制造、包装、仓储、运输、装卸、安装、调试、保险、税金、培训费和其它配套设施设备的安装调试，及验收合格之前及保修期内备品备件发生的所有含税费用等。本合同执行期间合同总价不变。）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本合同执行期内，在合同总体框架内，因工作量变化而引起的服务费用的变动，由乙方自行承担。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第四条 权利义务和质量保证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1.甲方保证服务期间，对乙方工作给予支持，提供水、电、场地等必须的基础工作条件。 如乙方需要与已有相关平台对接，甲方负责出具乙方项目建设资格的相关证明，具体对接事项由乙方自行全面负责解决。未获甲方同意，乙方不得将甲方项目资料提供给与履行本合同无关的任何其他人。即使向履行本合同有关的人员提供，也应注意保密并限于履行合同的必需范围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2.乙方保证所完成的本合同项目，其任何一部分均不会侵犯任何第三方的专利权、商标权或著作权。一旦出现侵权，索赔或诉讼，乙方应承担全部责任。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3.乙方保证本合同项目不存在影响或危害甲方已有运行平台之隐患和结果，不存在违反国家法规、法令、法律以及行业规范所要求的有关安全条款，否则应承担由此造成的所有后果和全部法律责任。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4.本合同约定的项目系统软件及源代码等产权全部归甲方所有。项目最终验收时，乙方应将所有文档、代码、数据库和用户使用操作文档等全部交与甲方。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5.乙方不得在本合同项目系统中，增加或删减未经甲方同意或认可的用户类型、权限和功能模块等。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_GB2312"/>
          <w:color w:val="auto"/>
          <w:sz w:val="24"/>
          <w:highlight w:val="none"/>
        </w:rPr>
        <w:t>合同履约期限</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_GB2312"/>
          <w:color w:val="auto"/>
          <w:sz w:val="24"/>
          <w:highlight w:val="none"/>
        </w:rPr>
        <w:t>合同签订后</w:t>
      </w:r>
      <w:r>
        <w:rPr>
          <w:rFonts w:hint="eastAsia" w:ascii="仿宋" w:hAnsi="仿宋" w:eastAsia="仿宋" w:cs="仿宋_GB2312"/>
          <w:color w:val="auto"/>
          <w:sz w:val="24"/>
          <w:highlight w:val="none"/>
          <w:lang w:eastAsia="zh-CN"/>
        </w:rPr>
        <w:t>30日历日</w:t>
      </w:r>
      <w:r>
        <w:rPr>
          <w:rFonts w:hint="eastAsia" w:ascii="仿宋" w:hAnsi="仿宋" w:eastAsia="仿宋" w:cs="仿宋_GB2312"/>
          <w:color w:val="auto"/>
          <w:sz w:val="24"/>
          <w:highlight w:val="none"/>
        </w:rPr>
        <w:t>完成供货、安装、调试、验收等工作</w:t>
      </w:r>
      <w:r>
        <w:rPr>
          <w:rFonts w:hint="eastAsia" w:ascii="仿宋" w:hAnsi="仿宋" w:eastAsia="仿宋" w:cs="仿宋"/>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第五条 付款方式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1.本合同项下所有款项均以人民币支付。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2.乙方向甲方提交下列文件材料，经甲方审核无误后支付采购资金：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（1）经甲方确认的发票；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（2）经甲乙双方确认签署的《验收报告》（或按项目进度阶段性《验收报告》）；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（3）其他材料。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3.付款方式：设备验收合格后，甲方支付给乙方第一期 30%合同款，验收6个月后支付第二期60%合同款，质保期结束后支付10%尾款。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第六条 履约保证金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1.乙方在签订本合同之日，向甲方提交合同履约保证金，金额为</w:t>
      </w:r>
      <w:r>
        <w:rPr>
          <w:rFonts w:hint="eastAsia" w:ascii="仿宋" w:hAnsi="仿宋" w:eastAsia="仿宋" w:cs="仿宋"/>
          <w:color w:val="auto"/>
          <w:sz w:val="24"/>
          <w:szCs w:val="24"/>
          <w:highlight w:val="none"/>
          <w:lang w:val="en-US" w:eastAsia="zh-CN"/>
        </w:rPr>
        <w:t>签约合同价的</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kern w:val="0"/>
          <w:sz w:val="24"/>
          <w:szCs w:val="24"/>
          <w:highlight w:val="none"/>
          <w:lang w:val="en-US" w:eastAsia="zh-CN" w:bidi="ar"/>
        </w:rPr>
        <w:t xml:space="preserve">，缴纳方式双方协商确定。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2.履约保证金有效期为质保期结束。到期后，甲方向乙方无息退还。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3.如乙方未能履行、或未能完全履行合同规定的义务，甲方有权从履约保证金中取得补偿。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第七条 验收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1.进口产品供货时，中标人必须提供有效的进口产品报关手续证明材料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2.本项目最终验收期限：</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eastAsia="zh-CN"/>
        </w:rPr>
        <w:t>30日历日</w:t>
      </w:r>
      <w:r>
        <w:rPr>
          <w:rFonts w:hint="eastAsia" w:ascii="仿宋" w:hAnsi="仿宋" w:eastAsia="仿宋" w:cs="仿宋"/>
          <w:color w:val="auto"/>
          <w:sz w:val="24"/>
          <w:szCs w:val="24"/>
          <w:highlight w:val="none"/>
        </w:rPr>
        <w:t>完成供货、安装、调试、验收等工作</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3.验收地点：</w:t>
      </w:r>
      <w:r>
        <w:rPr>
          <w:rFonts w:hint="eastAsia" w:ascii="仿宋" w:hAnsi="仿宋" w:eastAsia="仿宋" w:cs="仿宋"/>
          <w:color w:val="auto"/>
          <w:kern w:val="0"/>
          <w:sz w:val="24"/>
          <w:szCs w:val="24"/>
          <w:highlight w:val="none"/>
          <w:u w:val="single"/>
          <w:lang w:val="en-US" w:eastAsia="zh-CN" w:bidi="ar"/>
        </w:rPr>
        <w:t xml:space="preserve"> 采购人指定地点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4.乙方应对提供的服务成果作出全面自查和整理，并列出清单，作为甲方验收和使用的务条件依据，清单应随提供的服务成果交给甲方。货物的到货验收包括：型号、规格、数量、 外观质量及货物包装完整无损。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5.货物和系统调试验收的标准：按行业通行标准、厂方出厂标准和乙方投标文件的承诺。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6.国内产品或合资厂的产品必须具备出厂合格证和原厂保修卡。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7.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赔偿责任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8.甲方可以视项目规模或复杂情况聘请专业人员参与验收，大型或复杂项目，以及涉及专业服务内容的应当邀请国家认可的第三方质量检测机构参与验收，也可以视项目情况邀请参加本项目投标的落标人参与验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9.如根据项目实施情况需要分阶段验收，则双方分阶段签署《验收报告》。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10.如果合同双方对《验收报告》有分歧，双方须于出现分歧后</w:t>
      </w:r>
      <w:r>
        <w:rPr>
          <w:rFonts w:hint="eastAsia" w:ascii="仿宋" w:hAnsi="仿宋" w:eastAsia="仿宋" w:cs="仿宋"/>
          <w:color w:val="auto"/>
          <w:kern w:val="0"/>
          <w:sz w:val="24"/>
          <w:szCs w:val="24"/>
          <w:highlight w:val="none"/>
          <w:u w:val="single"/>
          <w:lang w:val="en-US" w:eastAsia="zh-CN" w:bidi="ar"/>
        </w:rPr>
        <w:t xml:space="preserve"> 7 </w:t>
      </w:r>
      <w:r>
        <w:rPr>
          <w:rFonts w:hint="eastAsia" w:ascii="仿宋" w:hAnsi="仿宋" w:eastAsia="仿宋" w:cs="仿宋"/>
          <w:color w:val="auto"/>
          <w:kern w:val="0"/>
          <w:sz w:val="24"/>
          <w:szCs w:val="24"/>
          <w:highlight w:val="none"/>
          <w:lang w:val="en-US" w:eastAsia="zh-CN" w:bidi="ar"/>
        </w:rPr>
        <w:t xml:space="preserve">天内给对方书面声明，以陈述己方的理由及要求，并附有关证据。分歧应通过协商解决。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第八条 项目管理服务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应组建技术熟练、称职的团队全面履行合同,并指定不少于一人全权全程负责本项目服务的落实，包括前期调研、供货方案、测试及服务期内的系统维护，以及在合同总体框架内根据用户需求补充和完善功能等售后服务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项目负责人姓名：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 联系电话：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第九条 售后服务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2.质量保证期为：</w:t>
      </w:r>
      <w:r>
        <w:rPr>
          <w:rFonts w:hint="eastAsia" w:ascii="仿宋" w:hAnsi="仿宋" w:eastAsia="仿宋" w:cs="仿宋"/>
          <w:color w:val="auto"/>
          <w:sz w:val="24"/>
          <w:szCs w:val="24"/>
          <w:highlight w:val="none"/>
        </w:rPr>
        <w:t>质保期</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年</w:t>
      </w:r>
      <w:r>
        <w:rPr>
          <w:rFonts w:hint="eastAsia" w:ascii="仿宋" w:hAnsi="仿宋" w:eastAsia="仿宋" w:cs="仿宋"/>
          <w:b w:val="0"/>
          <w:bCs w:val="0"/>
          <w:i/>
          <w:iCs/>
          <w:color w:val="auto"/>
          <w:sz w:val="24"/>
          <w:szCs w:val="24"/>
          <w:highlight w:val="none"/>
          <w:lang w:val="en-US" w:eastAsia="zh-CN"/>
        </w:rPr>
        <w:t>（满足采购需求要求，根据投标文件响应情况更改）</w:t>
      </w:r>
      <w:r>
        <w:rPr>
          <w:rFonts w:hint="eastAsia" w:ascii="仿宋" w:hAnsi="仿宋" w:eastAsia="仿宋" w:cs="仿宋"/>
          <w:color w:val="auto"/>
          <w:sz w:val="24"/>
          <w:szCs w:val="24"/>
          <w:highlight w:val="none"/>
          <w:lang w:eastAsia="zh-CN"/>
        </w:rPr>
        <w:t>。</w:t>
      </w:r>
    </w:p>
    <w:p>
      <w:pPr>
        <w:pStyle w:val="42"/>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3.质量保证期内，乙方负责对其提供的货物整机进行维修和系统维护，不再收取任何费用， 但不可抗力（如火灾、雷击及人为因素等）造成的故障除外。</w:t>
      </w:r>
      <w:r>
        <w:rPr>
          <w:rFonts w:hint="eastAsia" w:ascii="仿宋" w:hAnsi="仿宋" w:eastAsia="仿宋" w:cs="仿宋"/>
          <w:color w:val="auto"/>
          <w:sz w:val="24"/>
          <w:szCs w:val="24"/>
          <w:highlight w:val="none"/>
        </w:rPr>
        <w:t>质保期后只收取材料成本费，软件终身免费升级维修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lang w:bidi="ar"/>
        </w:rPr>
        <w:t>提供定期维修保养服务</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4.货物故障报修的响应时间为：</w:t>
      </w:r>
      <w:r>
        <w:rPr>
          <w:rFonts w:hint="eastAsia" w:ascii="仿宋" w:hAnsi="仿宋" w:eastAsia="仿宋" w:cs="仿宋"/>
          <w:color w:val="auto"/>
          <w:sz w:val="24"/>
          <w:szCs w:val="24"/>
          <w:highlight w:val="none"/>
        </w:rPr>
        <w:t>30分钟内响应，2小时内给出解决方案，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小时内服务人员到场解决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5.若货物故障在检修</w:t>
      </w:r>
      <w:r>
        <w:rPr>
          <w:rFonts w:hint="eastAsia" w:ascii="仿宋" w:hAnsi="仿宋" w:eastAsia="仿宋" w:cs="仿宋"/>
          <w:color w:val="auto"/>
          <w:kern w:val="0"/>
          <w:sz w:val="24"/>
          <w:szCs w:val="24"/>
          <w:highlight w:val="none"/>
          <w:u w:val="single"/>
          <w:lang w:val="en-US" w:eastAsia="zh-CN" w:bidi="ar"/>
        </w:rPr>
        <w:t xml:space="preserve"> 8 </w:t>
      </w:r>
      <w:r>
        <w:rPr>
          <w:rFonts w:hint="eastAsia" w:ascii="仿宋" w:hAnsi="仿宋" w:eastAsia="仿宋" w:cs="仿宋"/>
          <w:color w:val="auto"/>
          <w:kern w:val="0"/>
          <w:sz w:val="24"/>
          <w:szCs w:val="24"/>
          <w:highlight w:val="none"/>
          <w:lang w:val="en-US" w:eastAsia="zh-CN" w:bidi="ar"/>
        </w:rPr>
        <w:t>工作小时后仍无法排除，乙方应在</w:t>
      </w:r>
      <w:r>
        <w:rPr>
          <w:rFonts w:hint="eastAsia" w:ascii="仿宋" w:hAnsi="仿宋" w:eastAsia="仿宋" w:cs="仿宋"/>
          <w:color w:val="auto"/>
          <w:kern w:val="0"/>
          <w:sz w:val="24"/>
          <w:szCs w:val="24"/>
          <w:highlight w:val="none"/>
          <w:u w:val="single"/>
          <w:lang w:val="en-US" w:eastAsia="zh-CN" w:bidi="ar"/>
        </w:rPr>
        <w:t xml:space="preserve"> 48 </w:t>
      </w:r>
      <w:r>
        <w:rPr>
          <w:rFonts w:hint="eastAsia" w:ascii="仿宋" w:hAnsi="仿宋" w:eastAsia="仿宋" w:cs="仿宋"/>
          <w:color w:val="auto"/>
          <w:kern w:val="0"/>
          <w:sz w:val="24"/>
          <w:szCs w:val="24"/>
          <w:highlight w:val="none"/>
          <w:lang w:val="en-US" w:eastAsia="zh-CN" w:bidi="ar"/>
        </w:rPr>
        <w:t xml:space="preserve">小时内免费提供不低于故障货物规格型号档次的备用货物供甲方使用，直至故障货物修复。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6.所有货物保修服务方式均为乙方上门保修，即由乙方派员到货物使用现场维修，由此产生的一切费用均由乙方承担。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7.保修期后的货物维护由双方协商再定。 </w:t>
      </w:r>
    </w:p>
    <w:p>
      <w:pPr>
        <w:pStyle w:val="42"/>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8.乙方必须遵守甲方的有关管理制度、操作规程。对于乙方违规操作造成甲方损失的，由乙方按照本合同第十二条的约定承担赔偿责任。</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、技术文件：提供全套的</w:t>
      </w:r>
      <w:r>
        <w:rPr>
          <w:rFonts w:hint="eastAsia" w:ascii="仿宋" w:hAnsi="仿宋" w:eastAsia="仿宋" w:cs="仿宋"/>
          <w:color w:val="auto"/>
          <w:sz w:val="24"/>
          <w:szCs w:val="24"/>
          <w:highlight w:val="none"/>
          <w:lang w:val="en-US" w:eastAsia="zh-CN"/>
        </w:rPr>
        <w:t>说明书/</w:t>
      </w:r>
      <w:r>
        <w:rPr>
          <w:rFonts w:hint="eastAsia" w:ascii="仿宋" w:hAnsi="仿宋" w:eastAsia="仿宋" w:cs="仿宋"/>
          <w:color w:val="auto"/>
          <w:sz w:val="24"/>
          <w:szCs w:val="24"/>
          <w:highlight w:val="none"/>
        </w:rPr>
        <w:t>操作手册及维修手册、光盘等，如有密码，则密码开放。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10、</w:t>
      </w:r>
      <w:r>
        <w:rPr>
          <w:rFonts w:hint="eastAsia" w:ascii="仿宋" w:hAnsi="仿宋" w:eastAsia="仿宋" w:cs="仿宋"/>
          <w:color w:val="auto"/>
          <w:kern w:val="0"/>
          <w:sz w:val="24"/>
          <w:highlight w:val="none"/>
          <w:lang w:bidi="ar"/>
        </w:rPr>
        <w:t>维修工具</w:t>
      </w:r>
      <w:r>
        <w:rPr>
          <w:rFonts w:hint="eastAsia" w:ascii="仿宋" w:hAnsi="仿宋" w:eastAsia="仿宋" w:cs="仿宋"/>
          <w:color w:val="auto"/>
          <w:kern w:val="0"/>
          <w:sz w:val="24"/>
          <w:highlight w:val="none"/>
          <w:lang w:val="en-US" w:eastAsia="zh-CN" w:bidi="ar"/>
        </w:rPr>
        <w:t>:</w:t>
      </w:r>
      <w:r>
        <w:rPr>
          <w:rFonts w:hint="eastAsia" w:ascii="仿宋" w:hAnsi="仿宋" w:eastAsia="仿宋" w:cs="仿宋"/>
          <w:color w:val="auto"/>
          <w:kern w:val="0"/>
          <w:sz w:val="24"/>
          <w:highlight w:val="none"/>
          <w:lang w:bidi="ar"/>
        </w:rPr>
        <w:t>如需特殊工具，提供专业工具一套</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第十条 分包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除招标采购文件事先说明、且经甲方事先书面同意外，乙方不得分包、转包其应履行的合同义务。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第十一条 合同的生效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1.本合同经甲乙双方授权代表签字并加盖公章或合同专用章后生效。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2.生效后，除《政府采购法》第 49 条、第 50 条第二款规定的情形外，甲乙双方不得擅自变更、中止或终止合同。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第十二条 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1.交付项目不符合本合同规定的，甲方有权拒收，乙方在得到甲方通知之日起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2.甲方无正当理由拒收交付的，甲方应向乙方偿付合同总价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3.乙方无正当理由逾期交付的，每逾期 1 天，乙方向甲方偿付合同总额的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‰的违约金。如乙方逾期达</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天，甲方有权解除合同，甲方解除合同的通知自到达乙方时生效。在此情况下，乙方给甲方造成的实际损失高于履约保证金的，对高出违约金的部分乙方应予以赔偿。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4.甲方未按合同规定的期限向乙方支付合同款的，每逾期 1 天甲方向乙方偿付欠款总额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‰违约金，但累计违约金总额不超过欠款总额的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6.其它未尽事宜，以《民法典》和《政府采购法》等有关法律法规规定为准，无相关规定的，双方协商解决。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7.乙方所供货物必须权属清楚，不得侵害他人的知识产权，否则构成对甲方违约，违约金按本条第 3~4 款执行。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第十三条 不可抗力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甲、乙方中任何一方，因不可抗力不能按时或完全履行合同的，应及时通知对方，并在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个工作日内提供相应证明，结算服务费用。未履行的部分是否继续履行、如何履行等问题，可由双方初步协商，并向主管部门和政府采购管理部门报告。确定为不可抗力原因造成的损失，免予承担责任。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第十四条 争议的解决方式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1.因服务或货物质量问题发生争议的，应当邀请国家认可的质量检测机构对服务进行鉴定。服务符合标准的，鉴定费由甲方承担；不符合质量标准的，鉴定费由乙方承担。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2.在解释或者执行本合同的过程中发生争议时，双方应通过协商方式解决。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3.经协商不能解决的争议，双方可选择以下第</w:t>
      </w:r>
      <w:r>
        <w:rPr>
          <w:rFonts w:hint="eastAsia" w:ascii="仿宋" w:hAnsi="仿宋" w:eastAsia="仿宋" w:cs="仿宋"/>
          <w:color w:val="auto"/>
          <w:kern w:val="0"/>
          <w:sz w:val="24"/>
          <w:szCs w:val="24"/>
          <w:highlight w:val="none"/>
          <w:u w:val="single"/>
          <w:lang w:val="en-US" w:eastAsia="zh-CN" w:bidi="ar"/>
        </w:rPr>
        <w:t xml:space="preserve"> ① </w:t>
      </w:r>
      <w:r>
        <w:rPr>
          <w:rFonts w:hint="eastAsia" w:ascii="仿宋" w:hAnsi="仿宋" w:eastAsia="仿宋" w:cs="仿宋"/>
          <w:color w:val="auto"/>
          <w:kern w:val="0"/>
          <w:sz w:val="24"/>
          <w:szCs w:val="24"/>
          <w:highlight w:val="none"/>
          <w:lang w:val="en-US" w:eastAsia="zh-CN" w:bidi="ar"/>
        </w:rPr>
        <w:t xml:space="preserve">种方式解决：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①向</w:t>
      </w:r>
      <w:r>
        <w:rPr>
          <w:rFonts w:hint="eastAsia" w:ascii="仿宋" w:hAnsi="仿宋" w:eastAsia="仿宋" w:cs="仿宋"/>
          <w:color w:val="auto"/>
          <w:kern w:val="0"/>
          <w:sz w:val="24"/>
          <w:szCs w:val="24"/>
          <w:highlight w:val="none"/>
          <w:u w:val="single"/>
          <w:lang w:val="en-US" w:eastAsia="zh-CN" w:bidi="ar"/>
        </w:rPr>
        <w:t>采购人所在地</w:t>
      </w:r>
      <w:r>
        <w:rPr>
          <w:rFonts w:hint="eastAsia" w:ascii="仿宋" w:hAnsi="仿宋" w:eastAsia="仿宋" w:cs="仿宋"/>
          <w:color w:val="auto"/>
          <w:kern w:val="0"/>
          <w:sz w:val="24"/>
          <w:szCs w:val="24"/>
          <w:highlight w:val="none"/>
          <w:lang w:val="en-US" w:eastAsia="zh-CN" w:bidi="ar"/>
        </w:rPr>
        <w:t xml:space="preserve">的法院提起诉讼；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②向乌鲁木齐仲裁委员会提出仲裁。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4.在法院审理和仲裁期间，除有争议部分外，本合同其他部分可以履行的仍应按合同条款继续履行。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第十五条 其他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符合《政府采购法》第 49 条规定的，经双方协商，办理政府采购手续后，可签订补充合 同，所签订的补充合同与本合同具有同等法律效力。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本合同一式 份，甲、乙双方各执 份。</w:t>
      </w:r>
      <w:r>
        <w:rPr>
          <w:rFonts w:hint="default" w:ascii="浠垮畫" w:hAnsi="浠垮畫" w:eastAsia="浠垮畫" w:cs="浠垮畫"/>
          <w:color w:val="auto"/>
          <w:kern w:val="0"/>
          <w:sz w:val="24"/>
          <w:szCs w:val="24"/>
          <w:highlight w:val="none"/>
          <w:lang w:val="en-US" w:eastAsia="zh-CN" w:bidi="ar"/>
        </w:rPr>
        <w:t xml:space="preserve"> </w:t>
      </w:r>
    </w:p>
    <w:p>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经办人：                                     经办人：         </w:t>
      </w:r>
    </w:p>
    <w:p>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pPr>
        <w:keepNext w:val="0"/>
        <w:keepLines w:val="0"/>
        <w:pageBreakBefore w:val="0"/>
        <w:kinsoku/>
        <w:wordWrap/>
        <w:overflowPunct w:val="0"/>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20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w:t>
      </w:r>
    </w:p>
    <w:p>
      <w:pPr>
        <w:keepNext w:val="0"/>
        <w:keepLines w:val="0"/>
        <w:widowControl/>
        <w:suppressLineNumbers w:val="0"/>
        <w:jc w:val="left"/>
        <w:rPr>
          <w:rFonts w:hint="default" w:ascii="浠垮畫" w:hAnsi="浠垮畫" w:eastAsia="浠垮畫" w:cs="浠垮畫"/>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特别说明：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1.本范本根据《政府采购法》、《民法典》等法律法规制定。具体项目的采购合同条款， 在本范本框架内由甲乙双方协商一致签订。空格处划横线。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 xml:space="preserve">2.收款单位名称应与本合同乙方单位名称、项目成交单位名称、开具发票单位名称相一致。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3.甲方（采购单位）应盖本单位公章，乙方应盖单位公章或合同专用章，合同双方应盖 骑缝章。</w:t>
      </w:r>
    </w:p>
    <w:p>
      <w:pPr>
        <w:spacing w:line="500" w:lineRule="exact"/>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2"/>
        <w:numPr>
          <w:ilvl w:val="0"/>
          <w:numId w:val="1"/>
        </w:numPr>
        <w:jc w:val="center"/>
        <w:rPr>
          <w:rFonts w:ascii="仿宋" w:hAnsi="仿宋" w:eastAsia="仿宋" w:cs="仿宋_GB2312"/>
          <w:color w:val="auto"/>
          <w:sz w:val="32"/>
          <w:szCs w:val="32"/>
          <w:highlight w:val="none"/>
        </w:rPr>
      </w:pPr>
      <w:bookmarkStart w:id="17" w:name="_Toc20159"/>
      <w:r>
        <w:rPr>
          <w:rFonts w:hint="eastAsia" w:ascii="仿宋" w:hAnsi="仿宋" w:eastAsia="仿宋" w:cs="仿宋_GB2312"/>
          <w:color w:val="auto"/>
          <w:sz w:val="32"/>
          <w:szCs w:val="32"/>
          <w:highlight w:val="none"/>
        </w:rPr>
        <w:t>采购需求</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一、采购货物明细</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1、标项1：</w:t>
      </w:r>
    </w:p>
    <w:tbl>
      <w:tblPr>
        <w:tblStyle w:val="2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3130"/>
        <w:gridCol w:w="1033"/>
        <w:gridCol w:w="1417"/>
        <w:gridCol w:w="141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jc w:val="center"/>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rPr>
            </w:pPr>
            <w:r>
              <w:rPr>
                <w:rStyle w:val="52"/>
                <w:rFonts w:hint="eastAsia" w:ascii="仿宋" w:hAnsi="仿宋" w:eastAsia="仿宋" w:cs="仿宋"/>
                <w:b w:val="0"/>
                <w:bCs w:val="0"/>
                <w:color w:val="auto"/>
                <w:sz w:val="24"/>
                <w:szCs w:val="24"/>
                <w:highlight w:val="none"/>
                <w:lang w:val="en-US" w:eastAsia="zh-CN" w:bidi="ar"/>
              </w:rPr>
              <w:t>序号</w:t>
            </w:r>
          </w:p>
        </w:tc>
        <w:tc>
          <w:tcPr>
            <w:tcW w:w="3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rPr>
            </w:pPr>
            <w:r>
              <w:rPr>
                <w:rStyle w:val="52"/>
                <w:rFonts w:hint="eastAsia" w:ascii="仿宋" w:hAnsi="仿宋" w:eastAsia="仿宋" w:cs="仿宋"/>
                <w:b w:val="0"/>
                <w:bCs w:val="0"/>
                <w:color w:val="auto"/>
                <w:sz w:val="24"/>
                <w:szCs w:val="24"/>
                <w:highlight w:val="none"/>
                <w:lang w:val="en-US" w:eastAsia="zh-CN" w:bidi="ar"/>
              </w:rPr>
              <w:t>货物名称</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Style w:val="52"/>
                <w:rFonts w:hint="eastAsia" w:ascii="仿宋" w:hAnsi="仿宋" w:eastAsia="仿宋" w:cs="仿宋"/>
                <w:b w:val="0"/>
                <w:bCs w:val="0"/>
                <w:color w:val="auto"/>
                <w:sz w:val="24"/>
                <w:szCs w:val="24"/>
                <w:highlight w:val="none"/>
                <w:lang w:val="en-US" w:eastAsia="zh-CN" w:bidi="ar"/>
              </w:rPr>
            </w:pPr>
            <w:r>
              <w:rPr>
                <w:rStyle w:val="52"/>
                <w:rFonts w:hint="eastAsia" w:ascii="仿宋" w:hAnsi="仿宋" w:eastAsia="仿宋" w:cs="仿宋"/>
                <w:b w:val="0"/>
                <w:bCs w:val="0"/>
                <w:color w:val="auto"/>
                <w:sz w:val="24"/>
                <w:szCs w:val="24"/>
                <w:highlight w:val="none"/>
                <w:lang w:val="en-US" w:eastAsia="zh-CN" w:bidi="ar"/>
              </w:rPr>
              <w:t>单位</w:t>
            </w:r>
          </w:p>
        </w:tc>
        <w:tc>
          <w:tcPr>
            <w:tcW w:w="14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Style w:val="52"/>
                <w:rFonts w:hint="eastAsia" w:ascii="仿宋" w:hAnsi="仿宋" w:eastAsia="仿宋" w:cs="仿宋"/>
                <w:b w:val="0"/>
                <w:bCs w:val="0"/>
                <w:color w:val="auto"/>
                <w:sz w:val="24"/>
                <w:szCs w:val="24"/>
                <w:highlight w:val="none"/>
                <w:lang w:val="en-US" w:eastAsia="zh-CN" w:bidi="ar"/>
              </w:rPr>
            </w:pPr>
            <w:r>
              <w:rPr>
                <w:rStyle w:val="52"/>
                <w:rFonts w:hint="eastAsia" w:ascii="仿宋" w:hAnsi="仿宋" w:eastAsia="仿宋" w:cs="仿宋"/>
                <w:b w:val="0"/>
                <w:bCs w:val="0"/>
                <w:color w:val="auto"/>
                <w:sz w:val="24"/>
                <w:szCs w:val="24"/>
                <w:highlight w:val="none"/>
                <w:lang w:val="en-US" w:eastAsia="zh-CN" w:bidi="ar"/>
              </w:rPr>
              <w:t>采购数量</w:t>
            </w:r>
          </w:p>
        </w:tc>
        <w:tc>
          <w:tcPr>
            <w:tcW w:w="14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rPr>
            </w:pPr>
            <w:r>
              <w:rPr>
                <w:rStyle w:val="52"/>
                <w:rFonts w:hint="eastAsia" w:ascii="仿宋" w:hAnsi="仿宋" w:eastAsia="仿宋" w:cs="仿宋"/>
                <w:b w:val="0"/>
                <w:bCs w:val="0"/>
                <w:color w:val="auto"/>
                <w:sz w:val="24"/>
                <w:szCs w:val="24"/>
                <w:highlight w:val="none"/>
                <w:lang w:val="en-US" w:eastAsia="zh-CN" w:bidi="ar"/>
              </w:rPr>
              <w:t>单价限价（万元）</w:t>
            </w:r>
          </w:p>
        </w:tc>
        <w:tc>
          <w:tcPr>
            <w:tcW w:w="11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限价合计（万元）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超声雾化熏洗仪</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台</w:t>
            </w:r>
          </w:p>
        </w:tc>
        <w:tc>
          <w:tcPr>
            <w:tcW w:w="14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sz w:val="24"/>
                <w:szCs w:val="24"/>
                <w:highlight w:val="none"/>
                <w:u w:val="none"/>
                <w:lang w:val="en-US" w:eastAsia="zh-CN"/>
              </w:rPr>
              <w:t>1</w:t>
            </w:r>
          </w:p>
        </w:tc>
        <w:tc>
          <w:tcPr>
            <w:tcW w:w="14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default"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2.8</w:t>
            </w:r>
          </w:p>
        </w:tc>
        <w:tc>
          <w:tcPr>
            <w:tcW w:w="11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default"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1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微波治疗机</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台</w:t>
            </w:r>
          </w:p>
        </w:tc>
        <w:tc>
          <w:tcPr>
            <w:tcW w:w="14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sz w:val="24"/>
                <w:szCs w:val="24"/>
                <w:highlight w:val="none"/>
                <w:u w:val="none"/>
                <w:lang w:val="en-US" w:eastAsia="zh-CN"/>
              </w:rPr>
              <w:t>4</w:t>
            </w:r>
          </w:p>
        </w:tc>
        <w:tc>
          <w:tcPr>
            <w:tcW w:w="14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3</w:t>
            </w:r>
          </w:p>
        </w:tc>
        <w:tc>
          <w:tcPr>
            <w:tcW w:w="11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74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val="0"/>
                <w:bCs w:val="0"/>
                <w:i w:val="0"/>
                <w:iCs w:val="0"/>
                <w:color w:val="auto"/>
                <w:sz w:val="24"/>
                <w:szCs w:val="24"/>
                <w:highlight w:val="none"/>
                <w:u w:val="none"/>
                <w:lang w:val="en-US" w:eastAsia="zh-CN"/>
              </w:rPr>
            </w:pPr>
          </w:p>
        </w:tc>
        <w:tc>
          <w:tcPr>
            <w:tcW w:w="11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center"/>
              <w:rPr>
                <w:rFonts w:hint="default" w:ascii="仿宋" w:hAnsi="仿宋" w:eastAsia="仿宋" w:cs="仿宋"/>
                <w:b w:val="0"/>
                <w:bCs w:val="0"/>
                <w:i w:val="0"/>
                <w:iCs w:val="0"/>
                <w:color w:val="auto"/>
                <w:sz w:val="24"/>
                <w:szCs w:val="24"/>
                <w:highlight w:val="none"/>
                <w:u w:val="none"/>
                <w:lang w:val="en-US" w:eastAsia="zh-CN"/>
              </w:rPr>
            </w:pPr>
            <w:bookmarkStart w:id="80" w:name="_GoBack"/>
            <w:r>
              <w:rPr>
                <w:rFonts w:hint="eastAsia" w:ascii="仿宋" w:hAnsi="仿宋" w:eastAsia="仿宋" w:cs="仿宋"/>
                <w:b w:val="0"/>
                <w:bCs w:val="0"/>
                <w:i w:val="0"/>
                <w:iCs w:val="0"/>
                <w:color w:val="auto"/>
                <w:sz w:val="24"/>
                <w:szCs w:val="24"/>
                <w:highlight w:val="none"/>
                <w:u w:val="none"/>
                <w:lang w:val="en-US" w:eastAsia="zh-CN"/>
              </w:rPr>
              <w:t>14.8</w:t>
            </w:r>
          </w:p>
          <w:bookmarkEnd w:id="80"/>
        </w:tc>
      </w:tr>
    </w:tbl>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注：1）、以上货物技术参数中含配套软件的，其费用包含在设备费中。</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标项1</w:t>
      </w:r>
      <w:r>
        <w:rPr>
          <w:rFonts w:hint="eastAsia" w:ascii="仿宋" w:hAnsi="仿宋" w:eastAsia="仿宋" w:cs="仿宋"/>
          <w:b/>
          <w:bCs/>
          <w:color w:val="auto"/>
          <w:sz w:val="24"/>
          <w:szCs w:val="24"/>
          <w:highlight w:val="none"/>
          <w:lang w:val="en-US" w:eastAsia="zh-CN"/>
        </w:rPr>
        <w:t>技术参数</w:t>
      </w:r>
    </w:p>
    <w:p>
      <w:pPr>
        <w:keepNext w:val="0"/>
        <w:keepLines w:val="0"/>
        <w:pageBreakBefore w:val="0"/>
        <w:kinsoku/>
        <w:wordWrap/>
        <w:overflowPunct/>
        <w:topLinePunct w:val="0"/>
        <w:bidi w:val="0"/>
        <w:spacing w:line="360" w:lineRule="auto"/>
        <w:ind w:left="0"/>
        <w:jc w:val="left"/>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一）超声雾化熏洗仪</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kern w:val="0"/>
          <w:sz w:val="24"/>
          <w:szCs w:val="24"/>
        </w:rPr>
      </w:pPr>
      <w:bookmarkStart w:id="18" w:name="_Toc21893"/>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性能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1、微电脑控制。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2、具有漏电保护，超时、超温、液体烧干自动保护等保护功能。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1.3</w:t>
      </w:r>
      <w:r>
        <w:rPr>
          <w:rFonts w:hint="eastAsia" w:ascii="仿宋" w:hAnsi="仿宋" w:eastAsia="仿宋" w:cs="仿宋"/>
          <w:kern w:val="0"/>
          <w:sz w:val="24"/>
          <w:szCs w:val="24"/>
        </w:rPr>
        <w:t>、数字显示时间、温度等参数，可根据需要设定。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rPr>
        <w:t>、具有超声雾化熏蒸、冲洗、坐浴、气泡按摩等功能。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rPr>
        <w:t xml:space="preserve">、具有雾化自动加热功能。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rPr>
        <w:t>、雾化强度可调节。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1.7</w:t>
      </w:r>
      <w:r>
        <w:rPr>
          <w:rFonts w:hint="eastAsia" w:ascii="仿宋" w:hAnsi="仿宋" w:eastAsia="仿宋" w:cs="仿宋"/>
          <w:kern w:val="0"/>
          <w:sz w:val="24"/>
          <w:szCs w:val="24"/>
        </w:rPr>
        <w:t>、使用隔离透声膜，避免交叉感染。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1.8</w:t>
      </w:r>
      <w:r>
        <w:rPr>
          <w:rFonts w:hint="eastAsia" w:ascii="仿宋" w:hAnsi="仿宋" w:eastAsia="仿宋" w:cs="仿宋"/>
          <w:kern w:val="0"/>
          <w:sz w:val="24"/>
          <w:szCs w:val="24"/>
        </w:rPr>
        <w:t>、不需要上下水。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参数</w:t>
      </w:r>
      <w:r>
        <w:rPr>
          <w:rFonts w:hint="eastAsia" w:ascii="仿宋" w:hAnsi="仿宋" w:eastAsia="仿宋" w:cs="仿宋"/>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2.1</w:t>
      </w:r>
      <w:r>
        <w:rPr>
          <w:rFonts w:hint="eastAsia" w:ascii="仿宋" w:hAnsi="仿宋" w:eastAsia="仿宋" w:cs="仿宋"/>
          <w:kern w:val="0"/>
          <w:sz w:val="24"/>
          <w:szCs w:val="24"/>
        </w:rPr>
        <w:t>、治疗时间</w:t>
      </w:r>
      <w:r>
        <w:rPr>
          <w:rFonts w:hint="eastAsia" w:ascii="仿宋" w:hAnsi="仿宋" w:eastAsia="仿宋" w:cs="仿宋"/>
          <w:kern w:val="0"/>
          <w:sz w:val="24"/>
          <w:szCs w:val="24"/>
          <w:lang w:eastAsia="zh-CN"/>
        </w:rPr>
        <w:t>1</w:t>
      </w:r>
      <w:r>
        <w:rPr>
          <w:rFonts w:hint="eastAsia" w:ascii="仿宋" w:hAnsi="仿宋" w:eastAsia="仿宋" w:cs="仿宋"/>
          <w:kern w:val="0"/>
          <w:sz w:val="24"/>
          <w:szCs w:val="24"/>
        </w:rPr>
        <w:t xml:space="preserve">-30分钟（可调）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2.2</w:t>
      </w:r>
      <w:r>
        <w:rPr>
          <w:rFonts w:hint="eastAsia" w:ascii="仿宋" w:hAnsi="仿宋" w:eastAsia="仿宋" w:cs="仿宋"/>
          <w:kern w:val="0"/>
          <w:sz w:val="24"/>
          <w:szCs w:val="24"/>
        </w:rPr>
        <w:t>、治疗温度：</w:t>
      </w:r>
      <w:r>
        <w:rPr>
          <w:rFonts w:hint="eastAsia" w:ascii="仿宋" w:hAnsi="仿宋" w:eastAsia="仿宋" w:cs="仿宋"/>
          <w:kern w:val="0"/>
          <w:sz w:val="24"/>
          <w:szCs w:val="24"/>
          <w:lang w:eastAsia="zh-CN"/>
        </w:rPr>
        <w:t>2</w:t>
      </w:r>
      <w:r>
        <w:rPr>
          <w:rFonts w:hint="eastAsia" w:ascii="仿宋" w:hAnsi="仿宋" w:eastAsia="仿宋" w:cs="仿宋"/>
          <w:kern w:val="0"/>
          <w:sz w:val="24"/>
          <w:szCs w:val="24"/>
        </w:rPr>
        <w:t>5℃-42℃</w:t>
      </w:r>
      <w:r>
        <w:rPr>
          <w:rFonts w:hint="eastAsia" w:ascii="仿宋" w:hAnsi="仿宋" w:eastAsia="仿宋" w:cs="仿宋"/>
          <w:kern w:val="0"/>
          <w:sz w:val="24"/>
          <w:szCs w:val="24"/>
          <w:lang w:eastAsia="zh-CN"/>
        </w:rPr>
        <w:t>，温差≤2</w:t>
      </w:r>
      <w:r>
        <w:rPr>
          <w:rFonts w:hint="eastAsia" w:ascii="仿宋" w:hAnsi="仿宋" w:eastAsia="仿宋" w:cs="仿宋"/>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2.3</w:t>
      </w:r>
      <w:r>
        <w:rPr>
          <w:rFonts w:hint="eastAsia" w:ascii="仿宋" w:hAnsi="仿宋" w:eastAsia="仿宋" w:cs="仿宋"/>
          <w:kern w:val="0"/>
          <w:sz w:val="24"/>
          <w:szCs w:val="24"/>
        </w:rPr>
        <w:t>、熏蒸雾化率≥</w:t>
      </w:r>
      <w:r>
        <w:rPr>
          <w:rFonts w:hint="eastAsia" w:ascii="仿宋" w:hAnsi="仿宋" w:eastAsia="仿宋" w:cs="仿宋"/>
          <w:kern w:val="0"/>
          <w:sz w:val="24"/>
          <w:szCs w:val="24"/>
          <w:lang w:eastAsia="zh-CN"/>
        </w:rPr>
        <w:t>0.8</w:t>
      </w:r>
      <w:r>
        <w:rPr>
          <w:rFonts w:hint="eastAsia" w:ascii="仿宋" w:hAnsi="仿宋" w:eastAsia="仿宋" w:cs="仿宋"/>
          <w:kern w:val="0"/>
          <w:sz w:val="24"/>
          <w:szCs w:val="24"/>
        </w:rPr>
        <w:t>ml/</w:t>
      </w:r>
      <w:r>
        <w:rPr>
          <w:rFonts w:hint="eastAsia" w:ascii="仿宋" w:hAnsi="仿宋" w:eastAsia="仿宋" w:cs="仿宋"/>
          <w:kern w:val="0"/>
          <w:sz w:val="24"/>
          <w:szCs w:val="24"/>
          <w:lang w:eastAsia="zh-CN"/>
        </w:rPr>
        <w:t>min</w:t>
      </w:r>
      <w:r>
        <w:rPr>
          <w:rFonts w:hint="eastAsia" w:ascii="仿宋" w:hAnsi="仿宋" w:eastAsia="仿宋" w:cs="仿宋"/>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2.4</w:t>
      </w:r>
      <w:r>
        <w:rPr>
          <w:rFonts w:hint="eastAsia" w:ascii="仿宋" w:hAnsi="仿宋" w:eastAsia="仿宋" w:cs="仿宋"/>
          <w:kern w:val="0"/>
          <w:sz w:val="24"/>
          <w:szCs w:val="24"/>
        </w:rPr>
        <w:t>、超声震荡频率：1.</w:t>
      </w:r>
      <w:r>
        <w:rPr>
          <w:rFonts w:hint="eastAsia" w:ascii="仿宋" w:hAnsi="仿宋" w:eastAsia="仿宋" w:cs="仿宋"/>
          <w:kern w:val="0"/>
          <w:sz w:val="24"/>
          <w:szCs w:val="24"/>
          <w:lang w:eastAsia="zh-CN"/>
        </w:rPr>
        <w:t>7</w:t>
      </w:r>
      <w:r>
        <w:rPr>
          <w:rFonts w:hint="eastAsia" w:ascii="仿宋" w:hAnsi="仿宋" w:eastAsia="仿宋" w:cs="仿宋"/>
          <w:kern w:val="0"/>
          <w:sz w:val="24"/>
          <w:szCs w:val="24"/>
        </w:rPr>
        <w:t xml:space="preserve">MHz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2.5</w:t>
      </w:r>
      <w:r>
        <w:rPr>
          <w:rFonts w:hint="eastAsia" w:ascii="仿宋" w:hAnsi="仿宋" w:eastAsia="仿宋" w:cs="仿宋"/>
          <w:kern w:val="0"/>
          <w:sz w:val="24"/>
          <w:szCs w:val="24"/>
        </w:rPr>
        <w:t>、雾化颗粒直径：</w:t>
      </w:r>
      <w:r>
        <w:rPr>
          <w:rFonts w:hint="eastAsia" w:ascii="仿宋" w:hAnsi="仿宋" w:eastAsia="仿宋" w:cs="仿宋"/>
          <w:kern w:val="0"/>
          <w:sz w:val="24"/>
          <w:szCs w:val="24"/>
          <w:lang w:eastAsia="zh-CN"/>
        </w:rPr>
        <w:t>5.2</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"http://www.baidu.com/link?url=kkz5oUOmIg4ZcIBKETKEe4vT7PaHsuI39gKtt1fAGVEPjwAUMahkPz2bPWljWUYWe2fX6xhVPdpDY7T687PikhJxeE9BM4HoJpCeCrlOjZ7" \o "微米"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 xml:space="preserve">μm </w:t>
      </w:r>
      <w:r>
        <w:rPr>
          <w:rFonts w:hint="eastAsia" w:ascii="仿宋" w:hAnsi="仿宋" w:eastAsia="仿宋" w:cs="仿宋"/>
          <w:kern w:val="0"/>
          <w:sz w:val="24"/>
          <w:szCs w:val="24"/>
          <w:lang w:eastAsia="zh-CN"/>
        </w:rPr>
        <w:t>，误差值≤12%</w:t>
      </w:r>
      <w:r>
        <w:rPr>
          <w:rFonts w:hint="eastAsia" w:ascii="仿宋" w:hAnsi="仿宋" w:eastAsia="仿宋" w:cs="仿宋"/>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2.6</w:t>
      </w:r>
      <w:r>
        <w:rPr>
          <w:rFonts w:hint="eastAsia" w:ascii="仿宋" w:hAnsi="仿宋" w:eastAsia="仿宋" w:cs="仿宋"/>
          <w:kern w:val="0"/>
          <w:sz w:val="24"/>
          <w:szCs w:val="24"/>
          <w:lang w:eastAsia="zh-CN"/>
        </w:rPr>
        <w:t>、水槽内工作水温≤40</w:t>
      </w:r>
      <w:r>
        <w:rPr>
          <w:rFonts w:hint="eastAsia" w:ascii="仿宋" w:hAnsi="仿宋" w:eastAsia="仿宋" w:cs="仿宋"/>
          <w:kern w:val="0"/>
          <w:sz w:val="24"/>
          <w:szCs w:val="24"/>
        </w:rPr>
        <w:t>℃</w:t>
      </w:r>
    </w:p>
    <w:p>
      <w:pPr>
        <w:keepNext w:val="0"/>
        <w:keepLines w:val="0"/>
        <w:pageBreakBefore w:val="0"/>
        <w:kinsoku/>
        <w:wordWrap/>
        <w:overflowPunct/>
        <w:topLinePunct w:val="0"/>
        <w:bidi w:val="0"/>
        <w:spacing w:line="360" w:lineRule="auto"/>
        <w:ind w:left="0"/>
        <w:jc w:val="left"/>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二）微波治疗机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1、主要参数要求: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1.1、工作频率为≥2450MHz。</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1.2、微波输出功率:治疗为:0~99W，理疗为:0~99W。</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1.3、治疗时间:治疗为:0~99秒，理疗为:0-30分。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1.4、时间调节</w:t>
      </w:r>
      <w:r>
        <w:rPr>
          <w:rFonts w:hint="eastAsia" w:ascii="仿宋" w:hAnsi="仿宋" w:eastAsia="仿宋" w:cs="仿宋"/>
          <w:kern w:val="0"/>
          <w:sz w:val="24"/>
          <w:szCs w:val="24"/>
          <w:lang w:val="en-US" w:eastAsia="zh-CN"/>
        </w:rPr>
        <w:t>有≥2种步进调节方式</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1.5、数码显示。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1.6、治疗与理疗多功能式。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1.7、辐射器:外部理疗照射器1个，专科手术探头1套。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1.8、外壳泄漏:&lt;0.5 mW/cm2。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1.9、无用辐射:&lt;0.5 mW/em2。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1.10、自动保护装置:治疗功率和时间</w:t>
      </w:r>
      <w:r>
        <w:rPr>
          <w:rFonts w:hint="eastAsia" w:ascii="仿宋" w:hAnsi="仿宋" w:eastAsia="仿宋" w:cs="仿宋"/>
          <w:kern w:val="0"/>
          <w:sz w:val="24"/>
          <w:szCs w:val="24"/>
          <w:lang w:val="en-US" w:eastAsia="zh-CN"/>
        </w:rPr>
        <w:t>可</w:t>
      </w:r>
      <w:r>
        <w:rPr>
          <w:rFonts w:hint="eastAsia" w:ascii="仿宋" w:hAnsi="仿宋" w:eastAsia="仿宋" w:cs="仿宋"/>
          <w:kern w:val="0"/>
          <w:sz w:val="24"/>
          <w:szCs w:val="24"/>
        </w:rPr>
        <w:t>自动锁定:具有过载、过热、闭锁、误操作保护功能。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1.11、主机与推车一体化</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3.1、</w:t>
      </w:r>
      <w:r>
        <w:rPr>
          <w:rFonts w:hint="eastAsia" w:ascii="仿宋" w:hAnsi="仿宋" w:eastAsia="仿宋" w:cs="仿宋"/>
          <w:b/>
          <w:bCs/>
          <w:color w:val="auto"/>
          <w:sz w:val="24"/>
          <w:szCs w:val="24"/>
          <w:highlight w:val="none"/>
        </w:rPr>
        <w:t>合同履约期限：</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日历日完成供货、安装、调试、验收等工作。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3.2、</w:t>
      </w:r>
      <w:r>
        <w:rPr>
          <w:rFonts w:hint="eastAsia" w:ascii="仿宋" w:hAnsi="仿宋" w:eastAsia="仿宋" w:cs="仿宋"/>
          <w:b/>
          <w:bCs/>
          <w:color w:val="auto"/>
          <w:sz w:val="24"/>
          <w:szCs w:val="24"/>
          <w:highlight w:val="none"/>
        </w:rPr>
        <w:t>交货地点：</w:t>
      </w:r>
      <w:r>
        <w:rPr>
          <w:rFonts w:hint="eastAsia" w:ascii="仿宋" w:hAnsi="仿宋" w:eastAsia="仿宋" w:cs="仿宋"/>
          <w:color w:val="auto"/>
          <w:sz w:val="24"/>
          <w:szCs w:val="24"/>
          <w:highlight w:val="none"/>
        </w:rPr>
        <w:t>采购人指定地点。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3.3、</w:t>
      </w:r>
      <w:r>
        <w:rPr>
          <w:rFonts w:hint="eastAsia" w:ascii="仿宋" w:hAnsi="仿宋" w:eastAsia="仿宋" w:cs="仿宋"/>
          <w:b/>
          <w:bCs/>
          <w:color w:val="auto"/>
          <w:sz w:val="24"/>
          <w:szCs w:val="24"/>
          <w:highlight w:val="none"/>
        </w:rPr>
        <w:t>付款方式：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3.3.1.本合同项下所有款项均以人民币支付。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3.3.2.乙方向甲方提交下列文件材料，经甲方审核无误后支付采购资金：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（1）经甲方确认的发票；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（2）经甲乙双方确认签署的《验收报告》（或按项目进度阶段性《验收报告》）；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（3）其他材料。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3.3.3.付款方式：设备验收合格后，甲方支付给乙方第一期30%合同款，验收6个月后支付第二期60%合同款，质保期结束后支付10%尾款。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3.4、</w:t>
      </w:r>
      <w:r>
        <w:rPr>
          <w:rFonts w:hint="eastAsia" w:ascii="仿宋" w:hAnsi="仿宋" w:eastAsia="仿宋" w:cs="仿宋"/>
          <w:b/>
          <w:bCs/>
          <w:color w:val="auto"/>
          <w:kern w:val="0"/>
          <w:sz w:val="24"/>
          <w:szCs w:val="24"/>
          <w:highlight w:val="none"/>
          <w:lang w:val="en-US" w:eastAsia="zh-CN" w:bidi="ar"/>
        </w:rPr>
        <w:t>售后服务要求</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3.4.2.质量保证期为：</w:t>
      </w:r>
      <w:r>
        <w:rPr>
          <w:rFonts w:hint="eastAsia" w:ascii="仿宋" w:hAnsi="仿宋" w:eastAsia="仿宋" w:cs="仿宋"/>
          <w:color w:val="auto"/>
          <w:sz w:val="24"/>
          <w:szCs w:val="24"/>
          <w:highlight w:val="none"/>
        </w:rPr>
        <w:t>质保期</w:t>
      </w:r>
      <w:r>
        <w:rPr>
          <w:rFonts w:hint="eastAsia" w:ascii="仿宋" w:hAnsi="仿宋" w:eastAsia="仿宋" w:cs="仿宋"/>
          <w:b w:val="0"/>
          <w:bCs w:val="0"/>
          <w:color w:val="auto"/>
          <w:sz w:val="24"/>
          <w:szCs w:val="24"/>
          <w:highlight w:val="none"/>
          <w:lang w:val="en-US" w:eastAsia="zh-CN"/>
        </w:rPr>
        <w:t>≥2年</w:t>
      </w:r>
      <w:r>
        <w:rPr>
          <w:rFonts w:hint="eastAsia" w:ascii="仿宋" w:hAnsi="仿宋" w:eastAsia="仿宋" w:cs="仿宋"/>
          <w:color w:val="auto"/>
          <w:sz w:val="24"/>
          <w:szCs w:val="24"/>
          <w:highlight w:val="none"/>
          <w:lang w:eastAsia="zh-CN"/>
        </w:rPr>
        <w:t>。</w:t>
      </w:r>
    </w:p>
    <w:p>
      <w:pPr>
        <w:pStyle w:val="42"/>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3.4.3.质量保证期内，乙方负责对其提供的货物整机进行维修和系统维护，不再收取任何费用， 但不可抗力（如火灾、雷击及人为因素等）造成的故障除外。</w:t>
      </w:r>
      <w:r>
        <w:rPr>
          <w:rFonts w:hint="eastAsia" w:ascii="仿宋" w:hAnsi="仿宋" w:eastAsia="仿宋" w:cs="仿宋"/>
          <w:color w:val="auto"/>
          <w:sz w:val="24"/>
          <w:szCs w:val="24"/>
          <w:highlight w:val="none"/>
        </w:rPr>
        <w:t>质保期后只收取材料成本费，软件终身免费升级维修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bidi="ar"/>
        </w:rPr>
        <w:t>提供定期维修保养服务</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3.4.4.货物故障报修的响应时间为：</w:t>
      </w:r>
      <w:r>
        <w:rPr>
          <w:rFonts w:hint="eastAsia" w:ascii="仿宋" w:hAnsi="仿宋" w:eastAsia="仿宋" w:cs="仿宋"/>
          <w:color w:val="auto"/>
          <w:sz w:val="24"/>
          <w:szCs w:val="24"/>
          <w:highlight w:val="none"/>
        </w:rPr>
        <w:t>30分钟内响应，2小时内给出解决方案，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小时内服务人员到场解决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3.4.5.若货物故障在检修</w:t>
      </w:r>
      <w:r>
        <w:rPr>
          <w:rFonts w:hint="eastAsia" w:ascii="仿宋" w:hAnsi="仿宋" w:eastAsia="仿宋" w:cs="仿宋"/>
          <w:color w:val="auto"/>
          <w:kern w:val="0"/>
          <w:sz w:val="24"/>
          <w:szCs w:val="24"/>
          <w:highlight w:val="none"/>
          <w:u w:val="single"/>
          <w:lang w:val="en-US" w:eastAsia="zh-CN" w:bidi="ar"/>
        </w:rPr>
        <w:t xml:space="preserve"> 8 </w:t>
      </w:r>
      <w:r>
        <w:rPr>
          <w:rFonts w:hint="eastAsia" w:ascii="仿宋" w:hAnsi="仿宋" w:eastAsia="仿宋" w:cs="仿宋"/>
          <w:color w:val="auto"/>
          <w:kern w:val="0"/>
          <w:sz w:val="24"/>
          <w:szCs w:val="24"/>
          <w:highlight w:val="none"/>
          <w:lang w:val="en-US" w:eastAsia="zh-CN" w:bidi="ar"/>
        </w:rPr>
        <w:t>工作小时后仍无法排除，乙方应在</w:t>
      </w:r>
      <w:r>
        <w:rPr>
          <w:rFonts w:hint="eastAsia" w:ascii="仿宋" w:hAnsi="仿宋" w:eastAsia="仿宋" w:cs="仿宋"/>
          <w:color w:val="auto"/>
          <w:kern w:val="0"/>
          <w:sz w:val="24"/>
          <w:szCs w:val="24"/>
          <w:highlight w:val="none"/>
          <w:u w:val="single"/>
          <w:lang w:val="en-US" w:eastAsia="zh-CN" w:bidi="ar"/>
        </w:rPr>
        <w:t xml:space="preserve"> 48 </w:t>
      </w:r>
      <w:r>
        <w:rPr>
          <w:rFonts w:hint="eastAsia" w:ascii="仿宋" w:hAnsi="仿宋" w:eastAsia="仿宋" w:cs="仿宋"/>
          <w:color w:val="auto"/>
          <w:kern w:val="0"/>
          <w:sz w:val="24"/>
          <w:szCs w:val="24"/>
          <w:highlight w:val="none"/>
          <w:lang w:val="en-US" w:eastAsia="zh-CN" w:bidi="ar"/>
        </w:rPr>
        <w:t xml:space="preserve">小时内免费提供不低于故障货物规格型号档次的备用货物供甲方使用，直至故障货物修复。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3.4.6.所有货物保修服务方式均为乙方上门保修，即由乙方派员到货物使用现场维修，由此产生的一切费用均由乙方承担。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3.4.7.保修期后的货物维护由双方协商再定。 </w:t>
      </w:r>
    </w:p>
    <w:p>
      <w:pPr>
        <w:pStyle w:val="42"/>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3.4.8.乙方必须遵守甲方的有关管理制度、操作规程。对于乙方违规操作造成甲方损失的，由乙方按照本合同第十二条的约定承担赔偿责任。</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3.4.9</w:t>
      </w:r>
      <w:r>
        <w:rPr>
          <w:rFonts w:hint="eastAsia" w:ascii="仿宋" w:hAnsi="仿宋" w:eastAsia="仿宋" w:cs="仿宋"/>
          <w:color w:val="auto"/>
          <w:sz w:val="24"/>
          <w:szCs w:val="24"/>
          <w:highlight w:val="none"/>
        </w:rPr>
        <w:t>、技术文件：提供全套的</w:t>
      </w:r>
      <w:r>
        <w:rPr>
          <w:rFonts w:hint="eastAsia" w:ascii="仿宋" w:hAnsi="仿宋" w:eastAsia="仿宋" w:cs="仿宋"/>
          <w:color w:val="auto"/>
          <w:sz w:val="24"/>
          <w:szCs w:val="24"/>
          <w:highlight w:val="none"/>
          <w:lang w:val="en-US" w:eastAsia="zh-CN"/>
        </w:rPr>
        <w:t>说明书/</w:t>
      </w:r>
      <w:r>
        <w:rPr>
          <w:rFonts w:hint="eastAsia" w:ascii="仿宋" w:hAnsi="仿宋" w:eastAsia="仿宋" w:cs="仿宋"/>
          <w:color w:val="auto"/>
          <w:sz w:val="24"/>
          <w:szCs w:val="24"/>
          <w:highlight w:val="none"/>
        </w:rPr>
        <w:t>操作手册及维修手册、光盘等，如有密码，则密码开放。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3.4.10、</w:t>
      </w:r>
      <w:r>
        <w:rPr>
          <w:rFonts w:hint="eastAsia" w:ascii="仿宋" w:hAnsi="仿宋" w:eastAsia="仿宋" w:cs="仿宋"/>
          <w:color w:val="auto"/>
          <w:kern w:val="0"/>
          <w:sz w:val="24"/>
          <w:szCs w:val="24"/>
          <w:highlight w:val="none"/>
          <w:lang w:bidi="ar"/>
        </w:rPr>
        <w:t>维修工具</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bidi="ar"/>
        </w:rPr>
        <w:t>如需特殊工具，提供专业工具一套</w:t>
      </w:r>
      <w:r>
        <w:rPr>
          <w:rFonts w:hint="eastAsia" w:ascii="仿宋" w:hAnsi="仿宋" w:eastAsia="仿宋" w:cs="仿宋"/>
          <w:color w:val="auto"/>
          <w:kern w:val="0"/>
          <w:sz w:val="24"/>
          <w:szCs w:val="24"/>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3.4.11.维修支持：维修配件供应时间≥8年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3.4.12.预防性维护：质保期内提供定期维修保养服务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3.4.13.终生免费软件升级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3.4.14.如需要连接医院系统，供应商应负责实施。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3.5验收：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3.5.1.进口产品供货时，中标人必须提供有效的进口产品报关手续证明材料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3.5.2.本项目最终验收（项目安装调试完成并稳定运行）期限：</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eastAsia="zh-CN"/>
        </w:rPr>
        <w:t>30日历日</w:t>
      </w:r>
      <w:r>
        <w:rPr>
          <w:rFonts w:hint="eastAsia" w:ascii="仿宋" w:hAnsi="仿宋" w:eastAsia="仿宋" w:cs="仿宋"/>
          <w:color w:val="auto"/>
          <w:sz w:val="24"/>
          <w:szCs w:val="24"/>
          <w:highlight w:val="none"/>
        </w:rPr>
        <w:t>完成供货、安装、调试、验收等工作</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3.5.3.验收地点：</w:t>
      </w:r>
      <w:r>
        <w:rPr>
          <w:rFonts w:hint="eastAsia" w:ascii="仿宋" w:hAnsi="仿宋" w:eastAsia="仿宋" w:cs="仿宋"/>
          <w:color w:val="auto"/>
          <w:kern w:val="0"/>
          <w:sz w:val="24"/>
          <w:szCs w:val="24"/>
          <w:highlight w:val="none"/>
          <w:u w:val="single"/>
          <w:lang w:val="en-US" w:eastAsia="zh-CN" w:bidi="ar"/>
        </w:rPr>
        <w:t xml:space="preserve"> 采购人指定地点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3.5.4.乙方应对提供的服务成果作出全面自查和整理，并列出清单，作为甲方验收和使用的务条件依据，清单应随提供的服务成果交给甲方。货物的到货验收包括：型号、规格、数量、 外观质量及货物包装完整无损。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3.5.5.货物和系统调试验收的标准：按行业通行标准、厂方出厂标准和乙方投标文件的承诺。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3.5.6.国内产品或合资厂的产品必须具备出厂合格证和原厂保修卡。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3.5.7.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赔偿责任由乙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3.5.8.甲方可以视项目规模或复杂情况聘请专业人员参与验收，大型或复杂项目，以及涉及专业服务内容的应当邀请国家认可的第三方质量检测机构参与验收，也可以视项目情况邀请参加本项目投标的落标人参与验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3.5.9.如根据项目实施情况需要分阶段验收，则双方分阶段签署《验收报告》。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3.5.10.如果合同双方对《验收报告》有分歧，双方须于出现分歧后</w:t>
      </w:r>
      <w:r>
        <w:rPr>
          <w:rFonts w:hint="eastAsia" w:ascii="仿宋" w:hAnsi="仿宋" w:eastAsia="仿宋" w:cs="仿宋"/>
          <w:color w:val="auto"/>
          <w:kern w:val="0"/>
          <w:sz w:val="24"/>
          <w:szCs w:val="24"/>
          <w:highlight w:val="none"/>
          <w:u w:val="single"/>
          <w:lang w:val="en-US" w:eastAsia="zh-CN" w:bidi="ar"/>
        </w:rPr>
        <w:t xml:space="preserve"> 7 </w:t>
      </w:r>
      <w:r>
        <w:rPr>
          <w:rFonts w:hint="eastAsia" w:ascii="仿宋" w:hAnsi="仿宋" w:eastAsia="仿宋" w:cs="仿宋"/>
          <w:color w:val="auto"/>
          <w:kern w:val="0"/>
          <w:sz w:val="24"/>
          <w:szCs w:val="24"/>
          <w:highlight w:val="none"/>
          <w:lang w:val="en-US" w:eastAsia="zh-CN" w:bidi="ar"/>
        </w:rPr>
        <w:t>天内给对方书面声明，以陈述己方的理由及要求，并附有关证据。分歧应通过协商解决。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3.6履约保证金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3.6.1.乙方在签订本合同之日，向甲方提交合同履约保证金，金额为</w:t>
      </w:r>
      <w:r>
        <w:rPr>
          <w:rFonts w:hint="eastAsia" w:ascii="仿宋" w:hAnsi="仿宋" w:eastAsia="仿宋" w:cs="仿宋"/>
          <w:color w:val="auto"/>
          <w:sz w:val="24"/>
          <w:szCs w:val="24"/>
          <w:highlight w:val="none"/>
          <w:lang w:val="en-US" w:eastAsia="zh-CN"/>
        </w:rPr>
        <w:t>签约合同价的 10%，</w:t>
      </w:r>
      <w:r>
        <w:rPr>
          <w:rFonts w:hint="eastAsia" w:ascii="仿宋" w:hAnsi="仿宋" w:eastAsia="仿宋" w:cs="仿宋"/>
          <w:color w:val="auto"/>
          <w:kern w:val="0"/>
          <w:sz w:val="24"/>
          <w:szCs w:val="24"/>
          <w:highlight w:val="none"/>
          <w:lang w:val="en-US" w:eastAsia="zh-CN" w:bidi="ar"/>
        </w:rPr>
        <w:t xml:space="preserve">缴纳方式双方协商确定。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3.6.2.履约保证金有效期为质保期结束。到期后，甲方向乙方无息退还。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3.6.3.如乙方未能履行、或未能完全履行合同规定的义务，甲方有权从履约保证金中取得补偿。</w:t>
      </w:r>
    </w:p>
    <w:p>
      <w:pPr>
        <w:pStyle w:val="29"/>
        <w:rPr>
          <w:rFonts w:hint="default"/>
          <w:b/>
          <w:bCs/>
          <w:color w:val="auto"/>
          <w:highlight w:val="none"/>
          <w:lang w:val="en-US" w:eastAsia="zh-CN"/>
        </w:rPr>
      </w:pPr>
      <w:r>
        <w:rPr>
          <w:rFonts w:hint="eastAsia" w:ascii="仿宋" w:hAnsi="仿宋" w:eastAsia="仿宋" w:cs="仿宋"/>
          <w:b/>
          <w:bCs/>
          <w:color w:val="auto"/>
          <w:kern w:val="0"/>
          <w:sz w:val="24"/>
          <w:szCs w:val="24"/>
          <w:highlight w:val="none"/>
          <w:lang w:val="en-US" w:eastAsia="zh-CN" w:bidi="ar"/>
        </w:rPr>
        <w:t>3.7、其他要求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中标通知书发出3个工作日内，在签订合同之前，供应商需针对设备技术参数到采购人指定地点进行现场演示，如不能满足技术参数要求，按虚假响应处理，采购人将取消中标资格，并将虚假应标供应商报告上级财政部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1：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p>
      <w:pP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pPr>
        <w:pStyle w:val="2"/>
        <w:numPr>
          <w:ilvl w:val="0"/>
          <w:numId w:val="1"/>
        </w:numPr>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评标程序、评标方法和评标标准</w:t>
      </w:r>
      <w:bookmarkEnd w:id="18"/>
    </w:p>
    <w:p>
      <w:pPr>
        <w:numPr>
          <w:ilvl w:val="0"/>
          <w:numId w:val="9"/>
        </w:numPr>
        <w:spacing w:line="500" w:lineRule="exact"/>
        <w:outlineLvl w:val="1"/>
        <w:rPr>
          <w:rFonts w:ascii="仿宋" w:hAnsi="仿宋" w:eastAsia="仿宋" w:cs="仿宋_GB2312"/>
          <w:b/>
          <w:bCs/>
          <w:color w:val="auto"/>
          <w:sz w:val="24"/>
          <w:highlight w:val="none"/>
        </w:rPr>
      </w:pPr>
      <w:bookmarkStart w:id="19" w:name="_Toc27440"/>
      <w:r>
        <w:rPr>
          <w:rFonts w:hint="eastAsia" w:ascii="仿宋" w:hAnsi="仿宋" w:eastAsia="仿宋" w:cs="仿宋_GB2312"/>
          <w:b/>
          <w:bCs/>
          <w:color w:val="auto"/>
          <w:sz w:val="24"/>
          <w:highlight w:val="none"/>
        </w:rPr>
        <w:t>评标方法</w:t>
      </w:r>
      <w:bookmarkEnd w:id="19"/>
      <w:r>
        <w:rPr>
          <w:rFonts w:hint="eastAsia" w:ascii="仿宋" w:hAnsi="仿宋" w:eastAsia="仿宋" w:cs="仿宋_GB2312"/>
          <w:b/>
          <w:bCs/>
          <w:color w:val="auto"/>
          <w:sz w:val="24"/>
          <w:highlight w:val="none"/>
        </w:rPr>
        <w:t xml:space="preserve"> </w:t>
      </w:r>
    </w:p>
    <w:p>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本项目采用综合评分法，是指投标文件满足招标文件全部实质性要求，且按照评审因素的量化指标评审得分最高的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为中标候选人的评标方法。</w:t>
      </w:r>
    </w:p>
    <w:p>
      <w:pPr>
        <w:numPr>
          <w:ilvl w:val="0"/>
          <w:numId w:val="9"/>
        </w:numPr>
        <w:spacing w:line="500" w:lineRule="exact"/>
        <w:outlineLvl w:val="1"/>
        <w:rPr>
          <w:rFonts w:ascii="仿宋" w:hAnsi="仿宋" w:eastAsia="仿宋" w:cs="仿宋_GB2312"/>
          <w:b/>
          <w:bCs/>
          <w:color w:val="auto"/>
          <w:sz w:val="24"/>
          <w:highlight w:val="none"/>
        </w:rPr>
      </w:pPr>
      <w:bookmarkStart w:id="20" w:name="_Toc12617"/>
      <w:r>
        <w:rPr>
          <w:rFonts w:hint="eastAsia" w:ascii="仿宋" w:hAnsi="仿宋" w:eastAsia="仿宋" w:cs="仿宋_GB2312"/>
          <w:b/>
          <w:bCs/>
          <w:color w:val="auto"/>
          <w:sz w:val="24"/>
          <w:highlight w:val="none"/>
        </w:rPr>
        <w:t>评标原则</w:t>
      </w:r>
      <w:bookmarkEnd w:id="20"/>
    </w:p>
    <w:p>
      <w:pPr>
        <w:numPr>
          <w:ilvl w:val="1"/>
          <w:numId w:val="9"/>
        </w:numPr>
        <w:spacing w:line="50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评标活动遵循公平、公正、科学和择优的原则，以招标文件和投标文件为评标的基本依据，并按照招标文件规定的评标方法和评标标准进行评标。</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p>
    <w:p>
      <w:pPr>
        <w:numPr>
          <w:ilvl w:val="0"/>
          <w:numId w:val="9"/>
        </w:numPr>
        <w:spacing w:line="500" w:lineRule="exact"/>
        <w:outlineLvl w:val="1"/>
        <w:rPr>
          <w:rFonts w:ascii="仿宋" w:hAnsi="仿宋" w:eastAsia="仿宋" w:cs="仿宋_GB2312"/>
          <w:b/>
          <w:bCs/>
          <w:color w:val="auto"/>
          <w:sz w:val="24"/>
          <w:highlight w:val="none"/>
        </w:rPr>
      </w:pPr>
      <w:bookmarkStart w:id="21" w:name="_Toc6046"/>
      <w:r>
        <w:rPr>
          <w:rFonts w:hint="eastAsia" w:ascii="仿宋" w:hAnsi="仿宋" w:eastAsia="仿宋" w:cs="仿宋_GB2312"/>
          <w:b/>
          <w:bCs/>
          <w:color w:val="auto"/>
          <w:sz w:val="24"/>
          <w:highlight w:val="none"/>
        </w:rPr>
        <w:t>资格审查</w:t>
      </w:r>
      <w:bookmarkEnd w:id="21"/>
    </w:p>
    <w:p>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开标结束后，采购人或采购代理机构将根据《资格审查要求》中的规定，对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进行资格审查，以确定</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是否具备投标资格，并形成资格审查结果。资格性审查中凡有其中任意一项未通过的，评审结果为未通过，未通过资格性审查的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处理，不进入符合性审查。资格审查要求如下：</w:t>
      </w:r>
    </w:p>
    <w:p>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资格审查要求</w:t>
      </w:r>
    </w:p>
    <w:tbl>
      <w:tblPr>
        <w:tblStyle w:val="24"/>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75"/>
        <w:gridCol w:w="336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审查要求</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lang w:val="en-US"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须提供法人或其他组织或自然人的营业执照副本或事业法人登记证或执业许可证或身份证等相关证明扫描件（除身份证外其余证件须投标人加盖公章）</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本单位上一年度由会计师事务所出具的财务审计报告（当上一年度审计报告未出来时，可提供前一年度审计报告，但6月1日（含6月1日）以后开标项目必须提供上一年度审计报告），审计报告须包括资产负债表、利润表、现金流量表、所有者权益变动（如有）及其附注（扫描件投标人加盖公章）。如投标人无法提供上年度审计报告，则需提供开标日前三个月内银行出具的资信证明原件或扫描件加盖公章。如投标人注册成立不足三个月的则提供承诺书（自拟）原件。</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须提供具备履行合同所必需的设备和专业技术能力的书面声明原件（格式详见第七章投标文件格式附件1-5）。</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1.须提供投标文件递交截止日期之前六个月内任何一期的纳税记录或证明文件原件或扫描件投标人加盖公章（依法免税的应提供相应文件说明，</w:t>
            </w:r>
            <w:r>
              <w:rPr>
                <w:rFonts w:hint="eastAsia" w:ascii="仿宋" w:hAnsi="仿宋" w:eastAsia="仿宋" w:cs="仿宋"/>
                <w:color w:val="auto"/>
                <w:sz w:val="21"/>
                <w:szCs w:val="21"/>
                <w:highlight w:val="none"/>
                <w:lang w:eastAsia="zh-CN"/>
              </w:rPr>
              <w:t>当月新成立公司不需提供</w:t>
            </w:r>
            <w:r>
              <w:rPr>
                <w:rFonts w:hint="eastAsia" w:ascii="仿宋" w:hAnsi="仿宋" w:eastAsia="仿宋" w:cs="仿宋"/>
                <w:b w:val="0"/>
                <w:bCs w:val="0"/>
                <w:color w:val="auto"/>
                <w:sz w:val="21"/>
                <w:szCs w:val="21"/>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扫描件投标人加盖公章（任意一个月即可），证明材料是缴纳社会保险的凭据（专用收据或社会保险缴纳清单或银行回单等）（依法不需要缴纳社会保障资金的应提供相应文件说明）</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须提供声明函原件（格式详见第七章投标文件格式附件1-5）</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中华人民共和国政府采购法》第二十二条的规定资格需满足的资格要求及审查要求”，上传对应的资格文件，格式以采购文件要求为准，无格式自行拟定。如果是联合体投标，联合体各方均需提供，加盖联合体牵头方公章或所有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投标人不得为“信用中国”网站中列入失信被执行人和重大税收违法案件当事人名单的投标人（在处罚期内），不得为“中国政府采购网”政府采购严重违法失信行为记录名单中被财政部门禁止参加政府采购活动的投标人（在处罚期内）。</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 xml:space="preserve">查询时间：投标截止时间后至资格审查阶段完成；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 打印页作为查询记录和证据，与其他采购文件一并保存；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的使用原则：经认定的被列入失信被执行人、重大税收违法案件当事人名单、政府采购严重违法失信行为记录名单、《中华人民共和国政府采购法实施条例》第十九条规定的行政处罚记录及其他不符合《中 华人民共和国政府采购法》第二十二条规定条件的供应商，其</w:t>
            </w:r>
            <w:r>
              <w:rPr>
                <w:rFonts w:hint="eastAsia" w:ascii="仿宋" w:hAnsi="仿宋" w:eastAsia="仿宋" w:cs="仿宋"/>
                <w:b/>
                <w:bCs/>
                <w:color w:val="auto"/>
                <w:sz w:val="21"/>
                <w:szCs w:val="21"/>
                <w:highlight w:val="none"/>
                <w:vertAlign w:val="baseline"/>
                <w:lang w:val="en-US" w:eastAsia="zh-CN"/>
              </w:rPr>
              <w:t>投标无效</w:t>
            </w:r>
            <w:r>
              <w:rPr>
                <w:rFonts w:hint="eastAsia" w:ascii="仿宋" w:hAnsi="仿宋" w:eastAsia="仿宋" w:cs="仿宋"/>
                <w:b w:val="0"/>
                <w:bCs w:val="0"/>
                <w:color w:val="auto"/>
                <w:sz w:val="21"/>
                <w:szCs w:val="21"/>
                <w:highlight w:val="none"/>
                <w:vertAlign w:val="baseline"/>
                <w:lang w:val="en-US" w:eastAsia="zh-CN"/>
              </w:rPr>
              <w:t>。联合体形式投标的，联合体成员存在不良信用记录，视同联合体存在不良信用记录。</w:t>
            </w:r>
            <w:r>
              <w:rPr>
                <w:rFonts w:hint="eastAsia" w:ascii="仿宋" w:hAnsi="仿宋" w:eastAsia="仿宋" w:cs="仿宋"/>
                <w:b/>
                <w:bCs/>
                <w:color w:val="auto"/>
                <w:sz w:val="21"/>
                <w:szCs w:val="21"/>
                <w:highlight w:val="none"/>
                <w:vertAlign w:val="baseline"/>
                <w:lang w:val="en-US" w:eastAsia="zh-CN"/>
              </w:rPr>
              <w:t>无须投标人提供，由采购人或采购代理机构查询结果为准。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7</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落实政府采购政策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的资格要求</w:t>
            </w:r>
          </w:p>
        </w:tc>
        <w:tc>
          <w:tcPr>
            <w:tcW w:w="3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本标项专门面向小微企业（含小型、微型企业）采购。所投产品应为小微企业或监狱企业或残疾人福利性单位所生产；</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请根据"落实政府采购政策需满足的资格要求及审查要求"，上传中小企业声明函，格式以采购文件要求为准，无格式自行拟定。如果是联合体投标，为联合体牵头方加盖公章或所有联合体成员公章。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特定资格要求</w:t>
            </w:r>
          </w:p>
        </w:tc>
        <w:tc>
          <w:tcPr>
            <w:tcW w:w="3360" w:type="dxa"/>
            <w:vAlign w:val="center"/>
          </w:tcPr>
          <w:p>
            <w:pPr>
              <w:pStyle w:val="31"/>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投标产品属于医疗器械的。若投标人为</w:t>
            </w:r>
            <w:r>
              <w:rPr>
                <w:rFonts w:hint="eastAsia" w:ascii="仿宋" w:hAnsi="仿宋" w:eastAsia="仿宋" w:cs="仿宋"/>
                <w:b/>
                <w:bCs/>
                <w:color w:val="auto"/>
                <w:sz w:val="21"/>
                <w:szCs w:val="21"/>
                <w:highlight w:val="none"/>
                <w:lang w:val="en-US" w:eastAsia="zh-CN"/>
              </w:rPr>
              <w:t>货物制造商</w:t>
            </w:r>
            <w:r>
              <w:rPr>
                <w:rFonts w:hint="eastAsia" w:ascii="仿宋" w:hAnsi="仿宋" w:eastAsia="仿宋" w:cs="仿宋"/>
                <w:b w:val="0"/>
                <w:bCs w:val="0"/>
                <w:color w:val="auto"/>
                <w:sz w:val="21"/>
                <w:szCs w:val="21"/>
                <w:highlight w:val="none"/>
                <w:lang w:val="en-US" w:eastAsia="zh-CN"/>
              </w:rPr>
              <w:t>，使用自身生产的产品投标时，所投产品属第一类医疗器械的应具有《医疗器械生产备案凭证》，属第二类、第三类医疗器械的应具有《医疗器械生产许可证》；若投标人为</w:t>
            </w:r>
            <w:r>
              <w:rPr>
                <w:rFonts w:hint="eastAsia" w:ascii="仿宋" w:hAnsi="仿宋" w:eastAsia="仿宋" w:cs="仿宋"/>
                <w:b/>
                <w:bCs/>
                <w:color w:val="auto"/>
                <w:sz w:val="21"/>
                <w:szCs w:val="21"/>
                <w:highlight w:val="none"/>
                <w:lang w:val="en-US" w:eastAsia="zh-CN"/>
              </w:rPr>
              <w:t>代理商</w:t>
            </w:r>
            <w:r>
              <w:rPr>
                <w:rFonts w:hint="eastAsia" w:ascii="仿宋" w:hAnsi="仿宋" w:eastAsia="仿宋" w:cs="仿宋"/>
                <w:b w:val="0"/>
                <w:bCs w:val="0"/>
                <w:color w:val="auto"/>
                <w:sz w:val="21"/>
                <w:szCs w:val="21"/>
                <w:highlight w:val="none"/>
                <w:lang w:val="en-US" w:eastAsia="zh-CN"/>
              </w:rPr>
              <w:t>所投产品属于第二类医疗器械的的须具有《医疗器械经营备案凭证》或《医疗器械经营许可证》；所投产品属于第三类医疗器械的的须具有《医疗器械经营许可证》。</w:t>
            </w:r>
          </w:p>
        </w:tc>
        <w:tc>
          <w:tcPr>
            <w:tcW w:w="4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spacing w:val="0"/>
                <w:kern w:val="2"/>
                <w:sz w:val="21"/>
                <w:szCs w:val="21"/>
                <w:highlight w:val="none"/>
                <w:u w:val="none"/>
                <w:vertAlign w:val="baseline"/>
                <w:lang w:val="en-US" w:eastAsia="zh-CN" w:bidi="ar"/>
              </w:rPr>
            </w:pPr>
            <w:r>
              <w:rPr>
                <w:rFonts w:hint="eastAsia" w:ascii="仿宋" w:hAnsi="仿宋" w:eastAsia="仿宋" w:cs="仿宋"/>
                <w:b w:val="0"/>
                <w:bCs w:val="0"/>
                <w:color w:val="auto"/>
                <w:spacing w:val="0"/>
                <w:kern w:val="2"/>
                <w:sz w:val="21"/>
                <w:szCs w:val="21"/>
                <w:highlight w:val="none"/>
                <w:u w:val="none"/>
                <w:vertAlign w:val="baseline"/>
                <w:lang w:val="en-US" w:eastAsia="zh-CN" w:bidi="ar"/>
              </w:rPr>
              <w:t>根据所投产品，上传对应的资格文件扫描件加盖公章。如果是联合体投标，联合体各方均需提供，加盖联合体牵头方公章或所有联合体成员公章。</w:t>
            </w:r>
          </w:p>
        </w:tc>
      </w:tr>
    </w:tbl>
    <w:p>
      <w:pPr>
        <w:numPr>
          <w:ilvl w:val="0"/>
          <w:numId w:val="9"/>
        </w:numPr>
        <w:spacing w:line="500" w:lineRule="exact"/>
        <w:outlineLvl w:val="1"/>
        <w:rPr>
          <w:rFonts w:ascii="仿宋" w:hAnsi="仿宋" w:eastAsia="仿宋" w:cs="仿宋_GB2312"/>
          <w:b/>
          <w:bCs/>
          <w:color w:val="auto"/>
          <w:sz w:val="24"/>
          <w:highlight w:val="none"/>
        </w:rPr>
      </w:pPr>
      <w:bookmarkStart w:id="22" w:name="_Toc4337"/>
      <w:r>
        <w:rPr>
          <w:rFonts w:hint="eastAsia" w:ascii="仿宋" w:hAnsi="仿宋" w:eastAsia="仿宋" w:cs="仿宋_GB2312"/>
          <w:b/>
          <w:bCs/>
          <w:color w:val="auto"/>
          <w:sz w:val="24"/>
          <w:highlight w:val="none"/>
        </w:rPr>
        <w:t>符合性审查</w:t>
      </w:r>
      <w:bookmarkEnd w:id="22"/>
    </w:p>
    <w:p>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评标委员会对通过资格审查的合格</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的投标文件进行符合性审查。评标委员会根据《符合性审查要求》中规定的审查因素和审查内容，对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的投标文件是否实质上响应招标文件进行符合性审查，并形成符合性审查评审结果。符合性审查中凡有其中任意一项未通过的，评审结果为未通过，未通过符合性审查的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处理，不进入详细评审。符合性审查要求如下：</w:t>
      </w:r>
    </w:p>
    <w:p>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符合性审查要求</w:t>
      </w:r>
    </w:p>
    <w:tbl>
      <w:tblPr>
        <w:tblStyle w:val="24"/>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037"/>
        <w:gridCol w:w="4025"/>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按审查内容</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法定代表人身份证明</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rPr>
              <w:t>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是否按照招标文件的规定提交投标保证金</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是否将一个采购包中的内容拆开投标</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4</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投标报价是否超过招标文件中规定的项目/采购包预算金额或者项目/采购包最高限价或单价最高限价；</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投标报价未超过招标文件中规定的项目/采购包预算金额或者项目/采购包最高限价或单价最高限价；；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投标文件是否出现可选择性或可调整的报价（招标文件另有规定的除外）</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6</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其他报价要求</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报价文件是否含有采购人不能接受的条件或是否有不满足招标文件规定的其他要求</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报价文件无采购人不能接受的条件或无不满足招标文件规定的其他要求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投标文件中承诺的投标有效期是否满足招标文件中载明的投标有效期</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是否按照招标文件要求签署、盖章</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报价是否合理，或投标人的报价是否明显低于其他通过符合性审查投标人的报价，有可能影响产品质量或者不能诚信履约的，是否能够应评标委员会要求在规定时间内证明其报价合理性</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投标文件是否含有采购人不能接受的附加条件</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11</w:t>
            </w:r>
          </w:p>
        </w:tc>
        <w:tc>
          <w:tcPr>
            <w:tcW w:w="10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4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投标文件中是否存在违反国家法律、法规和招标文件规定的其他无效情形</w:t>
            </w:r>
          </w:p>
        </w:tc>
        <w:tc>
          <w:tcPr>
            <w:tcW w:w="38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pPr>
        <w:numPr>
          <w:ilvl w:val="0"/>
          <w:numId w:val="9"/>
        </w:numPr>
        <w:spacing w:line="500" w:lineRule="exact"/>
        <w:outlineLvl w:val="1"/>
        <w:rPr>
          <w:rFonts w:ascii="仿宋" w:hAnsi="仿宋" w:eastAsia="仿宋" w:cs="仿宋_GB2312"/>
          <w:b/>
          <w:bCs/>
          <w:color w:val="auto"/>
          <w:sz w:val="24"/>
          <w:highlight w:val="none"/>
        </w:rPr>
      </w:pPr>
      <w:bookmarkStart w:id="23" w:name="_Toc23924"/>
      <w:r>
        <w:rPr>
          <w:rFonts w:hint="eastAsia" w:ascii="仿宋" w:hAnsi="仿宋" w:eastAsia="仿宋" w:cs="仿宋_GB2312"/>
          <w:b/>
          <w:bCs/>
          <w:color w:val="auto"/>
          <w:sz w:val="24"/>
          <w:highlight w:val="none"/>
        </w:rPr>
        <w:t>投标文件有关事项的澄清或者说明</w:t>
      </w:r>
      <w:bookmarkEnd w:id="23"/>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评标过程中，评标委员会将以书面形式要求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对其投标文件中含义不明确、同类问题表述不一致或者有明显文字和计算错误的内容，作出必要的澄清、说明或者补正。代理机构可根据开标环节记录的授权代表人联系方式电话告知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需登录电子招投标系统，在规定时间内完成澄清（响应），并加盖电子印章。若因</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联系方式错误未接收短信、未接听电话或超时未进行澄清（响应）造成的不利后果由</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自行承担。</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的澄清、说明或者补正不得超出投标文件的范围或者改变投标文件的实质性内容。澄清文件将作为投标文件内容的一部分。</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评标委员会认为</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的报价明显低于其他通过符合性审查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的报价，有可能影响产品质量或者不能诚信履约的，有权要求该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在评标现场合理的时间内提供书面说明，必要时提交相关证明材料；若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不能证明其报价合理性，评标委员会将其作为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投标报价须包含招标文件全部内容，如分项报价表有缺漏视为已含在其他各项报价中，将不对投标总价进行调整。评标委员会有权要求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在评标现场合理的时间内对此进行书面确认，</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不确认的，视为将一个采购包中的内容拆开投标，其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评标委员会不接受</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主动提出的澄清、说明或补正。</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提交的澄清、说明或补正有疑问的，可以要求</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进一步澄清、说明或补正。</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对报价的计算错误按以下原则修正：</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投标文件中开标一览表内容与投标文件中相应内容不一致的，以开标一览表为准；</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大写金额和小写金额不一致的，以大写金额为准；</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单价金额小数点或者百分比有明显错位的，以开标一览表的总价为准，并修改单价。</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总价金额与按单价汇总金额不一致的，以单价金额计算结果为准。但是单价金额计算结果超过预算金额/最高限价的，对其按</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处理。</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若投标客户端上传的电子报价数据（开标一览表中的公布唱标价）与电子投标文件价格不一致的，以电子报价数据（开标一览表中的公布唱标价）为准。 </w:t>
      </w:r>
    </w:p>
    <w:p>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注：同时出现两种以上不一致的，按照前款规定的顺序在系统上进行价格澄清。澄清后的价格加盖电子印章确认后产生约束力，但不得超出投标文件的范围或者改变投标文件的实质性内容，</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不确认的，其</w:t>
      </w:r>
      <w:r>
        <w:rPr>
          <w:rFonts w:hint="eastAsia" w:ascii="仿宋" w:hAnsi="仿宋" w:eastAsia="仿宋" w:cs="仿宋_GB2312"/>
          <w:b/>
          <w:bCs/>
          <w:color w:val="auto"/>
          <w:sz w:val="24"/>
          <w:highlight w:val="none"/>
        </w:rPr>
        <w:t>投标无效</w:t>
      </w:r>
      <w:r>
        <w:rPr>
          <w:rFonts w:hint="eastAsia" w:ascii="仿宋" w:hAnsi="仿宋" w:eastAsia="仿宋" w:cs="仿宋_GB2312"/>
          <w:color w:val="auto"/>
          <w:sz w:val="24"/>
          <w:highlight w:val="none"/>
        </w:rPr>
        <w:t>。</w:t>
      </w:r>
    </w:p>
    <w:p>
      <w:pPr>
        <w:numPr>
          <w:ilvl w:val="0"/>
          <w:numId w:val="9"/>
        </w:numPr>
        <w:spacing w:line="500" w:lineRule="exact"/>
        <w:outlineLvl w:val="1"/>
        <w:rPr>
          <w:rFonts w:ascii="仿宋" w:hAnsi="仿宋" w:eastAsia="仿宋" w:cs="仿宋_GB2312"/>
          <w:b/>
          <w:bCs/>
          <w:color w:val="auto"/>
          <w:sz w:val="24"/>
          <w:highlight w:val="none"/>
        </w:rPr>
      </w:pPr>
      <w:bookmarkStart w:id="24" w:name="_Toc22049"/>
      <w:r>
        <w:rPr>
          <w:rFonts w:hint="eastAsia" w:ascii="仿宋" w:hAnsi="仿宋" w:eastAsia="仿宋" w:cs="仿宋_GB2312"/>
          <w:b/>
          <w:bCs/>
          <w:color w:val="auto"/>
          <w:sz w:val="24"/>
          <w:highlight w:val="none"/>
        </w:rPr>
        <w:t>详细评审</w:t>
      </w:r>
      <w:bookmarkEnd w:id="24"/>
    </w:p>
    <w:p>
      <w:pPr>
        <w:spacing w:line="500" w:lineRule="exact"/>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经资格审查和符合性审查合格的投标文件，评标委员会将根据《详细评审标准》，对其技术部分、商务部分及报价部分作进一步的综合比较和评价。详细评审标准如下：</w:t>
      </w:r>
    </w:p>
    <w:p>
      <w:pPr>
        <w:spacing w:line="500" w:lineRule="exact"/>
        <w:jc w:val="center"/>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rPr>
        <w:t>详细评审标准</w:t>
      </w:r>
      <w:r>
        <w:rPr>
          <w:rFonts w:hint="eastAsia" w:ascii="仿宋" w:hAnsi="仿宋" w:eastAsia="仿宋" w:cs="仿宋_GB2312"/>
          <w:b/>
          <w:bCs/>
          <w:color w:val="auto"/>
          <w:sz w:val="24"/>
          <w:highlight w:val="none"/>
          <w:lang w:eastAsia="zh-CN"/>
        </w:rPr>
        <w:t>（</w:t>
      </w:r>
      <w:r>
        <w:rPr>
          <w:rFonts w:hint="eastAsia" w:ascii="仿宋" w:hAnsi="仿宋" w:eastAsia="仿宋" w:cs="仿宋_GB2312"/>
          <w:b/>
          <w:bCs/>
          <w:color w:val="auto"/>
          <w:sz w:val="24"/>
          <w:highlight w:val="none"/>
          <w:lang w:val="en-US" w:eastAsia="zh-CN"/>
        </w:rPr>
        <w:t>适用于标项1</w:t>
      </w:r>
      <w:r>
        <w:rPr>
          <w:rFonts w:hint="eastAsia" w:ascii="仿宋" w:hAnsi="仿宋" w:eastAsia="仿宋" w:cs="仿宋_GB2312"/>
          <w:b/>
          <w:bCs/>
          <w:color w:val="auto"/>
          <w:sz w:val="24"/>
          <w:highlight w:val="none"/>
          <w:lang w:eastAsia="zh-CN"/>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09" w:type="dxa"/>
            <w:gridSpan w:val="2"/>
            <w:vAlign w:val="center"/>
          </w:tcPr>
          <w:p>
            <w:pPr>
              <w:ind w:right="638" w:rightChars="304"/>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 xml:space="preserve"> 评分因素</w:t>
            </w:r>
          </w:p>
        </w:tc>
        <w:tc>
          <w:tcPr>
            <w:tcW w:w="567" w:type="dxa"/>
            <w:vAlign w:val="center"/>
          </w:tcPr>
          <w:p>
            <w:pPr>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分值</w:t>
            </w:r>
          </w:p>
        </w:tc>
        <w:tc>
          <w:tcPr>
            <w:tcW w:w="6367" w:type="dxa"/>
            <w:vAlign w:val="center"/>
          </w:tcPr>
          <w:p>
            <w:pPr>
              <w:ind w:right="-31" w:rightChars="-15"/>
              <w:jc w:val="center"/>
              <w:rPr>
                <w:rFonts w:ascii="仿宋" w:hAnsi="仿宋" w:eastAsia="仿宋" w:cs="仿宋_GB2312"/>
                <w:b/>
                <w:color w:val="auto"/>
                <w:szCs w:val="21"/>
                <w:highlight w:val="none"/>
              </w:rPr>
            </w:pPr>
            <w:r>
              <w:rPr>
                <w:rFonts w:hint="eastAsia" w:ascii="仿宋" w:hAnsi="仿宋" w:eastAsia="仿宋" w:cs="仿宋_GB2312"/>
                <w:b/>
                <w:color w:val="auto"/>
                <w:kern w:val="0"/>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gridSpan w:val="2"/>
            <w:vAlign w:val="center"/>
          </w:tcPr>
          <w:p>
            <w:pPr>
              <w:ind w:right="638" w:rightChars="304"/>
              <w:jc w:val="center"/>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分值构成</w:t>
            </w:r>
          </w:p>
        </w:tc>
        <w:tc>
          <w:tcPr>
            <w:tcW w:w="6934" w:type="dxa"/>
            <w:gridSpan w:val="2"/>
            <w:vAlign w:val="center"/>
          </w:tcPr>
          <w:p>
            <w:pPr>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商务部分</w:t>
            </w:r>
            <w:r>
              <w:rPr>
                <w:rFonts w:hint="eastAsia" w:ascii="仿宋" w:hAnsi="仿宋" w:eastAsia="仿宋" w:cs="仿宋_GB2312"/>
                <w:bCs/>
                <w:color w:val="auto"/>
                <w:kern w:val="0"/>
                <w:szCs w:val="21"/>
                <w:highlight w:val="none"/>
                <w:lang w:val="en-US" w:eastAsia="zh-CN"/>
              </w:rPr>
              <w:t>10</w:t>
            </w:r>
            <w:r>
              <w:rPr>
                <w:rFonts w:hint="eastAsia" w:ascii="仿宋" w:hAnsi="仿宋" w:eastAsia="仿宋" w:cs="仿宋_GB2312"/>
                <w:bCs/>
                <w:color w:val="auto"/>
                <w:kern w:val="0"/>
                <w:szCs w:val="21"/>
                <w:highlight w:val="none"/>
              </w:rPr>
              <w:t>.0分</w:t>
            </w:r>
          </w:p>
          <w:p>
            <w:pPr>
              <w:ind w:right="-31" w:rightChars="-15"/>
              <w:jc w:val="left"/>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技术部分</w:t>
            </w:r>
            <w:r>
              <w:rPr>
                <w:rFonts w:hint="eastAsia" w:ascii="仿宋" w:hAnsi="仿宋" w:eastAsia="仿宋" w:cs="仿宋_GB2312"/>
                <w:bCs/>
                <w:color w:val="auto"/>
                <w:kern w:val="0"/>
                <w:szCs w:val="21"/>
                <w:highlight w:val="none"/>
                <w:lang w:val="en-US" w:eastAsia="zh-CN"/>
              </w:rPr>
              <w:t>60</w:t>
            </w:r>
            <w:r>
              <w:rPr>
                <w:rFonts w:hint="eastAsia" w:ascii="仿宋" w:hAnsi="仿宋" w:eastAsia="仿宋" w:cs="仿宋_GB2312"/>
                <w:bCs/>
                <w:color w:val="auto"/>
                <w:kern w:val="0"/>
                <w:szCs w:val="21"/>
                <w:highlight w:val="none"/>
              </w:rPr>
              <w:t>.0分</w:t>
            </w:r>
          </w:p>
          <w:p>
            <w:pPr>
              <w:ind w:right="-31" w:rightChars="-15"/>
              <w:jc w:val="left"/>
              <w:rPr>
                <w:rFonts w:ascii="仿宋" w:hAnsi="仿宋" w:eastAsia="仿宋" w:cs="仿宋_GB2312"/>
                <w:b/>
                <w:color w:val="auto"/>
                <w:kern w:val="0"/>
                <w:szCs w:val="21"/>
                <w:highlight w:val="none"/>
              </w:rPr>
            </w:pPr>
            <w:r>
              <w:rPr>
                <w:rFonts w:hint="eastAsia" w:ascii="仿宋" w:hAnsi="仿宋" w:eastAsia="仿宋" w:cs="仿宋_GB2312"/>
                <w:bCs/>
                <w:color w:val="auto"/>
                <w:kern w:val="0"/>
                <w:szCs w:val="21"/>
                <w:highlight w:val="none"/>
              </w:rPr>
              <w:t>报价得分30.0分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809" w:type="dxa"/>
            <w:gridSpan w:val="2"/>
            <w:vAlign w:val="center"/>
          </w:tcPr>
          <w:p>
            <w:pPr>
              <w:pStyle w:val="16"/>
              <w:ind w:right="8"/>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报价部分</w:t>
            </w:r>
          </w:p>
        </w:tc>
        <w:tc>
          <w:tcPr>
            <w:tcW w:w="567" w:type="dxa"/>
            <w:vAlign w:val="center"/>
          </w:tcPr>
          <w:p>
            <w:pPr>
              <w:pStyle w:val="16"/>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30</w:t>
            </w:r>
          </w:p>
        </w:tc>
        <w:tc>
          <w:tcPr>
            <w:tcW w:w="6367" w:type="dxa"/>
            <w:vAlign w:val="center"/>
          </w:tcPr>
          <w:p>
            <w:pPr>
              <w:pStyle w:val="16"/>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满足招标文件要求且投标价格最低的有效投标报价（即除低于成本报价以外的报价）为评标基准价。其他</w:t>
            </w:r>
            <w:r>
              <w:rPr>
                <w:rFonts w:hint="eastAsia" w:ascii="仿宋" w:hAnsi="仿宋" w:eastAsia="仿宋" w:cs="仿宋_GB2312"/>
                <w:color w:val="auto"/>
                <w:sz w:val="21"/>
                <w:szCs w:val="21"/>
                <w:highlight w:val="none"/>
                <w:lang w:eastAsia="zh-CN"/>
              </w:rPr>
              <w:t>投标人</w:t>
            </w:r>
            <w:r>
              <w:rPr>
                <w:rFonts w:hint="eastAsia" w:ascii="仿宋" w:hAnsi="仿宋" w:eastAsia="仿宋" w:cs="仿宋_GB2312"/>
                <w:color w:val="auto"/>
                <w:sz w:val="21"/>
                <w:szCs w:val="21"/>
                <w:highlight w:val="none"/>
              </w:rPr>
              <w:t>的价格分统一按照下列公式计算：</w:t>
            </w:r>
          </w:p>
          <w:p>
            <w:pPr>
              <w:pStyle w:val="16"/>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投标报价得分=（评标基准价/投标报价）×价格满分分值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75" w:type="dxa"/>
            <w:vMerge w:val="restart"/>
            <w:tcBorders>
              <w:right w:val="single" w:color="000000" w:sz="4" w:space="0"/>
            </w:tcBorders>
            <w:vAlign w:val="center"/>
          </w:tcPr>
          <w:p>
            <w:pPr>
              <w:pStyle w:val="16"/>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商务部分</w:t>
            </w:r>
          </w:p>
        </w:tc>
        <w:tc>
          <w:tcPr>
            <w:tcW w:w="1134" w:type="dxa"/>
            <w:tcBorders>
              <w:left w:val="single" w:color="000000" w:sz="4" w:space="0"/>
            </w:tcBorders>
            <w:vAlign w:val="center"/>
          </w:tcPr>
          <w:p>
            <w:pPr>
              <w:pStyle w:val="16"/>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类似项目业绩</w:t>
            </w:r>
          </w:p>
        </w:tc>
        <w:tc>
          <w:tcPr>
            <w:tcW w:w="567" w:type="dxa"/>
            <w:vAlign w:val="center"/>
          </w:tcPr>
          <w:p>
            <w:pPr>
              <w:pStyle w:val="16"/>
              <w:jc w:val="center"/>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lang w:val="en-US" w:eastAsia="zh-CN"/>
              </w:rPr>
              <w:t>7</w:t>
            </w:r>
          </w:p>
        </w:tc>
        <w:tc>
          <w:tcPr>
            <w:tcW w:w="6367" w:type="dxa"/>
            <w:vAlign w:val="center"/>
          </w:tcPr>
          <w:p>
            <w:pPr>
              <w:pStyle w:val="16"/>
              <w:spacing w:line="240" w:lineRule="auto"/>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投标截止日</w:t>
            </w:r>
            <w:r>
              <w:rPr>
                <w:rFonts w:hint="eastAsia" w:ascii="仿宋" w:hAnsi="仿宋" w:eastAsia="仿宋" w:cs="仿宋"/>
                <w:color w:val="auto"/>
                <w:sz w:val="21"/>
                <w:szCs w:val="21"/>
                <w:highlight w:val="none"/>
                <w:vertAlign w:val="baseline"/>
                <w:lang w:val="en-US" w:eastAsia="zh-CN"/>
              </w:rPr>
              <w:t>前三年</w:t>
            </w:r>
            <w:r>
              <w:rPr>
                <w:rFonts w:hint="eastAsia" w:ascii="仿宋" w:hAnsi="仿宋" w:eastAsia="仿宋" w:cs="仿宋"/>
                <w:color w:val="auto"/>
                <w:sz w:val="21"/>
                <w:szCs w:val="21"/>
                <w:highlight w:val="none"/>
                <w:vertAlign w:val="baseline"/>
              </w:rPr>
              <w:t>（以合同签订合同时间为准）独立承担的类似项目，每提供 1 份有效的业绩资料得</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分，满分</w:t>
            </w:r>
            <w:r>
              <w:rPr>
                <w:rFonts w:hint="eastAsia" w:ascii="仿宋" w:hAnsi="仿宋" w:eastAsia="仿宋" w:cs="仿宋"/>
                <w:color w:val="auto"/>
                <w:sz w:val="21"/>
                <w:szCs w:val="21"/>
                <w:highlight w:val="none"/>
                <w:vertAlign w:val="baseline"/>
                <w:lang w:val="en-US" w:eastAsia="zh-CN"/>
              </w:rPr>
              <w:t>7</w:t>
            </w:r>
            <w:r>
              <w:rPr>
                <w:rFonts w:hint="eastAsia" w:ascii="仿宋" w:hAnsi="仿宋" w:eastAsia="仿宋" w:cs="仿宋"/>
                <w:color w:val="auto"/>
                <w:sz w:val="21"/>
                <w:szCs w:val="21"/>
                <w:highlight w:val="none"/>
                <w:vertAlign w:val="baseline"/>
              </w:rPr>
              <w:t>分。</w:t>
            </w:r>
          </w:p>
          <w:p>
            <w:pPr>
              <w:pStyle w:val="16"/>
              <w:spacing w:line="240" w:lineRule="auto"/>
              <w:ind w:right="-31" w:rightChars="-15"/>
              <w:jc w:val="both"/>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货物和</w:t>
            </w:r>
            <w:r>
              <w:rPr>
                <w:rFonts w:hint="eastAsia" w:ascii="仿宋" w:hAnsi="仿宋" w:eastAsia="仿宋" w:cs="仿宋"/>
                <w:color w:val="auto"/>
                <w:sz w:val="21"/>
                <w:szCs w:val="21"/>
                <w:highlight w:val="none"/>
                <w:vertAlign w:val="baseline"/>
              </w:rPr>
              <w:t>服务内容信息页、合同金额页、签字盖章页）。</w:t>
            </w:r>
            <w:r>
              <w:rPr>
                <w:rFonts w:hint="eastAsia" w:ascii="仿宋" w:hAnsi="仿宋" w:eastAsia="仿宋" w:cs="仿宋"/>
                <w:color w:val="auto"/>
                <w:sz w:val="21"/>
                <w:szCs w:val="21"/>
                <w:highlight w:val="none"/>
                <w:vertAlign w:val="baseline"/>
                <w:lang w:eastAsia="zh-CN"/>
              </w:rPr>
              <w:t>扫描件</w:t>
            </w:r>
            <w:r>
              <w:rPr>
                <w:rFonts w:hint="eastAsia" w:ascii="仿宋" w:hAnsi="仿宋" w:eastAsia="仿宋" w:cs="仿宋"/>
                <w:color w:val="auto"/>
                <w:sz w:val="21"/>
                <w:szCs w:val="21"/>
                <w:highlight w:val="none"/>
                <w:vertAlign w:val="baseline"/>
              </w:rPr>
              <w:t>加盖公章，时间以合同签订日期为准。不符合上述要求或未按要求提供有效证明文件的业绩在评审时将不予承认。</w:t>
            </w:r>
          </w:p>
          <w:p>
            <w:pPr>
              <w:pStyle w:val="16"/>
              <w:ind w:right="-31" w:rightChars="-15"/>
              <w:jc w:val="both"/>
              <w:rPr>
                <w:rFonts w:ascii="仿宋" w:hAnsi="仿宋" w:eastAsia="仿宋" w:cs="仿宋_GB2312"/>
                <w:color w:val="auto"/>
                <w:sz w:val="21"/>
                <w:szCs w:val="21"/>
                <w:highlight w:val="no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5" w:type="dxa"/>
            <w:vMerge w:val="continue"/>
            <w:tcBorders>
              <w:right w:val="single" w:color="000000" w:sz="4" w:space="0"/>
            </w:tcBorders>
            <w:vAlign w:val="center"/>
          </w:tcPr>
          <w:p>
            <w:pPr>
              <w:pStyle w:val="16"/>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pPr>
              <w:pStyle w:val="16"/>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企业实力</w:t>
            </w:r>
          </w:p>
        </w:tc>
        <w:tc>
          <w:tcPr>
            <w:tcW w:w="567" w:type="dxa"/>
            <w:vAlign w:val="center"/>
          </w:tcPr>
          <w:p>
            <w:pPr>
              <w:pStyle w:val="16"/>
              <w:jc w:val="center"/>
              <w:rPr>
                <w:rFonts w:hint="eastAsia" w:ascii="仿宋" w:hAnsi="仿宋" w:eastAsia="仿宋" w:cs="仿宋_GB2312"/>
                <w:color w:val="auto"/>
                <w:sz w:val="21"/>
                <w:szCs w:val="21"/>
                <w:highlight w:val="none"/>
                <w:lang w:eastAsia="zh-CN"/>
              </w:rPr>
            </w:pPr>
            <w:r>
              <w:rPr>
                <w:rFonts w:hint="eastAsia" w:ascii="仿宋" w:hAnsi="仿宋" w:eastAsia="仿宋" w:cs="仿宋_GB2312"/>
                <w:color w:val="auto"/>
                <w:sz w:val="21"/>
                <w:szCs w:val="21"/>
                <w:highlight w:val="none"/>
                <w:lang w:val="en-US" w:eastAsia="zh-CN"/>
              </w:rPr>
              <w:t>3</w:t>
            </w:r>
          </w:p>
        </w:tc>
        <w:tc>
          <w:tcPr>
            <w:tcW w:w="6367" w:type="dxa"/>
            <w:vAlign w:val="center"/>
          </w:tcPr>
          <w:p>
            <w:pPr>
              <w:pStyle w:val="16"/>
              <w:spacing w:line="240" w:lineRule="auto"/>
              <w:ind w:right="-31" w:rightChars="-15"/>
              <w:jc w:val="both"/>
              <w:rPr>
                <w:rFonts w:hint="eastAsia" w:ascii="仿宋" w:hAnsi="仿宋" w:eastAsia="仿宋" w:cs="仿宋"/>
                <w:color w:val="auto"/>
                <w:sz w:val="21"/>
                <w:szCs w:val="21"/>
                <w:highlight w:val="none"/>
                <w:vertAlign w:val="baseline"/>
                <w:lang w:val="en-US" w:eastAsia="zh-CN"/>
              </w:rPr>
            </w:pPr>
            <w:bookmarkStart w:id="25" w:name="_Toc16348"/>
            <w:r>
              <w:rPr>
                <w:rFonts w:hint="eastAsia" w:ascii="仿宋" w:hAnsi="仿宋" w:eastAsia="仿宋" w:cs="仿宋"/>
                <w:color w:val="auto"/>
                <w:sz w:val="21"/>
                <w:szCs w:val="21"/>
                <w:highlight w:val="none"/>
                <w:vertAlign w:val="baseline"/>
                <w:lang w:val="en-US" w:eastAsia="zh-CN"/>
              </w:rPr>
              <w:t>全部产品制造商具有质量管理体系认证证书得1分，未提供不得分；</w:t>
            </w:r>
            <w:bookmarkEnd w:id="25"/>
          </w:p>
          <w:p>
            <w:pPr>
              <w:pStyle w:val="16"/>
              <w:spacing w:line="240" w:lineRule="auto"/>
              <w:ind w:right="-31" w:rightChars="-15"/>
              <w:jc w:val="both"/>
              <w:rPr>
                <w:rFonts w:hint="eastAsia" w:ascii="仿宋" w:hAnsi="仿宋" w:eastAsia="仿宋" w:cs="仿宋"/>
                <w:color w:val="auto"/>
                <w:sz w:val="21"/>
                <w:szCs w:val="21"/>
                <w:highlight w:val="none"/>
                <w:vertAlign w:val="baseline"/>
                <w:lang w:val="en-US" w:eastAsia="zh-CN"/>
              </w:rPr>
            </w:pPr>
            <w:bookmarkStart w:id="26" w:name="_Toc21690"/>
            <w:r>
              <w:rPr>
                <w:rFonts w:hint="eastAsia" w:ascii="仿宋" w:hAnsi="仿宋" w:eastAsia="仿宋" w:cs="仿宋"/>
                <w:color w:val="auto"/>
                <w:sz w:val="21"/>
                <w:szCs w:val="21"/>
                <w:highlight w:val="none"/>
                <w:vertAlign w:val="baseline"/>
                <w:lang w:val="en-US" w:eastAsia="zh-CN"/>
              </w:rPr>
              <w:t>全部产品制造商具有职业健康安全管理体系认证证书得1分，未提供不得分；</w:t>
            </w:r>
            <w:bookmarkEnd w:id="26"/>
          </w:p>
          <w:p>
            <w:pPr>
              <w:pStyle w:val="16"/>
              <w:ind w:right="-31" w:rightChars="-15"/>
              <w:jc w:val="both"/>
              <w:rPr>
                <w:rFonts w:ascii="仿宋" w:hAnsi="仿宋" w:eastAsia="仿宋" w:cs="仿宋_GB2312"/>
                <w:color w:val="auto"/>
                <w:sz w:val="21"/>
                <w:szCs w:val="21"/>
                <w:highlight w:val="none"/>
              </w:rPr>
            </w:pPr>
            <w:bookmarkStart w:id="27" w:name="_Toc355"/>
            <w:r>
              <w:rPr>
                <w:rFonts w:hint="eastAsia" w:ascii="仿宋" w:hAnsi="仿宋" w:eastAsia="仿宋" w:cs="仿宋"/>
                <w:color w:val="auto"/>
                <w:sz w:val="21"/>
                <w:szCs w:val="21"/>
                <w:highlight w:val="none"/>
                <w:vertAlign w:val="baseline"/>
                <w:lang w:val="en-US" w:eastAsia="zh-CN"/>
              </w:rPr>
              <w:t>全部产品制造商具有环境管理体系认证证书得1分，未提供不得分</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restart"/>
            <w:tcBorders>
              <w:right w:val="single" w:color="000000" w:sz="4" w:space="0"/>
            </w:tcBorders>
            <w:vAlign w:val="center"/>
          </w:tcPr>
          <w:p>
            <w:pPr>
              <w:pStyle w:val="16"/>
              <w:ind w:right="-19" w:rightChars="-9"/>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 xml:space="preserve">技术部分 </w:t>
            </w:r>
          </w:p>
        </w:tc>
        <w:tc>
          <w:tcPr>
            <w:tcW w:w="1134" w:type="dxa"/>
            <w:tcBorders>
              <w:left w:val="single" w:color="000000" w:sz="4" w:space="0"/>
            </w:tcBorders>
            <w:vAlign w:val="center"/>
          </w:tcPr>
          <w:p>
            <w:pPr>
              <w:pStyle w:val="16"/>
              <w:ind w:right="31" w:rightChars="15"/>
              <w:jc w:val="center"/>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lang w:val="en-US" w:eastAsia="zh-CN"/>
              </w:rPr>
              <w:t>产品符合性</w:t>
            </w:r>
          </w:p>
        </w:tc>
        <w:tc>
          <w:tcPr>
            <w:tcW w:w="567" w:type="dxa"/>
            <w:vAlign w:val="center"/>
          </w:tcPr>
          <w:p>
            <w:pPr>
              <w:pStyle w:val="16"/>
              <w:jc w:val="center"/>
              <w:rPr>
                <w:rFonts w:hint="default" w:ascii="仿宋" w:hAnsi="仿宋" w:eastAsia="仿宋" w:cs="仿宋_GB2312"/>
                <w:color w:val="auto"/>
                <w:sz w:val="21"/>
                <w:szCs w:val="21"/>
                <w:highlight w:val="none"/>
                <w:lang w:val="en-US" w:eastAsia="zh-CN"/>
              </w:rPr>
            </w:pPr>
            <w:r>
              <w:rPr>
                <w:rFonts w:hint="eastAsia" w:ascii="仿宋" w:hAnsi="仿宋" w:eastAsia="仿宋" w:cs="仿宋_GB2312"/>
                <w:color w:val="auto"/>
                <w:sz w:val="21"/>
                <w:szCs w:val="21"/>
                <w:highlight w:val="none"/>
                <w:lang w:val="en-US" w:eastAsia="zh-CN"/>
              </w:rPr>
              <w:t>40</w:t>
            </w:r>
          </w:p>
        </w:tc>
        <w:tc>
          <w:tcPr>
            <w:tcW w:w="6367" w:type="dxa"/>
            <w:vAlign w:val="top"/>
          </w:tcPr>
          <w:p>
            <w:pPr>
              <w:keepNext w:val="0"/>
              <w:keepLines w:val="0"/>
              <w:widowControl/>
              <w:suppressLineNumbers w:val="0"/>
              <w:jc w:val="left"/>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根据</w:t>
            </w:r>
            <w:r>
              <w:rPr>
                <w:rFonts w:hint="eastAsia" w:ascii="仿宋" w:hAnsi="仿宋" w:eastAsia="仿宋" w:cs="仿宋"/>
                <w:color w:val="auto"/>
                <w:kern w:val="0"/>
                <w:sz w:val="21"/>
                <w:szCs w:val="21"/>
                <w:highlight w:val="none"/>
                <w:lang w:val="en-US" w:eastAsia="zh-CN" w:bidi="ar"/>
              </w:rPr>
              <w:t>投标人</w:t>
            </w:r>
            <w:r>
              <w:rPr>
                <w:rFonts w:hint="eastAsia" w:ascii="仿宋" w:hAnsi="仿宋" w:eastAsia="仿宋" w:cs="仿宋"/>
                <w:color w:val="auto"/>
                <w:kern w:val="0"/>
                <w:sz w:val="21"/>
                <w:szCs w:val="21"/>
                <w:highlight w:val="none"/>
                <w:lang w:bidi="ar"/>
              </w:rPr>
              <w:t>所投产品的</w:t>
            </w:r>
            <w:r>
              <w:rPr>
                <w:rFonts w:hint="eastAsia" w:ascii="仿宋" w:hAnsi="仿宋" w:eastAsia="仿宋" w:cs="仿宋"/>
                <w:color w:val="auto"/>
                <w:kern w:val="0"/>
                <w:sz w:val="21"/>
                <w:szCs w:val="21"/>
                <w:highlight w:val="none"/>
                <w:lang w:val="en-US" w:eastAsia="zh-CN" w:bidi="ar"/>
              </w:rPr>
              <w:t>技术规格、参数</w:t>
            </w:r>
            <w:r>
              <w:rPr>
                <w:rFonts w:hint="eastAsia" w:ascii="仿宋" w:hAnsi="仿宋" w:eastAsia="仿宋" w:cs="仿宋"/>
                <w:color w:val="auto"/>
                <w:kern w:val="0"/>
                <w:sz w:val="21"/>
                <w:szCs w:val="21"/>
                <w:highlight w:val="none"/>
                <w:lang w:bidi="ar"/>
              </w:rPr>
              <w:t>响应程度打分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完全满足招标要求或优于得</w:t>
            </w:r>
            <w:r>
              <w:rPr>
                <w:rFonts w:hint="eastAsia" w:ascii="仿宋" w:hAnsi="仿宋" w:eastAsia="仿宋" w:cs="仿宋"/>
                <w:color w:val="auto"/>
                <w:sz w:val="21"/>
                <w:szCs w:val="21"/>
                <w:highlight w:val="none"/>
                <w:vertAlign w:val="baseline"/>
                <w:lang w:val="en-US" w:eastAsia="zh-CN"/>
              </w:rPr>
              <w:t>招</w:t>
            </w:r>
            <w:r>
              <w:rPr>
                <w:rFonts w:hint="eastAsia" w:ascii="仿宋" w:hAnsi="仿宋" w:eastAsia="仿宋" w:cs="仿宋"/>
                <w:color w:val="auto"/>
                <w:kern w:val="0"/>
                <w:sz w:val="21"/>
                <w:szCs w:val="21"/>
                <w:highlight w:val="none"/>
                <w:lang w:val="en-US" w:eastAsia="zh-CN" w:bidi="ar"/>
              </w:rPr>
              <w:t>标要求</w:t>
            </w:r>
            <w:r>
              <w:rPr>
                <w:rFonts w:hint="eastAsia" w:ascii="仿宋" w:hAnsi="仿宋" w:eastAsia="仿宋" w:cs="仿宋"/>
                <w:color w:val="auto"/>
                <w:kern w:val="0"/>
                <w:sz w:val="21"/>
                <w:szCs w:val="21"/>
                <w:highlight w:val="none"/>
                <w:lang w:bidi="ar"/>
              </w:rPr>
              <w:t>得</w:t>
            </w:r>
            <w:r>
              <w:rPr>
                <w:rFonts w:hint="eastAsia" w:ascii="仿宋" w:hAnsi="仿宋" w:eastAsia="仿宋" w:cs="仿宋"/>
                <w:color w:val="auto"/>
                <w:kern w:val="0"/>
                <w:sz w:val="21"/>
                <w:szCs w:val="21"/>
                <w:highlight w:val="none"/>
                <w:lang w:val="en-US" w:eastAsia="zh-CN" w:bidi="ar"/>
              </w:rPr>
              <w:t>40</w:t>
            </w:r>
            <w:r>
              <w:rPr>
                <w:rFonts w:hint="eastAsia" w:ascii="仿宋" w:hAnsi="仿宋" w:eastAsia="仿宋" w:cs="仿宋"/>
                <w:color w:val="auto"/>
                <w:kern w:val="0"/>
                <w:sz w:val="21"/>
                <w:szCs w:val="21"/>
                <w:highlight w:val="none"/>
                <w:lang w:bidi="ar"/>
              </w:rPr>
              <w:t>分</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不满足招标要求在16项以内(含 16项)，有1项技术参数不满足扣2.5分； 不满足招标要求超过17项(含17项)投标无效</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 xml:space="preserve"> </w:t>
            </w:r>
          </w:p>
          <w:p>
            <w:pPr>
              <w:pStyle w:val="16"/>
              <w:ind w:right="-31" w:rightChars="-15"/>
              <w:jc w:val="both"/>
              <w:rPr>
                <w:rFonts w:hint="default" w:ascii="仿宋" w:hAnsi="仿宋" w:eastAsia="仿宋" w:cs="仿宋_GB2312"/>
                <w:color w:val="auto"/>
                <w:sz w:val="21"/>
                <w:szCs w:val="21"/>
                <w:highlight w:val="none"/>
                <w:lang w:val="en-US" w:eastAsia="zh-CN"/>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在响应采购需求时，应提供产品技术支持资料。技术支持资料形式：以制造商公开发布的印刷资料（彩页说明、或加盖公章的技术白皮书）或检测机构出具的检测报告或产品注册证内容为准。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评标委员会将不予承认。由此产生的评标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pPr>
              <w:pStyle w:val="16"/>
              <w:ind w:right="-19" w:rightChars="-9"/>
              <w:jc w:val="center"/>
              <w:rPr>
                <w:rFonts w:hint="eastAsia" w:ascii="仿宋" w:hAnsi="仿宋" w:eastAsia="仿宋" w:cs="仿宋_GB2312"/>
                <w:color w:val="auto"/>
                <w:sz w:val="21"/>
                <w:szCs w:val="21"/>
                <w:highlight w:val="none"/>
              </w:rPr>
            </w:pPr>
          </w:p>
        </w:tc>
        <w:tc>
          <w:tcPr>
            <w:tcW w:w="1134" w:type="dxa"/>
            <w:tcBorders>
              <w:left w:val="single" w:color="000000" w:sz="4" w:space="0"/>
            </w:tcBorders>
            <w:vAlign w:val="center"/>
          </w:tcPr>
          <w:p>
            <w:pPr>
              <w:pStyle w:val="16"/>
              <w:ind w:right="31" w:rightChars="15"/>
              <w:jc w:val="center"/>
              <w:rPr>
                <w:rFonts w:hint="eastAsia"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 w:val="21"/>
                <w:szCs w:val="21"/>
                <w:highlight w:val="none"/>
              </w:rPr>
              <w:t>实施方案</w:t>
            </w:r>
          </w:p>
        </w:tc>
        <w:tc>
          <w:tcPr>
            <w:tcW w:w="567" w:type="dxa"/>
            <w:vAlign w:val="center"/>
          </w:tcPr>
          <w:p>
            <w:pPr>
              <w:pStyle w:val="16"/>
              <w:jc w:val="center"/>
              <w:rPr>
                <w:rFonts w:hint="default" w:ascii="仿宋" w:hAnsi="仿宋" w:eastAsia="仿宋" w:cs="仿宋_GB2312"/>
                <w:color w:val="auto"/>
                <w:kern w:val="2"/>
                <w:sz w:val="21"/>
                <w:szCs w:val="21"/>
                <w:highlight w:val="none"/>
                <w:lang w:val="en-US" w:eastAsia="zh-CN" w:bidi="ar-SA"/>
              </w:rPr>
            </w:pPr>
            <w:r>
              <w:rPr>
                <w:rFonts w:hint="eastAsia" w:ascii="仿宋" w:hAnsi="仿宋" w:eastAsia="仿宋" w:cs="仿宋_GB2312"/>
                <w:color w:val="auto"/>
                <w:sz w:val="21"/>
                <w:szCs w:val="21"/>
                <w:highlight w:val="none"/>
                <w:lang w:val="en-US" w:eastAsia="zh-CN"/>
              </w:rPr>
              <w:t>6</w:t>
            </w:r>
          </w:p>
        </w:tc>
        <w:tc>
          <w:tcPr>
            <w:tcW w:w="6367" w:type="dxa"/>
            <w:vAlign w:val="top"/>
          </w:tcPr>
          <w:p>
            <w:pPr>
              <w:pStyle w:val="16"/>
              <w:ind w:right="-31" w:rightChars="-15"/>
              <w:jc w:val="both"/>
              <w:rPr>
                <w:rFonts w:ascii="仿宋" w:hAnsi="仿宋" w:eastAsia="仿宋" w:cs="仿宋"/>
                <w:color w:val="auto"/>
                <w:kern w:val="0"/>
                <w:sz w:val="21"/>
                <w:szCs w:val="21"/>
                <w:highlight w:val="none"/>
                <w:lang w:bidi="ar"/>
              </w:rPr>
            </w:pPr>
            <w:r>
              <w:rPr>
                <w:rFonts w:hint="eastAsia" w:ascii="仿宋" w:hAnsi="仿宋" w:eastAsia="仿宋" w:cs="仿宋_GB2312"/>
                <w:color w:val="auto"/>
                <w:sz w:val="21"/>
                <w:szCs w:val="21"/>
                <w:highlight w:val="none"/>
                <w:lang w:eastAsia="zh-CN"/>
              </w:rPr>
              <w:t>投标人</w:t>
            </w:r>
            <w:r>
              <w:rPr>
                <w:rFonts w:hint="eastAsia" w:ascii="仿宋" w:hAnsi="仿宋" w:eastAsia="仿宋" w:cs="仿宋_GB2312"/>
                <w:color w:val="auto"/>
                <w:sz w:val="21"/>
                <w:szCs w:val="21"/>
                <w:highlight w:val="none"/>
              </w:rPr>
              <w:t>根据本项目的</w:t>
            </w:r>
            <w:r>
              <w:rPr>
                <w:rFonts w:hint="eastAsia" w:ascii="仿宋" w:hAnsi="仿宋" w:eastAsia="仿宋" w:cs="仿宋"/>
                <w:color w:val="auto"/>
                <w:kern w:val="0"/>
                <w:sz w:val="21"/>
                <w:szCs w:val="21"/>
                <w:highlight w:val="none"/>
                <w:lang w:bidi="ar"/>
              </w:rPr>
              <w:t>具体特点及实际需求提供项目实施方案对</w:t>
            </w:r>
            <w:r>
              <w:rPr>
                <w:rFonts w:hint="eastAsia" w:ascii="仿宋" w:hAnsi="仿宋" w:eastAsia="仿宋" w:cs="仿宋"/>
                <w:color w:val="auto"/>
                <w:kern w:val="0"/>
                <w:sz w:val="21"/>
                <w:szCs w:val="21"/>
                <w:highlight w:val="none"/>
                <w:lang w:val="en-US" w:eastAsia="zh-CN" w:bidi="ar"/>
              </w:rPr>
              <w:t>供货计划</w:t>
            </w:r>
            <w:r>
              <w:rPr>
                <w:rFonts w:hint="eastAsia" w:ascii="仿宋" w:hAnsi="仿宋" w:eastAsia="仿宋" w:cs="仿宋"/>
                <w:color w:val="auto"/>
                <w:kern w:val="0"/>
                <w:sz w:val="21"/>
                <w:szCs w:val="21"/>
                <w:highlight w:val="none"/>
                <w:lang w:bidi="ar"/>
              </w:rPr>
              <w:t>、安装</w:t>
            </w:r>
            <w:r>
              <w:rPr>
                <w:rFonts w:hint="eastAsia" w:ascii="仿宋" w:hAnsi="仿宋" w:eastAsia="仿宋" w:cs="仿宋"/>
                <w:color w:val="auto"/>
                <w:kern w:val="0"/>
                <w:sz w:val="21"/>
                <w:szCs w:val="21"/>
                <w:highlight w:val="none"/>
                <w:lang w:val="en-US" w:eastAsia="zh-CN" w:bidi="ar"/>
              </w:rPr>
              <w:t>及调试</w:t>
            </w:r>
            <w:r>
              <w:rPr>
                <w:rFonts w:hint="eastAsia" w:ascii="仿宋" w:hAnsi="仿宋" w:eastAsia="仿宋" w:cs="仿宋"/>
                <w:color w:val="auto"/>
                <w:kern w:val="0"/>
                <w:sz w:val="21"/>
                <w:szCs w:val="21"/>
                <w:highlight w:val="none"/>
                <w:lang w:bidi="ar"/>
              </w:rPr>
              <w:t>计划、团队配置及验收标准要素进行比较：</w:t>
            </w:r>
          </w:p>
          <w:p>
            <w:pPr>
              <w:tabs>
                <w:tab w:val="center" w:pos="4153"/>
                <w:tab w:val="right" w:pos="8306"/>
              </w:tabs>
              <w:autoSpaceDE w:val="0"/>
              <w:autoSpaceDN w:val="0"/>
              <w:snapToGrid w:val="0"/>
              <w:spacing w:line="280" w:lineRule="exact"/>
              <w:ind w:firstLine="210" w:firstLineChars="100"/>
              <w:jc w:val="left"/>
              <w:rPr>
                <w:rFonts w:ascii="仿宋" w:hAnsi="仿宋" w:eastAsia="仿宋" w:cs="仿宋_GB2312"/>
                <w:color w:val="auto"/>
                <w:kern w:val="0"/>
                <w:szCs w:val="21"/>
                <w:highlight w:val="none"/>
                <w:lang w:val="zh-CN" w:bidi="zh-CN"/>
              </w:rPr>
            </w:pPr>
            <w:r>
              <w:rPr>
                <w:rFonts w:hint="eastAsia" w:ascii="仿宋" w:hAnsi="仿宋" w:eastAsia="仿宋" w:cs="仿宋_GB2312"/>
                <w:color w:val="auto"/>
                <w:kern w:val="0"/>
                <w:szCs w:val="21"/>
                <w:highlight w:val="none"/>
                <w:lang w:val="zh-CN" w:bidi="zh-CN"/>
              </w:rPr>
              <w:t>实施方案内容全面、</w:t>
            </w:r>
            <w:r>
              <w:rPr>
                <w:rFonts w:hint="eastAsia" w:ascii="仿宋" w:hAnsi="仿宋" w:eastAsia="仿宋" w:cs="仿宋"/>
                <w:color w:val="auto"/>
                <w:kern w:val="0"/>
                <w:szCs w:val="21"/>
                <w:highlight w:val="none"/>
                <w:lang w:val="en-US" w:eastAsia="zh-CN" w:bidi="ar"/>
              </w:rPr>
              <w:t>供货计划</w:t>
            </w:r>
            <w:r>
              <w:rPr>
                <w:rFonts w:hint="eastAsia" w:ascii="仿宋" w:hAnsi="仿宋" w:eastAsia="仿宋" w:cs="仿宋"/>
                <w:color w:val="auto"/>
                <w:kern w:val="0"/>
                <w:szCs w:val="21"/>
                <w:highlight w:val="none"/>
                <w:lang w:bidi="ar"/>
              </w:rPr>
              <w:t>合理、安装</w:t>
            </w:r>
            <w:r>
              <w:rPr>
                <w:rFonts w:hint="eastAsia" w:ascii="仿宋" w:hAnsi="仿宋" w:eastAsia="仿宋" w:cs="仿宋"/>
                <w:color w:val="auto"/>
                <w:kern w:val="0"/>
                <w:szCs w:val="21"/>
                <w:highlight w:val="none"/>
                <w:lang w:val="en-US" w:eastAsia="zh-CN" w:bidi="ar"/>
              </w:rPr>
              <w:t>及调试</w:t>
            </w:r>
            <w:r>
              <w:rPr>
                <w:rFonts w:hint="eastAsia" w:ascii="仿宋" w:hAnsi="仿宋" w:eastAsia="仿宋" w:cs="仿宋"/>
                <w:color w:val="auto"/>
                <w:kern w:val="0"/>
                <w:szCs w:val="21"/>
                <w:highlight w:val="none"/>
                <w:lang w:bidi="ar"/>
              </w:rPr>
              <w:t>计划完备、团队配置优良、</w:t>
            </w:r>
            <w:r>
              <w:rPr>
                <w:rFonts w:hint="eastAsia" w:ascii="仿宋" w:hAnsi="仿宋" w:eastAsia="仿宋" w:cs="仿宋_GB2312"/>
                <w:color w:val="auto"/>
                <w:kern w:val="0"/>
                <w:szCs w:val="21"/>
                <w:highlight w:val="none"/>
                <w:lang w:val="zh-CN" w:bidi="zh-CN"/>
              </w:rPr>
              <w:t>完全符合项目实际需求，细节考虑完善的，得</w:t>
            </w:r>
            <w:r>
              <w:rPr>
                <w:rFonts w:hint="eastAsia" w:ascii="仿宋" w:hAnsi="仿宋" w:eastAsia="仿宋" w:cs="仿宋_GB2312"/>
                <w:color w:val="auto"/>
                <w:kern w:val="0"/>
                <w:szCs w:val="21"/>
                <w:highlight w:val="none"/>
                <w:lang w:val="en-US" w:bidi="zh-CN"/>
              </w:rPr>
              <w:t>6</w:t>
            </w:r>
            <w:r>
              <w:rPr>
                <w:rFonts w:hint="eastAsia" w:ascii="仿宋" w:hAnsi="仿宋" w:eastAsia="仿宋" w:cs="仿宋_GB2312"/>
                <w:color w:val="auto"/>
                <w:kern w:val="0"/>
                <w:szCs w:val="21"/>
                <w:highlight w:val="none"/>
                <w:lang w:val="zh-CN" w:bidi="zh-CN"/>
              </w:rPr>
              <w:t>分；</w:t>
            </w:r>
          </w:p>
          <w:p>
            <w:pPr>
              <w:tabs>
                <w:tab w:val="center" w:pos="4153"/>
                <w:tab w:val="right" w:pos="8306"/>
              </w:tabs>
              <w:autoSpaceDE w:val="0"/>
              <w:autoSpaceDN w:val="0"/>
              <w:snapToGrid w:val="0"/>
              <w:spacing w:line="280" w:lineRule="exact"/>
              <w:ind w:firstLine="210" w:firstLineChars="100"/>
              <w:jc w:val="left"/>
              <w:rPr>
                <w:rFonts w:ascii="仿宋" w:hAnsi="仿宋" w:eastAsia="仿宋" w:cs="仿宋_GB2312"/>
                <w:color w:val="auto"/>
                <w:kern w:val="0"/>
                <w:szCs w:val="21"/>
                <w:highlight w:val="none"/>
                <w:lang w:val="zh-CN" w:bidi="zh-CN"/>
              </w:rPr>
            </w:pPr>
            <w:r>
              <w:rPr>
                <w:rFonts w:hint="eastAsia" w:ascii="仿宋" w:hAnsi="仿宋" w:eastAsia="仿宋" w:cs="仿宋_GB2312"/>
                <w:color w:val="auto"/>
                <w:kern w:val="0"/>
                <w:szCs w:val="21"/>
                <w:highlight w:val="none"/>
                <w:lang w:val="zh-CN" w:bidi="zh-CN"/>
              </w:rPr>
              <w:t>实施方案内容较全面、</w:t>
            </w:r>
            <w:r>
              <w:rPr>
                <w:rFonts w:hint="eastAsia" w:ascii="仿宋" w:hAnsi="仿宋" w:eastAsia="仿宋" w:cs="仿宋"/>
                <w:color w:val="auto"/>
                <w:kern w:val="0"/>
                <w:szCs w:val="21"/>
                <w:highlight w:val="none"/>
                <w:lang w:val="en-US" w:eastAsia="zh-CN" w:bidi="ar"/>
              </w:rPr>
              <w:t>供货计划</w:t>
            </w:r>
            <w:r>
              <w:rPr>
                <w:rFonts w:hint="eastAsia" w:ascii="仿宋" w:hAnsi="仿宋" w:eastAsia="仿宋" w:cs="仿宋"/>
                <w:color w:val="auto"/>
                <w:kern w:val="0"/>
                <w:szCs w:val="21"/>
                <w:highlight w:val="none"/>
                <w:lang w:bidi="ar"/>
              </w:rPr>
              <w:t>合理、安装</w:t>
            </w:r>
            <w:r>
              <w:rPr>
                <w:rFonts w:hint="eastAsia" w:ascii="仿宋" w:hAnsi="仿宋" w:eastAsia="仿宋" w:cs="仿宋"/>
                <w:color w:val="auto"/>
                <w:kern w:val="0"/>
                <w:szCs w:val="21"/>
                <w:highlight w:val="none"/>
                <w:lang w:val="en-US" w:eastAsia="zh-CN" w:bidi="ar"/>
              </w:rPr>
              <w:t>及调试</w:t>
            </w:r>
            <w:r>
              <w:rPr>
                <w:rFonts w:hint="eastAsia" w:ascii="仿宋" w:hAnsi="仿宋" w:eastAsia="仿宋" w:cs="仿宋"/>
                <w:color w:val="auto"/>
                <w:kern w:val="0"/>
                <w:szCs w:val="21"/>
                <w:highlight w:val="none"/>
                <w:lang w:bidi="ar"/>
              </w:rPr>
              <w:t>计划较完备、团队配置良好、</w:t>
            </w:r>
            <w:r>
              <w:rPr>
                <w:rFonts w:hint="eastAsia" w:ascii="仿宋" w:hAnsi="仿宋" w:eastAsia="仿宋" w:cs="仿宋_GB2312"/>
                <w:color w:val="auto"/>
                <w:kern w:val="0"/>
                <w:szCs w:val="21"/>
                <w:highlight w:val="none"/>
                <w:lang w:val="zh-CN" w:bidi="zh-CN"/>
              </w:rPr>
              <w:t>较符合项目实际需求，细节考虑较完善，得</w:t>
            </w:r>
            <w:r>
              <w:rPr>
                <w:rFonts w:hint="eastAsia" w:ascii="仿宋" w:hAnsi="仿宋" w:eastAsia="仿宋" w:cs="仿宋_GB2312"/>
                <w:color w:val="auto"/>
                <w:kern w:val="0"/>
                <w:szCs w:val="21"/>
                <w:highlight w:val="none"/>
                <w:lang w:val="en-US" w:bidi="zh-CN"/>
              </w:rPr>
              <w:t>4</w:t>
            </w:r>
            <w:r>
              <w:rPr>
                <w:rFonts w:hint="eastAsia" w:ascii="仿宋" w:hAnsi="仿宋" w:eastAsia="仿宋" w:cs="仿宋_GB2312"/>
                <w:color w:val="auto"/>
                <w:kern w:val="0"/>
                <w:szCs w:val="21"/>
                <w:highlight w:val="none"/>
                <w:lang w:val="zh-CN" w:bidi="zh-CN"/>
              </w:rPr>
              <w:t>分；</w:t>
            </w:r>
          </w:p>
          <w:p>
            <w:pPr>
              <w:tabs>
                <w:tab w:val="center" w:pos="4153"/>
                <w:tab w:val="right" w:pos="8306"/>
              </w:tabs>
              <w:autoSpaceDE w:val="0"/>
              <w:autoSpaceDN w:val="0"/>
              <w:snapToGrid w:val="0"/>
              <w:spacing w:line="280" w:lineRule="exact"/>
              <w:ind w:firstLine="210" w:firstLineChars="100"/>
              <w:jc w:val="left"/>
              <w:rPr>
                <w:rFonts w:ascii="仿宋" w:hAnsi="仿宋" w:eastAsia="仿宋" w:cs="仿宋_GB2312"/>
                <w:color w:val="auto"/>
                <w:kern w:val="0"/>
                <w:szCs w:val="21"/>
                <w:highlight w:val="none"/>
                <w:lang w:val="zh-CN" w:bidi="zh-CN"/>
              </w:rPr>
            </w:pPr>
            <w:r>
              <w:rPr>
                <w:rFonts w:hint="eastAsia" w:ascii="仿宋" w:hAnsi="仿宋" w:eastAsia="仿宋" w:cs="仿宋_GB2312"/>
                <w:color w:val="auto"/>
                <w:kern w:val="0"/>
                <w:szCs w:val="21"/>
                <w:highlight w:val="none"/>
                <w:lang w:val="zh-CN" w:bidi="zh-CN"/>
              </w:rPr>
              <w:t>实施方案内容一般、细节有一定考虑、基本符合项目需要的，得</w:t>
            </w:r>
            <w:r>
              <w:rPr>
                <w:rFonts w:hint="eastAsia" w:ascii="仿宋" w:hAnsi="仿宋" w:eastAsia="仿宋" w:cs="仿宋_GB2312"/>
                <w:color w:val="auto"/>
                <w:kern w:val="0"/>
                <w:szCs w:val="21"/>
                <w:highlight w:val="none"/>
                <w:lang w:val="en-US" w:bidi="zh-CN"/>
              </w:rPr>
              <w:t>2</w:t>
            </w:r>
            <w:r>
              <w:rPr>
                <w:rFonts w:hint="eastAsia" w:ascii="仿宋" w:hAnsi="仿宋" w:eastAsia="仿宋" w:cs="仿宋_GB2312"/>
                <w:color w:val="auto"/>
                <w:kern w:val="0"/>
                <w:szCs w:val="21"/>
                <w:highlight w:val="none"/>
                <w:lang w:val="zh-CN" w:bidi="zh-CN"/>
              </w:rPr>
              <w:t>分；</w:t>
            </w:r>
          </w:p>
          <w:p>
            <w:pPr>
              <w:pStyle w:val="16"/>
              <w:ind w:right="-31" w:rightChars="-15" w:firstLine="210" w:firstLineChars="100"/>
              <w:jc w:val="both"/>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_GB2312"/>
                <w:color w:val="auto"/>
                <w:sz w:val="21"/>
                <w:szCs w:val="21"/>
                <w:highlight w:val="none"/>
              </w:rPr>
              <w:t>未提供或不符合项目实际需求得0分。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75" w:type="dxa"/>
            <w:vMerge w:val="continue"/>
            <w:tcBorders>
              <w:right w:val="single" w:color="000000" w:sz="4" w:space="0"/>
            </w:tcBorders>
            <w:vAlign w:val="center"/>
          </w:tcPr>
          <w:p>
            <w:pPr>
              <w:pStyle w:val="16"/>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pPr>
              <w:widowControl/>
              <w:jc w:val="left"/>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培训方案</w:t>
            </w:r>
          </w:p>
        </w:tc>
        <w:tc>
          <w:tcPr>
            <w:tcW w:w="567" w:type="dxa"/>
            <w:vAlign w:val="center"/>
          </w:tcPr>
          <w:p>
            <w:pPr>
              <w:pStyle w:val="16"/>
              <w:jc w:val="center"/>
              <w:rPr>
                <w:rFonts w:hint="eastAsia" w:ascii="仿宋" w:hAnsi="仿宋" w:eastAsia="仿宋" w:cs="仿宋_GB2312"/>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6</w:t>
            </w:r>
          </w:p>
        </w:tc>
        <w:tc>
          <w:tcPr>
            <w:tcW w:w="6367" w:type="dxa"/>
            <w:vAlign w:val="center"/>
          </w:tcPr>
          <w:p>
            <w:pPr>
              <w:pStyle w:val="16"/>
              <w:ind w:right="-31" w:rightChars="-15"/>
              <w:jc w:val="both"/>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从培训需求、培训目的、培训策略、培训对象、流程管理、培训计划、培训大纲等方面综合评定；</w:t>
            </w:r>
          </w:p>
          <w:p>
            <w:pPr>
              <w:pStyle w:val="16"/>
              <w:ind w:right="-31" w:rightChars="-15"/>
              <w:jc w:val="both"/>
              <w:rPr>
                <w:rFonts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内容健全、合理、可行性强的得</w:t>
            </w:r>
            <w:r>
              <w:rPr>
                <w:rFonts w:hint="eastAsia" w:ascii="仿宋" w:hAnsi="仿宋" w:eastAsia="仿宋" w:cs="仿宋"/>
                <w:color w:val="auto"/>
                <w:kern w:val="0"/>
                <w:sz w:val="21"/>
                <w:szCs w:val="21"/>
                <w:highlight w:val="none"/>
                <w:lang w:val="en-US" w:eastAsia="zh-CN" w:bidi="ar"/>
              </w:rPr>
              <w:t>6</w:t>
            </w:r>
            <w:r>
              <w:rPr>
                <w:rFonts w:hint="eastAsia" w:ascii="仿宋" w:hAnsi="仿宋" w:eastAsia="仿宋" w:cs="仿宋"/>
                <w:color w:val="auto"/>
                <w:kern w:val="0"/>
                <w:sz w:val="21"/>
                <w:szCs w:val="21"/>
                <w:highlight w:val="none"/>
                <w:lang w:bidi="ar"/>
              </w:rPr>
              <w:t>分；</w:t>
            </w:r>
          </w:p>
          <w:p>
            <w:pPr>
              <w:pStyle w:val="16"/>
              <w:ind w:right="-31" w:rightChars="-15"/>
              <w:jc w:val="both"/>
              <w:rPr>
                <w:rFonts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内容较为全面、较为合理、可行性一般得</w:t>
            </w: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color w:val="auto"/>
                <w:kern w:val="0"/>
                <w:sz w:val="21"/>
                <w:szCs w:val="21"/>
                <w:highlight w:val="none"/>
                <w:lang w:bidi="ar"/>
              </w:rPr>
              <w:t>分；</w:t>
            </w:r>
          </w:p>
          <w:p>
            <w:pPr>
              <w:pStyle w:val="16"/>
              <w:ind w:right="-31" w:rightChars="-15"/>
              <w:jc w:val="both"/>
              <w:rPr>
                <w:rFonts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内容不充分部具体，针对性差，可行性差得</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p>
            <w:pPr>
              <w:pStyle w:val="16"/>
              <w:ind w:right="-31" w:rightChars="-15"/>
              <w:jc w:val="both"/>
              <w:rPr>
                <w:rFonts w:ascii="仿宋" w:hAnsi="仿宋" w:eastAsia="仿宋" w:cs="仿宋_GB2312"/>
                <w:color w:val="auto"/>
                <w:sz w:val="21"/>
                <w:szCs w:val="21"/>
                <w:highlight w:val="none"/>
              </w:rPr>
            </w:pPr>
            <w:r>
              <w:rPr>
                <w:rFonts w:hint="eastAsia" w:ascii="仿宋" w:hAnsi="仿宋" w:eastAsia="仿宋" w:cs="仿宋_GB2312"/>
                <w:color w:val="auto"/>
                <w:sz w:val="21"/>
                <w:szCs w:val="21"/>
                <w:highlight w:val="none"/>
              </w:rPr>
              <w:t>未提供或不符合项目实际需求得0分。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5" w:type="dxa"/>
            <w:vMerge w:val="continue"/>
            <w:tcBorders>
              <w:right w:val="single" w:color="000000" w:sz="4" w:space="0"/>
            </w:tcBorders>
            <w:vAlign w:val="center"/>
          </w:tcPr>
          <w:p>
            <w:pPr>
              <w:pStyle w:val="16"/>
              <w:ind w:right="-19" w:rightChars="-9"/>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售后服务方案</w:t>
            </w:r>
          </w:p>
        </w:tc>
        <w:tc>
          <w:tcPr>
            <w:tcW w:w="567" w:type="dxa"/>
            <w:vAlign w:val="center"/>
          </w:tcPr>
          <w:p>
            <w:pPr>
              <w:pStyle w:val="16"/>
              <w:jc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w:t>
            </w:r>
          </w:p>
        </w:tc>
        <w:tc>
          <w:tcPr>
            <w:tcW w:w="6367" w:type="dxa"/>
            <w:vAlign w:val="center"/>
          </w:tcPr>
          <w:p>
            <w:pPr>
              <w:pStyle w:val="16"/>
              <w:spacing w:line="240" w:lineRule="auto"/>
              <w:ind w:right="-31" w:rightChars="-15"/>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1.售后服务方案制定完善，包括但不限于售后服务内容、方式、人员及其他资源保障等，后续保障措施可行性强，遇到问题时能迅速响应，并能及时解决，得 6分；</w:t>
            </w:r>
          </w:p>
          <w:p>
            <w:pPr>
              <w:pStyle w:val="16"/>
              <w:spacing w:line="240" w:lineRule="auto"/>
              <w:ind w:right="-31" w:rightChars="-15"/>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2.售后服务方案制定较为完善，主要包括售后服务内容、方式、人员及其他资源保障等，后续保障措施可行性较强，遇到问题时响应较为迅速，得 5分；</w:t>
            </w:r>
          </w:p>
          <w:p>
            <w:pPr>
              <w:pStyle w:val="16"/>
              <w:spacing w:line="240" w:lineRule="auto"/>
              <w:ind w:right="-31" w:rightChars="-15"/>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3.售后服务方案一般，未能重点突出售后服务内容、方式、人员及其他资源保障等关键方面，后续保障措施可行性一般，遇到问题时响应速度一般，得 4 分；</w:t>
            </w:r>
          </w:p>
          <w:p>
            <w:pPr>
              <w:pStyle w:val="16"/>
              <w:spacing w:line="240" w:lineRule="auto"/>
              <w:ind w:right="-31" w:rightChars="-15"/>
              <w:jc w:val="both"/>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4.售后服务方案制定较简单，对售后服务内容、方式、人员及其他资源保障等方面的叙述过于简略，后续保障措施可行性较差，遇到问题时响应速度较慢，得 2分；</w:t>
            </w:r>
          </w:p>
          <w:p>
            <w:pPr>
              <w:pStyle w:val="16"/>
              <w:ind w:right="-31" w:rightChars="-15"/>
              <w:jc w:val="both"/>
              <w:rPr>
                <w:rFonts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vertAlign w:val="baseline"/>
                <w:lang w:val="en-US" w:eastAsia="zh-CN"/>
              </w:rPr>
              <w:t>5.未制定售后服务方案，或售后服务方案制定不完整，后续保障措施可行度差，不能解决问题或未提供的，得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75" w:type="dxa"/>
            <w:vMerge w:val="continue"/>
            <w:tcBorders>
              <w:right w:val="single" w:color="000000" w:sz="4" w:space="0"/>
            </w:tcBorders>
            <w:vAlign w:val="center"/>
          </w:tcPr>
          <w:p>
            <w:pPr>
              <w:pStyle w:val="16"/>
              <w:ind w:right="638" w:rightChars="304"/>
              <w:jc w:val="center"/>
              <w:rPr>
                <w:rFonts w:ascii="仿宋" w:hAnsi="仿宋" w:eastAsia="仿宋" w:cs="仿宋_GB2312"/>
                <w:color w:val="auto"/>
                <w:sz w:val="21"/>
                <w:szCs w:val="21"/>
                <w:highlight w:val="none"/>
              </w:rPr>
            </w:pPr>
          </w:p>
        </w:tc>
        <w:tc>
          <w:tcPr>
            <w:tcW w:w="1134" w:type="dxa"/>
            <w:tcBorders>
              <w:left w:val="single" w:color="000000" w:sz="4" w:space="0"/>
            </w:tcBorders>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质保期后的维修</w:t>
            </w:r>
          </w:p>
        </w:tc>
        <w:tc>
          <w:tcPr>
            <w:tcW w:w="567" w:type="dxa"/>
            <w:vAlign w:val="center"/>
          </w:tcPr>
          <w:p>
            <w:pPr>
              <w:pStyle w:val="16"/>
              <w:jc w:val="center"/>
              <w:rPr>
                <w:rFonts w:hint="eastAsia" w:ascii="仿宋" w:hAnsi="仿宋" w:eastAsia="仿宋" w:cs="仿宋_GB2312"/>
                <w:color w:val="auto"/>
                <w:sz w:val="21"/>
                <w:szCs w:val="21"/>
                <w:highlight w:val="none"/>
                <w:lang w:eastAsia="zh-CN"/>
              </w:rPr>
            </w:pPr>
            <w:r>
              <w:rPr>
                <w:rFonts w:hint="eastAsia" w:ascii="仿宋" w:hAnsi="仿宋" w:eastAsia="仿宋" w:cs="仿宋"/>
                <w:color w:val="auto"/>
                <w:kern w:val="0"/>
                <w:sz w:val="21"/>
                <w:szCs w:val="21"/>
                <w:highlight w:val="none"/>
                <w:lang w:val="en-US" w:eastAsia="zh-CN" w:bidi="ar"/>
              </w:rPr>
              <w:t>2</w:t>
            </w:r>
          </w:p>
        </w:tc>
        <w:tc>
          <w:tcPr>
            <w:tcW w:w="6367" w:type="dxa"/>
            <w:vAlign w:val="center"/>
          </w:tcPr>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1.质保期结束后硬件能够提供终身维修且明确承诺只能收取零配件费（零部件保证按采购人设备安装地市场最低价供应），免人工费、交通费等的，可得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分；能够提供终身维修服务，但承诺收费标准完全参照市场价格的，可得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分；不能提供终身维修服务的，得0分。</w:t>
            </w:r>
          </w:p>
          <w:p>
            <w:pPr>
              <w:pStyle w:val="7"/>
              <w:rPr>
                <w:color w:val="auto"/>
                <w:szCs w:val="21"/>
                <w:highlight w:val="none"/>
              </w:rPr>
            </w:pPr>
            <w:r>
              <w:rPr>
                <w:rFonts w:hint="eastAsia" w:ascii="仿宋" w:hAnsi="仿宋" w:eastAsia="仿宋" w:cs="仿宋"/>
                <w:color w:val="auto"/>
                <w:szCs w:val="21"/>
                <w:highlight w:val="none"/>
              </w:rPr>
              <w:t>2.质保期结束后软件提供永久有偿升级、维护和技术支持服务且明确承诺按市场最低价收费的，可得1分，不能提供承诺的，得0分。</w:t>
            </w:r>
          </w:p>
        </w:tc>
      </w:tr>
    </w:tbl>
    <w:p>
      <w:pPr>
        <w:numPr>
          <w:ilvl w:val="0"/>
          <w:numId w:val="0"/>
        </w:numPr>
        <w:spacing w:line="500" w:lineRule="exact"/>
        <w:ind w:leftChars="0"/>
        <w:rPr>
          <w:rFonts w:ascii="仿宋" w:hAnsi="仿宋" w:eastAsia="仿宋" w:cs="仿宋_GB2312"/>
          <w:color w:val="auto"/>
          <w:sz w:val="24"/>
          <w:highlight w:val="none"/>
        </w:rPr>
      </w:pP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评标委员会每位成员独立对每个有效</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的投标文件进行评价、打分；然后汇总每个</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的得分，计算得分平均值，以平均值由高到低进行排序，按排序顺序推荐中标候选人。分值计算保留小数点后二位，第三位四舍五入。</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落实中小企业政府采购政策的价格调整：</w:t>
      </w:r>
    </w:p>
    <w:p>
      <w:pPr>
        <w:pStyle w:val="21"/>
        <w:keepNext w:val="0"/>
        <w:keepLines w:val="0"/>
        <w:pageBreakBefore w:val="0"/>
        <w:widowControl w:val="0"/>
        <w:numPr>
          <w:ilvl w:val="2"/>
          <w:numId w:val="10"/>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，其投标报价扣除</w:t>
      </w:r>
      <w:r>
        <w:rPr>
          <w:rFonts w:hint="eastAsia" w:ascii="仿宋" w:hAnsi="仿宋" w:eastAsia="仿宋" w:cs="仿宋_GB2312"/>
          <w:color w:val="auto"/>
          <w:sz w:val="24"/>
          <w:highlight w:val="none"/>
          <w:u w:val="single"/>
        </w:rPr>
        <w:t xml:space="preserve"> 10 % </w:t>
      </w:r>
      <w:r>
        <w:rPr>
          <w:rFonts w:hint="eastAsia" w:ascii="仿宋" w:hAnsi="仿宋" w:eastAsia="仿宋" w:cs="仿宋_GB2312"/>
          <w:color w:val="auto"/>
          <w:sz w:val="24"/>
          <w:highlight w:val="none"/>
        </w:rPr>
        <w:t>后参与评审。对于同时属于小微企业、监狱企业或残疾人福利性单位的，不重复进行投标报价扣除。</w:t>
      </w:r>
      <w:r>
        <w:rPr>
          <w:rFonts w:hint="eastAsia" w:ascii="仿宋" w:hAnsi="仿宋" w:eastAsia="仿宋" w:cs="仿宋_GB2312"/>
          <w:color w:val="auto"/>
          <w:sz w:val="24"/>
          <w:highlight w:val="none"/>
          <w:lang w:val="en-US" w:eastAsia="zh-CN"/>
        </w:rPr>
        <w:t>是否属于该类项目详见</w:t>
      </w:r>
      <w:r>
        <w:rPr>
          <w:rFonts w:hint="eastAsia" w:ascii="仿宋" w:hAnsi="仿宋" w:eastAsia="仿宋" w:cs="仿宋_GB2312"/>
          <w:b/>
          <w:bCs/>
          <w:color w:val="auto"/>
          <w:sz w:val="24"/>
          <w:highlight w:val="none"/>
          <w:u w:val="single"/>
          <w:lang w:val="en-US" w:eastAsia="zh-CN"/>
        </w:rPr>
        <w:t>投标须知前附表</w:t>
      </w:r>
      <w:r>
        <w:rPr>
          <w:rFonts w:hint="eastAsia" w:ascii="仿宋" w:hAnsi="仿宋" w:eastAsia="仿宋" w:cs="仿宋_GB2312"/>
          <w:b/>
          <w:bCs/>
          <w:color w:val="auto"/>
          <w:sz w:val="24"/>
          <w:highlight w:val="none"/>
          <w:u w:val="none"/>
          <w:lang w:val="en-US" w:eastAsia="zh-CN"/>
        </w:rPr>
        <w:t>。</w:t>
      </w:r>
    </w:p>
    <w:p>
      <w:pPr>
        <w:pStyle w:val="21"/>
        <w:keepNext w:val="0"/>
        <w:keepLines w:val="0"/>
        <w:pageBreakBefore w:val="0"/>
        <w:widowControl w:val="0"/>
        <w:numPr>
          <w:ilvl w:val="2"/>
          <w:numId w:val="10"/>
        </w:numPr>
        <w:kinsoku/>
        <w:wordWrap/>
        <w:overflowPunct/>
        <w:topLinePunct w:val="0"/>
        <w:bidi w:val="0"/>
        <w:adjustRightInd/>
        <w:snapToGrid/>
        <w:spacing w:line="500" w:lineRule="exact"/>
        <w:ind w:left="0" w:leftChars="0" w:firstLine="0" w:firstLineChars="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仿宋" w:hAnsi="仿宋" w:eastAsia="仿宋" w:cs="仿宋_GB2312"/>
          <w:color w:val="auto"/>
          <w:sz w:val="24"/>
          <w:highlight w:val="none"/>
          <w:u w:val="single"/>
        </w:rPr>
        <w:t xml:space="preserve"> 4% </w:t>
      </w:r>
      <w:r>
        <w:rPr>
          <w:rFonts w:hint="eastAsia" w:ascii="仿宋" w:hAnsi="仿宋" w:eastAsia="仿宋" w:cs="仿宋_GB2312"/>
          <w:color w:val="auto"/>
          <w:sz w:val="24"/>
          <w:highlight w:val="none"/>
        </w:rPr>
        <w:t>的扣除，用扣除后的价格参加评审。</w:t>
      </w:r>
      <w:r>
        <w:rPr>
          <w:rFonts w:hint="eastAsia" w:ascii="仿宋" w:hAnsi="仿宋" w:eastAsia="仿宋" w:cs="仿宋_GB2312"/>
          <w:color w:val="auto"/>
          <w:sz w:val="24"/>
          <w:highlight w:val="none"/>
          <w:lang w:val="en-US" w:eastAsia="zh-CN"/>
        </w:rPr>
        <w:t>是否属于该类项目详见</w:t>
      </w:r>
      <w:r>
        <w:rPr>
          <w:rFonts w:hint="eastAsia" w:ascii="仿宋" w:hAnsi="仿宋" w:eastAsia="仿宋" w:cs="仿宋_GB2312"/>
          <w:b/>
          <w:bCs/>
          <w:color w:val="auto"/>
          <w:sz w:val="24"/>
          <w:highlight w:val="none"/>
          <w:u w:val="single"/>
          <w:lang w:val="en-US" w:eastAsia="zh-CN"/>
        </w:rPr>
        <w:t>投标须知前附表</w:t>
      </w:r>
      <w:r>
        <w:rPr>
          <w:rFonts w:hint="eastAsia" w:ascii="仿宋" w:hAnsi="仿宋" w:eastAsia="仿宋" w:cs="仿宋_GB2312"/>
          <w:b/>
          <w:bCs/>
          <w:color w:val="auto"/>
          <w:sz w:val="24"/>
          <w:highlight w:val="none"/>
          <w:u w:val="none"/>
          <w:lang w:val="en-US" w:eastAsia="zh-CN"/>
        </w:rPr>
        <w:t>。</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组成联合体或者接受分包的小微企业与联合体内其他企业、分包企业之间存在直接控股、管理关系的，不享受价格扣除优惠政策。</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价格扣除比例对小型企业和微型企业同等对待，不作区分。</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中小企业参加政府采购活动，应当按照招标文件给定的格式出具《中小企业声明函》，否则不得享受相关中小企业扶持政策。</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监狱企业提供了由省级以上监狱管理局、戒毒管理局（含新疆生产建设兵团）出具的属于监狱企业的证明文件的，视同小微企业。</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残疾人福利性单位按招标文件要求提供了《残疾人福利性单位声明函》（见附件）的，视同小微企业。</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若</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同时属于小型或微型企业、监狱企业、残疾人福利性单位中的两种及以上，将不重复享受小微企业价格扣减的优惠政策。</w:t>
      </w:r>
    </w:p>
    <w:p>
      <w:pPr>
        <w:numPr>
          <w:ilvl w:val="1"/>
          <w:numId w:val="9"/>
        </w:numPr>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_GB2312"/>
          <w:color w:val="auto"/>
          <w:sz w:val="24"/>
          <w:highlight w:val="none"/>
          <w:u w:val="single"/>
        </w:rPr>
        <w:t>综合得分相同时排名优先。</w:t>
      </w:r>
    </w:p>
    <w:p>
      <w:pPr>
        <w:numPr>
          <w:ilvl w:val="1"/>
          <w:numId w:val="9"/>
        </w:numPr>
        <w:spacing w:line="500" w:lineRule="exac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如采购人所采购产品为政府强制采购的节能产品，</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所投产品的品牌及型号必须为清单中有效期内产品并提供证明文件，否则其投标将作为</w:t>
      </w:r>
      <w:r>
        <w:rPr>
          <w:rFonts w:hint="eastAsia" w:ascii="仿宋" w:hAnsi="仿宋" w:eastAsia="仿宋" w:cs="仿宋_GB2312"/>
          <w:b/>
          <w:bCs/>
          <w:color w:val="auto"/>
          <w:sz w:val="24"/>
          <w:highlight w:val="none"/>
        </w:rPr>
        <w:t>无效投标</w:t>
      </w:r>
      <w:r>
        <w:rPr>
          <w:rFonts w:hint="eastAsia" w:ascii="仿宋" w:hAnsi="仿宋" w:eastAsia="仿宋" w:cs="仿宋_GB2312"/>
          <w:color w:val="auto"/>
          <w:sz w:val="24"/>
          <w:highlight w:val="none"/>
        </w:rPr>
        <w:t>被拒绝。</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所投产品列入无线局域网产品清单，应提供相关证明，在评标时予以优先采购，具体优惠措施为：</w:t>
      </w:r>
      <w:r>
        <w:rPr>
          <w:rFonts w:hint="eastAsia" w:ascii="仿宋" w:hAnsi="仿宋" w:eastAsia="仿宋" w:cs="仿宋_GB2312"/>
          <w:color w:val="auto"/>
          <w:sz w:val="24"/>
          <w:highlight w:val="none"/>
          <w:u w:val="single"/>
        </w:rPr>
        <w:t>综合得分相同时排名优先 。</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同品牌处理办法：</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如采用最低评标办法，则：</w:t>
      </w:r>
      <w:r>
        <w:rPr>
          <w:rFonts w:hint="eastAsia" w:ascii="仿宋" w:hAnsi="仿宋" w:eastAsia="仿宋" w:cs="仿宋_GB2312"/>
          <w:color w:val="auto"/>
          <w:sz w:val="24"/>
          <w:highlight w:val="none"/>
          <w:u w:val="single"/>
        </w:rPr>
        <w:t>提供相同品牌产品的不同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以其中通过资格审查、符合性审查且报价最低的参加评标；报价相同的，由评标委员会采取随机抽取方式确定，其他同品牌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不作为中标候选人。</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如采用综合评标法，则：</w:t>
      </w:r>
      <w:r>
        <w:rPr>
          <w:rFonts w:hint="eastAsia" w:ascii="仿宋" w:hAnsi="仿宋" w:eastAsia="仿宋" w:cs="仿宋_GB2312"/>
          <w:color w:val="auto"/>
          <w:sz w:val="24"/>
          <w:highlight w:val="none"/>
          <w:u w:val="single"/>
        </w:rPr>
        <w:t>提供相同品牌产品且通过资格审查、符合性审查的不同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，按一家</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计算，评审后得分最高的同品牌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w:t>
      </w:r>
      <w:r>
        <w:rPr>
          <w:rFonts w:hint="eastAsia" w:ascii="仿宋" w:hAnsi="仿宋" w:eastAsia="仿宋" w:cs="仿宋_GB2312"/>
          <w:color w:val="auto"/>
          <w:sz w:val="24"/>
          <w:highlight w:val="none"/>
          <w:u w:val="single"/>
          <w:lang w:eastAsia="zh-CN"/>
        </w:rPr>
        <w:t>投标人</w:t>
      </w:r>
      <w:r>
        <w:rPr>
          <w:rFonts w:hint="eastAsia" w:ascii="仿宋" w:hAnsi="仿宋" w:eastAsia="仿宋" w:cs="仿宋_GB2312"/>
          <w:color w:val="auto"/>
          <w:sz w:val="24"/>
          <w:highlight w:val="none"/>
          <w:u w:val="single"/>
        </w:rPr>
        <w:t>不作为中标候选人</w:t>
      </w:r>
      <w:r>
        <w:rPr>
          <w:rFonts w:hint="eastAsia" w:ascii="仿宋" w:hAnsi="仿宋" w:eastAsia="仿宋" w:cs="仿宋_GB2312"/>
          <w:color w:val="auto"/>
          <w:sz w:val="24"/>
          <w:highlight w:val="none"/>
        </w:rPr>
        <w:t>。</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如一个分包内包含多种产品的，采购人或采购代理机构将在</w:t>
      </w:r>
      <w:r>
        <w:rPr>
          <w:rFonts w:hint="eastAsia" w:ascii="仿宋" w:hAnsi="仿宋" w:eastAsia="仿宋" w:cs="仿宋_GB2312"/>
          <w:color w:val="auto"/>
          <w:sz w:val="24"/>
          <w:highlight w:val="none"/>
          <w:u w:val="single"/>
          <w:lang w:eastAsia="zh-CN"/>
        </w:rPr>
        <w:t>投标须知前附表</w:t>
      </w:r>
      <w:r>
        <w:rPr>
          <w:rFonts w:hint="eastAsia" w:ascii="仿宋" w:hAnsi="仿宋" w:eastAsia="仿宋" w:cs="仿宋_GB2312"/>
          <w:color w:val="auto"/>
          <w:sz w:val="24"/>
          <w:highlight w:val="none"/>
        </w:rPr>
        <w:t>中载明核心产品，多家</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 xml:space="preserve">提供的所有核心产品品牌均相同的，按第六章  评标程序、评标方法和评标标准第6.6条规定处理。 </w:t>
      </w:r>
    </w:p>
    <w:p>
      <w:pPr>
        <w:numPr>
          <w:ilvl w:val="1"/>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确定中标候选人名单</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采用综合评分法时，评标结果按评审后得分由高到低顺序排列。评审得分最高的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为排名第一的中标候选人。综合评审得分相同的,投标报价最低优先，如报价相同则技术部分得分最高优先，投标报价相同且技术部分得分也相同的，由评标委员会现场采取随机抽取方式确定。</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采用最低评标价法时，评标结果按投标报价由低到高顺序排列。投标文件满足招标文件全部实质性要求且投标报价最低的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为排名第一的中标候选人。投标报价相同的评标委员会随机抽取的方式确定排名。</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评标委员会要对评分汇总情况进行复核，特别是对排名第一的、报价最低的、投标或响应文件被认定为无效的情形进行重点复核。</w:t>
      </w:r>
    </w:p>
    <w:p>
      <w:pPr>
        <w:numPr>
          <w:ilvl w:val="2"/>
          <w:numId w:val="9"/>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的评标排序，依次推荐本项目（各采购包）的中标候选人，起草并签署评标报告。本项目（各采购包）评标委员会共（各）推荐三名中标候选人。</w:t>
      </w: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2"/>
        <w:numPr>
          <w:ilvl w:val="0"/>
          <w:numId w:val="1"/>
        </w:numPr>
        <w:jc w:val="center"/>
        <w:rPr>
          <w:rFonts w:ascii="仿宋" w:hAnsi="仿宋" w:eastAsia="仿宋" w:cs="仿宋_GB2312"/>
          <w:color w:val="auto"/>
          <w:sz w:val="32"/>
          <w:szCs w:val="32"/>
          <w:highlight w:val="none"/>
        </w:rPr>
      </w:pPr>
      <w:bookmarkStart w:id="28" w:name="_Toc31337"/>
      <w:r>
        <w:rPr>
          <w:rFonts w:hint="eastAsia" w:ascii="仿宋" w:hAnsi="仿宋" w:eastAsia="仿宋" w:cs="仿宋_GB2312"/>
          <w:color w:val="auto"/>
          <w:sz w:val="32"/>
          <w:szCs w:val="32"/>
          <w:highlight w:val="none"/>
        </w:rPr>
        <w:t>投标文件格式</w:t>
      </w:r>
      <w:bookmarkEnd w:id="28"/>
    </w:p>
    <w:p>
      <w:pPr>
        <w:spacing w:line="500" w:lineRule="exact"/>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lang w:eastAsia="zh-CN"/>
        </w:rPr>
        <w:t>投标人</w:t>
      </w:r>
      <w:r>
        <w:rPr>
          <w:rFonts w:hint="eastAsia" w:ascii="仿宋" w:hAnsi="仿宋" w:eastAsia="仿宋" w:cs="仿宋_GB2312"/>
          <w:b/>
          <w:bCs/>
          <w:color w:val="auto"/>
          <w:sz w:val="24"/>
          <w:highlight w:val="none"/>
        </w:rPr>
        <w:t>编制文件须知</w:t>
      </w:r>
    </w:p>
    <w:p>
      <w:pPr>
        <w:numPr>
          <w:ilvl w:val="0"/>
          <w:numId w:val="11"/>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为保证评标工作的顺利进行，各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需参照如下的格式，认真进行投标文件的编写工作。需建立详细的目录。</w:t>
      </w:r>
    </w:p>
    <w:p>
      <w:pPr>
        <w:numPr>
          <w:ilvl w:val="0"/>
          <w:numId w:val="11"/>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各</w:t>
      </w:r>
      <w:r>
        <w:rPr>
          <w:rFonts w:hint="eastAsia" w:ascii="仿宋" w:hAnsi="仿宋" w:eastAsia="仿宋" w:cs="仿宋_GB2312"/>
          <w:color w:val="auto"/>
          <w:sz w:val="24"/>
          <w:highlight w:val="none"/>
          <w:lang w:eastAsia="zh-CN"/>
        </w:rPr>
        <w:t>投标人</w:t>
      </w:r>
      <w:r>
        <w:rPr>
          <w:rFonts w:hint="eastAsia" w:ascii="仿宋" w:hAnsi="仿宋" w:eastAsia="仿宋" w:cs="仿宋_GB2312"/>
          <w:color w:val="auto"/>
          <w:sz w:val="24"/>
          <w:highlight w:val="none"/>
        </w:rPr>
        <w:t>提交文件中涉及商业机密的，应明确标明，采购人及最终用户将给予保密处理，否则视为公开资料。</w:t>
      </w:r>
    </w:p>
    <w:p>
      <w:pPr>
        <w:numPr>
          <w:ilvl w:val="0"/>
          <w:numId w:val="11"/>
        </w:numPr>
        <w:spacing w:line="5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全部声明和问题的回答及所附材料必须是真实的、准确的和完整的。</w:t>
      </w:r>
    </w:p>
    <w:p>
      <w:pPr>
        <w:numPr>
          <w:ilvl w:val="0"/>
          <w:numId w:val="11"/>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 </w:t>
      </w:r>
    </w:p>
    <w:p>
      <w:pPr>
        <w:numPr>
          <w:ilvl w:val="0"/>
          <w:numId w:val="11"/>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“法定代表人（单位负责人）”指供应商营业执照或登记证书载明的“法定代表人”、“负责人”、“执行事务合伙人”、“投资人”等。 </w:t>
      </w:r>
    </w:p>
    <w:p>
      <w:pPr>
        <w:numPr>
          <w:ilvl w:val="0"/>
          <w:numId w:val="11"/>
        </w:numPr>
        <w:spacing w:line="50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 以联合体参加的，除采购文件格式中要求外，采购文件要求的供应商盖章处应按加盖联合体协议中约定的联合体牵头人公章或所有联合体成员公章</w:t>
      </w:r>
    </w:p>
    <w:p>
      <w:pPr>
        <w:spacing w:line="500" w:lineRule="exact"/>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widowControl/>
        <w:jc w:val="left"/>
        <w:rPr>
          <w:rFonts w:ascii="仿宋" w:hAnsi="仿宋" w:eastAsia="仿宋" w:cs="仿宋_GB2312"/>
          <w:b/>
          <w:bCs/>
          <w:color w:val="auto"/>
          <w:kern w:val="0"/>
          <w:sz w:val="24"/>
          <w:highlight w:val="none"/>
          <w:lang w:bidi="ar"/>
        </w:rPr>
      </w:pPr>
    </w:p>
    <w:p>
      <w:pPr>
        <w:widowControl/>
        <w:jc w:val="left"/>
        <w:outlineLvl w:val="1"/>
        <w:rPr>
          <w:rFonts w:ascii="仿宋" w:hAnsi="仿宋" w:eastAsia="仿宋" w:cs="仿宋_GB2312"/>
          <w:b/>
          <w:bCs/>
          <w:color w:val="auto"/>
          <w:kern w:val="0"/>
          <w:sz w:val="24"/>
          <w:highlight w:val="none"/>
          <w:lang w:bidi="ar"/>
        </w:rPr>
      </w:pPr>
      <w:bookmarkStart w:id="29" w:name="_Toc10196"/>
      <w:r>
        <w:rPr>
          <w:rFonts w:hint="eastAsia" w:ascii="仿宋" w:hAnsi="仿宋" w:eastAsia="仿宋" w:cs="仿宋_GB2312"/>
          <w:b/>
          <w:bCs/>
          <w:color w:val="auto"/>
          <w:kern w:val="0"/>
          <w:sz w:val="24"/>
          <w:highlight w:val="none"/>
          <w:lang w:bidi="ar"/>
        </w:rPr>
        <w:t>投标文件封面（参考格式）</w:t>
      </w:r>
      <w:bookmarkEnd w:id="29"/>
    </w:p>
    <w:p>
      <w:pPr>
        <w:widowControl/>
        <w:jc w:val="left"/>
        <w:rPr>
          <w:rFonts w:ascii="仿宋" w:hAnsi="仿宋" w:eastAsia="仿宋" w:cs="仿宋_GB2312"/>
          <w:b/>
          <w:bCs/>
          <w:color w:val="auto"/>
          <w:kern w:val="0"/>
          <w:sz w:val="84"/>
          <w:szCs w:val="84"/>
          <w:highlight w:val="none"/>
          <w:lang w:bidi="ar"/>
        </w:rPr>
      </w:pPr>
    </w:p>
    <w:p>
      <w:pPr>
        <w:widowControl/>
        <w:jc w:val="left"/>
        <w:rPr>
          <w:rFonts w:ascii="仿宋" w:hAnsi="仿宋" w:eastAsia="仿宋" w:cs="仿宋_GB2312"/>
          <w:b/>
          <w:bCs/>
          <w:color w:val="auto"/>
          <w:kern w:val="0"/>
          <w:sz w:val="84"/>
          <w:szCs w:val="84"/>
          <w:highlight w:val="none"/>
          <w:lang w:bidi="ar"/>
        </w:rPr>
      </w:pPr>
    </w:p>
    <w:p>
      <w:pPr>
        <w:widowControl/>
        <w:jc w:val="center"/>
        <w:rPr>
          <w:rFonts w:ascii="仿宋" w:hAnsi="仿宋" w:eastAsia="仿宋" w:cs="仿宋_GB2312"/>
          <w:color w:val="auto"/>
          <w:highlight w:val="none"/>
        </w:rPr>
      </w:pPr>
      <w:r>
        <w:rPr>
          <w:rFonts w:hint="eastAsia" w:ascii="仿宋" w:hAnsi="仿宋" w:eastAsia="仿宋" w:cs="仿宋_GB2312"/>
          <w:b/>
          <w:bCs/>
          <w:color w:val="auto"/>
          <w:kern w:val="0"/>
          <w:sz w:val="84"/>
          <w:szCs w:val="84"/>
          <w:highlight w:val="none"/>
          <w:lang w:bidi="ar"/>
        </w:rPr>
        <w:t>投标文件</w:t>
      </w:r>
    </w:p>
    <w:p>
      <w:pPr>
        <w:widowControl/>
        <w:jc w:val="left"/>
        <w:rPr>
          <w:rFonts w:ascii="仿宋" w:hAnsi="仿宋" w:eastAsia="仿宋" w:cs="仿宋_GB2312"/>
          <w:b/>
          <w:bCs/>
          <w:color w:val="auto"/>
          <w:kern w:val="0"/>
          <w:sz w:val="52"/>
          <w:szCs w:val="52"/>
          <w:highlight w:val="none"/>
          <w:lang w:bidi="ar"/>
        </w:rPr>
      </w:pPr>
    </w:p>
    <w:p>
      <w:pPr>
        <w:widowControl/>
        <w:jc w:val="left"/>
        <w:rPr>
          <w:rFonts w:ascii="仿宋" w:hAnsi="仿宋" w:eastAsia="仿宋" w:cs="仿宋_GB2312"/>
          <w:b/>
          <w:bCs/>
          <w:color w:val="auto"/>
          <w:kern w:val="0"/>
          <w:sz w:val="52"/>
          <w:szCs w:val="52"/>
          <w:highlight w:val="none"/>
          <w:lang w:bidi="ar"/>
        </w:rPr>
      </w:pPr>
    </w:p>
    <w:p>
      <w:pPr>
        <w:widowControl/>
        <w:jc w:val="left"/>
        <w:rPr>
          <w:rFonts w:ascii="仿宋" w:hAnsi="仿宋" w:eastAsia="仿宋" w:cs="仿宋_GB2312"/>
          <w:color w:val="auto"/>
          <w:highlight w:val="none"/>
        </w:rPr>
      </w:pPr>
      <w:r>
        <w:rPr>
          <w:rFonts w:hint="eastAsia" w:ascii="仿宋" w:hAnsi="仿宋" w:eastAsia="仿宋" w:cs="仿宋_GB2312"/>
          <w:b/>
          <w:bCs/>
          <w:color w:val="auto"/>
          <w:kern w:val="0"/>
          <w:sz w:val="52"/>
          <w:szCs w:val="52"/>
          <w:highlight w:val="none"/>
          <w:lang w:bidi="ar"/>
        </w:rPr>
        <w:t xml:space="preserve"> </w:t>
      </w:r>
    </w:p>
    <w:p>
      <w:pPr>
        <w:widowControl/>
        <w:jc w:val="left"/>
        <w:rPr>
          <w:rFonts w:ascii="仿宋" w:hAnsi="仿宋" w:eastAsia="仿宋" w:cs="仿宋_GB2312"/>
          <w:b/>
          <w:bCs/>
          <w:color w:val="auto"/>
          <w:kern w:val="0"/>
          <w:sz w:val="31"/>
          <w:szCs w:val="31"/>
          <w:highlight w:val="none"/>
          <w:lang w:bidi="ar"/>
        </w:rPr>
      </w:pPr>
    </w:p>
    <w:p>
      <w:pPr>
        <w:widowControl/>
        <w:jc w:val="left"/>
        <w:rPr>
          <w:rFonts w:ascii="仿宋" w:hAnsi="仿宋" w:eastAsia="仿宋" w:cs="仿宋_GB2312"/>
          <w:b/>
          <w:bCs/>
          <w:color w:val="auto"/>
          <w:kern w:val="0"/>
          <w:sz w:val="31"/>
          <w:szCs w:val="31"/>
          <w:highlight w:val="none"/>
          <w:lang w:bidi="ar"/>
        </w:rPr>
      </w:pPr>
    </w:p>
    <w:p>
      <w:pPr>
        <w:widowControl/>
        <w:jc w:val="left"/>
        <w:rPr>
          <w:rFonts w:ascii="仿宋" w:hAnsi="仿宋" w:eastAsia="仿宋" w:cs="仿宋_GB2312"/>
          <w:color w:val="auto"/>
          <w:highlight w:val="none"/>
        </w:rPr>
      </w:pPr>
      <w:r>
        <w:rPr>
          <w:rFonts w:hint="eastAsia" w:ascii="仿宋" w:hAnsi="仿宋" w:eastAsia="仿宋" w:cs="仿宋_GB2312"/>
          <w:b/>
          <w:bCs/>
          <w:color w:val="auto"/>
          <w:kern w:val="0"/>
          <w:sz w:val="31"/>
          <w:szCs w:val="31"/>
          <w:highlight w:val="none"/>
          <w:lang w:bidi="ar"/>
        </w:rPr>
        <w:t xml:space="preserve">项目名称: </w:t>
      </w:r>
    </w:p>
    <w:p>
      <w:pPr>
        <w:widowControl/>
        <w:jc w:val="left"/>
        <w:rPr>
          <w:rFonts w:hint="eastAsia"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bidi="ar"/>
        </w:rPr>
        <w:t>项目编号：</w:t>
      </w:r>
    </w:p>
    <w:p>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val="en-US" w:eastAsia="zh-CN" w:bidi="ar"/>
        </w:rPr>
        <w:t>标项(包)名称：</w:t>
      </w:r>
    </w:p>
    <w:p>
      <w:pPr>
        <w:widowControl/>
        <w:jc w:val="left"/>
        <w:rPr>
          <w:rFonts w:ascii="仿宋" w:hAnsi="仿宋" w:eastAsia="仿宋" w:cs="仿宋_GB2312"/>
          <w:b/>
          <w:bCs/>
          <w:color w:val="auto"/>
          <w:kern w:val="0"/>
          <w:sz w:val="31"/>
          <w:szCs w:val="31"/>
          <w:highlight w:val="none"/>
          <w:lang w:bidi="ar"/>
        </w:rPr>
      </w:pPr>
    </w:p>
    <w:p>
      <w:pPr>
        <w:widowControl/>
        <w:jc w:val="left"/>
        <w:rPr>
          <w:rFonts w:ascii="仿宋" w:hAnsi="仿宋" w:eastAsia="仿宋" w:cs="仿宋_GB2312"/>
          <w:b/>
          <w:bCs/>
          <w:color w:val="auto"/>
          <w:kern w:val="0"/>
          <w:sz w:val="31"/>
          <w:szCs w:val="31"/>
          <w:highlight w:val="none"/>
          <w:lang w:bidi="ar"/>
        </w:rPr>
      </w:pPr>
    </w:p>
    <w:p>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eastAsia="zh-CN" w:bidi="ar"/>
        </w:rPr>
        <w:t>投标人</w:t>
      </w:r>
      <w:r>
        <w:rPr>
          <w:rFonts w:hint="eastAsia" w:ascii="仿宋" w:hAnsi="仿宋" w:eastAsia="仿宋" w:cs="仿宋_GB2312"/>
          <w:b/>
          <w:bCs/>
          <w:color w:val="auto"/>
          <w:kern w:val="0"/>
          <w:sz w:val="31"/>
          <w:szCs w:val="31"/>
          <w:highlight w:val="none"/>
          <w:lang w:bidi="ar"/>
        </w:rPr>
        <w:t>名称（</w:t>
      </w:r>
      <w:r>
        <w:rPr>
          <w:rFonts w:hint="eastAsia" w:ascii="仿宋" w:hAnsi="仿宋" w:eastAsia="仿宋" w:cs="仿宋_GB2312"/>
          <w:b/>
          <w:bCs/>
          <w:color w:val="auto"/>
          <w:kern w:val="0"/>
          <w:sz w:val="31"/>
          <w:szCs w:val="31"/>
          <w:highlight w:val="none"/>
          <w:lang w:val="en-US" w:eastAsia="zh-CN" w:bidi="ar"/>
        </w:rPr>
        <w:t>盖公章</w:t>
      </w:r>
      <w:r>
        <w:rPr>
          <w:rFonts w:hint="eastAsia" w:ascii="仿宋" w:hAnsi="仿宋" w:eastAsia="仿宋" w:cs="仿宋_GB2312"/>
          <w:b/>
          <w:bCs/>
          <w:color w:val="auto"/>
          <w:kern w:val="0"/>
          <w:sz w:val="31"/>
          <w:szCs w:val="31"/>
          <w:highlight w:val="none"/>
          <w:lang w:bidi="ar"/>
        </w:rPr>
        <w:t>）：</w:t>
      </w:r>
    </w:p>
    <w:p>
      <w:pPr>
        <w:widowControl/>
        <w:jc w:val="left"/>
        <w:rPr>
          <w:rFonts w:ascii="仿宋" w:hAnsi="仿宋" w:eastAsia="仿宋" w:cs="仿宋_GB2312"/>
          <w:b/>
          <w:bCs/>
          <w:color w:val="auto"/>
          <w:kern w:val="0"/>
          <w:sz w:val="31"/>
          <w:szCs w:val="31"/>
          <w:highlight w:val="none"/>
          <w:lang w:bidi="ar"/>
        </w:rPr>
      </w:pPr>
      <w:r>
        <w:rPr>
          <w:rFonts w:hint="eastAsia" w:ascii="仿宋" w:hAnsi="仿宋" w:eastAsia="仿宋" w:cs="仿宋_GB2312"/>
          <w:b/>
          <w:bCs/>
          <w:color w:val="auto"/>
          <w:kern w:val="0"/>
          <w:sz w:val="31"/>
          <w:szCs w:val="31"/>
          <w:highlight w:val="none"/>
          <w:lang w:bidi="ar"/>
        </w:rPr>
        <w:t>法定代表人或其授权代表</w:t>
      </w:r>
      <w:r>
        <w:rPr>
          <w:rFonts w:hint="eastAsia" w:ascii="仿宋" w:hAnsi="仿宋" w:eastAsia="仿宋" w:cs="仿宋_GB2312"/>
          <w:b/>
          <w:bCs/>
          <w:color w:val="auto"/>
          <w:kern w:val="0"/>
          <w:sz w:val="31"/>
          <w:szCs w:val="31"/>
          <w:highlight w:val="none"/>
          <w:lang w:eastAsia="zh-CN" w:bidi="ar"/>
        </w:rPr>
        <w:t>（</w:t>
      </w:r>
      <w:r>
        <w:rPr>
          <w:rFonts w:hint="eastAsia" w:ascii="仿宋" w:hAnsi="仿宋" w:eastAsia="仿宋" w:cs="仿宋_GB2312"/>
          <w:b/>
          <w:bCs/>
          <w:color w:val="auto"/>
          <w:kern w:val="0"/>
          <w:sz w:val="31"/>
          <w:szCs w:val="31"/>
          <w:highlight w:val="none"/>
          <w:lang w:val="en-US" w:eastAsia="zh-CN" w:bidi="ar"/>
        </w:rPr>
        <w:t>签字或印鉴</w:t>
      </w:r>
      <w:r>
        <w:rPr>
          <w:rFonts w:hint="eastAsia" w:ascii="仿宋" w:hAnsi="仿宋" w:eastAsia="仿宋" w:cs="仿宋_GB2312"/>
          <w:b/>
          <w:bCs/>
          <w:color w:val="auto"/>
          <w:kern w:val="0"/>
          <w:sz w:val="31"/>
          <w:szCs w:val="31"/>
          <w:highlight w:val="none"/>
          <w:lang w:eastAsia="zh-CN" w:bidi="ar"/>
        </w:rPr>
        <w:t>）</w:t>
      </w:r>
      <w:r>
        <w:rPr>
          <w:rFonts w:hint="eastAsia" w:ascii="仿宋" w:hAnsi="仿宋" w:eastAsia="仿宋" w:cs="仿宋_GB2312"/>
          <w:b/>
          <w:bCs/>
          <w:color w:val="auto"/>
          <w:kern w:val="0"/>
          <w:sz w:val="31"/>
          <w:szCs w:val="31"/>
          <w:highlight w:val="none"/>
          <w:lang w:bidi="ar"/>
        </w:rPr>
        <w:t>：</w:t>
      </w:r>
    </w:p>
    <w:p>
      <w:pPr>
        <w:widowControl/>
        <w:jc w:val="left"/>
        <w:rPr>
          <w:rFonts w:ascii="仿宋" w:hAnsi="仿宋" w:eastAsia="仿宋" w:cs="仿宋_GB2312"/>
          <w:b/>
          <w:bCs/>
          <w:color w:val="auto"/>
          <w:kern w:val="0"/>
          <w:sz w:val="31"/>
          <w:szCs w:val="31"/>
          <w:highlight w:val="none"/>
          <w:lang w:bidi="ar"/>
        </w:rPr>
      </w:pPr>
    </w:p>
    <w:p>
      <w:pPr>
        <w:widowControl/>
        <w:jc w:val="left"/>
        <w:rPr>
          <w:rFonts w:ascii="仿宋" w:hAnsi="仿宋" w:eastAsia="仿宋" w:cs="仿宋_GB2312"/>
          <w:b/>
          <w:bCs/>
          <w:color w:val="auto"/>
          <w:kern w:val="0"/>
          <w:sz w:val="31"/>
          <w:szCs w:val="31"/>
          <w:highlight w:val="none"/>
          <w:lang w:bidi="ar"/>
        </w:rPr>
      </w:pPr>
    </w:p>
    <w:p>
      <w:pP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一、资格证明文件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1、满足《中华人民共和国政府采购法》第二十二条规定及法律法规的其他规定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outlineLvl w:val="3"/>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法人或者其他组织的营业执照等证明文件或自然人的身份证明扫描件;</w:t>
      </w:r>
    </w:p>
    <w:p>
      <w:pPr>
        <w:pStyle w:val="8"/>
        <w:spacing w:line="374" w:lineRule="auto"/>
        <w:ind w:right="1145"/>
        <w:outlineLvl w:val="9"/>
        <w:rPr>
          <w:rFonts w:hint="eastAsia" w:ascii="仿宋" w:hAnsi="仿宋" w:eastAsia="仿宋" w:cs="仿宋"/>
          <w:color w:val="auto"/>
          <w:sz w:val="21"/>
          <w:szCs w:val="21"/>
          <w:highlight w:val="none"/>
        </w:rPr>
      </w:pPr>
    </w:p>
    <w:p>
      <w:pPr>
        <w:pStyle w:val="8"/>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说明：1.提供有效的营业执照等证明文件</w:t>
      </w:r>
      <w:r>
        <w:rPr>
          <w:rFonts w:hint="eastAsia" w:ascii="仿宋" w:hAnsi="仿宋" w:eastAsia="仿宋" w:cs="仿宋"/>
          <w:color w:val="auto"/>
          <w:sz w:val="24"/>
          <w:szCs w:val="24"/>
          <w:highlight w:val="none"/>
          <w:lang w:eastAsia="zh-CN"/>
        </w:rPr>
        <w:t>扫描件加盖本单位公章</w:t>
      </w:r>
    </w:p>
    <w:p>
      <w:pPr>
        <w:pStyle w:val="8"/>
        <w:spacing w:line="374" w:lineRule="auto"/>
        <w:ind w:right="1145" w:firstLine="720" w:firstLineChars="300"/>
        <w:outlineLvl w:val="9"/>
        <w:rPr>
          <w:rFonts w:hint="eastAsia" w:ascii="仿宋" w:hAnsi="仿宋" w:eastAsia="仿宋" w:cs="仿宋"/>
          <w:color w:val="auto"/>
          <w:sz w:val="24"/>
          <w:szCs w:val="24"/>
          <w:highlight w:val="none"/>
        </w:rPr>
      </w:pPr>
      <w:bookmarkStart w:id="30" w:name="_Toc1278"/>
      <w:bookmarkStart w:id="31" w:name="_Toc27013"/>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为自然人的，应提供身份证明的</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bookmarkEnd w:id="30"/>
      <w:bookmarkEnd w:id="31"/>
    </w:p>
    <w:p>
      <w:pPr>
        <w:pStyle w:val="8"/>
        <w:tabs>
          <w:tab w:val="left" w:pos="1560"/>
          <w:tab w:val="left" w:pos="2040"/>
        </w:tabs>
        <w:spacing w:before="66"/>
        <w:ind w:firstLine="720" w:firstLineChars="300"/>
        <w:outlineLvl w:val="9"/>
        <w:rPr>
          <w:rFonts w:hint="eastAsia" w:ascii="仿宋" w:hAnsi="仿宋" w:eastAsia="仿宋" w:cs="仿宋"/>
          <w:color w:val="auto"/>
          <w:sz w:val="24"/>
          <w:szCs w:val="24"/>
          <w:highlight w:val="none"/>
        </w:rPr>
      </w:pPr>
      <w:bookmarkStart w:id="32" w:name="_Toc3454"/>
      <w:bookmarkStart w:id="33" w:name="_Toc1831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联合体投标应提供联合体各方满足以上要求的证明文件。</w:t>
      </w:r>
      <w:bookmarkEnd w:id="32"/>
      <w:bookmarkEnd w:id="33"/>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pPr>
        <w:pStyle w:val="8"/>
        <w:keepNext w:val="0"/>
        <w:keepLines w:val="0"/>
        <w:pageBreakBefore w:val="0"/>
        <w:widowControl w:val="0"/>
        <w:kinsoku/>
        <w:wordWrap/>
        <w:overflowPunct/>
        <w:topLinePunct w:val="0"/>
        <w:autoSpaceDE/>
        <w:autoSpaceDN/>
        <w:bidi w:val="0"/>
        <w:adjustRightInd/>
        <w:snapToGrid/>
        <w:spacing w:line="375" w:lineRule="auto"/>
        <w:ind w:right="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1、证明文件</w:t>
      </w:r>
      <w:r>
        <w:rPr>
          <w:rFonts w:hint="eastAsia" w:ascii="仿宋" w:hAnsi="仿宋" w:eastAsia="仿宋" w:cs="仿宋"/>
          <w:color w:val="auto"/>
          <w:sz w:val="24"/>
          <w:szCs w:val="24"/>
          <w:highlight w:val="none"/>
          <w:lang w:eastAsia="zh-CN"/>
        </w:rPr>
        <w:t>扫描件加盖本单位公章</w:t>
      </w:r>
    </w:p>
    <w:p>
      <w:pPr>
        <w:pStyle w:val="8"/>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、若提供的是</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，采购人、采购代理机构保留审核原件的权利。</w:t>
      </w:r>
    </w:p>
    <w:p>
      <w:pPr>
        <w:pStyle w:val="8"/>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如果是联合体投标，联合体各方均需提供上述证明</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pPr>
        <w:pStyle w:val="8"/>
        <w:spacing w:line="360" w:lineRule="auto"/>
        <w:rPr>
          <w:rFonts w:hint="eastAsia" w:ascii="仿宋" w:hAnsi="仿宋" w:eastAsia="仿宋" w:cs="仿宋"/>
          <w:color w:val="auto"/>
          <w:sz w:val="24"/>
          <w:szCs w:val="24"/>
          <w:highlight w:val="none"/>
        </w:rPr>
      </w:pPr>
      <w:bookmarkStart w:id="34" w:name="_Toc8376"/>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缴纳税收的证明</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lang w:eastAsia="zh-CN"/>
        </w:rPr>
        <w:t>加盖本单位公章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3、如果是联合体投标，联合体各方均需提供上述证明。</w:t>
      </w:r>
    </w:p>
    <w:p>
      <w:pPr>
        <w:pStyle w:val="8"/>
        <w:spacing w:line="360" w:lineRule="auto"/>
        <w:ind w:right="516"/>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bookmarkEnd w:id="34"/>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pPr>
        <w:pStyle w:val="8"/>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highlight w:val="none"/>
          <w:u w:val="none"/>
          <w:lang w:bidi="ar"/>
        </w:rPr>
      </w:pPr>
      <w:bookmarkStart w:id="35" w:name="_Toc3006"/>
      <w:r>
        <w:rPr>
          <w:rFonts w:hint="eastAsia" w:ascii="仿宋" w:hAnsi="仿宋" w:eastAsia="仿宋" w:cs="仿宋"/>
          <w:color w:val="auto"/>
          <w:kern w:val="0"/>
          <w:sz w:val="24"/>
          <w:highlight w:val="none"/>
          <w:u w:val="none"/>
          <w:lang w:bidi="ar"/>
        </w:rPr>
        <w:t>1、</w:t>
      </w:r>
      <w:bookmarkEnd w:id="35"/>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为职工缴纳社会保险的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扫描件加盖本单位公章</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w:t>
      </w:r>
      <w:r>
        <w:rPr>
          <w:rFonts w:hint="eastAsia" w:ascii="仿宋" w:hAnsi="仿宋" w:eastAsia="仿宋" w:cs="仿宋"/>
          <w:color w:val="auto"/>
          <w:kern w:val="0"/>
          <w:sz w:val="24"/>
          <w:highlight w:val="none"/>
          <w:u w:val="none"/>
          <w:lang w:eastAsia="zh-CN" w:bidi="ar"/>
        </w:rPr>
        <w:t>扫描件</w:t>
      </w:r>
      <w:r>
        <w:rPr>
          <w:rFonts w:hint="eastAsia" w:ascii="仿宋" w:hAnsi="仿宋" w:eastAsia="仿宋" w:cs="仿宋"/>
          <w:color w:val="auto"/>
          <w:kern w:val="0"/>
          <w:sz w:val="24"/>
          <w:highlight w:val="none"/>
          <w:u w:val="none"/>
          <w:lang w:bidi="ar"/>
        </w:rPr>
        <w:t>，采购人、采购代理机构保留审核原件的权利。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kern w:val="0"/>
          <w:sz w:val="24"/>
          <w:highlight w:val="none"/>
          <w:u w:val="none"/>
          <w:lang w:bidi="ar"/>
        </w:rPr>
      </w:pPr>
      <w:bookmarkStart w:id="36" w:name="_Toc28907"/>
      <w:r>
        <w:rPr>
          <w:rFonts w:hint="eastAsia" w:ascii="仿宋" w:hAnsi="仿宋" w:eastAsia="仿宋" w:cs="仿宋"/>
          <w:color w:val="auto"/>
          <w:kern w:val="0"/>
          <w:sz w:val="24"/>
          <w:highlight w:val="none"/>
          <w:u w:val="none"/>
          <w:lang w:bidi="ar"/>
        </w:rPr>
        <w:t>3、如果是联合体投标，联合体各方均需提供上述证明。</w:t>
      </w:r>
      <w:bookmarkEnd w:id="36"/>
    </w:p>
    <w:p>
      <w:pPr>
        <w:rPr>
          <w:rFonts w:hint="eastAsia" w:ascii="仿宋" w:hAnsi="仿宋" w:eastAsia="仿宋" w:cs="仿宋"/>
          <w:color w:val="auto"/>
          <w:kern w:val="0"/>
          <w:sz w:val="24"/>
          <w:highlight w:val="none"/>
          <w:u w:val="none"/>
          <w:lang w:bidi="ar"/>
        </w:rPr>
      </w:pPr>
    </w:p>
    <w:p>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pPr>
        <w:outlineLvl w:val="3"/>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pPr>
        <w:rPr>
          <w:rFonts w:hint="eastAsia" w:ascii="仿宋" w:hAnsi="仿宋" w:eastAsia="仿宋" w:cs="仿宋"/>
          <w:color w:val="auto"/>
          <w:kern w:val="0"/>
          <w:sz w:val="24"/>
          <w:highlight w:val="none"/>
          <w:u w:val="none"/>
          <w:lang w:bidi="ar"/>
        </w:rPr>
      </w:pPr>
    </w:p>
    <w:p>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pPr>
        <w:rPr>
          <w:rFonts w:hint="eastAsia" w:ascii="仿宋" w:hAnsi="仿宋" w:eastAsia="仿宋" w:cs="仿宋"/>
          <w:color w:val="auto"/>
          <w:kern w:val="0"/>
          <w:sz w:val="24"/>
          <w:szCs w:val="24"/>
          <w:highlight w:val="none"/>
          <w:lang w:val="en-US" w:eastAsia="zh-CN" w:bidi="ar"/>
        </w:rPr>
      </w:pPr>
    </w:p>
    <w:p>
      <w:pPr>
        <w:spacing w:before="160" w:line="244" w:lineRule="auto"/>
        <w:ind w:right="869" w:rightChars="41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1.自然人投标的签章或签字后上传。</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2.如果是联合体投标，联合体各方均需提供上述证明。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3.单位负责人为同一人或者存在直接控股、管理关系的不同供应商，不得参加同一合同项下的政府采购活动。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4.本条所指单位负责人为同一人指单位法定代表人或者法律、行政法规规定代表单位行使职权的主要负责人。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5.本条所指控股关系指单位或股东的控股关系。控股股东指: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a.出资额占有限责任公司资本总额百分之五十以上或者其持有的股份占股份有限公司股本总额百分之五十以上的股东；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b.出资额或者持有股份的比例不足百分之五十，但其出资额或者持有的股份所享有的表决权已足以对股东会、股东大会的决议产生重大影响的股东。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6.本条所指管理关系指不具有出资持股关系的其他单位之间存在的管理与被管理关系。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7.本条所指的控股、管理关系仅限于直接控股、直接管理关系，不包括间接控股或管理关系。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8.如无相关情况，请在相应栏填写“无”。</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9.投标人承诺不实的，依据《政府采购法》第七十七条“提供虚假材料谋取中标、成交的”有关规定予以处理。</w:t>
      </w: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bookmarkStart w:id="37" w:name="_Toc32152"/>
      <w:r>
        <w:rPr>
          <w:rFonts w:hint="eastAsia" w:ascii="仿宋" w:hAnsi="仿宋" w:eastAsia="仿宋" w:cs="仿宋"/>
          <w:b/>
          <w:bCs/>
          <w:color w:val="auto"/>
          <w:kern w:val="0"/>
          <w:sz w:val="24"/>
          <w:szCs w:val="24"/>
          <w:highlight w:val="none"/>
          <w:lang w:val="en-US" w:eastAsia="zh-CN" w:bidi="ar"/>
        </w:rPr>
        <w:t>2、落实政府采购政策需满足的资格要求（如有）</w:t>
      </w:r>
      <w:bookmarkEnd w:id="37"/>
      <w:r>
        <w:rPr>
          <w:rFonts w:hint="eastAsia" w:ascii="仿宋" w:hAnsi="仿宋" w:eastAsia="仿宋" w:cs="仿宋"/>
          <w:b/>
          <w:bCs/>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2-1 中小企业声明函</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1.如本项目（包）不专门面向中小企业预留采购份额，资格证明文件部分无需提供《中小企业声明函》。 如在“商务、技术文件中提供”提供《中小企业声明函》享受相关政策，不享受相关政策的投标人无需提供。</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2.如本项目（包）专门面向中小/小微企业采购，须提供《中小企业声明函》或《残疾人福利性单位声明函》，或提供由省级以上监狱管理局、戒毒管理局（含 新疆生产建设兵团）出具的属于监狱企业的证明文件。《中小企业声明函》或《残疾人福利性单位声明函》格式不得修改，否则不得享受相关中小企业扶持政策。</w:t>
      </w:r>
      <w:r>
        <w:rPr>
          <w:rFonts w:hint="eastAsia" w:ascii="仿宋" w:hAnsi="仿宋" w:eastAsia="仿宋" w:cs="仿宋"/>
          <w:b/>
          <w:bCs/>
          <w:color w:val="auto"/>
          <w:kern w:val="0"/>
          <w:sz w:val="24"/>
          <w:szCs w:val="24"/>
          <w:highlight w:val="none"/>
          <w:lang w:val="en-US" w:eastAsia="zh-CN" w:bidi="ar"/>
        </w:rPr>
        <w:t xml:space="preserve">供应商根据项目属性，从本采购文件投标文件格式“中小企业声明函（货物）”、“中小企业声明函（工程、服务）”选择一种申明函格式。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4.如本项目（包）预留部分采购项目预算专门面向中小企业采购，且要求供应商以联合体形式参加采购活动，投标文件中除须提供《中小企业声明函》或《残疾人福利性单位声明函》或由省级以上监狱管理局、戒毒管理局（含新疆生产 建设兵团）出具的属于监狱企业的证明文件，还须同时提供《联合协议》。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5.中小企业声明函填写注意事项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6"/>
          <w:rFonts w:hint="eastAsia" w:ascii="仿宋" w:hAnsi="仿宋" w:eastAsia="仿宋" w:cs="仿宋"/>
          <w:i w:val="0"/>
          <w:iCs w:val="0"/>
          <w:caps w:val="0"/>
          <w:color w:val="auto"/>
          <w:spacing w:val="0"/>
          <w:sz w:val="32"/>
          <w:szCs w:val="32"/>
          <w:highlight w:val="none"/>
        </w:rPr>
        <w:t>中小企业声明函</w:t>
      </w:r>
      <w:r>
        <w:rPr>
          <w:rStyle w:val="26"/>
          <w:rFonts w:hint="eastAsia" w:ascii="仿宋" w:hAnsi="仿宋" w:eastAsia="仿宋" w:cs="仿宋"/>
          <w:i w:val="0"/>
          <w:iCs w:val="0"/>
          <w:caps w:val="0"/>
          <w:color w:val="auto"/>
          <w:spacing w:val="0"/>
          <w:sz w:val="32"/>
          <w:szCs w:val="32"/>
          <w:highlight w:val="none"/>
          <w:lang w:eastAsia="zh-CN"/>
        </w:rPr>
        <w:t>（</w:t>
      </w:r>
      <w:r>
        <w:rPr>
          <w:rStyle w:val="26"/>
          <w:rFonts w:hint="eastAsia" w:ascii="仿宋" w:hAnsi="仿宋" w:eastAsia="仿宋" w:cs="仿宋"/>
          <w:i w:val="0"/>
          <w:iCs w:val="0"/>
          <w:caps w:val="0"/>
          <w:color w:val="auto"/>
          <w:spacing w:val="0"/>
          <w:sz w:val="32"/>
          <w:szCs w:val="32"/>
          <w:highlight w:val="none"/>
        </w:rPr>
        <w:t>货物</w:t>
      </w:r>
      <w:r>
        <w:rPr>
          <w:rStyle w:val="26"/>
          <w:rFonts w:hint="eastAsia" w:ascii="仿宋" w:hAnsi="仿宋" w:eastAsia="仿宋" w:cs="仿宋"/>
          <w:i w:val="0"/>
          <w:iCs w:val="0"/>
          <w:caps w:val="0"/>
          <w:color w:val="auto"/>
          <w:spacing w:val="0"/>
          <w:sz w:val="32"/>
          <w:szCs w:val="32"/>
          <w:highlight w:val="none"/>
          <w:lang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本公司（联合体）郑重声明，根据《政府采购促进中小企业发展管理办法》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（财库﹝2020﹞46号）的规定，本公司（联合体）参加</w:t>
      </w:r>
      <w:r>
        <w:rPr>
          <w:rFonts w:hint="eastAsia" w:ascii="仿宋" w:hAnsi="仿宋" w:eastAsia="仿宋" w:cs="仿宋"/>
          <w:i/>
          <w:iCs/>
          <w:color w:val="auto"/>
          <w:kern w:val="0"/>
          <w:sz w:val="24"/>
          <w:szCs w:val="24"/>
          <w:highlight w:val="none"/>
          <w:u w:val="single"/>
          <w:lang w:val="en-US" w:eastAsia="zh-CN" w:bidi="ar"/>
        </w:rPr>
        <w:t>（单位名称）</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i/>
          <w:iCs/>
          <w:color w:val="auto"/>
          <w:kern w:val="0"/>
          <w:sz w:val="24"/>
          <w:szCs w:val="24"/>
          <w:highlight w:val="none"/>
          <w:u w:val="single"/>
          <w:lang w:val="en-US" w:eastAsia="zh-CN" w:bidi="ar"/>
        </w:rPr>
        <w:t>（项目名称）</w:t>
      </w:r>
      <w:r>
        <w:rPr>
          <w:rFonts w:hint="eastAsia" w:ascii="仿宋" w:hAnsi="仿宋" w:eastAsia="仿宋" w:cs="仿宋"/>
          <w:color w:val="auto"/>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 xml:space="preserve">；承建（承接）企业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 </w:t>
      </w:r>
      <w:r>
        <w:rPr>
          <w:rFonts w:hint="eastAsia" w:ascii="仿宋" w:hAnsi="仿宋" w:eastAsia="仿宋" w:cs="仿宋"/>
          <w:i/>
          <w:iCs/>
          <w:color w:val="auto"/>
          <w:kern w:val="0"/>
          <w:sz w:val="24"/>
          <w:szCs w:val="24"/>
          <w:highlight w:val="none"/>
          <w:u w:val="single"/>
          <w:lang w:val="en-US" w:eastAsia="zh-CN" w:bidi="ar"/>
        </w:rPr>
        <w:t>（标的名称）</w:t>
      </w:r>
      <w:r>
        <w:rPr>
          <w:rFonts w:hint="eastAsia" w:ascii="仿宋" w:hAnsi="仿宋" w:eastAsia="仿宋" w:cs="仿宋"/>
          <w:color w:val="auto"/>
          <w:kern w:val="0"/>
          <w:sz w:val="24"/>
          <w:szCs w:val="24"/>
          <w:highlight w:val="none"/>
          <w:lang w:val="en-US" w:eastAsia="zh-CN" w:bidi="ar"/>
        </w:rPr>
        <w:t>，属于</w:t>
      </w:r>
      <w:r>
        <w:rPr>
          <w:rFonts w:hint="eastAsia" w:ascii="仿宋" w:hAnsi="仿宋" w:eastAsia="仿宋" w:cs="仿宋"/>
          <w:i/>
          <w:iCs/>
          <w:color w:val="auto"/>
          <w:kern w:val="0"/>
          <w:sz w:val="24"/>
          <w:szCs w:val="24"/>
          <w:highlight w:val="none"/>
          <w:u w:val="single"/>
          <w:lang w:val="en-US" w:eastAsia="zh-CN" w:bidi="ar"/>
        </w:rPr>
        <w:t>（采购文件中明确的所属行业）</w:t>
      </w:r>
      <w:r>
        <w:rPr>
          <w:rFonts w:hint="eastAsia" w:ascii="仿宋" w:hAnsi="仿宋" w:eastAsia="仿宋" w:cs="仿宋"/>
          <w:color w:val="auto"/>
          <w:kern w:val="0"/>
          <w:sz w:val="24"/>
          <w:szCs w:val="24"/>
          <w:highlight w:val="none"/>
          <w:lang w:val="en-US" w:eastAsia="zh-CN" w:bidi="ar"/>
        </w:rPr>
        <w:t>；承建（承接）企业</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为</w:t>
      </w:r>
      <w:r>
        <w:rPr>
          <w:rFonts w:hint="eastAsia" w:ascii="仿宋" w:hAnsi="仿宋" w:eastAsia="仿宋" w:cs="仿宋"/>
          <w:i/>
          <w:iCs/>
          <w:color w:val="auto"/>
          <w:kern w:val="0"/>
          <w:sz w:val="24"/>
          <w:szCs w:val="24"/>
          <w:highlight w:val="none"/>
          <w:u w:val="single"/>
          <w:lang w:val="en-US" w:eastAsia="zh-CN" w:bidi="ar"/>
        </w:rPr>
        <w:t>（企业名称）</w:t>
      </w:r>
      <w:r>
        <w:rPr>
          <w:rFonts w:hint="eastAsia" w:ascii="仿宋" w:hAnsi="仿宋" w:eastAsia="仿宋" w:cs="仿宋"/>
          <w:color w:val="auto"/>
          <w:kern w:val="0"/>
          <w:sz w:val="24"/>
          <w:szCs w:val="24"/>
          <w:highlight w:val="none"/>
          <w:lang w:val="en-US" w:eastAsia="zh-CN" w:bidi="ar"/>
        </w:rPr>
        <w:t>，从业人员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人，营业收入为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万元，资产总额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为万元，属于</w:t>
      </w:r>
      <w:r>
        <w:rPr>
          <w:rFonts w:hint="eastAsia" w:ascii="仿宋" w:hAnsi="仿宋" w:eastAsia="仿宋" w:cs="仿宋"/>
          <w:i/>
          <w:iCs/>
          <w:color w:val="auto"/>
          <w:kern w:val="0"/>
          <w:sz w:val="24"/>
          <w:szCs w:val="24"/>
          <w:highlight w:val="none"/>
          <w:u w:val="single"/>
          <w:lang w:val="en-US" w:eastAsia="zh-CN" w:bidi="ar"/>
        </w:rPr>
        <w:t>（中型企业、小型企业、微型企业）</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以上企业，不属于大企业的分支机构，不存在控股股东为大企业的情形，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本企业对上述声明内容的真实性负责。如有虚假，将依法承担相应责任。</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w:t>
      </w:r>
      <w:r>
        <w:rPr>
          <w:rFonts w:hint="eastAsia" w:ascii="仿宋" w:hAnsi="仿宋" w:eastAsia="仿宋" w:cs="仿宋"/>
          <w:color w:val="auto"/>
          <w:sz w:val="24"/>
          <w:highlight w:val="none"/>
          <w:lang w:val="en-US" w:eastAsia="zh-CN"/>
        </w:rPr>
        <w:t>盖章</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u w:val="single"/>
          <w:lang w:val="en-US" w:eastAsia="zh-CN"/>
        </w:rPr>
        <w:t xml:space="preserve">          </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p>
    <w:p>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spacing w:line="360" w:lineRule="auto"/>
        <w:jc w:val="left"/>
        <w:outlineLvl w:val="3"/>
        <w:rPr>
          <w:rFonts w:hint="eastAsia" w:ascii="仿宋" w:hAnsi="仿宋" w:eastAsia="仿宋" w:cs="仿宋"/>
          <w:b/>
          <w:color w:val="auto"/>
          <w:szCs w:val="21"/>
          <w:highlight w:val="none"/>
          <w:u w:val="none"/>
          <w:lang w:val="en-US"/>
        </w:rPr>
      </w:pPr>
      <w:r>
        <w:rPr>
          <w:rStyle w:val="41"/>
          <w:rFonts w:hint="eastAsia" w:ascii="仿宋" w:hAnsi="仿宋" w:eastAsia="仿宋" w:cs="仿宋"/>
          <w:color w:val="auto"/>
          <w:sz w:val="28"/>
          <w:szCs w:val="28"/>
          <w:highlight w:val="none"/>
          <w:u w:val="none"/>
          <w:lang w:val="en-US" w:eastAsia="zh-CN"/>
        </w:rPr>
        <w:t>2-2</w:t>
      </w:r>
      <w:r>
        <w:rPr>
          <w:rStyle w:val="41"/>
          <w:rFonts w:hint="eastAsia" w:ascii="仿宋" w:hAnsi="仿宋" w:eastAsia="仿宋" w:cs="仿宋"/>
          <w:color w:val="auto"/>
          <w:sz w:val="28"/>
          <w:szCs w:val="28"/>
          <w:highlight w:val="none"/>
          <w:u w:val="none"/>
          <w:lang w:val="en-US"/>
        </w:rPr>
        <w:t>联合体协议</w:t>
      </w:r>
      <w:r>
        <w:rPr>
          <w:rStyle w:val="41"/>
          <w:rFonts w:hint="eastAsia" w:ascii="仿宋" w:hAnsi="仿宋" w:eastAsia="仿宋" w:cs="仿宋"/>
          <w:color w:val="auto"/>
          <w:sz w:val="28"/>
          <w:szCs w:val="28"/>
          <w:highlight w:val="none"/>
          <w:u w:val="none"/>
          <w:lang w:val="en-US" w:eastAsia="zh-CN"/>
        </w:rPr>
        <w:t>（本项目不需提供）</w:t>
      </w:r>
    </w:p>
    <w:p>
      <w:pPr>
        <w:spacing w:line="360" w:lineRule="auto"/>
        <w:jc w:val="center"/>
        <w:rPr>
          <w:rFonts w:hint="eastAsia" w:ascii="仿宋" w:hAnsi="仿宋" w:eastAsia="仿宋" w:cs="仿宋"/>
          <w:b/>
          <w:color w:val="auto"/>
          <w:sz w:val="24"/>
          <w:szCs w:val="21"/>
          <w:highlight w:val="none"/>
        </w:rPr>
      </w:pPr>
      <w:r>
        <w:rPr>
          <w:rFonts w:hint="eastAsia" w:ascii="仿宋" w:hAnsi="仿宋" w:eastAsia="仿宋" w:cs="仿宋"/>
          <w:b/>
          <w:color w:val="auto"/>
          <w:sz w:val="32"/>
          <w:szCs w:val="32"/>
          <w:highlight w:val="none"/>
        </w:rPr>
        <w:t>联合体协议</w:t>
      </w:r>
      <w:r>
        <w:rPr>
          <w:rFonts w:hint="eastAsia" w:ascii="仿宋" w:hAnsi="仿宋" w:eastAsia="仿宋" w:cs="仿宋"/>
          <w:b/>
          <w:color w:val="auto"/>
          <w:sz w:val="32"/>
          <w:szCs w:val="32"/>
          <w:highlight w:val="none"/>
          <w:lang w:eastAsia="zh-CN"/>
        </w:rPr>
        <w:t>（如有）</w:t>
      </w:r>
      <w:r>
        <w:rPr>
          <w:rFonts w:hint="eastAsia" w:ascii="仿宋" w:hAnsi="仿宋" w:eastAsia="仿宋" w:cs="仿宋"/>
          <w:b/>
          <w:bCs/>
          <w:color w:val="auto"/>
          <w:sz w:val="32"/>
          <w:szCs w:val="32"/>
          <w:highlight w:val="none"/>
        </w:rPr>
        <w:t xml:space="preserve"> </w:t>
      </w:r>
    </w:p>
    <w:p>
      <w:pPr>
        <w:adjustRightInd w:val="0"/>
        <w:snapToGrid w:val="0"/>
        <w:spacing w:before="156" w:beforeLines="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采购代理机构）：</w:t>
      </w:r>
    </w:p>
    <w:p>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经研究，我们决定自愿组成联合体共同申请参加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项目编号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标项（包）名称</w:t>
      </w:r>
      <w:r>
        <w:rPr>
          <w:rFonts w:hint="eastAsia" w:ascii="仿宋" w:hAnsi="仿宋" w:eastAsia="仿宋" w:cs="仿宋"/>
          <w:color w:val="auto"/>
          <w:sz w:val="21"/>
          <w:szCs w:val="21"/>
          <w:highlight w:val="none"/>
        </w:rPr>
        <w:t>）</w:t>
      </w:r>
      <w:r>
        <w:rPr>
          <w:rFonts w:hint="eastAsia" w:ascii="仿宋" w:hAnsi="仿宋" w:eastAsia="仿宋" w:cs="仿宋"/>
          <w:color w:val="auto"/>
          <w:szCs w:val="21"/>
          <w:highlight w:val="none"/>
        </w:rPr>
        <w:t>项目的</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。现就联合体事宜订立如下协议：</w:t>
      </w:r>
    </w:p>
    <w:p>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一、联合体基本信息：</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（各方公司名称、地址、注册资金、营业执照、法定代表人姓名）。</w:t>
      </w:r>
    </w:p>
    <w:p>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（联合体名称）牵头人。</w:t>
      </w:r>
    </w:p>
    <w:p>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三、联合体牵头人合法代表联合体各成员负责本项目</w:t>
      </w:r>
      <w:r>
        <w:rPr>
          <w:rFonts w:hint="eastAsia" w:ascii="仿宋" w:hAnsi="仿宋" w:eastAsia="仿宋" w:cs="仿宋"/>
          <w:color w:val="auto"/>
          <w:highlight w:val="none"/>
          <w:lang w:val="en-US" w:eastAsia="zh-CN"/>
        </w:rPr>
        <w:t>响应文件</w:t>
      </w:r>
      <w:r>
        <w:rPr>
          <w:rFonts w:hint="eastAsia" w:ascii="仿宋" w:hAnsi="仿宋" w:eastAsia="仿宋" w:cs="仿宋"/>
          <w:color w:val="auto"/>
          <w:szCs w:val="21"/>
          <w:highlight w:val="none"/>
        </w:rPr>
        <w:t>编制活动，代表联合体提交和接收相关的资料、信息及指示，并处理与</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和</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有关的一切事务；联合体成交后，联合体牵头人负责合同订立和合同实施阶段的主办、组织和协调工作。</w:t>
      </w:r>
    </w:p>
    <w:p>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四．联合体将严格按照</w:t>
      </w:r>
      <w:r>
        <w:rPr>
          <w:rFonts w:hint="eastAsia" w:ascii="仿宋" w:hAnsi="仿宋" w:eastAsia="仿宋" w:cs="仿宋"/>
          <w:color w:val="auto"/>
          <w:szCs w:val="21"/>
          <w:highlight w:val="none"/>
          <w:lang w:val="en-US" w:eastAsia="zh-CN"/>
        </w:rPr>
        <w:t>投标文件</w:t>
      </w:r>
      <w:r>
        <w:rPr>
          <w:rFonts w:hint="eastAsia" w:ascii="仿宋" w:hAnsi="仿宋" w:eastAsia="仿宋" w:cs="仿宋"/>
          <w:color w:val="auto"/>
          <w:szCs w:val="21"/>
          <w:highlight w:val="none"/>
        </w:rPr>
        <w:t>的各项要求，递交</w:t>
      </w:r>
      <w:r>
        <w:rPr>
          <w:rFonts w:hint="eastAsia" w:ascii="仿宋" w:hAnsi="仿宋" w:eastAsia="仿宋" w:cs="仿宋"/>
          <w:color w:val="auto"/>
          <w:highlight w:val="none"/>
          <w:lang w:val="en-US" w:eastAsia="zh-CN"/>
        </w:rPr>
        <w:t>投标</w:t>
      </w:r>
      <w:r>
        <w:rPr>
          <w:rFonts w:hint="eastAsia" w:ascii="仿宋" w:hAnsi="仿宋" w:eastAsia="仿宋" w:cs="仿宋"/>
          <w:color w:val="auto"/>
          <w:szCs w:val="21"/>
          <w:highlight w:val="none"/>
        </w:rPr>
        <w:t>文件，参加</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，履行成交义务和成交后的合同，并向采购人承担连带责任。</w:t>
      </w:r>
    </w:p>
    <w:p>
      <w:pPr>
        <w:adjustRightInd w:val="0"/>
        <w:snapToGrid w:val="0"/>
        <w:spacing w:before="156" w:beforeLines="50"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五、联合体各成员单位内部的职责分工如下：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。按照本条上述分工，联合体成员单位各自所承担的合同工作量比例如下：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六、本协议书自签署之日起生效，合同履行完毕后自动失效。</w:t>
      </w:r>
    </w:p>
    <w:p>
      <w:pPr>
        <w:adjustRightInd w:val="0"/>
        <w:snapToGrid w:val="0"/>
        <w:spacing w:before="156" w:beforeLines="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份，联合体成员和采购人各执一份。</w:t>
      </w:r>
      <w:r>
        <w:rPr>
          <w:rFonts w:hint="eastAsia" w:ascii="仿宋" w:hAnsi="仿宋" w:eastAsia="仿宋" w:cs="仿宋"/>
          <w:color w:val="auto"/>
          <w:szCs w:val="21"/>
          <w:highlight w:val="none"/>
        </w:rPr>
        <w:tab/>
      </w:r>
    </w:p>
    <w:p>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pPr>
        <w:keepNext w:val="0"/>
        <w:keepLines w:val="0"/>
        <w:widowControl/>
        <w:suppressLineNumbers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pPr>
        <w:adjustRightInd w:val="0"/>
        <w:snapToGrid w:val="0"/>
        <w:spacing w:line="360" w:lineRule="auto"/>
        <w:ind w:firstLine="1785" w:firstLineChars="850"/>
        <w:rPr>
          <w:rFonts w:hint="eastAsia" w:ascii="仿宋" w:hAnsi="仿宋" w:eastAsia="仿宋" w:cs="仿宋"/>
          <w:color w:val="auto"/>
          <w:szCs w:val="21"/>
          <w:highlight w:val="none"/>
        </w:rPr>
      </w:pPr>
    </w:p>
    <w:p>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lang w:val="en-US" w:eastAsia="zh-CN"/>
        </w:rPr>
        <w:t>加盖公章</w:t>
      </w:r>
      <w:r>
        <w:rPr>
          <w:rFonts w:hint="eastAsia" w:ascii="仿宋" w:hAnsi="仿宋" w:eastAsia="仿宋" w:cs="仿宋"/>
          <w:color w:val="auto"/>
          <w:szCs w:val="21"/>
          <w:highlight w:val="none"/>
        </w:rPr>
        <w:t>）：</w:t>
      </w:r>
    </w:p>
    <w:p>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法定代表人或其授权代表（</w:t>
      </w:r>
      <w:r>
        <w:rPr>
          <w:rFonts w:hint="eastAsia" w:ascii="仿宋" w:hAnsi="仿宋" w:eastAsia="仿宋" w:cs="仿宋"/>
          <w:color w:val="auto"/>
          <w:szCs w:val="21"/>
          <w:highlight w:val="none"/>
          <w:lang w:val="en-US" w:eastAsia="zh-CN"/>
        </w:rPr>
        <w:t>签字或印鉴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  </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备注：本协议书由授权代表签字的，应附法定代表人签字的授权委托书。</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3"/>
        <w:rPr>
          <w:rFonts w:hint="eastAsia" w:ascii="仿宋" w:hAnsi="仿宋" w:eastAsia="仿宋" w:cs="仿宋"/>
          <w:color w:val="auto"/>
          <w:sz w:val="24"/>
          <w:szCs w:val="2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bCs/>
          <w:color w:val="auto"/>
          <w:kern w:val="0"/>
          <w:sz w:val="24"/>
          <w:szCs w:val="24"/>
          <w:highlight w:val="none"/>
          <w:lang w:val="en-US" w:eastAsia="zh-CN" w:bidi="ar"/>
        </w:rPr>
        <w:t>2-3 拟分包情况说明及分包意向协议 （本项目不需提供）</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（填写标项(包)名称） </w:t>
      </w:r>
      <w:r>
        <w:rPr>
          <w:rFonts w:hint="eastAsia" w:ascii="仿宋" w:hAnsi="仿宋" w:eastAsia="仿宋" w:cs="仿宋"/>
          <w:color w:val="auto"/>
          <w:kern w:val="0"/>
          <w:sz w:val="24"/>
          <w:szCs w:val="24"/>
          <w:highlight w:val="none"/>
          <w:lang w:val="en-US" w:eastAsia="zh-CN" w:bidi="ar"/>
        </w:rPr>
        <w:t xml:space="preserve">的投标。拟签订分包合同的单位情况如下表所示，我单位承诺一旦在该项目中获得采购合同将按下表所列情况进行分包，同时承诺分包承担主体不再次分包。 </w:t>
      </w:r>
    </w:p>
    <w:tbl>
      <w:tblPr>
        <w:tblStyle w:val="2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94"/>
        <w:gridCol w:w="1394"/>
        <w:gridCol w:w="794"/>
        <w:gridCol w:w="1165"/>
        <w:gridCol w:w="1482"/>
        <w:gridCol w:w="135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09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9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6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8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35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合同总金额的</w:t>
            </w:r>
            <w:r>
              <w:rPr>
                <w:rFonts w:hint="eastAsia" w:ascii="仿宋" w:hAnsi="仿宋" w:eastAsia="仿宋" w:cs="仿宋"/>
                <w:color w:val="auto"/>
                <w:kern w:val="0"/>
                <w:sz w:val="21"/>
                <w:szCs w:val="21"/>
                <w:highlight w:val="none"/>
                <w:lang w:val="en-US" w:eastAsia="zh-CN" w:bidi="ar"/>
              </w:rPr>
              <w:t>比例（%）</w:t>
            </w:r>
          </w:p>
        </w:tc>
        <w:tc>
          <w:tcPr>
            <w:tcW w:w="135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09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09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79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7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09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9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79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6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8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中型企业合计</w:t>
            </w:r>
          </w:p>
        </w:tc>
        <w:tc>
          <w:tcPr>
            <w:tcW w:w="148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小微企业合计</w:t>
            </w:r>
          </w:p>
        </w:tc>
        <w:tc>
          <w:tcPr>
            <w:tcW w:w="148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0" w:type="dxa"/>
            <w:gridSpan w:val="5"/>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中小微企业总计</w:t>
            </w:r>
          </w:p>
        </w:tc>
        <w:tc>
          <w:tcPr>
            <w:tcW w:w="148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如本招标文件《投标须知前附表》载明本项目分包承担主体应具备的相应资质条件，则投标人须在本表中列明分包承担主体的资质等级，并后附资质证书扫描件加盖投标人公章，否则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38" w:name="_Toc22054"/>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38"/>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%，该金额占该采购包合同总金额的比例为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w:t>
      </w:r>
      <w:r>
        <w:rPr>
          <w:rFonts w:hint="eastAsia" w:ascii="仿宋" w:hAnsi="仿宋" w:eastAsia="仿宋" w:cs="仿宋"/>
          <w:color w:val="auto"/>
          <w:sz w:val="24"/>
          <w:highlight w:val="none"/>
          <w:lang w:val="en-US" w:eastAsia="zh-CN"/>
        </w:rPr>
        <w:t>盖章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说明：本协议仅在投标人“为落实政府采购政策”而向中小企业分包时必须提供，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否则投标无效；且投标人须与所有拟分包单位分别签订《分包意向协议》，每单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位签订一份，并在投标文件中提交全部协议原件的电子件，否则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widowControl/>
        <w:suppressLineNumbers w:val="0"/>
        <w:jc w:val="left"/>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2-4 其它落实政府采购政策的资格要求（如有）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widowControl/>
        <w:suppressLineNumbers w:val="0"/>
        <w:jc w:val="left"/>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3、本项目的特定资格要求（如有）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特定资格要求</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加盖本单位公章</w:t>
      </w:r>
      <w:r>
        <w:rPr>
          <w:rFonts w:hint="eastAsia" w:ascii="仿宋" w:hAnsi="仿宋" w:eastAsia="仿宋" w:cs="仿宋"/>
          <w:color w:val="auto"/>
          <w:kern w:val="0"/>
          <w:sz w:val="24"/>
          <w:szCs w:val="24"/>
          <w:highlight w:val="none"/>
          <w:lang w:val="en-US" w:eastAsia="zh-CN" w:bidi="ar"/>
        </w:rPr>
        <w:br w:type="page"/>
      </w:r>
    </w:p>
    <w:p>
      <w:pPr>
        <w:numPr>
          <w:ilvl w:val="0"/>
          <w:numId w:val="0"/>
        </w:numPr>
        <w:ind w:leftChars="0"/>
        <w:outlineLvl w:val="2"/>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4、其他资格要求</w:t>
      </w:r>
    </w:p>
    <w:p>
      <w:pPr>
        <w:numPr>
          <w:ilvl w:val="0"/>
          <w:numId w:val="0"/>
        </w:numPr>
        <w:ind w:leftChars="0" w:firstLine="240" w:firstLineChars="100"/>
        <w:outlineLvl w:val="9"/>
        <w:rPr>
          <w:rFonts w:hint="default"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详见投标须知前附表1.3.3</w:t>
      </w:r>
    </w:p>
    <w:p>
      <w:pPr>
        <w:rPr>
          <w:rFonts w:hint="eastAsia" w:ascii="仿宋" w:hAnsi="仿宋" w:eastAsia="仿宋" w:cs="仿宋"/>
          <w:b w:val="0"/>
          <w:bCs w:val="0"/>
          <w:color w:val="auto"/>
          <w:kern w:val="0"/>
          <w:sz w:val="24"/>
          <w:szCs w:val="24"/>
          <w:highlight w:val="none"/>
          <w:lang w:val="en-US" w:eastAsia="zh-CN" w:bidi="ar"/>
        </w:rPr>
      </w:pPr>
    </w:p>
    <w:p>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二、报价文件</w:t>
      </w:r>
    </w:p>
    <w:p>
      <w:pPr>
        <w:outlineLvl w:val="2"/>
        <w:rPr>
          <w:rFonts w:hint="eastAsia" w:ascii="仿宋" w:hAnsi="仿宋" w:eastAsia="仿宋" w:cs="仿宋"/>
          <w:b/>
          <w:bCs/>
          <w:color w:val="auto"/>
          <w:sz w:val="24"/>
          <w:szCs w:val="24"/>
          <w:highlight w:val="none"/>
          <w:lang w:val="en-US" w:eastAsia="zh-CN"/>
        </w:rPr>
      </w:pPr>
      <w:bookmarkStart w:id="39" w:name="_Toc6076"/>
      <w:r>
        <w:rPr>
          <w:rFonts w:hint="eastAsia" w:ascii="仿宋" w:hAnsi="仿宋" w:eastAsia="仿宋" w:cs="仿宋"/>
          <w:b/>
          <w:bCs/>
          <w:color w:val="auto"/>
          <w:sz w:val="24"/>
          <w:szCs w:val="24"/>
          <w:highlight w:val="none"/>
          <w:lang w:val="en-US" w:eastAsia="zh-CN"/>
        </w:rPr>
        <w:t>5、开标一览表</w:t>
      </w:r>
    </w:p>
    <w:p>
      <w:pPr>
        <w:rPr>
          <w:rFonts w:hint="eastAsia" w:ascii="仿宋" w:hAnsi="仿宋" w:eastAsia="仿宋" w:cs="仿宋"/>
          <w:color w:val="auto"/>
          <w:highlight w:val="none"/>
          <w:lang w:val="en-US" w:eastAsia="zh-CN"/>
        </w:rPr>
      </w:pPr>
    </w:p>
    <w:p>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3"/>
        <w:tblpPr w:leftFromText="180" w:rightFromText="180" w:vertAnchor="text" w:horzAnchor="page" w:tblpX="1707" w:tblpY="344"/>
        <w:tblOverlap w:val="never"/>
        <w:tblW w:w="9075"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692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149" w:type="dxa"/>
            <w:tcBorders>
              <w:bottom w:val="single" w:color="000000" w:sz="6" w:space="0"/>
              <w:right w:val="single" w:color="000000" w:sz="6" w:space="0"/>
            </w:tcBorders>
            <w:vAlign w:val="top"/>
          </w:tcPr>
          <w:p>
            <w:pPr>
              <w:pStyle w:val="34"/>
              <w:spacing w:before="142"/>
              <w:ind w:left="92"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总价：</w:t>
            </w:r>
          </w:p>
        </w:tc>
        <w:tc>
          <w:tcPr>
            <w:tcW w:w="6926" w:type="dxa"/>
            <w:tcBorders>
              <w:left w:val="single" w:color="000000" w:sz="6" w:space="0"/>
              <w:bottom w:val="single" w:color="000000" w:sz="6" w:space="0"/>
            </w:tcBorders>
            <w:vAlign w:val="top"/>
          </w:tcPr>
          <w:p>
            <w:pPr>
              <w:pStyle w:val="34"/>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大写</w:t>
            </w:r>
            <w:r>
              <w:rPr>
                <w:rFonts w:hint="eastAsia" w:ascii="仿宋" w:hAnsi="仿宋" w:eastAsia="仿宋" w:cs="仿宋"/>
                <w:color w:val="auto"/>
                <w:spacing w:val="-3"/>
                <w:sz w:val="21"/>
                <w:szCs w:val="21"/>
                <w:highlight w:val="none"/>
              </w:rPr>
              <w:t>：</w:t>
            </w:r>
            <w:r>
              <w:rPr>
                <w:rFonts w:hint="eastAsia" w:ascii="仿宋" w:hAnsi="仿宋" w:eastAsia="仿宋" w:cs="仿宋"/>
                <w:color w:val="auto"/>
                <w:spacing w:val="-3"/>
                <w:sz w:val="21"/>
                <w:szCs w:val="21"/>
                <w:highlight w:val="none"/>
                <w:u w:val="single"/>
              </w:rPr>
              <w:t xml:space="preserve"> </w:t>
            </w:r>
            <w:r>
              <w:rPr>
                <w:rFonts w:hint="eastAsia" w:ascii="仿宋" w:hAnsi="仿宋" w:eastAsia="仿宋" w:cs="仿宋"/>
                <w:color w:val="auto"/>
                <w:spacing w:val="-3"/>
                <w:sz w:val="21"/>
                <w:szCs w:val="21"/>
                <w:highlight w:val="none"/>
                <w:u w:val="single"/>
              </w:rPr>
              <w:tab/>
            </w:r>
            <w:r>
              <w:rPr>
                <w:rFonts w:hint="eastAsia" w:ascii="仿宋" w:hAnsi="仿宋" w:eastAsia="仿宋" w:cs="仿宋"/>
                <w:color w:val="auto"/>
                <w:spacing w:val="-3"/>
                <w:sz w:val="21"/>
                <w:szCs w:val="21"/>
                <w:highlight w:val="none"/>
              </w:rPr>
              <w:tab/>
            </w:r>
            <w:r>
              <w:rPr>
                <w:rFonts w:hint="eastAsia" w:ascii="仿宋" w:hAnsi="仿宋" w:eastAsia="仿宋" w:cs="仿宋"/>
                <w:color w:val="auto"/>
                <w:spacing w:val="-3"/>
                <w:sz w:val="21"/>
                <w:szCs w:val="21"/>
                <w:highlight w:val="none"/>
              </w:rPr>
              <w:t>小</w:t>
            </w:r>
            <w:r>
              <w:rPr>
                <w:rFonts w:hint="eastAsia" w:ascii="仿宋" w:hAnsi="仿宋" w:eastAsia="仿宋" w:cs="仿宋"/>
                <w:color w:val="auto"/>
                <w:spacing w:val="-1"/>
                <w:sz w:val="21"/>
                <w:szCs w:val="21"/>
                <w:highlight w:val="none"/>
              </w:rPr>
              <w:t>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none"/>
                <w:lang w:val="en-US" w:eastAsia="zh-CN"/>
              </w:rPr>
              <w:t>元</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vAlign w:val="top"/>
          </w:tcPr>
          <w:p>
            <w:pPr>
              <w:pStyle w:val="34"/>
              <w:spacing w:before="142"/>
              <w:ind w:left="92"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质保期</w:t>
            </w:r>
          </w:p>
        </w:tc>
        <w:tc>
          <w:tcPr>
            <w:tcW w:w="6926" w:type="dxa"/>
            <w:tcBorders>
              <w:top w:val="single" w:color="000000" w:sz="6" w:space="0"/>
              <w:left w:val="single" w:color="000000" w:sz="6" w:space="0"/>
              <w:bottom w:val="single" w:color="000000" w:sz="6" w:space="0"/>
            </w:tcBorders>
            <w:vAlign w:val="top"/>
          </w:tcPr>
          <w:p>
            <w:pPr>
              <w:pStyle w:val="34"/>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vAlign w:val="top"/>
          </w:tcPr>
          <w:p>
            <w:pPr>
              <w:pStyle w:val="34"/>
              <w:spacing w:before="142"/>
              <w:ind w:left="92"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合同履行期限</w:t>
            </w:r>
          </w:p>
        </w:tc>
        <w:tc>
          <w:tcPr>
            <w:tcW w:w="6926" w:type="dxa"/>
            <w:tcBorders>
              <w:top w:val="single" w:color="000000" w:sz="6" w:space="0"/>
              <w:left w:val="single" w:color="000000" w:sz="6" w:space="0"/>
              <w:bottom w:val="single" w:color="000000" w:sz="6" w:space="0"/>
            </w:tcBorders>
            <w:vAlign w:val="top"/>
          </w:tcPr>
          <w:p>
            <w:pPr>
              <w:pStyle w:val="34"/>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合同签订后</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日历日完成供货、安装、调试、培训、验收等工作。</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vAlign w:val="top"/>
          </w:tcPr>
          <w:p>
            <w:pPr>
              <w:pStyle w:val="34"/>
              <w:spacing w:before="142"/>
              <w:ind w:left="92"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交货（服务）地点</w:t>
            </w:r>
          </w:p>
        </w:tc>
        <w:tc>
          <w:tcPr>
            <w:tcW w:w="6926" w:type="dxa"/>
            <w:tcBorders>
              <w:top w:val="single" w:color="000000" w:sz="6" w:space="0"/>
              <w:left w:val="single" w:color="000000" w:sz="6" w:space="0"/>
              <w:bottom w:val="single" w:color="000000" w:sz="6" w:space="0"/>
            </w:tcBorders>
            <w:vAlign w:val="top"/>
          </w:tcPr>
          <w:p>
            <w:pPr>
              <w:pStyle w:val="34"/>
              <w:tabs>
                <w:tab w:val="left" w:pos="1837"/>
                <w:tab w:val="left" w:pos="2313"/>
                <w:tab w:val="left" w:pos="4040"/>
              </w:tabs>
              <w:spacing w:before="142"/>
              <w:ind w:left="107" w:leftChars="0"/>
              <w:rPr>
                <w:rFonts w:hint="eastAsia" w:ascii="仿宋" w:hAnsi="仿宋" w:eastAsia="仿宋" w:cs="仿宋"/>
                <w:color w:val="auto"/>
                <w:kern w:val="2"/>
                <w:sz w:val="21"/>
                <w:szCs w:val="21"/>
                <w:highlight w:val="none"/>
                <w:lang w:val="en-US" w:eastAsia="zh-CN" w:bidi="ar-SA"/>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tcPr>
          <w:p>
            <w:pPr>
              <w:pStyle w:val="34"/>
              <w:spacing w:before="142"/>
              <w:ind w:left="9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c>
          <w:tcPr>
            <w:tcW w:w="6926" w:type="dxa"/>
            <w:tcBorders>
              <w:top w:val="single" w:color="000000" w:sz="6" w:space="0"/>
              <w:left w:val="single" w:color="000000" w:sz="6" w:space="0"/>
            </w:tcBorders>
          </w:tcPr>
          <w:p>
            <w:pPr>
              <w:pStyle w:val="34"/>
              <w:tabs>
                <w:tab w:val="left" w:pos="1837"/>
                <w:tab w:val="left" w:pos="2313"/>
                <w:tab w:val="left" w:pos="4040"/>
              </w:tabs>
              <w:spacing w:before="142"/>
              <w:ind w:left="107"/>
              <w:rPr>
                <w:rFonts w:hint="eastAsia" w:ascii="仿宋" w:hAnsi="仿宋" w:eastAsia="仿宋" w:cs="仿宋"/>
                <w:color w:val="auto"/>
                <w:sz w:val="21"/>
                <w:szCs w:val="21"/>
                <w:highlight w:val="none"/>
              </w:rPr>
            </w:pPr>
          </w:p>
        </w:tc>
      </w:tr>
    </w:tbl>
    <w:p>
      <w:pPr>
        <w:pStyle w:val="21"/>
        <w:rPr>
          <w:rFonts w:hint="eastAsia" w:ascii="仿宋" w:hAnsi="仿宋" w:eastAsia="仿宋" w:cs="仿宋"/>
          <w:color w:val="auto"/>
          <w:highlight w:val="none"/>
          <w:lang w:val="en-US" w:eastAsia="zh-CN"/>
        </w:rPr>
      </w:pPr>
    </w:p>
    <w:p>
      <w:pPr>
        <w:pStyle w:val="2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注：1.此表中，每包的投标报价应和《投标报价明细表》中的总价相一致。</w:t>
      </w:r>
    </w:p>
    <w:p>
      <w:pPr>
        <w:pStyle w:val="21"/>
        <w:numPr>
          <w:ilvl w:val="0"/>
          <w:numId w:val="10"/>
        </w:numPr>
        <w:ind w:left="0" w:leftChars="0" w:firstLine="0" w:firstLineChars="0"/>
        <w:outlineLvl w:val="9"/>
        <w:rPr>
          <w:rFonts w:hint="eastAsia" w:ascii="仿宋" w:hAnsi="仿宋" w:eastAsia="仿宋" w:cs="仿宋"/>
          <w:color w:val="auto"/>
          <w:highlight w:val="none"/>
          <w:lang w:val="en-US" w:eastAsia="zh-CN"/>
        </w:rPr>
      </w:pPr>
      <w:bookmarkStart w:id="40" w:name="_Toc31128"/>
      <w:r>
        <w:rPr>
          <w:rFonts w:hint="eastAsia" w:ascii="仿宋" w:hAnsi="仿宋" w:eastAsia="仿宋" w:cs="仿宋"/>
          <w:color w:val="auto"/>
          <w:highlight w:val="none"/>
          <w:lang w:val="en-US" w:eastAsia="zh-CN"/>
        </w:rPr>
        <w:t>本表必须按包分别填写。</w:t>
      </w:r>
      <w:bookmarkEnd w:id="40"/>
    </w:p>
    <w:p>
      <w:pPr>
        <w:pStyle w:val="21"/>
        <w:rPr>
          <w:rFonts w:hint="eastAsia" w:ascii="仿宋" w:hAnsi="仿宋" w:eastAsia="仿宋" w:cs="仿宋"/>
          <w:color w:val="auto"/>
          <w:highlight w:val="none"/>
          <w:lang w:val="en-US" w:eastAsia="zh-CN"/>
        </w:rPr>
      </w:pPr>
    </w:p>
    <w:p>
      <w:pPr>
        <w:pStyle w:val="21"/>
        <w:rPr>
          <w:rFonts w:hint="eastAsia" w:ascii="仿宋" w:hAnsi="仿宋" w:eastAsia="仿宋" w:cs="仿宋"/>
          <w:color w:val="auto"/>
          <w:highlight w:val="none"/>
          <w:lang w:val="en-US" w:eastAsia="zh-CN"/>
        </w:rPr>
      </w:pPr>
    </w:p>
    <w:p>
      <w:pPr>
        <w:pStyle w:val="2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p>
    <w:p>
      <w:pPr>
        <w:pStyle w:val="2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w:t>
      </w:r>
    </w:p>
    <w:p>
      <w:pPr>
        <w:pStyle w:val="18"/>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22"/>
        <w:ind w:left="0" w:leftChars="0" w:firstLine="0" w:firstLineChars="0"/>
        <w:outlineLvl w:val="2"/>
        <w:rPr>
          <w:rFonts w:hint="eastAsia" w:ascii="仿宋" w:hAnsi="仿宋" w:eastAsia="仿宋" w:cs="仿宋"/>
          <w:b/>
          <w:bCs/>
          <w:color w:val="auto"/>
          <w:sz w:val="24"/>
          <w:szCs w:val="24"/>
          <w:highlight w:val="none"/>
          <w:lang w:val="en-US" w:eastAsia="zh-CN"/>
        </w:rPr>
      </w:pPr>
      <w:bookmarkStart w:id="41" w:name="_Toc7007"/>
      <w:r>
        <w:rPr>
          <w:rFonts w:hint="eastAsia" w:ascii="仿宋" w:hAnsi="仿宋" w:eastAsia="仿宋" w:cs="仿宋"/>
          <w:b/>
          <w:bCs/>
          <w:color w:val="auto"/>
          <w:sz w:val="24"/>
          <w:szCs w:val="24"/>
          <w:highlight w:val="none"/>
          <w:lang w:val="en-US" w:eastAsia="zh-CN"/>
        </w:rPr>
        <w:t>6、投标报价明细表</w:t>
      </w:r>
      <w:bookmarkEnd w:id="41"/>
    </w:p>
    <w:p>
      <w:pPr>
        <w:pStyle w:val="22"/>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投标报价明细表</w:t>
      </w:r>
    </w:p>
    <w:p>
      <w:pPr>
        <w:pStyle w:val="22"/>
        <w:ind w:left="0" w:leftChars="0" w:firstLine="0" w:firstLineChars="0"/>
        <w:jc w:val="cente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pPr>
        <w:rPr>
          <w:rFonts w:hint="eastAsia" w:ascii="仿宋" w:hAnsi="仿宋" w:eastAsia="仿宋" w:cs="仿宋"/>
          <w:color w:val="auto"/>
          <w:highlight w:val="none"/>
          <w:u w:val="none"/>
          <w:lang w:val="en-US" w:eastAsia="zh-CN"/>
        </w:rPr>
      </w:pPr>
    </w:p>
    <w:p>
      <w:pPr>
        <w:rPr>
          <w:rFonts w:hint="eastAsia"/>
          <w:color w:val="auto"/>
          <w:highlight w:val="non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报价单位：人民币元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246"/>
        <w:gridCol w:w="1093"/>
        <w:gridCol w:w="1093"/>
        <w:gridCol w:w="910"/>
        <w:gridCol w:w="910"/>
        <w:gridCol w:w="1055"/>
        <w:gridCol w:w="123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246"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093"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093"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910" w:type="dxa"/>
            <w:vAlign w:val="center"/>
          </w:tcPr>
          <w:p>
            <w:pPr>
              <w:pStyle w:val="21"/>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单位</w:t>
            </w:r>
          </w:p>
        </w:tc>
        <w:tc>
          <w:tcPr>
            <w:tcW w:w="910"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1055"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235"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合价（元）</w:t>
            </w:r>
          </w:p>
        </w:tc>
        <w:tc>
          <w:tcPr>
            <w:tcW w:w="1065"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246"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93"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93"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9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9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5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23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6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246"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93"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93"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9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9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5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23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6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246"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93"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93"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9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9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5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23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6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246"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93"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93"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9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9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5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23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6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gridSpan w:val="7"/>
            <w:vAlign w:val="center"/>
          </w:tcPr>
          <w:p>
            <w:pPr>
              <w:pStyle w:val="21"/>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总价（元）</w:t>
            </w:r>
          </w:p>
        </w:tc>
        <w:tc>
          <w:tcPr>
            <w:tcW w:w="123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065"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bl>
    <w:p>
      <w:pPr>
        <w:pStyle w:val="21"/>
        <w:ind w:left="0" w:leftChars="0" w:firstLine="0" w:firstLineChars="0"/>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2.如果不提供投标报价明细表将视为没有实质性响应招标文件。</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pPr>
        <w:spacing w:line="360" w:lineRule="auto"/>
        <w:rPr>
          <w:rFonts w:hint="eastAsia" w:ascii="仿宋" w:hAnsi="仿宋" w:eastAsia="仿宋" w:cs="仿宋"/>
          <w:color w:val="auto"/>
          <w:sz w:val="24"/>
          <w:szCs w:val="24"/>
          <w:highlight w:val="none"/>
          <w:lang w:val="en-US" w:eastAsia="zh-CN"/>
        </w:rPr>
      </w:pPr>
    </w:p>
    <w:p>
      <w:pPr>
        <w:spacing w:line="360" w:lineRule="auto"/>
        <w:rPr>
          <w:rFonts w:hint="eastAsia" w:ascii="仿宋" w:hAnsi="仿宋" w:eastAsia="仿宋" w:cs="仿宋"/>
          <w:color w:val="auto"/>
          <w:sz w:val="24"/>
          <w:szCs w:val="24"/>
          <w:highlight w:val="none"/>
          <w:lang w:val="en-US" w:eastAsia="zh-CN"/>
        </w:rPr>
      </w:pP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）：____________</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pPr>
        <w:pStyle w:val="22"/>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三、商务技术文件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auto"/>
          <w:highlight w:val="none"/>
        </w:rPr>
      </w:pPr>
      <w:r>
        <w:rPr>
          <w:rFonts w:hint="eastAsia" w:ascii="仿宋" w:hAnsi="仿宋" w:eastAsia="仿宋" w:cs="仿宋"/>
          <w:b/>
          <w:bCs/>
          <w:color w:val="auto"/>
          <w:kern w:val="0"/>
          <w:sz w:val="24"/>
          <w:szCs w:val="24"/>
          <w:highlight w:val="none"/>
          <w:lang w:val="en-US" w:eastAsia="zh-CN" w:bidi="ar"/>
        </w:rPr>
        <w:t xml:space="preserve">7、投标书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（采购项目名称）、</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（标项(包)名称）</w:t>
      </w:r>
      <w:r>
        <w:rPr>
          <w:rFonts w:hint="eastAsia" w:ascii="仿宋" w:hAnsi="仿宋" w:eastAsia="仿宋" w:cs="仿宋"/>
          <w:color w:val="auto"/>
          <w:kern w:val="0"/>
          <w:sz w:val="24"/>
          <w:szCs w:val="24"/>
          <w:highlight w:val="none"/>
          <w:lang w:val="en-US" w:eastAsia="zh-CN" w:bidi="ar"/>
        </w:rPr>
        <w:t xml:space="preserve">组织的招标活动，并对此项目进行投标。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2"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42"/>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3" w:name="_Toc24785"/>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3"/>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8、授权委托书</w:t>
      </w:r>
      <w:bookmarkEnd w:id="39"/>
      <w:r>
        <w:rPr>
          <w:rFonts w:hint="eastAsia" w:ascii="仿宋" w:hAnsi="仿宋" w:eastAsia="仿宋" w:cs="仿宋"/>
          <w:b/>
          <w:bCs/>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代理人无转委托权。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说明：1.若投标人为事业单位或其他组织或分支机构（仅当招标文件注明允许分支机构投标的），则法定代表人（单位负责人）处的签署人可为单位负责人。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color w:val="auto"/>
          <w:sz w:val="24"/>
          <w:szCs w:val="24"/>
          <w:highlight w:val="none"/>
        </w:rPr>
      </w:pPr>
      <w:bookmarkStart w:id="44" w:name="_Toc18807"/>
      <w:r>
        <w:rPr>
          <w:rFonts w:hint="eastAsia" w:ascii="仿宋" w:hAnsi="仿宋" w:eastAsia="仿宋" w:cs="仿宋"/>
          <w:color w:val="auto"/>
          <w:kern w:val="0"/>
          <w:sz w:val="24"/>
          <w:szCs w:val="24"/>
          <w:highlight w:val="none"/>
          <w:lang w:val="en-US" w:eastAsia="zh-CN" w:bidi="ar"/>
        </w:rPr>
        <w:t>3.投标人为自然人的情形，可不提供本《授权委托书》。</w:t>
      </w:r>
      <w:bookmarkEnd w:id="44"/>
    </w:p>
    <w:p>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扫描件。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keepNext w:val="0"/>
        <w:keepLines w:val="0"/>
        <w:widowControl/>
        <w:suppressLineNumbers w:val="0"/>
        <w:jc w:val="left"/>
        <w:outlineLvl w:val="2"/>
        <w:rPr>
          <w:rFonts w:hint="eastAsia" w:ascii="仿宋" w:hAnsi="仿宋" w:eastAsia="仿宋" w:cs="仿宋"/>
          <w:b/>
          <w:bCs/>
          <w:color w:val="auto"/>
          <w:kern w:val="0"/>
          <w:sz w:val="24"/>
          <w:szCs w:val="24"/>
          <w:highlight w:val="none"/>
          <w:lang w:val="en-US" w:eastAsia="zh-CN" w:bidi="ar"/>
        </w:rPr>
      </w:pPr>
      <w:bookmarkStart w:id="45" w:name="_Toc23107"/>
      <w:r>
        <w:rPr>
          <w:rFonts w:hint="eastAsia" w:ascii="仿宋" w:hAnsi="仿宋" w:eastAsia="仿宋" w:cs="仿宋"/>
          <w:b/>
          <w:bCs/>
          <w:color w:val="auto"/>
          <w:kern w:val="0"/>
          <w:sz w:val="24"/>
          <w:szCs w:val="24"/>
          <w:highlight w:val="none"/>
          <w:lang w:val="en-US" w:eastAsia="zh-CN" w:bidi="ar"/>
        </w:rPr>
        <w:t>9、投标保证金凭证/交款单据电子件</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rPr>
          <w:rFonts w:hint="eastAsia" w:ascii="仿宋" w:hAnsi="仿宋" w:eastAsia="仿宋" w:cs="仿宋"/>
          <w:color w:val="auto"/>
          <w:highlight w:val="none"/>
        </w:rPr>
      </w:pPr>
    </w:p>
    <w:bookmarkEnd w:id="45"/>
    <w:p>
      <w:pPr>
        <w:pStyle w:val="18"/>
        <w:ind w:left="0" w:leftChars="0" w:firstLine="0" w:firstLineChars="0"/>
        <w:jc w:val="left"/>
        <w:outlineLvl w:val="2"/>
        <w:rPr>
          <w:rFonts w:hint="eastAsia" w:ascii="仿宋" w:hAnsi="仿宋" w:eastAsia="仿宋" w:cs="仿宋"/>
          <w:b/>
          <w:bCs/>
          <w:color w:val="auto"/>
          <w:sz w:val="24"/>
          <w:szCs w:val="24"/>
          <w:highlight w:val="none"/>
          <w:lang w:val="en-US" w:eastAsia="zh-CN"/>
        </w:rPr>
      </w:pPr>
      <w:bookmarkStart w:id="46" w:name="_Toc6119"/>
      <w:r>
        <w:rPr>
          <w:rFonts w:hint="eastAsia" w:ascii="仿宋" w:hAnsi="仿宋" w:eastAsia="仿宋" w:cs="仿宋"/>
          <w:b/>
          <w:bCs/>
          <w:color w:val="auto"/>
          <w:sz w:val="24"/>
          <w:szCs w:val="24"/>
          <w:highlight w:val="none"/>
          <w:lang w:val="en-US" w:eastAsia="zh-CN"/>
        </w:rPr>
        <w:t>10、商务条款偏离表</w:t>
      </w:r>
      <w:bookmarkEnd w:id="46"/>
    </w:p>
    <w:p>
      <w:pPr>
        <w:pStyle w:val="18"/>
        <w:ind w:left="0" w:leftChars="0" w:firstLine="0" w:firstLineChars="0"/>
        <w:jc w:val="center"/>
        <w:rPr>
          <w:rFonts w:hint="eastAsia" w:ascii="仿宋" w:hAnsi="仿宋" w:eastAsia="仿宋" w:cs="仿宋"/>
          <w:color w:val="auto"/>
          <w:sz w:val="32"/>
          <w:szCs w:val="32"/>
          <w:highlight w:val="none"/>
          <w:lang w:val="en-US" w:eastAsia="zh-CN"/>
        </w:rPr>
      </w:pPr>
    </w:p>
    <w:p>
      <w:pPr>
        <w:pStyle w:val="18"/>
        <w:ind w:left="0" w:leftChars="0" w:firstLine="0" w:firstLineChars="0"/>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商务条款偏离表</w:t>
      </w:r>
    </w:p>
    <w:p>
      <w:pPr>
        <w:rPr>
          <w:rFonts w:hint="eastAsia" w:ascii="仿宋" w:hAnsi="仿宋" w:eastAsia="仿宋" w:cs="仿宋"/>
          <w:color w:val="auto"/>
          <w:highlight w:val="none"/>
          <w:lang w:val="en-US" w:eastAsia="zh-CN"/>
        </w:rPr>
      </w:pPr>
    </w:p>
    <w:p>
      <w:pPr>
        <w:pStyle w:val="18"/>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pPr>
        <w:rPr>
          <w:rFonts w:hint="default"/>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对本项目商务条款的偏离情况（请进行勾选）：</w:t>
            </w:r>
          </w:p>
          <w:p>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（如无偏离，仅勾选无偏离即可</w:t>
            </w:r>
            <w:r>
              <w:rPr>
                <w:rFonts w:ascii="仿宋_GB2312" w:hAnsi="仿宋_GB2312" w:eastAsia="仿宋_GB2312" w:cs="仿宋_GB2312"/>
                <w:color w:val="auto"/>
                <w:kern w:val="0"/>
                <w:sz w:val="24"/>
                <w:szCs w:val="24"/>
                <w:highlight w:val="none"/>
                <w:lang w:val="en-US" w:eastAsia="zh-CN" w:bidi="ar"/>
              </w:rPr>
              <w:t>；</w:t>
            </w:r>
            <w:r>
              <w:rPr>
                <w:rFonts w:hint="eastAsia" w:ascii="仿宋" w:hAnsi="仿宋" w:eastAsia="仿宋" w:cs="仿宋"/>
                <w:color w:val="auto"/>
                <w:sz w:val="24"/>
                <w:szCs w:val="24"/>
                <w:highlight w:val="none"/>
                <w:vertAlign w:val="baseline"/>
                <w:lang w:val="en-US" w:eastAsia="zh-CN"/>
              </w:rPr>
              <w:t xml:space="preserve">无偏离即为对商务条款中的所有要求， </w:t>
            </w:r>
          </w:p>
          <w:p>
            <w:pPr>
              <w:keepNext w:val="0"/>
              <w:keepLines w:val="0"/>
              <w:widowControl/>
              <w:suppressLineNumbers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均视作供应商已对之理解和响应。）</w:t>
            </w:r>
          </w:p>
          <w:p>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 xml:space="preserve">（如有偏离，则应在本表中对偏离项逐一列明，否则投标无效；对商务 </w:t>
            </w:r>
          </w:p>
          <w:p>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pPr>
              <w:rPr>
                <w:rFonts w:hint="eastAsia" w:ascii="仿宋" w:hAnsi="仿宋" w:eastAsia="仿宋" w:cs="仿宋"/>
                <w:color w:val="auto"/>
                <w:sz w:val="24"/>
                <w:szCs w:val="24"/>
                <w:highlight w:val="none"/>
                <w:vertAlign w:val="baseline"/>
                <w:lang w:val="en-US" w:eastAsia="zh-CN"/>
              </w:rPr>
            </w:pPr>
          </w:p>
        </w:tc>
        <w:tc>
          <w:tcPr>
            <w:tcW w:w="1421" w:type="dxa"/>
          </w:tcPr>
          <w:p>
            <w:pPr>
              <w:rPr>
                <w:rFonts w:hint="eastAsia" w:ascii="仿宋" w:hAnsi="仿宋" w:eastAsia="仿宋" w:cs="仿宋"/>
                <w:color w:val="auto"/>
                <w:sz w:val="24"/>
                <w:szCs w:val="24"/>
                <w:highlight w:val="none"/>
                <w:vertAlign w:val="baseline"/>
                <w:lang w:val="en-US" w:eastAsia="zh-CN"/>
              </w:rPr>
            </w:pPr>
          </w:p>
        </w:tc>
        <w:tc>
          <w:tcPr>
            <w:tcW w:w="1901" w:type="dxa"/>
          </w:tcPr>
          <w:p>
            <w:pPr>
              <w:rPr>
                <w:rFonts w:hint="eastAsia" w:ascii="仿宋" w:hAnsi="仿宋" w:eastAsia="仿宋" w:cs="仿宋"/>
                <w:color w:val="auto"/>
                <w:sz w:val="24"/>
                <w:szCs w:val="24"/>
                <w:highlight w:val="none"/>
                <w:vertAlign w:val="baseline"/>
                <w:lang w:val="en-US" w:eastAsia="zh-CN"/>
              </w:rPr>
            </w:pPr>
          </w:p>
        </w:tc>
        <w:tc>
          <w:tcPr>
            <w:tcW w:w="1753" w:type="dxa"/>
          </w:tcPr>
          <w:p>
            <w:pPr>
              <w:rPr>
                <w:rFonts w:hint="eastAsia" w:ascii="仿宋" w:hAnsi="仿宋" w:eastAsia="仿宋" w:cs="仿宋"/>
                <w:color w:val="auto"/>
                <w:sz w:val="24"/>
                <w:szCs w:val="24"/>
                <w:highlight w:val="none"/>
                <w:vertAlign w:val="baseline"/>
                <w:lang w:val="en-US" w:eastAsia="zh-CN"/>
              </w:rPr>
            </w:pPr>
          </w:p>
        </w:tc>
        <w:tc>
          <w:tcPr>
            <w:tcW w:w="1561" w:type="dxa"/>
          </w:tcPr>
          <w:p>
            <w:pPr>
              <w:rPr>
                <w:rFonts w:hint="eastAsia" w:ascii="仿宋" w:hAnsi="仿宋" w:eastAsia="仿宋" w:cs="仿宋"/>
                <w:color w:val="auto"/>
                <w:sz w:val="24"/>
                <w:szCs w:val="24"/>
                <w:highlight w:val="none"/>
                <w:vertAlign w:val="baseline"/>
                <w:lang w:val="en-US" w:eastAsia="zh-CN"/>
              </w:rPr>
            </w:pPr>
          </w:p>
        </w:tc>
        <w:tc>
          <w:tcPr>
            <w:tcW w:w="1052" w:type="dxa"/>
          </w:tcPr>
          <w:p>
            <w:pP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pPr>
              <w:rPr>
                <w:rFonts w:hint="eastAsia" w:ascii="仿宋" w:hAnsi="仿宋" w:eastAsia="仿宋" w:cs="仿宋"/>
                <w:color w:val="auto"/>
                <w:sz w:val="24"/>
                <w:szCs w:val="24"/>
                <w:highlight w:val="none"/>
                <w:vertAlign w:val="baseline"/>
                <w:lang w:val="en-US" w:eastAsia="zh-CN"/>
              </w:rPr>
            </w:pPr>
          </w:p>
        </w:tc>
        <w:tc>
          <w:tcPr>
            <w:tcW w:w="1421" w:type="dxa"/>
          </w:tcPr>
          <w:p>
            <w:pPr>
              <w:rPr>
                <w:rFonts w:hint="eastAsia" w:ascii="仿宋" w:hAnsi="仿宋" w:eastAsia="仿宋" w:cs="仿宋"/>
                <w:color w:val="auto"/>
                <w:sz w:val="24"/>
                <w:szCs w:val="24"/>
                <w:highlight w:val="none"/>
                <w:vertAlign w:val="baseline"/>
                <w:lang w:val="en-US" w:eastAsia="zh-CN"/>
              </w:rPr>
            </w:pPr>
          </w:p>
        </w:tc>
        <w:tc>
          <w:tcPr>
            <w:tcW w:w="1901" w:type="dxa"/>
          </w:tcPr>
          <w:p>
            <w:pPr>
              <w:rPr>
                <w:rFonts w:hint="eastAsia" w:ascii="仿宋" w:hAnsi="仿宋" w:eastAsia="仿宋" w:cs="仿宋"/>
                <w:color w:val="auto"/>
                <w:sz w:val="24"/>
                <w:szCs w:val="24"/>
                <w:highlight w:val="none"/>
                <w:vertAlign w:val="baseline"/>
                <w:lang w:val="en-US" w:eastAsia="zh-CN"/>
              </w:rPr>
            </w:pPr>
          </w:p>
        </w:tc>
        <w:tc>
          <w:tcPr>
            <w:tcW w:w="1753" w:type="dxa"/>
          </w:tcPr>
          <w:p>
            <w:pPr>
              <w:rPr>
                <w:rFonts w:hint="eastAsia" w:ascii="仿宋" w:hAnsi="仿宋" w:eastAsia="仿宋" w:cs="仿宋"/>
                <w:color w:val="auto"/>
                <w:sz w:val="24"/>
                <w:szCs w:val="24"/>
                <w:highlight w:val="none"/>
                <w:vertAlign w:val="baseline"/>
                <w:lang w:val="en-US" w:eastAsia="zh-CN"/>
              </w:rPr>
            </w:pPr>
          </w:p>
        </w:tc>
        <w:tc>
          <w:tcPr>
            <w:tcW w:w="1561" w:type="dxa"/>
          </w:tcPr>
          <w:p>
            <w:pPr>
              <w:rPr>
                <w:rFonts w:hint="eastAsia" w:ascii="仿宋" w:hAnsi="仿宋" w:eastAsia="仿宋" w:cs="仿宋"/>
                <w:color w:val="auto"/>
                <w:sz w:val="24"/>
                <w:szCs w:val="24"/>
                <w:highlight w:val="none"/>
                <w:vertAlign w:val="baseline"/>
                <w:lang w:val="en-US" w:eastAsia="zh-CN"/>
              </w:rPr>
            </w:pPr>
          </w:p>
        </w:tc>
        <w:tc>
          <w:tcPr>
            <w:tcW w:w="1052" w:type="dxa"/>
          </w:tcPr>
          <w:p>
            <w:pP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pPr>
              <w:rPr>
                <w:rFonts w:hint="eastAsia" w:ascii="仿宋" w:hAnsi="仿宋" w:eastAsia="仿宋" w:cs="仿宋"/>
                <w:color w:val="auto"/>
                <w:sz w:val="24"/>
                <w:szCs w:val="24"/>
                <w:highlight w:val="none"/>
                <w:vertAlign w:val="baseline"/>
                <w:lang w:val="en-US" w:eastAsia="zh-CN"/>
              </w:rPr>
            </w:pPr>
          </w:p>
        </w:tc>
        <w:tc>
          <w:tcPr>
            <w:tcW w:w="1421" w:type="dxa"/>
          </w:tcPr>
          <w:p>
            <w:pPr>
              <w:rPr>
                <w:rFonts w:hint="eastAsia" w:ascii="仿宋" w:hAnsi="仿宋" w:eastAsia="仿宋" w:cs="仿宋"/>
                <w:color w:val="auto"/>
                <w:sz w:val="24"/>
                <w:szCs w:val="24"/>
                <w:highlight w:val="none"/>
                <w:vertAlign w:val="baseline"/>
                <w:lang w:val="en-US" w:eastAsia="zh-CN"/>
              </w:rPr>
            </w:pPr>
          </w:p>
        </w:tc>
        <w:tc>
          <w:tcPr>
            <w:tcW w:w="1901" w:type="dxa"/>
          </w:tcPr>
          <w:p>
            <w:pPr>
              <w:rPr>
                <w:rFonts w:hint="eastAsia" w:ascii="仿宋" w:hAnsi="仿宋" w:eastAsia="仿宋" w:cs="仿宋"/>
                <w:color w:val="auto"/>
                <w:sz w:val="24"/>
                <w:szCs w:val="24"/>
                <w:highlight w:val="none"/>
                <w:vertAlign w:val="baseline"/>
                <w:lang w:val="en-US" w:eastAsia="zh-CN"/>
              </w:rPr>
            </w:pPr>
          </w:p>
        </w:tc>
        <w:tc>
          <w:tcPr>
            <w:tcW w:w="1753" w:type="dxa"/>
          </w:tcPr>
          <w:p>
            <w:pPr>
              <w:rPr>
                <w:rFonts w:hint="eastAsia" w:ascii="仿宋" w:hAnsi="仿宋" w:eastAsia="仿宋" w:cs="仿宋"/>
                <w:color w:val="auto"/>
                <w:sz w:val="24"/>
                <w:szCs w:val="24"/>
                <w:highlight w:val="none"/>
                <w:vertAlign w:val="baseline"/>
                <w:lang w:val="en-US" w:eastAsia="zh-CN"/>
              </w:rPr>
            </w:pPr>
          </w:p>
        </w:tc>
        <w:tc>
          <w:tcPr>
            <w:tcW w:w="1561" w:type="dxa"/>
          </w:tcPr>
          <w:p>
            <w:pPr>
              <w:rPr>
                <w:rFonts w:hint="eastAsia" w:ascii="仿宋" w:hAnsi="仿宋" w:eastAsia="仿宋" w:cs="仿宋"/>
                <w:color w:val="auto"/>
                <w:sz w:val="24"/>
                <w:szCs w:val="24"/>
                <w:highlight w:val="none"/>
                <w:vertAlign w:val="baseline"/>
                <w:lang w:val="en-US" w:eastAsia="zh-CN"/>
              </w:rPr>
            </w:pPr>
          </w:p>
        </w:tc>
        <w:tc>
          <w:tcPr>
            <w:tcW w:w="1052" w:type="dxa"/>
          </w:tcPr>
          <w:p>
            <w:pP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pPr>
              <w:rPr>
                <w:rFonts w:hint="eastAsia" w:ascii="仿宋" w:hAnsi="仿宋" w:eastAsia="仿宋" w:cs="仿宋"/>
                <w:color w:val="auto"/>
                <w:sz w:val="24"/>
                <w:szCs w:val="24"/>
                <w:highlight w:val="none"/>
                <w:vertAlign w:val="baseline"/>
                <w:lang w:val="en-US" w:eastAsia="zh-CN"/>
              </w:rPr>
            </w:pPr>
          </w:p>
        </w:tc>
        <w:tc>
          <w:tcPr>
            <w:tcW w:w="1421" w:type="dxa"/>
          </w:tcPr>
          <w:p>
            <w:pPr>
              <w:rPr>
                <w:rFonts w:hint="eastAsia" w:ascii="仿宋" w:hAnsi="仿宋" w:eastAsia="仿宋" w:cs="仿宋"/>
                <w:color w:val="auto"/>
                <w:sz w:val="24"/>
                <w:szCs w:val="24"/>
                <w:highlight w:val="none"/>
                <w:vertAlign w:val="baseline"/>
                <w:lang w:val="en-US" w:eastAsia="zh-CN"/>
              </w:rPr>
            </w:pPr>
          </w:p>
        </w:tc>
        <w:tc>
          <w:tcPr>
            <w:tcW w:w="1901" w:type="dxa"/>
          </w:tcPr>
          <w:p>
            <w:pPr>
              <w:rPr>
                <w:rFonts w:hint="eastAsia" w:ascii="仿宋" w:hAnsi="仿宋" w:eastAsia="仿宋" w:cs="仿宋"/>
                <w:color w:val="auto"/>
                <w:sz w:val="24"/>
                <w:szCs w:val="24"/>
                <w:highlight w:val="none"/>
                <w:vertAlign w:val="baseline"/>
                <w:lang w:val="en-US" w:eastAsia="zh-CN"/>
              </w:rPr>
            </w:pPr>
          </w:p>
        </w:tc>
        <w:tc>
          <w:tcPr>
            <w:tcW w:w="1753" w:type="dxa"/>
          </w:tcPr>
          <w:p>
            <w:pPr>
              <w:rPr>
                <w:rFonts w:hint="eastAsia" w:ascii="仿宋" w:hAnsi="仿宋" w:eastAsia="仿宋" w:cs="仿宋"/>
                <w:color w:val="auto"/>
                <w:sz w:val="24"/>
                <w:szCs w:val="24"/>
                <w:highlight w:val="none"/>
                <w:vertAlign w:val="baseline"/>
                <w:lang w:val="en-US" w:eastAsia="zh-CN"/>
              </w:rPr>
            </w:pPr>
          </w:p>
        </w:tc>
        <w:tc>
          <w:tcPr>
            <w:tcW w:w="1561" w:type="dxa"/>
          </w:tcPr>
          <w:p>
            <w:pPr>
              <w:rPr>
                <w:rFonts w:hint="eastAsia" w:ascii="仿宋" w:hAnsi="仿宋" w:eastAsia="仿宋" w:cs="仿宋"/>
                <w:color w:val="auto"/>
                <w:sz w:val="24"/>
                <w:szCs w:val="24"/>
                <w:highlight w:val="none"/>
                <w:vertAlign w:val="baseline"/>
                <w:lang w:val="en-US" w:eastAsia="zh-CN"/>
              </w:rPr>
            </w:pPr>
          </w:p>
        </w:tc>
        <w:tc>
          <w:tcPr>
            <w:tcW w:w="1052" w:type="dxa"/>
          </w:tcPr>
          <w:p>
            <w:pP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pPr>
              <w:rPr>
                <w:rFonts w:hint="eastAsia" w:ascii="仿宋" w:hAnsi="仿宋" w:eastAsia="仿宋" w:cs="仿宋"/>
                <w:color w:val="auto"/>
                <w:sz w:val="24"/>
                <w:szCs w:val="24"/>
                <w:highlight w:val="none"/>
                <w:vertAlign w:val="baseline"/>
                <w:lang w:val="en-US" w:eastAsia="zh-CN"/>
              </w:rPr>
            </w:pPr>
          </w:p>
        </w:tc>
        <w:tc>
          <w:tcPr>
            <w:tcW w:w="1421" w:type="dxa"/>
          </w:tcPr>
          <w:p>
            <w:pPr>
              <w:rPr>
                <w:rFonts w:hint="eastAsia" w:ascii="仿宋" w:hAnsi="仿宋" w:eastAsia="仿宋" w:cs="仿宋"/>
                <w:color w:val="auto"/>
                <w:sz w:val="24"/>
                <w:szCs w:val="24"/>
                <w:highlight w:val="none"/>
                <w:vertAlign w:val="baseline"/>
                <w:lang w:val="en-US" w:eastAsia="zh-CN"/>
              </w:rPr>
            </w:pPr>
          </w:p>
        </w:tc>
        <w:tc>
          <w:tcPr>
            <w:tcW w:w="1901" w:type="dxa"/>
          </w:tcPr>
          <w:p>
            <w:pPr>
              <w:rPr>
                <w:rFonts w:hint="eastAsia" w:ascii="仿宋" w:hAnsi="仿宋" w:eastAsia="仿宋" w:cs="仿宋"/>
                <w:color w:val="auto"/>
                <w:sz w:val="24"/>
                <w:szCs w:val="24"/>
                <w:highlight w:val="none"/>
                <w:vertAlign w:val="baseline"/>
                <w:lang w:val="en-US" w:eastAsia="zh-CN"/>
              </w:rPr>
            </w:pPr>
          </w:p>
        </w:tc>
        <w:tc>
          <w:tcPr>
            <w:tcW w:w="1753" w:type="dxa"/>
          </w:tcPr>
          <w:p>
            <w:pPr>
              <w:rPr>
                <w:rFonts w:hint="eastAsia" w:ascii="仿宋" w:hAnsi="仿宋" w:eastAsia="仿宋" w:cs="仿宋"/>
                <w:color w:val="auto"/>
                <w:sz w:val="24"/>
                <w:szCs w:val="24"/>
                <w:highlight w:val="none"/>
                <w:vertAlign w:val="baseline"/>
                <w:lang w:val="en-US" w:eastAsia="zh-CN"/>
              </w:rPr>
            </w:pPr>
          </w:p>
        </w:tc>
        <w:tc>
          <w:tcPr>
            <w:tcW w:w="1561" w:type="dxa"/>
          </w:tcPr>
          <w:p>
            <w:pPr>
              <w:rPr>
                <w:rFonts w:hint="eastAsia" w:ascii="仿宋" w:hAnsi="仿宋" w:eastAsia="仿宋" w:cs="仿宋"/>
                <w:color w:val="auto"/>
                <w:sz w:val="24"/>
                <w:szCs w:val="24"/>
                <w:highlight w:val="none"/>
                <w:vertAlign w:val="baseline"/>
                <w:lang w:val="en-US" w:eastAsia="zh-CN"/>
              </w:rPr>
            </w:pPr>
          </w:p>
        </w:tc>
        <w:tc>
          <w:tcPr>
            <w:tcW w:w="1052" w:type="dxa"/>
          </w:tcPr>
          <w:p>
            <w:pPr>
              <w:rPr>
                <w:rFonts w:hint="eastAsia" w:ascii="仿宋" w:hAnsi="仿宋" w:eastAsia="仿宋" w:cs="仿宋"/>
                <w:color w:val="auto"/>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对商务条款中的所有要求，除本表所列明的所有偏离外，均视作投标人已对之理解和响应。</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bookmarkStart w:id="47" w:name="_Toc6441"/>
      <w:r>
        <w:rPr>
          <w:rFonts w:hint="eastAsia" w:ascii="仿宋" w:hAnsi="仿宋" w:eastAsia="仿宋" w:cs="仿宋"/>
          <w:color w:val="auto"/>
          <w:sz w:val="24"/>
          <w:szCs w:val="24"/>
          <w:highlight w:val="none"/>
          <w:lang w:val="en-US" w:eastAsia="zh-CN"/>
        </w:rPr>
        <w:t>2. “偏离情况”列应据实填写“正偏离”或“负偏离”。</w:t>
      </w:r>
      <w:bookmarkEnd w:id="47"/>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pPr>
        <w:pStyle w:val="22"/>
        <w:rPr>
          <w:rFonts w:hint="eastAsia" w:ascii="仿宋" w:hAnsi="仿宋" w:eastAsia="仿宋" w:cs="仿宋"/>
          <w:color w:val="auto"/>
          <w:sz w:val="24"/>
          <w:szCs w:val="24"/>
          <w:highlight w:val="none"/>
          <w:lang w:val="en-US" w:eastAsia="zh-CN"/>
        </w:rPr>
      </w:pPr>
    </w:p>
    <w:p>
      <w:pPr>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br w:type="page"/>
      </w:r>
    </w:p>
    <w:p>
      <w:pPr>
        <w:pStyle w:val="18"/>
        <w:ind w:left="0" w:leftChars="0" w:firstLine="0" w:firstLineChars="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11、技术要求偏离表</w:t>
      </w:r>
    </w:p>
    <w:p>
      <w:pPr>
        <w:pStyle w:val="18"/>
        <w:ind w:left="0" w:leftChars="0" w:firstLine="0" w:firstLineChars="0"/>
        <w:rPr>
          <w:rFonts w:hint="eastAsia" w:ascii="仿宋" w:hAnsi="仿宋" w:eastAsia="仿宋" w:cs="仿宋"/>
          <w:color w:val="auto"/>
          <w:sz w:val="24"/>
          <w:szCs w:val="24"/>
          <w:highlight w:val="none"/>
          <w:lang w:val="en-US" w:eastAsia="zh-CN"/>
        </w:rPr>
      </w:pPr>
    </w:p>
    <w:p>
      <w:pPr>
        <w:pStyle w:val="18"/>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技术要求偏离表</w:t>
      </w:r>
    </w:p>
    <w:p>
      <w:pPr>
        <w:pStyle w:val="18"/>
        <w:ind w:left="0" w:leftChars="0" w:firstLine="0" w:firstLineChars="0"/>
        <w:rPr>
          <w:rFonts w:hint="eastAsia" w:ascii="仿宋" w:hAnsi="仿宋" w:eastAsia="仿宋" w:cs="仿宋"/>
          <w:color w:val="auto"/>
          <w:sz w:val="24"/>
          <w:szCs w:val="24"/>
          <w:highlight w:val="none"/>
          <w:lang w:val="en-US" w:eastAsia="zh-CN"/>
        </w:rPr>
      </w:pPr>
    </w:p>
    <w:p>
      <w:pPr>
        <w:pStyle w:val="18"/>
        <w:ind w:left="0" w:leftChars="0" w:firstLine="0" w:firstLineChars="0"/>
        <w:jc w:val="lef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项目编号</w:t>
      </w:r>
      <w:r>
        <w:rPr>
          <w:rFonts w:hint="eastAsia" w:ascii="仿宋" w:hAnsi="仿宋" w:eastAsia="仿宋" w:cs="仿宋"/>
          <w:color w:val="auto"/>
          <w:highlight w:val="none"/>
          <w:u w:val="single"/>
          <w:lang w:val="en-US" w:eastAsia="zh-CN"/>
        </w:rPr>
        <w:t xml:space="preserve">                        </w:t>
      </w:r>
    </w:p>
    <w:p>
      <w:pPr>
        <w:rPr>
          <w:rFonts w:hint="default"/>
          <w:color w:val="auto"/>
          <w:highlight w:val="none"/>
          <w:lang w:val="en-US" w:eastAsia="zh-CN"/>
        </w:rPr>
      </w:pPr>
      <w:r>
        <w:rPr>
          <w:rFonts w:hint="eastAsia" w:ascii="仿宋" w:hAnsi="仿宋" w:eastAsia="仿宋" w:cs="仿宋"/>
          <w:color w:val="auto"/>
          <w:highlight w:val="none"/>
          <w:lang w:val="en-US" w:eastAsia="zh-CN"/>
        </w:rPr>
        <w:t>标项(包)名称：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p>
    <w:p>
      <w:pPr>
        <w:pStyle w:val="18"/>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投标人应对招标文件第五章采购需求中的技术参数要求的内容给予逐条响应，以投标产品和服务所能达到的内容予以填写，有具体参数的应填写具体参数。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 投标人应按照招标文件第五章采购需求中的技术参数要求中要求提供投标产品技术支持资料（或证明材料），并在采购需求响应及偏离表中给予文件名称、所处投标文件页码或位置等必要说明。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“偏离情况”列应据实填写“正偏离”、“负偏离”或“无偏离”。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pStyle w:val="18"/>
        <w:ind w:left="0" w:leftChars="0" w:firstLine="0" w:firstLineChars="0"/>
        <w:outlineLvl w:val="2"/>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24"/>
          <w:szCs w:val="24"/>
          <w:highlight w:val="none"/>
          <w:lang w:val="en-US" w:eastAsia="zh-CN"/>
        </w:rPr>
        <w:t>12、投标产品品牌、型号明细表</w:t>
      </w:r>
    </w:p>
    <w:p>
      <w:pPr>
        <w:pStyle w:val="22"/>
        <w:ind w:left="0" w:leftChars="0" w:firstLine="0" w:firstLineChars="0"/>
        <w:jc w:val="center"/>
        <w:rPr>
          <w:rFonts w:hint="eastAsia" w:ascii="仿宋" w:hAnsi="仿宋" w:eastAsia="仿宋" w:cs="仿宋"/>
          <w:b/>
          <w:bCs/>
          <w:color w:val="auto"/>
          <w:sz w:val="32"/>
          <w:szCs w:val="32"/>
          <w:highlight w:val="none"/>
          <w:lang w:val="en-US" w:eastAsia="zh-CN"/>
        </w:rPr>
      </w:pPr>
    </w:p>
    <w:p>
      <w:pPr>
        <w:pStyle w:val="22"/>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投标产品品牌、型号明细表</w:t>
      </w:r>
    </w:p>
    <w:p>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项目编号：</w:t>
      </w:r>
      <w:r>
        <w:rPr>
          <w:rFonts w:hint="eastAsia" w:ascii="仿宋" w:hAnsi="仿宋" w:eastAsia="仿宋" w:cs="仿宋"/>
          <w:color w:val="auto"/>
          <w:highlight w:val="none"/>
          <w:u w:val="single"/>
          <w:lang w:val="en-US" w:eastAsia="zh-CN"/>
        </w:rPr>
        <w:t xml:space="preserve">              </w:t>
      </w:r>
    </w:p>
    <w:p>
      <w:pPr>
        <w:rPr>
          <w:rFonts w:hint="eastAsia" w:ascii="仿宋" w:hAnsi="仿宋" w:eastAsia="仿宋" w:cs="仿宋"/>
          <w:color w:val="auto"/>
          <w:highlight w:val="none"/>
          <w:u w:val="none"/>
          <w:lang w:val="en-US" w:eastAsia="zh-CN"/>
        </w:rPr>
      </w:pPr>
    </w:p>
    <w:p>
      <w:pPr>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none"/>
          <w:lang w:val="en-US" w:eastAsia="zh-CN"/>
        </w:rPr>
        <w:t>标项(包)名称：</w:t>
      </w:r>
      <w:r>
        <w:rPr>
          <w:rFonts w:hint="eastAsia" w:ascii="仿宋" w:hAnsi="仿宋" w:eastAsia="仿宋" w:cs="仿宋"/>
          <w:color w:val="auto"/>
          <w:highlight w:val="none"/>
          <w:u w:val="single"/>
          <w:lang w:val="en-US" w:eastAsia="zh-CN"/>
        </w:rPr>
        <w:t xml:space="preserve">                       </w:t>
      </w:r>
    </w:p>
    <w:p>
      <w:pPr>
        <w:rPr>
          <w:rFonts w:hint="eastAsia" w:ascii="仿宋" w:hAnsi="仿宋" w:eastAsia="仿宋" w:cs="仿宋"/>
          <w:color w:val="auto"/>
          <w:highlight w:val="none"/>
          <w:u w:val="single"/>
          <w:lang w:val="en-US" w:eastAsia="zh-CN"/>
        </w:rPr>
      </w:pPr>
    </w:p>
    <w:tbl>
      <w:tblPr>
        <w:tblStyle w:val="2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661"/>
        <w:gridCol w:w="1410"/>
        <w:gridCol w:w="1554"/>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2661"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货物（或服务）名称</w:t>
            </w:r>
          </w:p>
        </w:tc>
        <w:tc>
          <w:tcPr>
            <w:tcW w:w="1410"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554"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型号</w:t>
            </w:r>
          </w:p>
        </w:tc>
        <w:tc>
          <w:tcPr>
            <w:tcW w:w="1857" w:type="dxa"/>
            <w:vAlign w:val="center"/>
          </w:tcPr>
          <w:p>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2661"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410"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554"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c>
          <w:tcPr>
            <w:tcW w:w="1857" w:type="dxa"/>
            <w:vAlign w:val="center"/>
          </w:tcPr>
          <w:p>
            <w:pPr>
              <w:pStyle w:val="21"/>
              <w:jc w:val="center"/>
              <w:rPr>
                <w:rFonts w:hint="eastAsia" w:ascii="仿宋" w:hAnsi="仿宋" w:eastAsia="仿宋" w:cs="仿宋"/>
                <w:color w:val="auto"/>
                <w:sz w:val="21"/>
                <w:szCs w:val="21"/>
                <w:highlight w:val="none"/>
                <w:vertAlign w:val="baseline"/>
                <w:lang w:val="en-US" w:eastAsia="zh-CN"/>
              </w:rPr>
            </w:pPr>
          </w:p>
        </w:tc>
      </w:tr>
    </w:tbl>
    <w:p>
      <w:pPr>
        <w:rPr>
          <w:rFonts w:hint="eastAsia" w:ascii="仿宋" w:hAnsi="仿宋" w:eastAsia="仿宋" w:cs="仿宋"/>
          <w:b/>
          <w:bCs/>
          <w:color w:val="auto"/>
          <w:sz w:val="24"/>
          <w:szCs w:val="24"/>
          <w:highlight w:val="none"/>
          <w:lang w:val="en-US" w:eastAsia="zh-CN"/>
        </w:rPr>
      </w:pP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val="0"/>
          <w:bCs w:val="0"/>
          <w:color w:val="auto"/>
          <w:sz w:val="24"/>
          <w:szCs w:val="24"/>
          <w:highlight w:val="none"/>
          <w:lang w:val="en-US" w:eastAsia="zh-CN"/>
        </w:rPr>
        <w:t>1、本表中与“投标报价明细表”相同内容应相互一致，否则</w:t>
      </w:r>
      <w:r>
        <w:rPr>
          <w:rFonts w:hint="eastAsia" w:ascii="仿宋" w:hAnsi="仿宋" w:eastAsia="仿宋" w:cs="仿宋"/>
          <w:b/>
          <w:bCs/>
          <w:color w:val="auto"/>
          <w:sz w:val="24"/>
          <w:szCs w:val="24"/>
          <w:highlight w:val="none"/>
          <w:lang w:val="en-US" w:eastAsia="zh-CN"/>
        </w:rPr>
        <w:t>投标无效。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pPr>
        <w:rPr>
          <w:rFonts w:hint="eastAsia" w:ascii="仿宋" w:hAnsi="仿宋" w:eastAsia="仿宋" w:cs="仿宋"/>
          <w:b/>
          <w:bCs/>
          <w:color w:val="auto"/>
          <w:sz w:val="24"/>
          <w:szCs w:val="24"/>
          <w:highlight w:val="none"/>
          <w:lang w:val="en-US" w:eastAsia="zh-CN"/>
        </w:rPr>
      </w:pPr>
    </w:p>
    <w:p>
      <w:pPr>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pPr>
        <w:keepNext w:val="0"/>
        <w:keepLines w:val="0"/>
        <w:pageBreakBefore w:val="0"/>
        <w:kinsoku/>
        <w:wordWrap/>
        <w:overflowPunct/>
        <w:topLinePunct w:val="0"/>
        <w:autoSpaceDE/>
        <w:autoSpaceDN/>
        <w:bidi w:val="0"/>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13、招标文件要求提供或投标人认为应附的其他商务技术文件</w:t>
      </w:r>
    </w:p>
    <w:p>
      <w:pPr>
        <w:pStyle w:val="31"/>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投标人应根据招标文件的规定自行编写， 详细叙述拟提供产品/服务情况。</w:t>
      </w:r>
    </w:p>
    <w:p>
      <w:pPr>
        <w:pStyle w:val="31"/>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keepNext/>
        <w:keepLines/>
        <w:widowControl w:val="0"/>
        <w:spacing w:before="0" w:after="260" w:line="240" w:lineRule="atLeast"/>
        <w:jc w:val="both"/>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1</w:t>
      </w:r>
      <w:bookmarkStart w:id="48" w:name="_Hlt520273973"/>
      <w:bookmarkEnd w:id="48"/>
      <w:bookmarkStart w:id="49" w:name="_Hlt520350957"/>
      <w:bookmarkEnd w:id="49"/>
      <w:bookmarkStart w:id="50" w:name="_Hlt520274065"/>
      <w:bookmarkEnd w:id="50"/>
      <w:bookmarkStart w:id="51" w:name="_Hlt520274407"/>
      <w:bookmarkEnd w:id="51"/>
      <w:bookmarkStart w:id="52" w:name="_Hlt520343000"/>
      <w:bookmarkEnd w:id="52"/>
      <w:bookmarkStart w:id="53" w:name="_Hlt520273711"/>
      <w:bookmarkEnd w:id="53"/>
      <w:bookmarkStart w:id="54" w:name="_Hlt520271212"/>
      <w:bookmarkEnd w:id="54"/>
      <w:bookmarkStart w:id="55" w:name="_Hlt520343392"/>
      <w:bookmarkEnd w:id="55"/>
      <w:bookmarkStart w:id="56" w:name="_Hlt520274911"/>
      <w:bookmarkEnd w:id="56"/>
      <w:bookmarkStart w:id="57" w:name="_Hlt520274393"/>
      <w:bookmarkEnd w:id="57"/>
      <w:bookmarkStart w:id="58" w:name="_Hlt520350918"/>
      <w:bookmarkEnd w:id="58"/>
      <w:bookmarkStart w:id="59" w:name="_Toc216582821"/>
      <w:bookmarkStart w:id="60" w:name="_Toc216513801"/>
      <w:r>
        <w:rPr>
          <w:rFonts w:hint="eastAsia" w:ascii="仿宋" w:hAnsi="仿宋" w:eastAsia="仿宋" w:cs="仿宋"/>
          <w:b/>
          <w:bCs/>
          <w:color w:val="auto"/>
          <w:kern w:val="2"/>
          <w:sz w:val="24"/>
          <w:szCs w:val="32"/>
          <w:highlight w:val="none"/>
          <w:lang w:val="en-US" w:eastAsia="zh-CN" w:bidi="ar-SA"/>
        </w:rPr>
        <w:t>4、中标服务费承诺书</w:t>
      </w:r>
    </w:p>
    <w:p>
      <w:pPr>
        <w:spacing w:line="240" w:lineRule="atLeast"/>
        <w:ind w:left="1080" w:leftChars="257" w:hanging="540"/>
        <w:rPr>
          <w:rFonts w:hint="eastAsia" w:ascii="仿宋" w:hAnsi="仿宋" w:eastAsia="仿宋" w:cs="仿宋"/>
          <w:b/>
          <w:color w:val="auto"/>
          <w:sz w:val="24"/>
          <w:highlight w:val="none"/>
        </w:rPr>
      </w:pPr>
    </w:p>
    <w:p>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pPr>
        <w:spacing w:line="440" w:lineRule="exact"/>
        <w:ind w:left="1080" w:hanging="1080"/>
        <w:rPr>
          <w:rFonts w:hint="eastAsia" w:ascii="仿宋" w:hAnsi="仿宋" w:eastAsia="仿宋" w:cs="仿宋"/>
          <w:color w:val="auto"/>
          <w:sz w:val="24"/>
          <w:highlight w:val="none"/>
        </w:rPr>
      </w:pPr>
    </w:p>
    <w:p>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pPr>
        <w:spacing w:line="440" w:lineRule="exact"/>
        <w:ind w:left="1080" w:leftChars="257" w:hanging="54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pPr>
        <w:spacing w:line="440" w:lineRule="exact"/>
        <w:ind w:left="1080" w:leftChars="257" w:hanging="540"/>
        <w:rPr>
          <w:rFonts w:hint="eastAsia" w:ascii="仿宋" w:hAnsi="仿宋" w:eastAsia="仿宋" w:cs="仿宋"/>
          <w:color w:val="auto"/>
          <w:sz w:val="24"/>
          <w:highlight w:val="none"/>
        </w:rPr>
      </w:pPr>
    </w:p>
    <w:p>
      <w:pPr>
        <w:spacing w:line="440" w:lineRule="exact"/>
        <w:ind w:left="1080" w:leftChars="257" w:hanging="540"/>
        <w:rPr>
          <w:rFonts w:hint="eastAsia" w:ascii="仿宋" w:hAnsi="仿宋" w:eastAsia="仿宋" w:cs="仿宋"/>
          <w:color w:val="auto"/>
          <w:sz w:val="24"/>
          <w:highlight w:val="none"/>
        </w:rPr>
      </w:pPr>
    </w:p>
    <w:p>
      <w:pPr>
        <w:spacing w:line="440" w:lineRule="exact"/>
        <w:ind w:left="1080" w:leftChars="257" w:hanging="540"/>
        <w:rPr>
          <w:rFonts w:hint="eastAsia" w:ascii="仿宋" w:hAnsi="仿宋" w:eastAsia="仿宋" w:cs="仿宋"/>
          <w:color w:val="auto"/>
          <w:sz w:val="24"/>
          <w:highlight w:val="none"/>
        </w:rPr>
      </w:pPr>
    </w:p>
    <w:p>
      <w:pPr>
        <w:spacing w:line="440" w:lineRule="exact"/>
        <w:ind w:left="1080" w:leftChars="257" w:hanging="540"/>
        <w:rPr>
          <w:rFonts w:hint="eastAsia" w:ascii="仿宋" w:hAnsi="仿宋" w:eastAsia="仿宋" w:cs="仿宋"/>
          <w:color w:val="auto"/>
          <w:sz w:val="24"/>
          <w:highlight w:val="none"/>
        </w:rPr>
      </w:pPr>
    </w:p>
    <w:p>
      <w:pPr>
        <w:spacing w:line="440" w:lineRule="exact"/>
        <w:ind w:left="1080" w:hanging="1080"/>
        <w:rPr>
          <w:rFonts w:hint="eastAsia" w:ascii="仿宋" w:hAnsi="仿宋" w:eastAsia="仿宋" w:cs="仿宋"/>
          <w:color w:val="auto"/>
          <w:sz w:val="24"/>
          <w:highlight w:val="none"/>
        </w:rPr>
      </w:pPr>
    </w:p>
    <w:p>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w:t>
      </w:r>
      <w:r>
        <w:rPr>
          <w:rFonts w:hint="eastAsia" w:ascii="仿宋" w:hAnsi="仿宋" w:eastAsia="仿宋" w:cs="仿宋"/>
          <w:color w:val="auto"/>
          <w:sz w:val="24"/>
          <w:highlight w:val="none"/>
          <w:lang w:val="en-US" w:eastAsia="zh-CN"/>
        </w:rPr>
        <w:t>法定代表人或法定代表人授权代表（</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59"/>
      <w:bookmarkEnd w:id="60"/>
    </w:p>
    <w:p>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pPr>
        <w:widowControl w:val="0"/>
        <w:spacing w:before="1"/>
        <w:jc w:val="both"/>
        <w:outlineLvl w:val="2"/>
        <w:rPr>
          <w:rFonts w:hint="eastAsia" w:ascii="仿宋" w:hAnsi="仿宋" w:eastAsia="仿宋" w:cs="仿宋"/>
          <w:b/>
          <w:bCs/>
          <w:color w:val="auto"/>
          <w:kern w:val="2"/>
          <w:sz w:val="24"/>
          <w:szCs w:val="24"/>
          <w:highlight w:val="none"/>
          <w:lang w:val="zh-CN" w:eastAsia="zh-CN" w:bidi="zh-CN"/>
        </w:rPr>
      </w:pPr>
      <w:bookmarkStart w:id="61" w:name="_Toc20782"/>
      <w:bookmarkStart w:id="62" w:name="_Toc17899"/>
      <w:bookmarkStart w:id="63" w:name="_Toc24678"/>
      <w:bookmarkStart w:id="64" w:name="_Toc15106"/>
      <w:bookmarkStart w:id="65" w:name="_Toc8649"/>
      <w:r>
        <w:rPr>
          <w:rFonts w:hint="eastAsia" w:ascii="仿宋" w:hAnsi="仿宋" w:eastAsia="仿宋" w:cs="仿宋"/>
          <w:b/>
          <w:bCs/>
          <w:color w:val="auto"/>
          <w:kern w:val="2"/>
          <w:sz w:val="24"/>
          <w:szCs w:val="24"/>
          <w:highlight w:val="none"/>
          <w:lang w:val="en-US" w:eastAsia="zh-CN" w:bidi="zh-CN"/>
        </w:rPr>
        <w:t>15、</w:t>
      </w:r>
      <w:r>
        <w:rPr>
          <w:rFonts w:hint="eastAsia" w:ascii="仿宋" w:hAnsi="仿宋" w:eastAsia="仿宋" w:cs="仿宋"/>
          <w:b/>
          <w:bCs/>
          <w:color w:val="auto"/>
          <w:kern w:val="2"/>
          <w:sz w:val="24"/>
          <w:szCs w:val="24"/>
          <w:highlight w:val="none"/>
          <w:lang w:val="zh-CN" w:eastAsia="zh-CN" w:bidi="zh-CN"/>
        </w:rPr>
        <w:t>保证金信息表（</w:t>
      </w:r>
      <w:r>
        <w:rPr>
          <w:rFonts w:hint="eastAsia" w:ascii="仿宋" w:hAnsi="仿宋" w:eastAsia="仿宋" w:cs="仿宋"/>
          <w:b/>
          <w:bCs/>
          <w:color w:val="auto"/>
          <w:kern w:val="2"/>
          <w:sz w:val="24"/>
          <w:szCs w:val="24"/>
          <w:highlight w:val="none"/>
          <w:lang w:val="en-US" w:eastAsia="zh-CN" w:bidi="zh-CN"/>
        </w:rPr>
        <w:t>保函方式提交的无需提供</w:t>
      </w:r>
      <w:r>
        <w:rPr>
          <w:rFonts w:hint="eastAsia" w:ascii="仿宋" w:hAnsi="仿宋" w:eastAsia="仿宋" w:cs="仿宋"/>
          <w:b/>
          <w:bCs/>
          <w:color w:val="auto"/>
          <w:kern w:val="2"/>
          <w:sz w:val="24"/>
          <w:szCs w:val="24"/>
          <w:highlight w:val="none"/>
          <w:lang w:val="zh-CN" w:eastAsia="zh-CN" w:bidi="zh-CN"/>
        </w:rPr>
        <w:t>）</w:t>
      </w:r>
      <w:bookmarkEnd w:id="61"/>
      <w:bookmarkEnd w:id="62"/>
      <w:bookmarkEnd w:id="63"/>
      <w:bookmarkEnd w:id="64"/>
      <w:bookmarkEnd w:id="65"/>
    </w:p>
    <w:p>
      <w:pPr>
        <w:pStyle w:val="16"/>
        <w:spacing w:line="440" w:lineRule="exact"/>
        <w:jc w:val="center"/>
        <w:outlineLvl w:val="9"/>
        <w:rPr>
          <w:rFonts w:hint="eastAsia" w:ascii="仿宋" w:hAnsi="仿宋" w:eastAsia="仿宋" w:cs="仿宋"/>
          <w:b/>
          <w:color w:val="auto"/>
          <w:sz w:val="32"/>
          <w:szCs w:val="32"/>
          <w:highlight w:val="none"/>
        </w:rPr>
      </w:pPr>
    </w:p>
    <w:p>
      <w:pPr>
        <w:pStyle w:val="16"/>
        <w:spacing w:line="440" w:lineRule="exact"/>
        <w:jc w:val="center"/>
        <w:outlineLvl w:val="9"/>
        <w:rPr>
          <w:rFonts w:hint="eastAsia" w:ascii="仿宋" w:hAnsi="仿宋" w:eastAsia="仿宋" w:cs="仿宋"/>
          <w:b/>
          <w:color w:val="auto"/>
          <w:sz w:val="32"/>
          <w:szCs w:val="32"/>
          <w:highlight w:val="none"/>
        </w:rPr>
      </w:pPr>
      <w:bookmarkStart w:id="66" w:name="_Toc27316"/>
      <w:bookmarkStart w:id="67" w:name="_Toc31463"/>
      <w:bookmarkStart w:id="68" w:name="_Toc16938"/>
      <w:bookmarkStart w:id="69" w:name="_Toc28181"/>
      <w:bookmarkStart w:id="70" w:name="_Toc14307"/>
      <w:bookmarkStart w:id="71" w:name="_Toc4940"/>
      <w:bookmarkStart w:id="72" w:name="_Toc25967"/>
      <w:r>
        <w:rPr>
          <w:rFonts w:hint="eastAsia" w:ascii="仿宋" w:hAnsi="仿宋" w:eastAsia="仿宋" w:cs="仿宋"/>
          <w:b/>
          <w:color w:val="auto"/>
          <w:sz w:val="24"/>
          <w:szCs w:val="24"/>
          <w:highlight w:val="none"/>
        </w:rPr>
        <w:t>退还保证金申请函</w:t>
      </w:r>
      <w:bookmarkEnd w:id="66"/>
      <w:bookmarkEnd w:id="67"/>
      <w:bookmarkEnd w:id="68"/>
      <w:bookmarkEnd w:id="69"/>
      <w:bookmarkEnd w:id="70"/>
      <w:bookmarkEnd w:id="71"/>
      <w:bookmarkEnd w:id="72"/>
    </w:p>
    <w:p>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pPr>
        <w:adjustRightInd w:val="0"/>
        <w:snapToGrid w:val="0"/>
        <w:spacing w:line="360" w:lineRule="auto"/>
        <w:rPr>
          <w:rFonts w:hint="eastAsia" w:ascii="仿宋" w:hAnsi="仿宋" w:eastAsia="仿宋" w:cs="仿宋"/>
          <w:color w:val="auto"/>
          <w:sz w:val="21"/>
          <w:szCs w:val="21"/>
          <w:highlight w:val="none"/>
        </w:rPr>
      </w:pPr>
    </w:p>
    <w:p>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pPr>
        <w:pStyle w:val="16"/>
        <w:spacing w:line="440" w:lineRule="exact"/>
        <w:jc w:val="both"/>
        <w:rPr>
          <w:rFonts w:hint="eastAsia" w:ascii="仿宋" w:hAnsi="仿宋" w:eastAsia="仿宋" w:cs="仿宋"/>
          <w:bCs/>
          <w:color w:val="auto"/>
          <w:sz w:val="21"/>
          <w:szCs w:val="21"/>
          <w:highlight w:val="none"/>
        </w:rPr>
      </w:pPr>
    </w:p>
    <w:p>
      <w:pPr>
        <w:pStyle w:val="16"/>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w:t>
      </w:r>
    </w:p>
    <w:tbl>
      <w:tblPr>
        <w:tblStyle w:val="2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w:t>
            </w:r>
            <w:r>
              <w:rPr>
                <w:rFonts w:hint="eastAsia" w:ascii="仿宋" w:hAnsi="仿宋" w:eastAsia="仿宋" w:cs="仿宋"/>
                <w:color w:val="auto"/>
                <w:sz w:val="21"/>
                <w:szCs w:val="21"/>
                <w:highlight w:val="none"/>
                <w:lang w:eastAsia="zh-CN"/>
              </w:rPr>
              <w:t>扫描件</w:t>
            </w:r>
            <w:r>
              <w:rPr>
                <w:rFonts w:hint="eastAsia" w:ascii="仿宋" w:hAnsi="仿宋" w:eastAsia="仿宋" w:cs="仿宋"/>
                <w:color w:val="auto"/>
                <w:sz w:val="21"/>
                <w:szCs w:val="21"/>
                <w:highlight w:val="none"/>
              </w:rPr>
              <w:t>）</w:t>
            </w:r>
          </w:p>
        </w:tc>
      </w:tr>
    </w:tbl>
    <w:p>
      <w:pPr>
        <w:pStyle w:val="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widowControl w:val="0"/>
        <w:tabs>
          <w:tab w:val="left" w:pos="1325"/>
        </w:tabs>
        <w:spacing w:before="90"/>
        <w:jc w:val="both"/>
        <w:outlineLvl w:val="2"/>
        <w:rPr>
          <w:rFonts w:hint="eastAsia" w:ascii="仿宋" w:hAnsi="仿宋" w:eastAsia="仿宋" w:cs="仿宋"/>
          <w:b/>
          <w:bCs/>
          <w:color w:val="auto"/>
          <w:kern w:val="2"/>
          <w:sz w:val="24"/>
          <w:szCs w:val="24"/>
          <w:highlight w:val="none"/>
          <w:lang w:val="zh-CN" w:eastAsia="zh-CN" w:bidi="zh-CN"/>
        </w:rPr>
      </w:pPr>
      <w:bookmarkStart w:id="73" w:name="_Toc21100"/>
      <w:bookmarkStart w:id="74" w:name="_Toc19434"/>
      <w:bookmarkStart w:id="75" w:name="_Toc8576"/>
      <w:bookmarkStart w:id="76" w:name="_Toc28409"/>
      <w:bookmarkStart w:id="77" w:name="_Toc17857"/>
      <w:bookmarkStart w:id="78" w:name="_Toc2994"/>
      <w:bookmarkStart w:id="79" w:name="_Toc8651"/>
      <w:r>
        <w:rPr>
          <w:rFonts w:hint="eastAsia" w:ascii="仿宋" w:hAnsi="仿宋" w:eastAsia="仿宋" w:cs="仿宋"/>
          <w:b/>
          <w:bCs/>
          <w:color w:val="auto"/>
          <w:kern w:val="2"/>
          <w:sz w:val="24"/>
          <w:szCs w:val="24"/>
          <w:highlight w:val="none"/>
          <w:lang w:val="en-US" w:eastAsia="zh-CN" w:bidi="zh-CN"/>
        </w:rPr>
        <w:t>16、开票信息</w:t>
      </w:r>
      <w:r>
        <w:rPr>
          <w:rFonts w:hint="eastAsia" w:ascii="仿宋" w:hAnsi="仿宋" w:eastAsia="仿宋" w:cs="仿宋"/>
          <w:b/>
          <w:bCs/>
          <w:color w:val="auto"/>
          <w:kern w:val="2"/>
          <w:sz w:val="24"/>
          <w:szCs w:val="24"/>
          <w:highlight w:val="none"/>
          <w:lang w:val="zh-CN" w:eastAsia="zh-CN" w:bidi="zh-CN"/>
        </w:rPr>
        <w:t>（统一格式）</w:t>
      </w:r>
      <w:bookmarkEnd w:id="73"/>
      <w:bookmarkEnd w:id="74"/>
      <w:bookmarkEnd w:id="75"/>
      <w:bookmarkEnd w:id="76"/>
      <w:bookmarkEnd w:id="77"/>
      <w:bookmarkEnd w:id="78"/>
      <w:bookmarkEnd w:id="79"/>
    </w:p>
    <w:p>
      <w:pPr>
        <w:pStyle w:val="16"/>
        <w:spacing w:line="440" w:lineRule="exact"/>
        <w:ind w:firstLine="480" w:firstLineChars="200"/>
        <w:jc w:val="both"/>
        <w:rPr>
          <w:rFonts w:hint="eastAsia" w:ascii="仿宋" w:hAnsi="仿宋" w:eastAsia="仿宋" w:cs="仿宋"/>
          <w:bCs/>
          <w:color w:val="auto"/>
          <w:sz w:val="24"/>
          <w:highlight w:val="none"/>
        </w:rPr>
      </w:pPr>
    </w:p>
    <w:p>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pPr>
        <w:pStyle w:val="16"/>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pPr>
        <w:pStyle w:val="16"/>
        <w:spacing w:line="440" w:lineRule="exact"/>
        <w:ind w:firstLine="420" w:firstLineChars="200"/>
        <w:jc w:val="both"/>
        <w:rPr>
          <w:rFonts w:hint="eastAsia" w:ascii="仿宋" w:hAnsi="仿宋" w:eastAsia="仿宋" w:cs="仿宋"/>
          <w:color w:val="auto"/>
          <w:sz w:val="21"/>
          <w:szCs w:val="21"/>
          <w:highlight w:val="none"/>
        </w:rPr>
      </w:pPr>
    </w:p>
    <w:tbl>
      <w:tblPr>
        <w:tblStyle w:val="2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pPr>
              <w:pStyle w:val="16"/>
              <w:spacing w:line="440" w:lineRule="exact"/>
              <w:jc w:val="center"/>
              <w:rPr>
                <w:rFonts w:hint="eastAsia" w:ascii="仿宋" w:hAnsi="仿宋" w:eastAsia="仿宋" w:cs="仿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pPr>
              <w:pStyle w:val="16"/>
              <w:spacing w:line="440" w:lineRule="exact"/>
              <w:jc w:val="center"/>
              <w:rPr>
                <w:rFonts w:hint="eastAsia" w:ascii="仿宋" w:hAnsi="仿宋" w:eastAsia="仿宋" w:cs="仿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pPr>
              <w:pStyle w:val="16"/>
              <w:spacing w:line="440" w:lineRule="exact"/>
              <w:jc w:val="center"/>
              <w:rPr>
                <w:rFonts w:hint="eastAsia" w:ascii="仿宋" w:hAnsi="仿宋" w:eastAsia="仿宋" w:cs="仿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pPr>
              <w:pStyle w:val="16"/>
              <w:spacing w:line="440" w:lineRule="exact"/>
              <w:jc w:val="center"/>
              <w:rPr>
                <w:rFonts w:hint="eastAsia" w:ascii="仿宋" w:hAnsi="仿宋" w:eastAsia="仿宋" w:cs="仿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pPr>
              <w:pStyle w:val="16"/>
              <w:spacing w:line="440" w:lineRule="exact"/>
              <w:jc w:val="center"/>
              <w:rPr>
                <w:rFonts w:hint="eastAsia" w:ascii="仿宋" w:hAnsi="仿宋" w:eastAsia="仿宋" w:cs="仿宋"/>
                <w:bCs/>
                <w:color w:val="auto"/>
                <w:sz w:val="21"/>
                <w:szCs w:val="21"/>
                <w:highlight w:val="none"/>
              </w:rPr>
            </w:pPr>
          </w:p>
        </w:tc>
        <w:tc>
          <w:tcPr>
            <w:tcW w:w="1791"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pPr>
              <w:pStyle w:val="16"/>
              <w:spacing w:line="440" w:lineRule="exact"/>
              <w:jc w:val="center"/>
              <w:rPr>
                <w:rFonts w:hint="eastAsia" w:ascii="仿宋" w:hAnsi="仿宋" w:eastAsia="仿宋" w:cs="仿宋"/>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pPr>
              <w:pStyle w:val="16"/>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pPr>
        <w:pStyle w:val="16"/>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pPr>
        <w:pStyle w:val="16"/>
        <w:spacing w:line="440" w:lineRule="exact"/>
        <w:jc w:val="both"/>
        <w:rPr>
          <w:rFonts w:hint="eastAsia" w:ascii="仿宋" w:hAnsi="仿宋" w:eastAsia="仿宋" w:cs="仿宋"/>
          <w:bCs/>
          <w:color w:val="auto"/>
          <w:sz w:val="21"/>
          <w:szCs w:val="21"/>
          <w:highlight w:val="none"/>
        </w:rPr>
      </w:pPr>
    </w:p>
    <w:p>
      <w:pPr>
        <w:pStyle w:val="16"/>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w:t>
      </w:r>
      <w:r>
        <w:rPr>
          <w:rFonts w:hint="eastAsia" w:ascii="仿宋" w:hAnsi="仿宋" w:eastAsia="仿宋" w:cs="仿宋"/>
          <w:b/>
          <w:color w:val="auto"/>
          <w:sz w:val="21"/>
          <w:szCs w:val="21"/>
          <w:highlight w:val="none"/>
          <w:lang w:eastAsia="zh-CN"/>
        </w:rPr>
        <w:t>扫描件</w:t>
      </w:r>
      <w:r>
        <w:rPr>
          <w:rFonts w:hint="eastAsia" w:ascii="仿宋" w:hAnsi="仿宋" w:eastAsia="仿宋" w:cs="仿宋"/>
          <w:b/>
          <w:color w:val="auto"/>
          <w:sz w:val="21"/>
          <w:szCs w:val="21"/>
          <w:highlight w:val="none"/>
        </w:rPr>
        <w:t>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pPr>
        <w:pStyle w:val="16"/>
        <w:spacing w:line="440" w:lineRule="exact"/>
        <w:jc w:val="both"/>
        <w:rPr>
          <w:rFonts w:hint="eastAsia" w:ascii="仿宋" w:hAnsi="仿宋" w:eastAsia="仿宋" w:cs="仿宋"/>
          <w:bCs/>
          <w:color w:val="auto"/>
          <w:sz w:val="21"/>
          <w:szCs w:val="21"/>
          <w:highlight w:val="none"/>
        </w:rPr>
      </w:pPr>
    </w:p>
    <w:p>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4"/>
          <w:szCs w:val="24"/>
          <w:highlight w:val="none"/>
          <w:lang w:val="en-US" w:eastAsia="zh-CN" w:bidi="ar"/>
        </w:rPr>
        <w:t>签字或印鉴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1"/>
          <w:szCs w:val="21"/>
          <w:highlight w:val="none"/>
        </w:rPr>
        <w:t>）：</w:t>
      </w:r>
    </w:p>
    <w:p>
      <w:pPr>
        <w:pStyle w:val="16"/>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pPr>
        <w:rPr>
          <w:rFonts w:hint="eastAsia" w:ascii="仿宋" w:hAnsi="仿宋" w:eastAsia="仿宋" w:cs="仿宋"/>
          <w:b/>
          <w:bCs/>
          <w:color w:val="auto"/>
          <w:kern w:val="2"/>
          <w:sz w:val="24"/>
          <w:szCs w:val="32"/>
          <w:highlight w:val="none"/>
          <w:lang w:val="en-US" w:eastAsia="zh-CN" w:bidi="ar-SA"/>
        </w:rPr>
      </w:pPr>
    </w:p>
    <w:sectPr>
      <w:headerReference r:id="rId5" w:type="default"/>
      <w:footerReference r:id="rId6" w:type="default"/>
      <w:pgSz w:w="11906" w:h="16838"/>
      <w:pgMar w:top="1701" w:right="1474" w:bottom="1701" w:left="1587" w:header="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02349B-328B-4365-850D-E6BD1AD552D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5F5DC9E7-12E2-41B5-A491-987561C03D55}"/>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embedRegular r:id="rId3" w:fontKey="{D9A8CEB0-F235-48E1-A222-98D5620403D2}"/>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4" w:fontKey="{109AEF30-FAF7-4B81-AE49-4148CEA1AEF1}"/>
  </w:font>
  <w:font w:name="___WRD_EMBED_SUB_41">
    <w:panose1 w:val="02010609030101010101"/>
    <w:charset w:val="86"/>
    <w:family w:val="auto"/>
    <w:pitch w:val="default"/>
    <w:sig w:usb0="00000001" w:usb1="080E0000" w:usb2="00000000" w:usb3="00000000" w:csb0="00040000" w:csb1="00000000"/>
    <w:embedRegular r:id="rId5" w:fontKey="{4089A2E8-A13A-44B8-9B22-3F3D6BDF5518}"/>
  </w:font>
  <w:font w:name="浠垮畫">
    <w:altName w:val="Segoe Print"/>
    <w:panose1 w:val="00000000000000000000"/>
    <w:charset w:val="00"/>
    <w:family w:val="auto"/>
    <w:pitch w:val="default"/>
    <w:sig w:usb0="00000000" w:usb1="00000000" w:usb2="00000000" w:usb3="00000000" w:csb0="00000000" w:csb1="00000000"/>
    <w:embedRegular r:id="rId6" w:fontKey="{D7D95030-3FCD-4649-9AA1-D2FDFFD49F5D}"/>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840" w:firstLineChars="300"/>
      <w:rPr>
        <w:rFonts w:hint="eastAsia" w:ascii="仿宋_GB2312" w:hAnsi="仿宋_GB2312" w:eastAsia="仿宋_GB2312" w:cs="仿宋_GB2312"/>
        <w:sz w:val="28"/>
        <w:szCs w:val="28"/>
      </w:rPr>
    </w:pPr>
  </w:p>
  <w:p>
    <w:pPr>
      <w:pStyle w:val="17"/>
      <w:ind w:firstLine="840" w:firstLineChars="300"/>
      <w:rPr>
        <w:rFonts w:hint="eastAsia" w:ascii="仿宋_GB2312" w:hAnsi="仿宋_GB2312" w:eastAsia="仿宋_GB2312" w:cs="仿宋_GB2312"/>
        <w:sz w:val="28"/>
        <w:szCs w:val="28"/>
      </w:rPr>
    </w:pPr>
  </w:p>
  <w:p>
    <w:pPr>
      <w:pStyle w:val="17"/>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438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1"/>
        <w:szCs w:val="21"/>
      </w:rPr>
      <w:t>新疆乌鲁木齐市黄山街德港大厦20层</w:t>
    </w:r>
  </w:p>
  <w:p>
    <w:pPr>
      <w:pStyle w:val="17"/>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840" w:firstLineChars="300"/>
      <w:rPr>
        <w:rFonts w:hint="eastAsia" w:ascii="仿宋_GB2312" w:hAnsi="仿宋_GB2312" w:eastAsia="仿宋_GB2312" w:cs="仿宋_GB2312"/>
        <w:sz w:val="28"/>
        <w:szCs w:val="28"/>
      </w:rPr>
    </w:pPr>
  </w:p>
  <w:p>
    <w:pPr>
      <w:pStyle w:val="17"/>
      <w:ind w:firstLine="840" w:firstLineChars="300"/>
      <w:rPr>
        <w:rFonts w:hint="eastAsia" w:ascii="仿宋_GB2312" w:hAnsi="仿宋_GB2312" w:eastAsia="仿宋_GB2312" w:cs="仿宋_GB2312"/>
        <w:sz w:val="28"/>
        <w:szCs w:val="28"/>
      </w:rPr>
    </w:pPr>
  </w:p>
  <w:p>
    <w:pPr>
      <w:pStyle w:val="17"/>
      <w:ind w:firstLine="840" w:firstLineChars="300"/>
      <w:rPr>
        <w:rFonts w:hint="eastAsia" w:ascii="仿宋" w:hAnsi="仿宋" w:eastAsia="仿宋" w:cs="仿宋"/>
      </w:rPr>
    </w:pPr>
    <w:r>
      <w:rPr>
        <w:rFonts w:hint="eastAsia" w:ascii="仿宋" w:hAnsi="仿宋" w:eastAsia="仿宋" w:cs="仿宋"/>
        <w:sz w:val="28"/>
        <w:szCs w:val="28"/>
      </w:rPr>
      <w:drawing>
        <wp:anchor distT="0" distB="0" distL="114300" distR="114300" simplePos="0" relativeHeight="251665408"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7" name="图片 7"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 w:hAnsi="仿宋" w:eastAsia="仿宋" w:cs="仿宋"/>
        <w:sz w:val="28"/>
        <w:szCs w:val="28"/>
      </w:rPr>
      <w:t>新疆世纪星工程咨询有限公司</w:t>
    </w:r>
    <w:r>
      <w:rPr>
        <w:rFonts w:hint="eastAsia" w:ascii="仿宋_GB2312" w:hAnsi="仿宋_GB2312" w:eastAsia="仿宋_GB2312" w:cs="仿宋_GB2312"/>
        <w:sz w:val="28"/>
        <w:szCs w:val="28"/>
      </w:rPr>
      <w:t xml:space="preserve">  </w:t>
    </w:r>
    <w:r>
      <w:rPr>
        <w:rFonts w:hint="eastAsia" w:ascii="仿宋" w:hAnsi="仿宋" w:eastAsia="仿宋" w:cs="仿宋"/>
        <w:sz w:val="21"/>
        <w:szCs w:val="21"/>
      </w:rPr>
      <w:t>新疆乌鲁木齐市黄山街德港大厦20层</w:t>
    </w:r>
  </w:p>
  <w:p>
    <w:pPr>
      <w:pStyle w:val="17"/>
      <w:pBdr>
        <w:bottom w:val="single" w:color="auto" w:sz="4" w:space="1"/>
      </w:pBdr>
      <w:ind w:firstLine="1040" w:firstLineChars="800"/>
      <w:rPr>
        <w:rFonts w:hint="eastAsia" w:ascii="仿宋" w:hAnsi="仿宋" w:eastAsia="仿宋" w:cs="仿宋"/>
        <w:lang w:eastAsia="zh-CN"/>
      </w:rPr>
    </w:pPr>
    <w:r>
      <w:rPr>
        <w:rFonts w:hint="eastAsia" w:ascii="仿宋" w:hAnsi="仿宋" w:eastAsia="仿宋" w:cs="仿宋"/>
        <w:sz w:val="13"/>
        <w:szCs w:val="20"/>
      </w:rPr>
      <w:t>Xinjiang Century Star Engineering Consulting Co., Ltd.</w:t>
    </w:r>
    <w:r>
      <w:rPr>
        <w:rFonts w:hint="eastAsia" w:ascii="仿宋" w:hAnsi="仿宋" w:eastAsia="仿宋" w:cs="仿宋"/>
      </w:rPr>
      <w:t xml:space="preserve">     TEL：</w:t>
    </w:r>
    <w:r>
      <w:rPr>
        <w:rFonts w:hint="eastAsia" w:ascii="仿宋" w:hAnsi="仿宋" w:eastAsia="仿宋" w:cs="仿宋"/>
        <w:lang w:eastAsia="zh-CN"/>
      </w:rPr>
      <w:t>13999295080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bCs/>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3BC6F39C"/>
    <w:multiLevelType w:val="singleLevel"/>
    <w:tmpl w:val="3BC6F39C"/>
    <w:lvl w:ilvl="0" w:tentative="0">
      <w:start w:val="1"/>
      <w:numFmt w:val="decimal"/>
      <w:suff w:val="space"/>
      <w:lvlText w:val="%1."/>
      <w:lvlJc w:val="left"/>
    </w:lvl>
  </w:abstractNum>
  <w:abstractNum w:abstractNumId="8">
    <w:nsid w:val="42407CBF"/>
    <w:multiLevelType w:val="singleLevel"/>
    <w:tmpl w:val="42407CBF"/>
    <w:lvl w:ilvl="0" w:tentative="0">
      <w:start w:val="2"/>
      <w:numFmt w:val="chineseCounting"/>
      <w:suff w:val="nothing"/>
      <w:lvlText w:val="%1、"/>
      <w:lvlJc w:val="left"/>
      <w:rPr>
        <w:rFonts w:hint="eastAsia"/>
      </w:rPr>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4"/>
  </w:num>
  <w:num w:numId="2">
    <w:abstractNumId w:val="11"/>
  </w:num>
  <w:num w:numId="3">
    <w:abstractNumId w:val="5"/>
  </w:num>
  <w:num w:numId="4">
    <w:abstractNumId w:val="2"/>
  </w:num>
  <w:num w:numId="5">
    <w:abstractNumId w:val="9"/>
  </w:num>
  <w:num w:numId="6">
    <w:abstractNumId w:val="1"/>
  </w:num>
  <w:num w:numId="7">
    <w:abstractNumId w:val="6"/>
  </w:num>
  <w:num w:numId="8">
    <w:abstractNumId w:val="8"/>
  </w:num>
  <w:num w:numId="9">
    <w:abstractNumId w:val="10"/>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NTZkYjA1YTRiMzQ1ZTg1Mjk0ZGY5YTQ4MDcwN2MifQ=="/>
  </w:docVars>
  <w:rsids>
    <w:rsidRoot w:val="00BA0C5C"/>
    <w:rsid w:val="0003268A"/>
    <w:rsid w:val="00103EA7"/>
    <w:rsid w:val="00115425"/>
    <w:rsid w:val="0017253F"/>
    <w:rsid w:val="00174014"/>
    <w:rsid w:val="001A3307"/>
    <w:rsid w:val="002234F9"/>
    <w:rsid w:val="002D3DC4"/>
    <w:rsid w:val="00310660"/>
    <w:rsid w:val="00312D5C"/>
    <w:rsid w:val="003377BE"/>
    <w:rsid w:val="00343E85"/>
    <w:rsid w:val="003664ED"/>
    <w:rsid w:val="00394A86"/>
    <w:rsid w:val="00397689"/>
    <w:rsid w:val="003B68BB"/>
    <w:rsid w:val="003E4666"/>
    <w:rsid w:val="00436CC4"/>
    <w:rsid w:val="004E3D08"/>
    <w:rsid w:val="0050558C"/>
    <w:rsid w:val="00551438"/>
    <w:rsid w:val="00556F52"/>
    <w:rsid w:val="005A43DA"/>
    <w:rsid w:val="005D6835"/>
    <w:rsid w:val="00703734"/>
    <w:rsid w:val="007E64FC"/>
    <w:rsid w:val="00822E85"/>
    <w:rsid w:val="00827D67"/>
    <w:rsid w:val="00846E07"/>
    <w:rsid w:val="008D14B8"/>
    <w:rsid w:val="008F668B"/>
    <w:rsid w:val="009074B0"/>
    <w:rsid w:val="00961B46"/>
    <w:rsid w:val="009F2BA7"/>
    <w:rsid w:val="00A208A9"/>
    <w:rsid w:val="00A40DF2"/>
    <w:rsid w:val="00A542E6"/>
    <w:rsid w:val="00BA0C5C"/>
    <w:rsid w:val="00BA4FD8"/>
    <w:rsid w:val="00C41758"/>
    <w:rsid w:val="00C978CA"/>
    <w:rsid w:val="00D0352C"/>
    <w:rsid w:val="00D93C2D"/>
    <w:rsid w:val="00DB4C57"/>
    <w:rsid w:val="00DE61E9"/>
    <w:rsid w:val="00DF4F62"/>
    <w:rsid w:val="00E3082E"/>
    <w:rsid w:val="00F8672D"/>
    <w:rsid w:val="01137C69"/>
    <w:rsid w:val="01D86637"/>
    <w:rsid w:val="02D36DFE"/>
    <w:rsid w:val="047A79AD"/>
    <w:rsid w:val="04A22F2C"/>
    <w:rsid w:val="04BD178C"/>
    <w:rsid w:val="04D836CC"/>
    <w:rsid w:val="04DF1A8A"/>
    <w:rsid w:val="052E656D"/>
    <w:rsid w:val="06A64F55"/>
    <w:rsid w:val="06CB0C06"/>
    <w:rsid w:val="07AF3996"/>
    <w:rsid w:val="083500E3"/>
    <w:rsid w:val="08B374B6"/>
    <w:rsid w:val="08FE75D7"/>
    <w:rsid w:val="09322AD0"/>
    <w:rsid w:val="0A7D5FCD"/>
    <w:rsid w:val="0A9B436F"/>
    <w:rsid w:val="0B383CE3"/>
    <w:rsid w:val="0B3A5C6C"/>
    <w:rsid w:val="0C4D409E"/>
    <w:rsid w:val="0CB97065"/>
    <w:rsid w:val="0CD15854"/>
    <w:rsid w:val="0D166265"/>
    <w:rsid w:val="0D2F0B75"/>
    <w:rsid w:val="0D3861DB"/>
    <w:rsid w:val="0D5A25F6"/>
    <w:rsid w:val="0D5D1B80"/>
    <w:rsid w:val="0D973AC2"/>
    <w:rsid w:val="0E3D7B44"/>
    <w:rsid w:val="0F5B4092"/>
    <w:rsid w:val="0FAC4A5B"/>
    <w:rsid w:val="108571AB"/>
    <w:rsid w:val="10EC6CF5"/>
    <w:rsid w:val="11ED63EA"/>
    <w:rsid w:val="12371157"/>
    <w:rsid w:val="12986F2D"/>
    <w:rsid w:val="12AF5192"/>
    <w:rsid w:val="147C72F5"/>
    <w:rsid w:val="15673B02"/>
    <w:rsid w:val="159348F7"/>
    <w:rsid w:val="15A4220D"/>
    <w:rsid w:val="15E348F4"/>
    <w:rsid w:val="16651E05"/>
    <w:rsid w:val="17991F6C"/>
    <w:rsid w:val="17A50911"/>
    <w:rsid w:val="18316649"/>
    <w:rsid w:val="1890336F"/>
    <w:rsid w:val="18C32807"/>
    <w:rsid w:val="197C38F4"/>
    <w:rsid w:val="199A7764"/>
    <w:rsid w:val="19E477BD"/>
    <w:rsid w:val="1A5F17BA"/>
    <w:rsid w:val="1AB53523"/>
    <w:rsid w:val="1AC00AF1"/>
    <w:rsid w:val="1B6521E6"/>
    <w:rsid w:val="1CED6B25"/>
    <w:rsid w:val="1CFC7225"/>
    <w:rsid w:val="1D331864"/>
    <w:rsid w:val="1D8B7ED2"/>
    <w:rsid w:val="1DD023A9"/>
    <w:rsid w:val="1DE91501"/>
    <w:rsid w:val="1E4C7D38"/>
    <w:rsid w:val="1E657AB2"/>
    <w:rsid w:val="1E88173F"/>
    <w:rsid w:val="1FBD647C"/>
    <w:rsid w:val="20370574"/>
    <w:rsid w:val="207B66B3"/>
    <w:rsid w:val="20BD60EA"/>
    <w:rsid w:val="20F6500E"/>
    <w:rsid w:val="22AE6BBC"/>
    <w:rsid w:val="22C96D6A"/>
    <w:rsid w:val="232D5214"/>
    <w:rsid w:val="2354668A"/>
    <w:rsid w:val="23623B5A"/>
    <w:rsid w:val="23876FCD"/>
    <w:rsid w:val="25615A93"/>
    <w:rsid w:val="25BF5294"/>
    <w:rsid w:val="262319BC"/>
    <w:rsid w:val="262E678A"/>
    <w:rsid w:val="267500A1"/>
    <w:rsid w:val="26B446CD"/>
    <w:rsid w:val="26DB2065"/>
    <w:rsid w:val="27513699"/>
    <w:rsid w:val="27862302"/>
    <w:rsid w:val="27B82FD7"/>
    <w:rsid w:val="280B21CD"/>
    <w:rsid w:val="28292E99"/>
    <w:rsid w:val="28560F12"/>
    <w:rsid w:val="28BE1833"/>
    <w:rsid w:val="29001E4B"/>
    <w:rsid w:val="29125543"/>
    <w:rsid w:val="29171B54"/>
    <w:rsid w:val="29361D11"/>
    <w:rsid w:val="293715E5"/>
    <w:rsid w:val="29C84966"/>
    <w:rsid w:val="2A331DAD"/>
    <w:rsid w:val="2A9E034F"/>
    <w:rsid w:val="2AC218F2"/>
    <w:rsid w:val="2AF07C9E"/>
    <w:rsid w:val="2B1E1887"/>
    <w:rsid w:val="2B944ACD"/>
    <w:rsid w:val="2BC5737C"/>
    <w:rsid w:val="2E157916"/>
    <w:rsid w:val="2E393998"/>
    <w:rsid w:val="2E4072A5"/>
    <w:rsid w:val="2F7B5016"/>
    <w:rsid w:val="2F835584"/>
    <w:rsid w:val="2FFD5337"/>
    <w:rsid w:val="30007685"/>
    <w:rsid w:val="30C75897"/>
    <w:rsid w:val="31177A3B"/>
    <w:rsid w:val="317015F4"/>
    <w:rsid w:val="31A13915"/>
    <w:rsid w:val="31AE739B"/>
    <w:rsid w:val="32393423"/>
    <w:rsid w:val="324F629D"/>
    <w:rsid w:val="32A76652"/>
    <w:rsid w:val="33380434"/>
    <w:rsid w:val="337C0B48"/>
    <w:rsid w:val="33954170"/>
    <w:rsid w:val="33B01385"/>
    <w:rsid w:val="33E77B1C"/>
    <w:rsid w:val="341A78AC"/>
    <w:rsid w:val="343926B5"/>
    <w:rsid w:val="364B6127"/>
    <w:rsid w:val="3671332B"/>
    <w:rsid w:val="367F4CF7"/>
    <w:rsid w:val="36BD504E"/>
    <w:rsid w:val="36F54F2A"/>
    <w:rsid w:val="37AE6143"/>
    <w:rsid w:val="383B0BFC"/>
    <w:rsid w:val="38C500B3"/>
    <w:rsid w:val="39245D1B"/>
    <w:rsid w:val="39317DFF"/>
    <w:rsid w:val="39AB434B"/>
    <w:rsid w:val="3AE03859"/>
    <w:rsid w:val="3C2009F0"/>
    <w:rsid w:val="3C2E6878"/>
    <w:rsid w:val="3CB443D2"/>
    <w:rsid w:val="3CFB4C5D"/>
    <w:rsid w:val="3D126E87"/>
    <w:rsid w:val="3DC56D68"/>
    <w:rsid w:val="3E502AD5"/>
    <w:rsid w:val="3E895FE7"/>
    <w:rsid w:val="3ED03C16"/>
    <w:rsid w:val="3F7647BE"/>
    <w:rsid w:val="3F942E96"/>
    <w:rsid w:val="3FC90D91"/>
    <w:rsid w:val="40022408"/>
    <w:rsid w:val="400973E0"/>
    <w:rsid w:val="40185875"/>
    <w:rsid w:val="40D00628"/>
    <w:rsid w:val="40EA10BB"/>
    <w:rsid w:val="41330B8F"/>
    <w:rsid w:val="418B7884"/>
    <w:rsid w:val="41E910AE"/>
    <w:rsid w:val="4206121C"/>
    <w:rsid w:val="42FB507E"/>
    <w:rsid w:val="43064193"/>
    <w:rsid w:val="43DB6C78"/>
    <w:rsid w:val="445D7CFA"/>
    <w:rsid w:val="44C55FAF"/>
    <w:rsid w:val="44CA7AE2"/>
    <w:rsid w:val="44F3065E"/>
    <w:rsid w:val="456F23DB"/>
    <w:rsid w:val="45731F21"/>
    <w:rsid w:val="4597548E"/>
    <w:rsid w:val="45CF4C28"/>
    <w:rsid w:val="475573AE"/>
    <w:rsid w:val="47AB3636"/>
    <w:rsid w:val="47EE10EA"/>
    <w:rsid w:val="47F45954"/>
    <w:rsid w:val="49445EED"/>
    <w:rsid w:val="494C2EFE"/>
    <w:rsid w:val="49771967"/>
    <w:rsid w:val="49C5081B"/>
    <w:rsid w:val="4BD71EB9"/>
    <w:rsid w:val="4C0E2F1B"/>
    <w:rsid w:val="4C3A1DFD"/>
    <w:rsid w:val="4DC833C7"/>
    <w:rsid w:val="4E9826B7"/>
    <w:rsid w:val="4EC72CD6"/>
    <w:rsid w:val="4F146003"/>
    <w:rsid w:val="4FB6700D"/>
    <w:rsid w:val="50702018"/>
    <w:rsid w:val="50A00524"/>
    <w:rsid w:val="50DE5959"/>
    <w:rsid w:val="50EC48E0"/>
    <w:rsid w:val="51085492"/>
    <w:rsid w:val="5158204E"/>
    <w:rsid w:val="52134933"/>
    <w:rsid w:val="538A16BC"/>
    <w:rsid w:val="54E35FFA"/>
    <w:rsid w:val="550C692B"/>
    <w:rsid w:val="55D65293"/>
    <w:rsid w:val="56277D9C"/>
    <w:rsid w:val="56401580"/>
    <w:rsid w:val="56AD4B11"/>
    <w:rsid w:val="56C703BD"/>
    <w:rsid w:val="5718372F"/>
    <w:rsid w:val="57807D09"/>
    <w:rsid w:val="57BE5F52"/>
    <w:rsid w:val="57D52571"/>
    <w:rsid w:val="57F86260"/>
    <w:rsid w:val="585B059D"/>
    <w:rsid w:val="58A106A5"/>
    <w:rsid w:val="5A366373"/>
    <w:rsid w:val="5A380B96"/>
    <w:rsid w:val="5A8855DA"/>
    <w:rsid w:val="5B4D241F"/>
    <w:rsid w:val="5B9B762E"/>
    <w:rsid w:val="5BF27C69"/>
    <w:rsid w:val="5C3507AE"/>
    <w:rsid w:val="5E8C1E05"/>
    <w:rsid w:val="5F182D44"/>
    <w:rsid w:val="61170069"/>
    <w:rsid w:val="617A7CE6"/>
    <w:rsid w:val="61AD0CB9"/>
    <w:rsid w:val="62347F47"/>
    <w:rsid w:val="626A7694"/>
    <w:rsid w:val="627C4C03"/>
    <w:rsid w:val="62F31AFE"/>
    <w:rsid w:val="63293771"/>
    <w:rsid w:val="634646AD"/>
    <w:rsid w:val="634C1682"/>
    <w:rsid w:val="635B76A3"/>
    <w:rsid w:val="63C96D02"/>
    <w:rsid w:val="63E409DD"/>
    <w:rsid w:val="63E678B4"/>
    <w:rsid w:val="63ED100B"/>
    <w:rsid w:val="64320204"/>
    <w:rsid w:val="648B2741"/>
    <w:rsid w:val="648F5856"/>
    <w:rsid w:val="64CD45D0"/>
    <w:rsid w:val="64EA5B56"/>
    <w:rsid w:val="65085608"/>
    <w:rsid w:val="657366ED"/>
    <w:rsid w:val="65907AD8"/>
    <w:rsid w:val="671E1113"/>
    <w:rsid w:val="672E75A8"/>
    <w:rsid w:val="6784541A"/>
    <w:rsid w:val="67902011"/>
    <w:rsid w:val="67B65075"/>
    <w:rsid w:val="67BB4BB4"/>
    <w:rsid w:val="67ED07E2"/>
    <w:rsid w:val="684562C4"/>
    <w:rsid w:val="68A13DAA"/>
    <w:rsid w:val="68DE2467"/>
    <w:rsid w:val="69FF522C"/>
    <w:rsid w:val="6A07121D"/>
    <w:rsid w:val="6A372C18"/>
    <w:rsid w:val="6AA819B9"/>
    <w:rsid w:val="6B7E03D2"/>
    <w:rsid w:val="6B7E5F10"/>
    <w:rsid w:val="6C163F72"/>
    <w:rsid w:val="6CFA1CDB"/>
    <w:rsid w:val="6D363C7B"/>
    <w:rsid w:val="6EEE32D1"/>
    <w:rsid w:val="6FC54073"/>
    <w:rsid w:val="7064403B"/>
    <w:rsid w:val="71445C1A"/>
    <w:rsid w:val="71527F65"/>
    <w:rsid w:val="716A5681"/>
    <w:rsid w:val="71C51DA1"/>
    <w:rsid w:val="71DE7825"/>
    <w:rsid w:val="71DF40F7"/>
    <w:rsid w:val="728118F5"/>
    <w:rsid w:val="73025EB3"/>
    <w:rsid w:val="73577AD8"/>
    <w:rsid w:val="73E0232D"/>
    <w:rsid w:val="748E002A"/>
    <w:rsid w:val="74BB2697"/>
    <w:rsid w:val="74BD280E"/>
    <w:rsid w:val="75094995"/>
    <w:rsid w:val="752B5127"/>
    <w:rsid w:val="75514864"/>
    <w:rsid w:val="75F776FF"/>
    <w:rsid w:val="76004A17"/>
    <w:rsid w:val="76737809"/>
    <w:rsid w:val="77E06D61"/>
    <w:rsid w:val="78121B46"/>
    <w:rsid w:val="78643CC5"/>
    <w:rsid w:val="788B1CC4"/>
    <w:rsid w:val="790A14F7"/>
    <w:rsid w:val="796D330F"/>
    <w:rsid w:val="79A951B4"/>
    <w:rsid w:val="7B147F0E"/>
    <w:rsid w:val="7B2014A6"/>
    <w:rsid w:val="7B292109"/>
    <w:rsid w:val="7BCC0E79"/>
    <w:rsid w:val="7C6620E0"/>
    <w:rsid w:val="7C733558"/>
    <w:rsid w:val="7C7868EA"/>
    <w:rsid w:val="7D586B9B"/>
    <w:rsid w:val="7D6F0804"/>
    <w:rsid w:val="7E370AD3"/>
    <w:rsid w:val="7E665422"/>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4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rPr>
      <w:rFonts w:ascii="Calibri" w:hAnsi="Calibri"/>
      <w:szCs w:val="22"/>
    </w:rPr>
  </w:style>
  <w:style w:type="paragraph" w:styleId="7">
    <w:name w:val="annotation text"/>
    <w:basedOn w:val="1"/>
    <w:link w:val="37"/>
    <w:autoRedefine/>
    <w:qFormat/>
    <w:uiPriority w:val="99"/>
    <w:pPr>
      <w:jc w:val="left"/>
    </w:pPr>
  </w:style>
  <w:style w:type="paragraph" w:styleId="8">
    <w:name w:val="Body Text"/>
    <w:basedOn w:val="1"/>
    <w:autoRedefine/>
    <w:qFormat/>
    <w:uiPriority w:val="1"/>
    <w:pPr>
      <w:widowControl w:val="0"/>
      <w:jc w:val="both"/>
    </w:pPr>
    <w:rPr>
      <w:rFonts w:ascii="楷体" w:hAnsi="楷体" w:eastAsia="楷体" w:cs="楷体"/>
      <w:kern w:val="2"/>
      <w:sz w:val="24"/>
      <w:szCs w:val="24"/>
      <w:lang w:val="zh-CN" w:eastAsia="zh-CN" w:bidi="zh-CN"/>
    </w:rPr>
  </w:style>
  <w:style w:type="paragraph" w:styleId="9">
    <w:name w:val="Body Text Indent"/>
    <w:basedOn w:val="1"/>
    <w:next w:val="10"/>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10">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1">
    <w:name w:val="List 2"/>
    <w:basedOn w:val="1"/>
    <w:next w:val="12"/>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2">
    <w:name w:val="Plain Text"/>
    <w:basedOn w:val="1"/>
    <w:autoRedefine/>
    <w:qFormat/>
    <w:uiPriority w:val="0"/>
    <w:rPr>
      <w:rFonts w:ascii="宋体" w:hAnsi="Calibri" w:eastAsia="宋体" w:cs="Times New Roman"/>
      <w:szCs w:val="20"/>
    </w:rPr>
  </w:style>
  <w:style w:type="paragraph" w:styleId="13">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Body Text Indent 2"/>
    <w:basedOn w:val="1"/>
    <w:link w:val="40"/>
    <w:autoRedefine/>
    <w:qFormat/>
    <w:uiPriority w:val="99"/>
    <w:pPr>
      <w:spacing w:after="120" w:line="480" w:lineRule="auto"/>
      <w:ind w:left="420" w:leftChars="200"/>
    </w:pPr>
  </w:style>
  <w:style w:type="paragraph" w:styleId="15">
    <w:name w:val="Balloon Text"/>
    <w:basedOn w:val="1"/>
    <w:link w:val="39"/>
    <w:autoRedefine/>
    <w:qFormat/>
    <w:uiPriority w:val="0"/>
    <w:rPr>
      <w:sz w:val="18"/>
      <w:szCs w:val="18"/>
    </w:rPr>
  </w:style>
  <w:style w:type="paragraph" w:styleId="16">
    <w:name w:val="footer"/>
    <w:autoRedefine/>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annotation subject"/>
    <w:basedOn w:val="7"/>
    <w:next w:val="7"/>
    <w:link w:val="38"/>
    <w:autoRedefine/>
    <w:qFormat/>
    <w:uiPriority w:val="0"/>
    <w:rPr>
      <w:b/>
      <w:bCs/>
    </w:rPr>
  </w:style>
  <w:style w:type="paragraph" w:styleId="21">
    <w:name w:val="Body Text First Indent"/>
    <w:basedOn w:val="8"/>
    <w:next w:val="18"/>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2">
    <w:name w:val="Body Text First Indent 2"/>
    <w:basedOn w:val="9"/>
    <w:next w:val="21"/>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Hyperlink"/>
    <w:autoRedefine/>
    <w:qFormat/>
    <w:uiPriority w:val="99"/>
    <w:rPr>
      <w:color w:val="136EC2"/>
      <w:u w:val="single"/>
    </w:rPr>
  </w:style>
  <w:style w:type="character" w:styleId="28">
    <w:name w:val="annotation reference"/>
    <w:basedOn w:val="25"/>
    <w:autoRedefine/>
    <w:qFormat/>
    <w:uiPriority w:val="0"/>
    <w:rPr>
      <w:sz w:val="21"/>
      <w:szCs w:val="21"/>
    </w:rPr>
  </w:style>
  <w:style w:type="paragraph" w:customStyle="1" w:styleId="2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0">
    <w:name w:val="正文格式11"/>
    <w:basedOn w:val="1"/>
    <w:next w:val="1"/>
    <w:autoRedefine/>
    <w:qFormat/>
    <w:uiPriority w:val="0"/>
    <w:pPr>
      <w:adjustRightInd w:val="0"/>
      <w:snapToGrid w:val="0"/>
      <w:textAlignment w:val="baseline"/>
    </w:pPr>
    <w:rPr>
      <w:rFonts w:ascii="新宋体" w:hAnsi="新宋体" w:cs="新宋体"/>
    </w:rPr>
  </w:style>
  <w:style w:type="paragraph" w:customStyle="1" w:styleId="31">
    <w:name w:val="表格文字2"/>
    <w:basedOn w:val="32"/>
    <w:autoRedefine/>
    <w:qFormat/>
    <w:uiPriority w:val="99"/>
    <w:pPr>
      <w:spacing w:before="25" w:after="25"/>
      <w:jc w:val="left"/>
    </w:pPr>
    <w:rPr>
      <w:bCs/>
      <w:spacing w:val="10"/>
      <w:kern w:val="0"/>
    </w:rPr>
  </w:style>
  <w:style w:type="paragraph" w:customStyle="1" w:styleId="32">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5">
    <w:name w:val="WPSOffice手动目录 1"/>
    <w:autoRedefine/>
    <w:qFormat/>
    <w:uiPriority w:val="0"/>
    <w:rPr>
      <w:rFonts w:ascii="Times New Roman" w:hAnsi="Times New Roman" w:eastAsia="宋体" w:cs="Times New Roman"/>
      <w:lang w:val="en-US" w:eastAsia="zh-CN" w:bidi="ar-SA"/>
    </w:rPr>
  </w:style>
  <w:style w:type="paragraph" w:customStyle="1" w:styleId="36">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7">
    <w:name w:val="批注文字 Char"/>
    <w:basedOn w:val="25"/>
    <w:link w:val="7"/>
    <w:autoRedefine/>
    <w:qFormat/>
    <w:uiPriority w:val="99"/>
    <w:rPr>
      <w:rFonts w:asciiTheme="minorHAnsi" w:hAnsiTheme="minorHAnsi" w:eastAsiaTheme="minorEastAsia" w:cstheme="minorBidi"/>
      <w:kern w:val="2"/>
      <w:sz w:val="21"/>
      <w:szCs w:val="24"/>
    </w:rPr>
  </w:style>
  <w:style w:type="character" w:customStyle="1" w:styleId="38">
    <w:name w:val="批注主题 Char"/>
    <w:basedOn w:val="37"/>
    <w:link w:val="20"/>
    <w:autoRedefine/>
    <w:qFormat/>
    <w:uiPriority w:val="0"/>
    <w:rPr>
      <w:rFonts w:asciiTheme="minorHAnsi" w:hAnsiTheme="minorHAnsi" w:eastAsiaTheme="minorEastAsia" w:cstheme="minorBidi"/>
      <w:b/>
      <w:bCs/>
      <w:kern w:val="2"/>
      <w:sz w:val="21"/>
      <w:szCs w:val="24"/>
    </w:rPr>
  </w:style>
  <w:style w:type="character" w:customStyle="1" w:styleId="39">
    <w:name w:val="批注框文本 Char"/>
    <w:basedOn w:val="25"/>
    <w:link w:val="15"/>
    <w:autoRedefine/>
    <w:qFormat/>
    <w:uiPriority w:val="0"/>
    <w:rPr>
      <w:rFonts w:asciiTheme="minorHAnsi" w:hAnsiTheme="minorHAnsi" w:eastAsiaTheme="minorEastAsia" w:cstheme="minorBidi"/>
      <w:kern w:val="2"/>
      <w:sz w:val="18"/>
      <w:szCs w:val="18"/>
    </w:rPr>
  </w:style>
  <w:style w:type="character" w:customStyle="1" w:styleId="40">
    <w:name w:val="正文文本缩进 2 Char"/>
    <w:basedOn w:val="25"/>
    <w:link w:val="14"/>
    <w:autoRedefine/>
    <w:qFormat/>
    <w:uiPriority w:val="99"/>
    <w:rPr>
      <w:rFonts w:asciiTheme="minorHAnsi" w:hAnsiTheme="minorHAnsi" w:eastAsiaTheme="minorEastAsia" w:cstheme="minorBidi"/>
      <w:kern w:val="2"/>
      <w:sz w:val="21"/>
      <w:szCs w:val="24"/>
    </w:rPr>
  </w:style>
  <w:style w:type="character" w:customStyle="1" w:styleId="41">
    <w:name w:val="标题 3 Char"/>
    <w:basedOn w:val="25"/>
    <w:link w:val="4"/>
    <w:autoRedefine/>
    <w:qFormat/>
    <w:uiPriority w:val="0"/>
    <w:rPr>
      <w:rFonts w:ascii="宋体"/>
      <w:b/>
      <w:kern w:val="0"/>
      <w:sz w:val="24"/>
      <w:szCs w:val="20"/>
      <w:u w:val="single"/>
    </w:rPr>
  </w:style>
  <w:style w:type="paragraph" w:styleId="42">
    <w:name w:val="List Paragraph"/>
    <w:basedOn w:val="1"/>
    <w:autoRedefine/>
    <w:qFormat/>
    <w:uiPriority w:val="34"/>
    <w:pPr>
      <w:ind w:firstLine="420" w:firstLineChars="200"/>
    </w:pPr>
  </w:style>
  <w:style w:type="character" w:customStyle="1" w:styleId="43">
    <w:name w:val="标题 1 Char1"/>
    <w:autoRedefine/>
    <w:qFormat/>
    <w:uiPriority w:val="0"/>
    <w:rPr>
      <w:rFonts w:ascii="Times New Roman" w:hAnsi="Times New Roman" w:eastAsia="宋体" w:cs="Times New Roman"/>
      <w:b/>
      <w:bCs/>
      <w:kern w:val="44"/>
      <w:sz w:val="32"/>
      <w:szCs w:val="44"/>
    </w:rPr>
  </w:style>
  <w:style w:type="paragraph" w:customStyle="1" w:styleId="44">
    <w:name w:val="Table Text"/>
    <w:basedOn w:val="1"/>
    <w:autoRedefine/>
    <w:semiHidden/>
    <w:qFormat/>
    <w:uiPriority w:val="0"/>
    <w:rPr>
      <w:rFonts w:ascii="微软雅黑" w:hAnsi="微软雅黑" w:eastAsia="微软雅黑" w:cs="微软雅黑"/>
      <w:sz w:val="24"/>
      <w:szCs w:val="24"/>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 w:type="character" w:customStyle="1" w:styleId="47">
    <w:name w:val="font31"/>
    <w:basedOn w:val="25"/>
    <w:autoRedefine/>
    <w:qFormat/>
    <w:uiPriority w:val="0"/>
    <w:rPr>
      <w:rFonts w:hint="eastAsia" w:ascii="仿宋" w:hAnsi="仿宋" w:eastAsia="仿宋" w:cs="仿宋"/>
      <w:color w:val="000000"/>
      <w:sz w:val="24"/>
      <w:szCs w:val="24"/>
      <w:u w:val="none"/>
    </w:rPr>
  </w:style>
  <w:style w:type="character" w:customStyle="1" w:styleId="48">
    <w:name w:val="font41"/>
    <w:basedOn w:val="25"/>
    <w:autoRedefine/>
    <w:qFormat/>
    <w:uiPriority w:val="0"/>
    <w:rPr>
      <w:rFonts w:hint="eastAsia" w:ascii="仿宋" w:hAnsi="仿宋" w:eastAsia="仿宋" w:cs="仿宋"/>
      <w:color w:val="000000"/>
      <w:sz w:val="20"/>
      <w:szCs w:val="20"/>
      <w:u w:val="none"/>
    </w:rPr>
  </w:style>
  <w:style w:type="paragraph" w:customStyle="1" w:styleId="49">
    <w:name w:val="列出段落1"/>
    <w:basedOn w:val="1"/>
    <w:autoRedefine/>
    <w:qFormat/>
    <w:uiPriority w:val="34"/>
    <w:pPr>
      <w:ind w:firstLine="420" w:firstLineChars="200"/>
    </w:pPr>
  </w:style>
  <w:style w:type="paragraph" w:customStyle="1" w:styleId="50">
    <w:name w:val="列表段落1"/>
    <w:basedOn w:val="1"/>
    <w:autoRedefine/>
    <w:qFormat/>
    <w:uiPriority w:val="34"/>
    <w:pPr>
      <w:ind w:firstLine="420" w:firstLineChars="200"/>
    </w:pPr>
  </w:style>
  <w:style w:type="paragraph" w:customStyle="1" w:styleId="51">
    <w:name w:val="Body text|1"/>
    <w:basedOn w:val="1"/>
    <w:autoRedefine/>
    <w:qFormat/>
    <w:uiPriority w:val="0"/>
    <w:pPr>
      <w:spacing w:line="396" w:lineRule="auto"/>
      <w:ind w:firstLine="400"/>
    </w:pPr>
    <w:rPr>
      <w:rFonts w:ascii="宋体" w:hAnsi="宋体" w:eastAsia="宋体" w:cs="宋体"/>
      <w:sz w:val="22"/>
      <w:szCs w:val="22"/>
      <w:lang w:val="zh-TW" w:eastAsia="zh-TW" w:bidi="zh-TW"/>
    </w:rPr>
  </w:style>
  <w:style w:type="character" w:customStyle="1" w:styleId="52">
    <w:name w:val="font11"/>
    <w:basedOn w:val="25"/>
    <w:autoRedefine/>
    <w:qFormat/>
    <w:uiPriority w:val="0"/>
    <w:rPr>
      <w:rFonts w:hint="eastAsia" w:ascii="宋体" w:hAnsi="宋体" w:eastAsia="宋体" w:cs="宋体"/>
      <w:color w:val="000000"/>
      <w:sz w:val="21"/>
      <w:szCs w:val="21"/>
      <w:u w:val="none"/>
    </w:rPr>
  </w:style>
  <w:style w:type="character" w:customStyle="1" w:styleId="53">
    <w:name w:val="NormalCharacter"/>
    <w:qFormat/>
    <w:uiPriority w:val="0"/>
  </w:style>
  <w:style w:type="paragraph" w:customStyle="1" w:styleId="54">
    <w:name w:val="_Style 3"/>
    <w:basedOn w:val="1"/>
    <w:next w:val="1"/>
    <w:qFormat/>
    <w:uiPriority w:val="0"/>
    <w:pPr>
      <w:ind w:firstLine="420"/>
    </w:pPr>
    <w:rPr>
      <w:rFonts w:ascii="Calibri" w:hAnsi="Calibri" w:eastAsia="Calibr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2C4DA-7BC3-46C7-BF58-DED466DFE03F}">
  <ds:schemaRefs/>
</ds:datastoreItem>
</file>

<file path=docProps/app.xml><?xml version="1.0" encoding="utf-8"?>
<Properties xmlns="http://schemas.openxmlformats.org/officeDocument/2006/extended-properties" xmlns:vt="http://schemas.openxmlformats.org/officeDocument/2006/docPropsVTypes">
  <Template>Normal</Template>
  <Pages>83</Pages>
  <Words>38945</Words>
  <Characters>40291</Characters>
  <Lines>510</Lines>
  <Paragraphs>143</Paragraphs>
  <TotalTime>18</TotalTime>
  <ScaleCrop>false</ScaleCrop>
  <LinksUpToDate>false</LinksUpToDate>
  <CharactersWithSpaces>42959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agz</cp:lastModifiedBy>
  <dcterms:modified xsi:type="dcterms:W3CDTF">2024-09-20T09:09:38Z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650784BD9075403A92D813559A6A241F</vt:lpwstr>
  </property>
</Properties>
</file>