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8DC887">
      <w:pPr>
        <w:spacing w:line="240" w:lineRule="atLeast"/>
        <w:jc w:val="both"/>
        <w:outlineLvl w:val="9"/>
        <w:rPr>
          <w:rFonts w:hint="eastAsia" w:ascii="宋体" w:hAnsi="宋体" w:eastAsia="宋体" w:cs="宋体"/>
          <w:b/>
          <w:color w:val="auto"/>
          <w:sz w:val="44"/>
          <w:szCs w:val="44"/>
          <w:highlight w:val="none"/>
        </w:rPr>
      </w:pPr>
    </w:p>
    <w:p w14:paraId="4E94C16B">
      <w:pPr>
        <w:spacing w:line="240" w:lineRule="atLeast"/>
        <w:jc w:val="center"/>
        <w:rPr>
          <w:rFonts w:hint="eastAsia" w:hAnsi="宋体" w:cs="宋体"/>
          <w:b/>
          <w:bCs/>
          <w:color w:val="auto"/>
          <w:sz w:val="52"/>
          <w:szCs w:val="40"/>
          <w:highlight w:val="none"/>
          <w:lang w:eastAsia="zh-CN"/>
        </w:rPr>
      </w:pPr>
      <w:r>
        <w:rPr>
          <w:rFonts w:hint="eastAsia" w:hAnsi="宋体" w:cs="宋体"/>
          <w:b/>
          <w:bCs/>
          <w:color w:val="auto"/>
          <w:sz w:val="52"/>
          <w:szCs w:val="40"/>
          <w:highlight w:val="none"/>
          <w:lang w:eastAsia="zh-CN"/>
        </w:rPr>
        <w:t>伽师县英买里镇2025年入户路</w:t>
      </w:r>
    </w:p>
    <w:p w14:paraId="75BE1CAA">
      <w:pPr>
        <w:spacing w:line="240" w:lineRule="atLeast"/>
        <w:jc w:val="center"/>
        <w:rPr>
          <w:rFonts w:hint="eastAsia" w:ascii="宋体" w:hAnsi="宋体" w:eastAsia="宋体" w:cs="宋体"/>
          <w:b/>
          <w:color w:val="auto"/>
          <w:sz w:val="44"/>
          <w:szCs w:val="44"/>
          <w:highlight w:val="none"/>
        </w:rPr>
      </w:pPr>
      <w:r>
        <w:rPr>
          <w:rFonts w:hint="eastAsia" w:hAnsi="宋体" w:cs="宋体"/>
          <w:b/>
          <w:bCs/>
          <w:color w:val="auto"/>
          <w:sz w:val="52"/>
          <w:szCs w:val="40"/>
          <w:highlight w:val="none"/>
          <w:lang w:eastAsia="zh-CN"/>
        </w:rPr>
        <w:t>建设项目</w:t>
      </w:r>
    </w:p>
    <w:p w14:paraId="52A88560">
      <w:pPr>
        <w:spacing w:line="240" w:lineRule="atLeast"/>
        <w:jc w:val="center"/>
        <w:rPr>
          <w:rFonts w:hint="eastAsia" w:ascii="宋体" w:hAnsi="宋体" w:eastAsia="宋体" w:cs="宋体"/>
          <w:b/>
          <w:color w:val="auto"/>
          <w:sz w:val="44"/>
          <w:szCs w:val="44"/>
          <w:highlight w:val="none"/>
          <w:lang w:eastAsia="zh-CN"/>
        </w:rPr>
      </w:pPr>
    </w:p>
    <w:p w14:paraId="59F1DB29">
      <w:pPr>
        <w:spacing w:line="240" w:lineRule="atLeast"/>
        <w:jc w:val="center"/>
        <w:rPr>
          <w:rFonts w:hint="eastAsia" w:ascii="宋体" w:hAnsi="宋体" w:eastAsia="宋体" w:cs="宋体"/>
          <w:b/>
          <w:color w:val="auto"/>
          <w:sz w:val="44"/>
          <w:szCs w:val="44"/>
          <w:highlight w:val="none"/>
        </w:rPr>
      </w:pPr>
      <w:r>
        <w:rPr>
          <w:rFonts w:hint="eastAsia" w:ascii="宋体" w:hAnsi="宋体" w:eastAsia="宋体" w:cs="宋体"/>
          <w:b/>
          <w:color w:val="auto"/>
          <w:sz w:val="52"/>
          <w:szCs w:val="52"/>
          <w:highlight w:val="none"/>
          <w:lang w:eastAsia="zh-CN"/>
        </w:rPr>
        <w:t>磋</w:t>
      </w:r>
      <w:r>
        <w:rPr>
          <w:rFonts w:hint="eastAsia" w:ascii="宋体" w:hAnsi="宋体" w:eastAsia="宋体" w:cs="宋体"/>
          <w:b/>
          <w:color w:val="auto"/>
          <w:sz w:val="52"/>
          <w:szCs w:val="52"/>
          <w:highlight w:val="none"/>
          <w:lang w:val="en-US" w:eastAsia="zh-CN"/>
        </w:rPr>
        <w:t xml:space="preserve"> </w:t>
      </w:r>
      <w:r>
        <w:rPr>
          <w:rFonts w:hint="eastAsia" w:ascii="宋体" w:hAnsi="宋体" w:eastAsia="宋体" w:cs="宋体"/>
          <w:b/>
          <w:color w:val="auto"/>
          <w:sz w:val="52"/>
          <w:szCs w:val="52"/>
          <w:highlight w:val="none"/>
          <w:lang w:eastAsia="zh-CN"/>
        </w:rPr>
        <w:t>商</w:t>
      </w:r>
      <w:r>
        <w:rPr>
          <w:rFonts w:hint="eastAsia" w:ascii="宋体" w:hAnsi="宋体" w:eastAsia="宋体" w:cs="宋体"/>
          <w:b/>
          <w:color w:val="auto"/>
          <w:sz w:val="52"/>
          <w:szCs w:val="52"/>
          <w:highlight w:val="none"/>
        </w:rPr>
        <w:t xml:space="preserve"> 文 件</w:t>
      </w:r>
    </w:p>
    <w:p w14:paraId="4795C400">
      <w:pPr>
        <w:pStyle w:val="6"/>
        <w:rPr>
          <w:rFonts w:hint="eastAsia" w:ascii="宋体" w:hAnsi="宋体" w:eastAsia="宋体" w:cs="宋体"/>
          <w:b/>
          <w:color w:val="auto"/>
          <w:sz w:val="44"/>
          <w:szCs w:val="44"/>
          <w:highlight w:val="none"/>
        </w:rPr>
      </w:pPr>
    </w:p>
    <w:p w14:paraId="15350F09">
      <w:pPr>
        <w:rPr>
          <w:rFonts w:hint="eastAsia" w:ascii="宋体" w:hAnsi="宋体" w:eastAsia="宋体" w:cs="宋体"/>
          <w:color w:val="auto"/>
          <w:highlight w:val="none"/>
        </w:rPr>
      </w:pPr>
    </w:p>
    <w:p w14:paraId="0F7479BA">
      <w:pPr>
        <w:spacing w:line="240" w:lineRule="atLeast"/>
        <w:ind w:firstLine="1920" w:firstLineChars="600"/>
        <w:jc w:val="both"/>
        <w:rPr>
          <w:rFonts w:hint="default" w:ascii="宋体" w:hAnsi="宋体" w:eastAsia="宋体" w:cs="宋体"/>
          <w:b/>
          <w:color w:val="auto"/>
          <w:sz w:val="32"/>
          <w:highlight w:val="none"/>
          <w:lang w:val="en-US" w:eastAsia="zh-CN"/>
        </w:rPr>
      </w:pPr>
      <w:r>
        <w:rPr>
          <w:rFonts w:hint="eastAsia" w:ascii="宋体" w:hAnsi="宋体" w:eastAsia="宋体" w:cs="宋体"/>
          <w:b/>
          <w:color w:val="auto"/>
          <w:sz w:val="32"/>
          <w:highlight w:val="none"/>
        </w:rPr>
        <w:t>项目编号：</w:t>
      </w:r>
      <w:r>
        <w:rPr>
          <w:rFonts w:hint="eastAsia" w:ascii="宋体" w:hAnsi="宋体" w:cs="宋体"/>
          <w:b/>
          <w:color w:val="auto"/>
          <w:sz w:val="32"/>
          <w:highlight w:val="none"/>
          <w:lang w:eastAsia="zh-CN"/>
        </w:rPr>
        <w:t>XJHM-(CG)ZB-202</w:t>
      </w:r>
      <w:r>
        <w:rPr>
          <w:rFonts w:hint="eastAsia" w:ascii="宋体" w:hAnsi="宋体" w:cs="宋体"/>
          <w:b/>
          <w:color w:val="auto"/>
          <w:sz w:val="32"/>
          <w:highlight w:val="none"/>
          <w:lang w:val="en-US" w:eastAsia="zh-CN"/>
        </w:rPr>
        <w:t>5</w:t>
      </w:r>
      <w:r>
        <w:rPr>
          <w:rFonts w:hint="eastAsia" w:ascii="宋体" w:hAnsi="宋体" w:cs="宋体"/>
          <w:b/>
          <w:color w:val="auto"/>
          <w:sz w:val="32"/>
          <w:highlight w:val="none"/>
          <w:lang w:eastAsia="zh-CN"/>
        </w:rPr>
        <w:t>-0</w:t>
      </w:r>
      <w:r>
        <w:rPr>
          <w:rFonts w:hint="eastAsia" w:ascii="宋体" w:hAnsi="宋体" w:cs="宋体"/>
          <w:b/>
          <w:color w:val="auto"/>
          <w:sz w:val="32"/>
          <w:highlight w:val="none"/>
          <w:lang w:val="en-US" w:eastAsia="zh-CN"/>
        </w:rPr>
        <w:t>03</w:t>
      </w:r>
    </w:p>
    <w:p w14:paraId="37048092">
      <w:pPr>
        <w:spacing w:line="240" w:lineRule="atLeast"/>
        <w:jc w:val="center"/>
        <w:rPr>
          <w:rFonts w:hint="eastAsia" w:ascii="宋体" w:hAnsi="宋体" w:eastAsia="宋体" w:cs="宋体"/>
          <w:b/>
          <w:color w:val="auto"/>
          <w:sz w:val="32"/>
          <w:highlight w:val="none"/>
        </w:rPr>
      </w:pPr>
    </w:p>
    <w:p w14:paraId="35319472">
      <w:pPr>
        <w:spacing w:line="240" w:lineRule="atLeas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 xml:space="preserve">  </w:t>
      </w:r>
    </w:p>
    <w:p w14:paraId="5B929CF1">
      <w:pPr>
        <w:spacing w:line="240" w:lineRule="atLeast"/>
        <w:ind w:firstLine="1120" w:firstLineChars="4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采</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lang w:eastAsia="zh-CN"/>
        </w:rPr>
        <w:t>购</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lang w:eastAsia="zh-CN"/>
        </w:rPr>
        <w:t>人</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lang w:eastAsia="zh-CN"/>
        </w:rPr>
        <w:t>伽师县伽师县英买里镇</w:t>
      </w:r>
      <w:r>
        <w:rPr>
          <w:rFonts w:hint="eastAsia" w:ascii="宋体" w:hAnsi="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rPr>
        <w:t xml:space="preserve"> </w:t>
      </w:r>
    </w:p>
    <w:p w14:paraId="3202F290">
      <w:pPr>
        <w:ind w:firstLine="1120" w:firstLineChars="400"/>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 xml:space="preserve">联 系 人： </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lang w:val="en-US" w:eastAsia="zh-CN"/>
        </w:rPr>
        <w:t xml:space="preserve">      陆子超         </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rPr>
        <w:t xml:space="preserve">    </w:t>
      </w:r>
    </w:p>
    <w:p w14:paraId="56A1DA9B">
      <w:pPr>
        <w:spacing w:line="360" w:lineRule="auto"/>
        <w:ind w:firstLine="1120" w:firstLineChars="400"/>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 xml:space="preserve">联系电话： </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lang w:val="en-US" w:eastAsia="zh-CN"/>
        </w:rPr>
        <w:t xml:space="preserve">     13279700016</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u w:val="single"/>
          <w:lang w:val="en-US" w:eastAsia="zh-CN"/>
        </w:rPr>
        <w:t xml:space="preserve"> </w:t>
      </w:r>
    </w:p>
    <w:p w14:paraId="75B42592">
      <w:pPr>
        <w:rPr>
          <w:rFonts w:hint="eastAsia" w:ascii="宋体" w:hAnsi="宋体" w:eastAsia="宋体" w:cs="宋体"/>
          <w:color w:val="auto"/>
          <w:highlight w:val="none"/>
        </w:rPr>
      </w:pPr>
    </w:p>
    <w:p w14:paraId="755A55D4">
      <w:pPr>
        <w:rPr>
          <w:rFonts w:hint="eastAsia" w:ascii="宋体" w:hAnsi="宋体" w:eastAsia="宋体" w:cs="宋体"/>
          <w:color w:val="auto"/>
          <w:highlight w:val="none"/>
        </w:rPr>
      </w:pPr>
    </w:p>
    <w:p w14:paraId="05B1A78D">
      <w:pPr>
        <w:pStyle w:val="6"/>
        <w:rPr>
          <w:rFonts w:hint="eastAsia" w:ascii="宋体" w:hAnsi="宋体" w:eastAsia="宋体" w:cs="宋体"/>
          <w:color w:val="auto"/>
          <w:sz w:val="28"/>
          <w:szCs w:val="28"/>
          <w:highlight w:val="none"/>
        </w:rPr>
      </w:pPr>
    </w:p>
    <w:p w14:paraId="2A17A25A">
      <w:pPr>
        <w:spacing w:line="240" w:lineRule="atLeast"/>
        <w:ind w:firstLine="1120" w:firstLineChars="4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代理机构： </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lang w:eastAsia="zh-CN"/>
        </w:rPr>
        <w:t>新疆合铭项目管理有限公司</w:t>
      </w:r>
      <w:r>
        <w:rPr>
          <w:rFonts w:hint="eastAsia" w:ascii="宋体" w:hAnsi="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 xml:space="preserve">  </w:t>
      </w:r>
    </w:p>
    <w:p w14:paraId="51763915">
      <w:pPr>
        <w:spacing w:line="240" w:lineRule="atLeast"/>
        <w:ind w:firstLine="1120" w:firstLineChars="4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联</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系</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人： </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何燕平、董瑞  </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 xml:space="preserve">       </w:t>
      </w:r>
    </w:p>
    <w:p w14:paraId="73621625">
      <w:pPr>
        <w:spacing w:line="240" w:lineRule="atLeast"/>
        <w:ind w:firstLine="1120" w:firstLineChars="4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联系电话 ： </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lang w:eastAsia="zh-CN"/>
        </w:rPr>
        <w:t>17799</w:t>
      </w:r>
      <w:r>
        <w:rPr>
          <w:rFonts w:hint="eastAsia" w:ascii="宋体" w:hAnsi="宋体" w:cs="宋体"/>
          <w:b/>
          <w:color w:val="auto"/>
          <w:sz w:val="28"/>
          <w:szCs w:val="28"/>
          <w:highlight w:val="none"/>
          <w:u w:val="single"/>
          <w:lang w:val="en-US" w:eastAsia="zh-CN"/>
        </w:rPr>
        <w:t>7</w:t>
      </w:r>
      <w:r>
        <w:rPr>
          <w:rFonts w:hint="eastAsia" w:ascii="宋体" w:hAnsi="宋体" w:cs="宋体"/>
          <w:b/>
          <w:color w:val="auto"/>
          <w:sz w:val="28"/>
          <w:szCs w:val="28"/>
          <w:highlight w:val="none"/>
          <w:u w:val="single"/>
          <w:lang w:eastAsia="zh-CN"/>
        </w:rPr>
        <w:t>62638</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 xml:space="preserve">   </w:t>
      </w:r>
    </w:p>
    <w:p w14:paraId="0C56DA06">
      <w:pPr>
        <w:pStyle w:val="6"/>
        <w:rPr>
          <w:rFonts w:hint="eastAsia" w:ascii="宋体" w:hAnsi="宋体" w:eastAsia="宋体" w:cs="宋体"/>
          <w:color w:val="auto"/>
          <w:highlight w:val="none"/>
        </w:rPr>
      </w:pPr>
    </w:p>
    <w:p w14:paraId="343F887E">
      <w:pPr>
        <w:rPr>
          <w:rFonts w:hint="eastAsia" w:ascii="宋体" w:hAnsi="宋体" w:eastAsia="宋体" w:cs="宋体"/>
          <w:color w:val="auto"/>
          <w:highlight w:val="none"/>
        </w:rPr>
      </w:pPr>
    </w:p>
    <w:p w14:paraId="0D59CF61">
      <w:pPr>
        <w:pStyle w:val="8"/>
        <w:rPr>
          <w:rFonts w:hint="eastAsia" w:ascii="宋体" w:hAnsi="宋体" w:eastAsia="宋体" w:cs="宋体"/>
          <w:color w:val="auto"/>
          <w:highlight w:val="none"/>
        </w:rPr>
      </w:pPr>
    </w:p>
    <w:p w14:paraId="725F0817">
      <w:pPr>
        <w:spacing w:line="240" w:lineRule="atLeast"/>
        <w:ind w:firstLine="3080" w:firstLineChars="1100"/>
        <w:rPr>
          <w:rFonts w:hint="eastAsia" w:ascii="宋体" w:hAnsi="宋体" w:eastAsia="宋体" w:cs="宋体"/>
          <w:b/>
          <w:color w:val="auto"/>
          <w:sz w:val="28"/>
          <w:szCs w:val="28"/>
          <w:highlight w:val="none"/>
        </w:rPr>
        <w:sectPr>
          <w:headerReference r:id="rId3" w:type="default"/>
          <w:footerReference r:id="rId4" w:type="default"/>
          <w:pgSz w:w="11906" w:h="16838"/>
          <w:pgMar w:top="1440" w:right="1797" w:bottom="1440" w:left="1797" w:header="851" w:footer="992" w:gutter="0"/>
          <w:pgNumType w:fmt="decimal" w:start="1"/>
          <w:cols w:space="720" w:num="1"/>
          <w:docGrid w:type="linesAndChars" w:linePitch="312" w:charSpace="0"/>
        </w:sectPr>
      </w:pPr>
      <w:r>
        <w:rPr>
          <w:rFonts w:hint="eastAsia" w:ascii="宋体" w:hAnsi="宋体" w:eastAsia="宋体" w:cs="宋体"/>
          <w:b/>
          <w:color w:val="auto"/>
          <w:sz w:val="28"/>
          <w:szCs w:val="28"/>
          <w:highlight w:val="none"/>
        </w:rPr>
        <w:t>日期：202</w:t>
      </w:r>
      <w:r>
        <w:rPr>
          <w:rFonts w:hint="eastAsia" w:ascii="宋体" w:hAnsi="宋体" w:cs="宋体"/>
          <w:b/>
          <w:color w:val="auto"/>
          <w:sz w:val="28"/>
          <w:szCs w:val="28"/>
          <w:highlight w:val="none"/>
          <w:lang w:val="en-US" w:eastAsia="zh-CN"/>
        </w:rPr>
        <w:t>5年01</w:t>
      </w:r>
      <w:r>
        <w:rPr>
          <w:rFonts w:hint="eastAsia" w:ascii="宋体" w:hAnsi="宋体" w:eastAsia="宋体" w:cs="宋体"/>
          <w:b/>
          <w:color w:val="auto"/>
          <w:sz w:val="28"/>
          <w:szCs w:val="28"/>
          <w:highlight w:val="none"/>
        </w:rPr>
        <w:t>月</w:t>
      </w:r>
    </w:p>
    <w:p w14:paraId="75841BDB">
      <w:pPr>
        <w:jc w:val="center"/>
        <w:rPr>
          <w:rFonts w:hint="eastAsia" w:ascii="宋体" w:hAnsi="宋体" w:eastAsia="宋体" w:cs="宋体"/>
          <w:b/>
          <w:bCs/>
          <w:color w:val="auto"/>
          <w:sz w:val="40"/>
          <w:szCs w:val="48"/>
          <w:highlight w:val="none"/>
        </w:rPr>
      </w:pPr>
      <w:r>
        <w:rPr>
          <w:rFonts w:hint="eastAsia" w:ascii="宋体" w:hAnsi="宋体" w:eastAsia="宋体" w:cs="宋体"/>
          <w:b/>
          <w:bCs/>
          <w:color w:val="auto"/>
          <w:sz w:val="40"/>
          <w:szCs w:val="48"/>
          <w:highlight w:val="none"/>
        </w:rPr>
        <w:t>目录</w:t>
      </w:r>
    </w:p>
    <w:p w14:paraId="17C727D9">
      <w:pPr>
        <w:pStyle w:val="15"/>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TOC \o "1-2" \h \u </w:instrText>
      </w:r>
      <w:r>
        <w:rPr>
          <w:rFonts w:hint="eastAsia" w:ascii="宋体" w:hAnsi="宋体" w:eastAsia="宋体" w:cs="宋体"/>
          <w:color w:val="auto"/>
          <w:kern w:val="0"/>
          <w:szCs w:val="21"/>
          <w:highlight w:val="none"/>
        </w:rPr>
        <w:fldChar w:fldCharType="separate"/>
      </w: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_Toc18601 </w:instrText>
      </w:r>
      <w:r>
        <w:rPr>
          <w:rFonts w:hint="eastAsia" w:ascii="宋体" w:hAnsi="宋体" w:eastAsia="宋体" w:cs="宋体"/>
          <w:kern w:val="0"/>
          <w:szCs w:val="21"/>
          <w:highlight w:val="none"/>
        </w:rPr>
        <w:fldChar w:fldCharType="separate"/>
      </w:r>
      <w:r>
        <w:rPr>
          <w:rFonts w:hint="eastAsia" w:ascii="宋体" w:hAnsi="宋体" w:eastAsia="宋体" w:cs="宋体"/>
          <w:highlight w:val="none"/>
        </w:rPr>
        <w:t>第</w:t>
      </w:r>
      <w:r>
        <w:rPr>
          <w:rFonts w:hint="eastAsia" w:ascii="宋体" w:hAnsi="宋体" w:eastAsia="宋体" w:cs="宋体"/>
          <w:highlight w:val="none"/>
          <w:lang w:val="en-US" w:eastAsia="zh-CN"/>
        </w:rPr>
        <w:t>1</w:t>
      </w:r>
      <w:r>
        <w:rPr>
          <w:rFonts w:hint="eastAsia" w:ascii="宋体" w:hAnsi="宋体" w:eastAsia="宋体" w:cs="宋体"/>
          <w:highlight w:val="none"/>
        </w:rPr>
        <w:t>章</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供应商</w:t>
      </w:r>
      <w:r>
        <w:rPr>
          <w:rFonts w:hint="eastAsia" w:ascii="宋体" w:hAnsi="宋体" w:eastAsia="宋体" w:cs="宋体"/>
          <w:highlight w:val="none"/>
        </w:rPr>
        <w:t>须知</w:t>
      </w:r>
      <w:r>
        <w:rPr>
          <w:highlight w:val="none"/>
        </w:rPr>
        <w:tab/>
      </w:r>
      <w:r>
        <w:rPr>
          <w:highlight w:val="none"/>
        </w:rPr>
        <w:fldChar w:fldCharType="begin"/>
      </w:r>
      <w:r>
        <w:rPr>
          <w:highlight w:val="none"/>
        </w:rPr>
        <w:instrText xml:space="preserve"> PAGEREF _Toc18601 \h </w:instrText>
      </w:r>
      <w:r>
        <w:rPr>
          <w:highlight w:val="none"/>
        </w:rPr>
        <w:fldChar w:fldCharType="separate"/>
      </w:r>
      <w:r>
        <w:rPr>
          <w:highlight w:val="none"/>
        </w:rPr>
        <w:t>3</w:t>
      </w:r>
      <w:r>
        <w:rPr>
          <w:highlight w:val="none"/>
        </w:rPr>
        <w:fldChar w:fldCharType="end"/>
      </w:r>
      <w:r>
        <w:rPr>
          <w:rFonts w:hint="eastAsia" w:ascii="宋体" w:hAnsi="宋体" w:eastAsia="宋体" w:cs="宋体"/>
          <w:color w:val="auto"/>
          <w:kern w:val="0"/>
          <w:szCs w:val="21"/>
          <w:highlight w:val="none"/>
        </w:rPr>
        <w:fldChar w:fldCharType="end"/>
      </w:r>
    </w:p>
    <w:p w14:paraId="2C48C26C">
      <w:pPr>
        <w:pStyle w:val="1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_Toc10472 </w:instrText>
      </w:r>
      <w:r>
        <w:rPr>
          <w:rFonts w:hint="eastAsia" w:ascii="宋体" w:hAnsi="宋体" w:eastAsia="宋体" w:cs="宋体"/>
          <w:kern w:val="0"/>
          <w:szCs w:val="21"/>
          <w:highlight w:val="none"/>
        </w:rPr>
        <w:fldChar w:fldCharType="separate"/>
      </w:r>
      <w:r>
        <w:rPr>
          <w:rFonts w:hint="eastAsia" w:ascii="宋体" w:hAnsi="宋体" w:eastAsia="宋体" w:cs="宋体"/>
          <w:szCs w:val="24"/>
          <w:highlight w:val="none"/>
        </w:rPr>
        <w:t>一   总 则</w:t>
      </w:r>
      <w:r>
        <w:rPr>
          <w:highlight w:val="none"/>
        </w:rPr>
        <w:tab/>
      </w:r>
      <w:r>
        <w:rPr>
          <w:highlight w:val="none"/>
        </w:rPr>
        <w:fldChar w:fldCharType="begin"/>
      </w:r>
      <w:r>
        <w:rPr>
          <w:highlight w:val="none"/>
        </w:rPr>
        <w:instrText xml:space="preserve"> PAGEREF _Toc10472 \h </w:instrText>
      </w:r>
      <w:r>
        <w:rPr>
          <w:highlight w:val="none"/>
        </w:rPr>
        <w:fldChar w:fldCharType="separate"/>
      </w:r>
      <w:r>
        <w:rPr>
          <w:highlight w:val="none"/>
        </w:rPr>
        <w:t>3</w:t>
      </w:r>
      <w:r>
        <w:rPr>
          <w:highlight w:val="none"/>
        </w:rPr>
        <w:fldChar w:fldCharType="end"/>
      </w:r>
      <w:r>
        <w:rPr>
          <w:rFonts w:hint="eastAsia" w:ascii="宋体" w:hAnsi="宋体" w:eastAsia="宋体" w:cs="宋体"/>
          <w:color w:val="auto"/>
          <w:kern w:val="0"/>
          <w:szCs w:val="21"/>
          <w:highlight w:val="none"/>
        </w:rPr>
        <w:fldChar w:fldCharType="end"/>
      </w:r>
    </w:p>
    <w:p w14:paraId="72071647">
      <w:pPr>
        <w:pStyle w:val="1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_Toc23767 </w:instrText>
      </w:r>
      <w:r>
        <w:rPr>
          <w:rFonts w:hint="eastAsia" w:ascii="宋体" w:hAnsi="宋体" w:eastAsia="宋体" w:cs="宋体"/>
          <w:kern w:val="0"/>
          <w:szCs w:val="21"/>
          <w:highlight w:val="none"/>
        </w:rPr>
        <w:fldChar w:fldCharType="separate"/>
      </w:r>
      <w:r>
        <w:rPr>
          <w:rFonts w:hint="eastAsia" w:ascii="宋体" w:hAnsi="宋体" w:eastAsia="宋体" w:cs="宋体"/>
          <w:i w:val="0"/>
          <w:caps w:val="0"/>
          <w:spacing w:val="0"/>
          <w:w w:val="100"/>
          <w:szCs w:val="24"/>
          <w:highlight w:val="none"/>
        </w:rPr>
        <w:t>二   磋商文件</w:t>
      </w:r>
      <w:r>
        <w:rPr>
          <w:highlight w:val="none"/>
        </w:rPr>
        <w:tab/>
      </w:r>
      <w:r>
        <w:rPr>
          <w:highlight w:val="none"/>
        </w:rPr>
        <w:fldChar w:fldCharType="begin"/>
      </w:r>
      <w:r>
        <w:rPr>
          <w:highlight w:val="none"/>
        </w:rPr>
        <w:instrText xml:space="preserve"> PAGEREF _Toc23767 \h </w:instrText>
      </w:r>
      <w:r>
        <w:rPr>
          <w:highlight w:val="none"/>
        </w:rPr>
        <w:fldChar w:fldCharType="separate"/>
      </w:r>
      <w:r>
        <w:rPr>
          <w:highlight w:val="none"/>
        </w:rPr>
        <w:t>4</w:t>
      </w:r>
      <w:r>
        <w:rPr>
          <w:highlight w:val="none"/>
        </w:rPr>
        <w:fldChar w:fldCharType="end"/>
      </w:r>
      <w:r>
        <w:rPr>
          <w:rFonts w:hint="eastAsia" w:ascii="宋体" w:hAnsi="宋体" w:eastAsia="宋体" w:cs="宋体"/>
          <w:color w:val="auto"/>
          <w:kern w:val="0"/>
          <w:szCs w:val="21"/>
          <w:highlight w:val="none"/>
        </w:rPr>
        <w:fldChar w:fldCharType="end"/>
      </w:r>
    </w:p>
    <w:p w14:paraId="362C3F3D">
      <w:pPr>
        <w:pStyle w:val="1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_Toc26746 </w:instrText>
      </w:r>
      <w:r>
        <w:rPr>
          <w:rFonts w:hint="eastAsia" w:ascii="宋体" w:hAnsi="宋体" w:eastAsia="宋体" w:cs="宋体"/>
          <w:kern w:val="0"/>
          <w:szCs w:val="21"/>
          <w:highlight w:val="none"/>
        </w:rPr>
        <w:fldChar w:fldCharType="separate"/>
      </w:r>
      <w:r>
        <w:rPr>
          <w:rFonts w:hint="eastAsia" w:ascii="宋体" w:hAnsi="宋体" w:eastAsia="宋体" w:cs="宋体"/>
          <w:i w:val="0"/>
          <w:caps w:val="0"/>
          <w:spacing w:val="0"/>
          <w:w w:val="100"/>
          <w:highlight w:val="none"/>
        </w:rPr>
        <w:t>三   响应文件的编制</w:t>
      </w:r>
      <w:r>
        <w:rPr>
          <w:highlight w:val="none"/>
        </w:rPr>
        <w:tab/>
      </w:r>
      <w:r>
        <w:rPr>
          <w:highlight w:val="none"/>
        </w:rPr>
        <w:fldChar w:fldCharType="begin"/>
      </w:r>
      <w:r>
        <w:rPr>
          <w:highlight w:val="none"/>
        </w:rPr>
        <w:instrText xml:space="preserve"> PAGEREF _Toc26746 \h </w:instrText>
      </w:r>
      <w:r>
        <w:rPr>
          <w:highlight w:val="none"/>
        </w:rPr>
        <w:fldChar w:fldCharType="separate"/>
      </w:r>
      <w:r>
        <w:rPr>
          <w:highlight w:val="none"/>
        </w:rPr>
        <w:t>5</w:t>
      </w:r>
      <w:r>
        <w:rPr>
          <w:highlight w:val="none"/>
        </w:rPr>
        <w:fldChar w:fldCharType="end"/>
      </w:r>
      <w:r>
        <w:rPr>
          <w:rFonts w:hint="eastAsia" w:ascii="宋体" w:hAnsi="宋体" w:eastAsia="宋体" w:cs="宋体"/>
          <w:color w:val="auto"/>
          <w:kern w:val="0"/>
          <w:szCs w:val="21"/>
          <w:highlight w:val="none"/>
        </w:rPr>
        <w:fldChar w:fldCharType="end"/>
      </w:r>
    </w:p>
    <w:p w14:paraId="282896E7">
      <w:pPr>
        <w:pStyle w:val="1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_Toc7919 </w:instrText>
      </w:r>
      <w:r>
        <w:rPr>
          <w:rFonts w:hint="eastAsia" w:ascii="宋体" w:hAnsi="宋体" w:eastAsia="宋体" w:cs="宋体"/>
          <w:kern w:val="0"/>
          <w:szCs w:val="21"/>
          <w:highlight w:val="none"/>
        </w:rPr>
        <w:fldChar w:fldCharType="separate"/>
      </w:r>
      <w:r>
        <w:rPr>
          <w:rFonts w:hint="eastAsia" w:ascii="宋体" w:hAnsi="宋体" w:eastAsia="宋体" w:cs="宋体"/>
          <w:i w:val="0"/>
          <w:caps w:val="0"/>
          <w:spacing w:val="0"/>
          <w:w w:val="100"/>
          <w:highlight w:val="none"/>
        </w:rPr>
        <w:t>四   响应文件的递交</w:t>
      </w:r>
      <w:r>
        <w:rPr>
          <w:highlight w:val="none"/>
        </w:rPr>
        <w:tab/>
      </w:r>
      <w:r>
        <w:rPr>
          <w:highlight w:val="none"/>
        </w:rPr>
        <w:fldChar w:fldCharType="begin"/>
      </w:r>
      <w:r>
        <w:rPr>
          <w:highlight w:val="none"/>
        </w:rPr>
        <w:instrText xml:space="preserve"> PAGEREF _Toc7919 \h </w:instrText>
      </w:r>
      <w:r>
        <w:rPr>
          <w:highlight w:val="none"/>
        </w:rPr>
        <w:fldChar w:fldCharType="separate"/>
      </w:r>
      <w:r>
        <w:rPr>
          <w:highlight w:val="none"/>
        </w:rPr>
        <w:t>7</w:t>
      </w:r>
      <w:r>
        <w:rPr>
          <w:highlight w:val="none"/>
        </w:rPr>
        <w:fldChar w:fldCharType="end"/>
      </w:r>
      <w:r>
        <w:rPr>
          <w:rFonts w:hint="eastAsia" w:ascii="宋体" w:hAnsi="宋体" w:eastAsia="宋体" w:cs="宋体"/>
          <w:color w:val="auto"/>
          <w:kern w:val="0"/>
          <w:szCs w:val="21"/>
          <w:highlight w:val="none"/>
        </w:rPr>
        <w:fldChar w:fldCharType="end"/>
      </w:r>
    </w:p>
    <w:p w14:paraId="1B651C0F">
      <w:pPr>
        <w:pStyle w:val="1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_Toc23238 </w:instrText>
      </w:r>
      <w:r>
        <w:rPr>
          <w:rFonts w:hint="eastAsia" w:ascii="宋体" w:hAnsi="宋体" w:eastAsia="宋体" w:cs="宋体"/>
          <w:kern w:val="0"/>
          <w:szCs w:val="21"/>
          <w:highlight w:val="none"/>
        </w:rPr>
        <w:fldChar w:fldCharType="separate"/>
      </w:r>
      <w:r>
        <w:rPr>
          <w:rFonts w:hint="eastAsia" w:ascii="宋体" w:hAnsi="宋体" w:eastAsia="宋体" w:cs="宋体"/>
          <w:i w:val="0"/>
          <w:caps w:val="0"/>
          <w:spacing w:val="0"/>
          <w:w w:val="100"/>
          <w:highlight w:val="none"/>
        </w:rPr>
        <w:t xml:space="preserve">五   </w:t>
      </w:r>
      <w:r>
        <w:rPr>
          <w:rFonts w:hint="eastAsia" w:ascii="宋体" w:hAnsi="宋体" w:eastAsia="宋体" w:cs="宋体"/>
          <w:i w:val="0"/>
          <w:caps w:val="0"/>
          <w:spacing w:val="0"/>
          <w:w w:val="100"/>
          <w:highlight w:val="none"/>
          <w:lang w:val="en-US" w:eastAsia="zh-CN"/>
        </w:rPr>
        <w:t>磋商</w:t>
      </w:r>
      <w:r>
        <w:rPr>
          <w:rFonts w:hint="eastAsia" w:ascii="宋体" w:hAnsi="宋体" w:eastAsia="宋体" w:cs="宋体"/>
          <w:i w:val="0"/>
          <w:caps w:val="0"/>
          <w:spacing w:val="0"/>
          <w:w w:val="100"/>
          <w:highlight w:val="none"/>
        </w:rPr>
        <w:t>及</w:t>
      </w:r>
      <w:r>
        <w:rPr>
          <w:rFonts w:hint="eastAsia" w:ascii="宋体" w:hAnsi="宋体" w:eastAsia="宋体" w:cs="宋体"/>
          <w:i w:val="0"/>
          <w:caps w:val="0"/>
          <w:spacing w:val="0"/>
          <w:w w:val="100"/>
          <w:highlight w:val="none"/>
          <w:lang w:val="en-US" w:eastAsia="zh-CN"/>
        </w:rPr>
        <w:t>评审</w:t>
      </w:r>
      <w:r>
        <w:rPr>
          <w:highlight w:val="none"/>
        </w:rPr>
        <w:tab/>
      </w:r>
      <w:r>
        <w:rPr>
          <w:highlight w:val="none"/>
        </w:rPr>
        <w:fldChar w:fldCharType="begin"/>
      </w:r>
      <w:r>
        <w:rPr>
          <w:highlight w:val="none"/>
        </w:rPr>
        <w:instrText xml:space="preserve"> PAGEREF _Toc23238 \h </w:instrText>
      </w:r>
      <w:r>
        <w:rPr>
          <w:highlight w:val="none"/>
        </w:rPr>
        <w:fldChar w:fldCharType="separate"/>
      </w:r>
      <w:r>
        <w:rPr>
          <w:highlight w:val="none"/>
        </w:rPr>
        <w:t>8</w:t>
      </w:r>
      <w:r>
        <w:rPr>
          <w:highlight w:val="none"/>
        </w:rPr>
        <w:fldChar w:fldCharType="end"/>
      </w:r>
      <w:r>
        <w:rPr>
          <w:rFonts w:hint="eastAsia" w:ascii="宋体" w:hAnsi="宋体" w:eastAsia="宋体" w:cs="宋体"/>
          <w:color w:val="auto"/>
          <w:kern w:val="0"/>
          <w:szCs w:val="21"/>
          <w:highlight w:val="none"/>
        </w:rPr>
        <w:fldChar w:fldCharType="end"/>
      </w:r>
    </w:p>
    <w:p w14:paraId="664D5342">
      <w:pPr>
        <w:pStyle w:val="1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_Toc26583 </w:instrText>
      </w:r>
      <w:r>
        <w:rPr>
          <w:rFonts w:hint="eastAsia" w:ascii="宋体" w:hAnsi="宋体" w:eastAsia="宋体" w:cs="宋体"/>
          <w:kern w:val="0"/>
          <w:szCs w:val="21"/>
          <w:highlight w:val="none"/>
        </w:rPr>
        <w:fldChar w:fldCharType="separate"/>
      </w:r>
      <w:r>
        <w:rPr>
          <w:rFonts w:hint="eastAsia" w:ascii="宋体" w:hAnsi="宋体" w:eastAsia="宋体" w:cs="宋体"/>
          <w:szCs w:val="24"/>
          <w:highlight w:val="none"/>
        </w:rPr>
        <w:t>六   确定</w:t>
      </w:r>
      <w:r>
        <w:rPr>
          <w:rFonts w:hint="eastAsia" w:ascii="宋体" w:hAnsi="宋体" w:eastAsia="宋体" w:cs="宋体"/>
          <w:szCs w:val="24"/>
          <w:highlight w:val="none"/>
          <w:lang w:eastAsia="zh-CN"/>
        </w:rPr>
        <w:t>成交</w:t>
      </w:r>
      <w:r>
        <w:rPr>
          <w:highlight w:val="none"/>
        </w:rPr>
        <w:tab/>
      </w:r>
      <w:r>
        <w:rPr>
          <w:highlight w:val="none"/>
        </w:rPr>
        <w:fldChar w:fldCharType="begin"/>
      </w:r>
      <w:r>
        <w:rPr>
          <w:highlight w:val="none"/>
        </w:rPr>
        <w:instrText xml:space="preserve"> PAGEREF _Toc26583 \h </w:instrText>
      </w:r>
      <w:r>
        <w:rPr>
          <w:highlight w:val="none"/>
        </w:rPr>
        <w:fldChar w:fldCharType="separate"/>
      </w:r>
      <w:r>
        <w:rPr>
          <w:highlight w:val="none"/>
        </w:rPr>
        <w:t>12</w:t>
      </w:r>
      <w:r>
        <w:rPr>
          <w:highlight w:val="none"/>
        </w:rPr>
        <w:fldChar w:fldCharType="end"/>
      </w:r>
      <w:r>
        <w:rPr>
          <w:rFonts w:hint="eastAsia" w:ascii="宋体" w:hAnsi="宋体" w:eastAsia="宋体" w:cs="宋体"/>
          <w:color w:val="auto"/>
          <w:kern w:val="0"/>
          <w:szCs w:val="21"/>
          <w:highlight w:val="none"/>
        </w:rPr>
        <w:fldChar w:fldCharType="end"/>
      </w:r>
    </w:p>
    <w:p w14:paraId="675FC19B">
      <w:pPr>
        <w:pStyle w:val="15"/>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_Toc25242 </w:instrText>
      </w:r>
      <w:r>
        <w:rPr>
          <w:rFonts w:hint="eastAsia" w:ascii="宋体" w:hAnsi="宋体" w:eastAsia="宋体" w:cs="宋体"/>
          <w:kern w:val="0"/>
          <w:szCs w:val="21"/>
          <w:highlight w:val="none"/>
        </w:rPr>
        <w:fldChar w:fldCharType="separate"/>
      </w:r>
      <w:r>
        <w:rPr>
          <w:rFonts w:hint="eastAsia" w:ascii="宋体" w:hAnsi="宋体" w:eastAsia="宋体" w:cs="宋体"/>
          <w:i w:val="0"/>
          <w:caps w:val="0"/>
          <w:spacing w:val="0"/>
          <w:w w:val="100"/>
          <w:szCs w:val="24"/>
          <w:highlight w:val="none"/>
        </w:rPr>
        <w:t>第2章 响应文件格式</w:t>
      </w:r>
      <w:r>
        <w:rPr>
          <w:highlight w:val="none"/>
        </w:rPr>
        <w:tab/>
      </w:r>
      <w:r>
        <w:rPr>
          <w:highlight w:val="none"/>
        </w:rPr>
        <w:fldChar w:fldCharType="begin"/>
      </w:r>
      <w:r>
        <w:rPr>
          <w:highlight w:val="none"/>
        </w:rPr>
        <w:instrText xml:space="preserve"> PAGEREF _Toc25242 \h </w:instrText>
      </w:r>
      <w:r>
        <w:rPr>
          <w:highlight w:val="none"/>
        </w:rPr>
        <w:fldChar w:fldCharType="separate"/>
      </w:r>
      <w:r>
        <w:rPr>
          <w:highlight w:val="none"/>
        </w:rPr>
        <w:t>19</w:t>
      </w:r>
      <w:r>
        <w:rPr>
          <w:highlight w:val="none"/>
        </w:rPr>
        <w:fldChar w:fldCharType="end"/>
      </w:r>
      <w:r>
        <w:rPr>
          <w:rFonts w:hint="eastAsia" w:ascii="宋体" w:hAnsi="宋体" w:eastAsia="宋体" w:cs="宋体"/>
          <w:color w:val="auto"/>
          <w:kern w:val="0"/>
          <w:szCs w:val="21"/>
          <w:highlight w:val="none"/>
        </w:rPr>
        <w:fldChar w:fldCharType="end"/>
      </w:r>
    </w:p>
    <w:p w14:paraId="2D00FA68">
      <w:pPr>
        <w:pStyle w:val="1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_Toc10335 </w:instrText>
      </w:r>
      <w:r>
        <w:rPr>
          <w:rFonts w:hint="eastAsia" w:ascii="宋体" w:hAnsi="宋体" w:eastAsia="宋体" w:cs="宋体"/>
          <w:kern w:val="0"/>
          <w:szCs w:val="21"/>
          <w:highlight w:val="none"/>
        </w:rPr>
        <w:fldChar w:fldCharType="separate"/>
      </w:r>
      <w:r>
        <w:rPr>
          <w:rFonts w:hint="eastAsia" w:ascii="宋体" w:hAnsi="宋体" w:eastAsia="宋体" w:cs="宋体"/>
          <w:i w:val="0"/>
          <w:caps w:val="0"/>
          <w:spacing w:val="0"/>
          <w:w w:val="100"/>
          <w:szCs w:val="24"/>
          <w:highlight w:val="none"/>
        </w:rPr>
        <w:t>第一部分 磋商开启一览表及资格证明文件</w:t>
      </w:r>
      <w:r>
        <w:rPr>
          <w:highlight w:val="none"/>
        </w:rPr>
        <w:tab/>
      </w:r>
      <w:r>
        <w:rPr>
          <w:highlight w:val="none"/>
        </w:rPr>
        <w:fldChar w:fldCharType="begin"/>
      </w:r>
      <w:r>
        <w:rPr>
          <w:highlight w:val="none"/>
        </w:rPr>
        <w:instrText xml:space="preserve"> PAGEREF _Toc10335 \h </w:instrText>
      </w:r>
      <w:r>
        <w:rPr>
          <w:highlight w:val="none"/>
        </w:rPr>
        <w:fldChar w:fldCharType="separate"/>
      </w:r>
      <w:r>
        <w:rPr>
          <w:highlight w:val="none"/>
        </w:rPr>
        <w:t>19</w:t>
      </w:r>
      <w:r>
        <w:rPr>
          <w:highlight w:val="none"/>
        </w:rPr>
        <w:fldChar w:fldCharType="end"/>
      </w:r>
      <w:r>
        <w:rPr>
          <w:rFonts w:hint="eastAsia" w:ascii="宋体" w:hAnsi="宋体" w:eastAsia="宋体" w:cs="宋体"/>
          <w:color w:val="auto"/>
          <w:kern w:val="0"/>
          <w:szCs w:val="21"/>
          <w:highlight w:val="none"/>
        </w:rPr>
        <w:fldChar w:fldCharType="end"/>
      </w:r>
    </w:p>
    <w:p w14:paraId="6DEA0051">
      <w:pPr>
        <w:pStyle w:val="1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_Toc8471 </w:instrText>
      </w:r>
      <w:r>
        <w:rPr>
          <w:rFonts w:hint="eastAsia" w:ascii="宋体" w:hAnsi="宋体" w:eastAsia="宋体" w:cs="宋体"/>
          <w:kern w:val="0"/>
          <w:szCs w:val="21"/>
          <w:highlight w:val="none"/>
        </w:rPr>
        <w:fldChar w:fldCharType="separate"/>
      </w:r>
      <w:r>
        <w:rPr>
          <w:rFonts w:hint="eastAsia" w:ascii="宋体" w:hAnsi="宋体" w:eastAsia="宋体" w:cs="宋体"/>
          <w:szCs w:val="24"/>
          <w:highlight w:val="none"/>
        </w:rPr>
        <w:t xml:space="preserve">1. </w:t>
      </w:r>
      <w:r>
        <w:rPr>
          <w:rFonts w:hint="eastAsia" w:ascii="宋体" w:hAnsi="宋体" w:eastAsia="宋体" w:cs="宋体"/>
          <w:szCs w:val="24"/>
          <w:highlight w:val="none"/>
          <w:lang w:eastAsia="zh-CN"/>
        </w:rPr>
        <w:t>磋商一览表</w:t>
      </w:r>
      <w:r>
        <w:rPr>
          <w:highlight w:val="none"/>
        </w:rPr>
        <w:tab/>
      </w:r>
      <w:r>
        <w:rPr>
          <w:highlight w:val="none"/>
        </w:rPr>
        <w:fldChar w:fldCharType="begin"/>
      </w:r>
      <w:r>
        <w:rPr>
          <w:highlight w:val="none"/>
        </w:rPr>
        <w:instrText xml:space="preserve"> PAGEREF _Toc8471 \h </w:instrText>
      </w:r>
      <w:r>
        <w:rPr>
          <w:highlight w:val="none"/>
        </w:rPr>
        <w:fldChar w:fldCharType="separate"/>
      </w:r>
      <w:r>
        <w:rPr>
          <w:highlight w:val="none"/>
        </w:rPr>
        <w:t>20</w:t>
      </w:r>
      <w:r>
        <w:rPr>
          <w:highlight w:val="none"/>
        </w:rPr>
        <w:fldChar w:fldCharType="end"/>
      </w:r>
      <w:r>
        <w:rPr>
          <w:rFonts w:hint="eastAsia" w:ascii="宋体" w:hAnsi="宋体" w:eastAsia="宋体" w:cs="宋体"/>
          <w:color w:val="auto"/>
          <w:kern w:val="0"/>
          <w:szCs w:val="21"/>
          <w:highlight w:val="none"/>
        </w:rPr>
        <w:fldChar w:fldCharType="end"/>
      </w:r>
    </w:p>
    <w:p w14:paraId="7B1FD8BF">
      <w:pPr>
        <w:pStyle w:val="1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_Toc21574 </w:instrText>
      </w:r>
      <w:r>
        <w:rPr>
          <w:rFonts w:hint="eastAsia" w:ascii="宋体" w:hAnsi="宋体" w:eastAsia="宋体" w:cs="宋体"/>
          <w:kern w:val="0"/>
          <w:szCs w:val="21"/>
          <w:highlight w:val="none"/>
        </w:rPr>
        <w:fldChar w:fldCharType="separate"/>
      </w:r>
      <w:r>
        <w:rPr>
          <w:rFonts w:hint="eastAsia" w:ascii="宋体" w:hAnsi="宋体" w:eastAsia="宋体" w:cs="宋体"/>
          <w:kern w:val="0"/>
          <w:szCs w:val="24"/>
          <w:highlight w:val="none"/>
          <w:lang w:val="en-US" w:eastAsia="zh-CN" w:bidi="ar-SA"/>
        </w:rPr>
        <w:t>2.具有有效的独立法定代表人营业执照；</w:t>
      </w:r>
      <w:r>
        <w:rPr>
          <w:highlight w:val="none"/>
        </w:rPr>
        <w:tab/>
      </w:r>
      <w:r>
        <w:rPr>
          <w:highlight w:val="none"/>
        </w:rPr>
        <w:fldChar w:fldCharType="begin"/>
      </w:r>
      <w:r>
        <w:rPr>
          <w:highlight w:val="none"/>
        </w:rPr>
        <w:instrText xml:space="preserve"> PAGEREF _Toc21574 \h </w:instrText>
      </w:r>
      <w:r>
        <w:rPr>
          <w:highlight w:val="none"/>
        </w:rPr>
        <w:fldChar w:fldCharType="separate"/>
      </w:r>
      <w:r>
        <w:rPr>
          <w:highlight w:val="none"/>
        </w:rPr>
        <w:t>21</w:t>
      </w:r>
      <w:r>
        <w:rPr>
          <w:highlight w:val="none"/>
        </w:rPr>
        <w:fldChar w:fldCharType="end"/>
      </w:r>
      <w:r>
        <w:rPr>
          <w:rFonts w:hint="eastAsia" w:ascii="宋体" w:hAnsi="宋体" w:eastAsia="宋体" w:cs="宋体"/>
          <w:color w:val="auto"/>
          <w:kern w:val="0"/>
          <w:szCs w:val="21"/>
          <w:highlight w:val="none"/>
        </w:rPr>
        <w:fldChar w:fldCharType="end"/>
      </w:r>
    </w:p>
    <w:p w14:paraId="2E677E3F">
      <w:pPr>
        <w:pStyle w:val="1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_Toc12386 </w:instrText>
      </w:r>
      <w:r>
        <w:rPr>
          <w:rFonts w:hint="eastAsia" w:ascii="宋体" w:hAnsi="宋体" w:eastAsia="宋体" w:cs="宋体"/>
          <w:kern w:val="0"/>
          <w:szCs w:val="21"/>
          <w:highlight w:val="none"/>
        </w:rPr>
        <w:fldChar w:fldCharType="separate"/>
      </w:r>
      <w:r>
        <w:rPr>
          <w:rFonts w:hint="eastAsia" w:ascii="宋体" w:hAnsi="宋体" w:eastAsia="宋体" w:cs="宋体"/>
          <w:kern w:val="0"/>
          <w:szCs w:val="24"/>
          <w:highlight w:val="none"/>
          <w:lang w:val="en-US" w:eastAsia="zh-CN" w:bidi="ar-SA"/>
        </w:rPr>
        <w:t>3.法定代表人身份证明及授权书、被授权人身份证；(法定代表人投标需提供法定代表人身份证复印件)；</w:t>
      </w:r>
      <w:r>
        <w:rPr>
          <w:highlight w:val="none"/>
        </w:rPr>
        <w:tab/>
      </w:r>
      <w:r>
        <w:rPr>
          <w:highlight w:val="none"/>
        </w:rPr>
        <w:fldChar w:fldCharType="begin"/>
      </w:r>
      <w:r>
        <w:rPr>
          <w:highlight w:val="none"/>
        </w:rPr>
        <w:instrText xml:space="preserve"> PAGEREF _Toc12386 \h </w:instrText>
      </w:r>
      <w:r>
        <w:rPr>
          <w:highlight w:val="none"/>
        </w:rPr>
        <w:fldChar w:fldCharType="separate"/>
      </w:r>
      <w:r>
        <w:rPr>
          <w:highlight w:val="none"/>
        </w:rPr>
        <w:t>22</w:t>
      </w:r>
      <w:r>
        <w:rPr>
          <w:highlight w:val="none"/>
        </w:rPr>
        <w:fldChar w:fldCharType="end"/>
      </w:r>
      <w:r>
        <w:rPr>
          <w:rFonts w:hint="eastAsia" w:ascii="宋体" w:hAnsi="宋体" w:eastAsia="宋体" w:cs="宋体"/>
          <w:color w:val="auto"/>
          <w:kern w:val="0"/>
          <w:szCs w:val="21"/>
          <w:highlight w:val="none"/>
        </w:rPr>
        <w:fldChar w:fldCharType="end"/>
      </w:r>
    </w:p>
    <w:p w14:paraId="5B09A478">
      <w:pPr>
        <w:pStyle w:val="1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_Toc4611 </w:instrText>
      </w:r>
      <w:r>
        <w:rPr>
          <w:rFonts w:hint="eastAsia" w:ascii="宋体" w:hAnsi="宋体" w:eastAsia="宋体" w:cs="宋体"/>
          <w:kern w:val="0"/>
          <w:szCs w:val="21"/>
          <w:highlight w:val="none"/>
        </w:rPr>
        <w:fldChar w:fldCharType="separate"/>
      </w:r>
      <w:r>
        <w:rPr>
          <w:rFonts w:hint="eastAsia" w:ascii="宋体" w:hAnsi="宋体" w:eastAsia="宋体" w:cs="宋体"/>
          <w:kern w:val="0"/>
          <w:szCs w:val="24"/>
          <w:highlight w:val="none"/>
          <w:lang w:val="en-US" w:eastAsia="zh-CN" w:bidi="ar-SA"/>
        </w:rPr>
        <w:t>4.近两年任意一年的财务审计报告，新成立的公司提供近三个月内任意一个月的银行资信证明；</w:t>
      </w:r>
      <w:r>
        <w:rPr>
          <w:highlight w:val="none"/>
        </w:rPr>
        <w:tab/>
      </w:r>
      <w:r>
        <w:rPr>
          <w:highlight w:val="none"/>
        </w:rPr>
        <w:fldChar w:fldCharType="begin"/>
      </w:r>
      <w:r>
        <w:rPr>
          <w:highlight w:val="none"/>
        </w:rPr>
        <w:instrText xml:space="preserve"> PAGEREF _Toc4611 \h </w:instrText>
      </w:r>
      <w:r>
        <w:rPr>
          <w:highlight w:val="none"/>
        </w:rPr>
        <w:fldChar w:fldCharType="separate"/>
      </w:r>
      <w:r>
        <w:rPr>
          <w:highlight w:val="none"/>
        </w:rPr>
        <w:t>24</w:t>
      </w:r>
      <w:r>
        <w:rPr>
          <w:highlight w:val="none"/>
        </w:rPr>
        <w:fldChar w:fldCharType="end"/>
      </w:r>
      <w:r>
        <w:rPr>
          <w:rFonts w:hint="eastAsia" w:ascii="宋体" w:hAnsi="宋体" w:eastAsia="宋体" w:cs="宋体"/>
          <w:color w:val="auto"/>
          <w:kern w:val="0"/>
          <w:szCs w:val="21"/>
          <w:highlight w:val="none"/>
        </w:rPr>
        <w:fldChar w:fldCharType="end"/>
      </w:r>
    </w:p>
    <w:p w14:paraId="6CEBECDA">
      <w:pPr>
        <w:pStyle w:val="1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_Toc18033 </w:instrText>
      </w:r>
      <w:r>
        <w:rPr>
          <w:rFonts w:hint="eastAsia" w:ascii="宋体" w:hAnsi="宋体" w:eastAsia="宋体" w:cs="宋体"/>
          <w:kern w:val="0"/>
          <w:szCs w:val="21"/>
          <w:highlight w:val="none"/>
        </w:rPr>
        <w:fldChar w:fldCharType="separate"/>
      </w:r>
      <w:r>
        <w:rPr>
          <w:rFonts w:hint="eastAsia" w:ascii="宋体" w:hAnsi="宋体" w:eastAsia="宋体" w:cs="宋体"/>
          <w:kern w:val="0"/>
          <w:szCs w:val="24"/>
          <w:highlight w:val="none"/>
          <w:lang w:val="en-US" w:eastAsia="zh-CN" w:bidi="ar-SA"/>
        </w:rPr>
        <w:t>5.依法缴纳近六个月任意一个月社会保险的凭据；</w:t>
      </w:r>
      <w:r>
        <w:rPr>
          <w:highlight w:val="none"/>
        </w:rPr>
        <w:tab/>
      </w:r>
      <w:r>
        <w:rPr>
          <w:highlight w:val="none"/>
        </w:rPr>
        <w:fldChar w:fldCharType="begin"/>
      </w:r>
      <w:r>
        <w:rPr>
          <w:highlight w:val="none"/>
        </w:rPr>
        <w:instrText xml:space="preserve"> PAGEREF _Toc18033 \h </w:instrText>
      </w:r>
      <w:r>
        <w:rPr>
          <w:highlight w:val="none"/>
        </w:rPr>
        <w:fldChar w:fldCharType="separate"/>
      </w:r>
      <w:r>
        <w:rPr>
          <w:highlight w:val="none"/>
        </w:rPr>
        <w:t>24</w:t>
      </w:r>
      <w:r>
        <w:rPr>
          <w:highlight w:val="none"/>
        </w:rPr>
        <w:fldChar w:fldCharType="end"/>
      </w:r>
      <w:r>
        <w:rPr>
          <w:rFonts w:hint="eastAsia" w:ascii="宋体" w:hAnsi="宋体" w:eastAsia="宋体" w:cs="宋体"/>
          <w:color w:val="auto"/>
          <w:kern w:val="0"/>
          <w:szCs w:val="21"/>
          <w:highlight w:val="none"/>
        </w:rPr>
        <w:fldChar w:fldCharType="end"/>
      </w:r>
    </w:p>
    <w:p w14:paraId="1FDF7803">
      <w:pPr>
        <w:pStyle w:val="1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_Toc19127 </w:instrText>
      </w:r>
      <w:r>
        <w:rPr>
          <w:rFonts w:hint="eastAsia" w:ascii="宋体" w:hAnsi="宋体" w:eastAsia="宋体" w:cs="宋体"/>
          <w:kern w:val="0"/>
          <w:szCs w:val="21"/>
          <w:highlight w:val="none"/>
        </w:rPr>
        <w:fldChar w:fldCharType="separate"/>
      </w:r>
      <w:r>
        <w:rPr>
          <w:rFonts w:hint="eastAsia" w:ascii="宋体" w:hAnsi="宋体" w:eastAsia="宋体" w:cs="宋体"/>
          <w:kern w:val="0"/>
          <w:szCs w:val="24"/>
          <w:highlight w:val="none"/>
          <w:lang w:val="en-US" w:eastAsia="zh-CN" w:bidi="ar-SA"/>
        </w:rPr>
        <w:t>6.提供税务部门出具的近六个月任意一个月的完税证明；</w:t>
      </w:r>
      <w:r>
        <w:rPr>
          <w:highlight w:val="none"/>
        </w:rPr>
        <w:tab/>
      </w:r>
      <w:r>
        <w:rPr>
          <w:highlight w:val="none"/>
        </w:rPr>
        <w:fldChar w:fldCharType="begin"/>
      </w:r>
      <w:r>
        <w:rPr>
          <w:highlight w:val="none"/>
        </w:rPr>
        <w:instrText xml:space="preserve"> PAGEREF _Toc19127 \h </w:instrText>
      </w:r>
      <w:r>
        <w:rPr>
          <w:highlight w:val="none"/>
        </w:rPr>
        <w:fldChar w:fldCharType="separate"/>
      </w:r>
      <w:r>
        <w:rPr>
          <w:highlight w:val="none"/>
        </w:rPr>
        <w:t>24</w:t>
      </w:r>
      <w:r>
        <w:rPr>
          <w:highlight w:val="none"/>
        </w:rPr>
        <w:fldChar w:fldCharType="end"/>
      </w:r>
      <w:r>
        <w:rPr>
          <w:rFonts w:hint="eastAsia" w:ascii="宋体" w:hAnsi="宋体" w:eastAsia="宋体" w:cs="宋体"/>
          <w:color w:val="auto"/>
          <w:kern w:val="0"/>
          <w:szCs w:val="21"/>
          <w:highlight w:val="none"/>
        </w:rPr>
        <w:fldChar w:fldCharType="end"/>
      </w:r>
    </w:p>
    <w:p w14:paraId="0E8D4D7E">
      <w:pPr>
        <w:pStyle w:val="1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_Toc12714 </w:instrText>
      </w:r>
      <w:r>
        <w:rPr>
          <w:rFonts w:hint="eastAsia" w:ascii="宋体" w:hAnsi="宋体" w:eastAsia="宋体" w:cs="宋体"/>
          <w:kern w:val="0"/>
          <w:szCs w:val="21"/>
          <w:highlight w:val="none"/>
        </w:rPr>
        <w:fldChar w:fldCharType="separate"/>
      </w:r>
      <w:r>
        <w:rPr>
          <w:rFonts w:hint="eastAsia" w:ascii="宋体" w:hAnsi="宋体" w:eastAsia="宋体" w:cs="宋体"/>
          <w:kern w:val="0"/>
          <w:szCs w:val="24"/>
          <w:highlight w:val="none"/>
          <w:lang w:val="en-US" w:eastAsia="zh-CN" w:bidi="ar-SA"/>
        </w:rPr>
        <w:t>7.根据《财政部关于在政府采购活动中查询及使用信用记录有关问题的通知》（财库﹝2016﹞125号）的要求，凡拟参加本次招标项目的供应商，如在“信用中国”网站（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招标活动；（以招标代理或招标人查询为准）；</w:t>
      </w:r>
      <w:r>
        <w:rPr>
          <w:highlight w:val="none"/>
        </w:rPr>
        <w:tab/>
      </w:r>
      <w:r>
        <w:rPr>
          <w:highlight w:val="none"/>
        </w:rPr>
        <w:fldChar w:fldCharType="begin"/>
      </w:r>
      <w:r>
        <w:rPr>
          <w:highlight w:val="none"/>
        </w:rPr>
        <w:instrText xml:space="preserve"> PAGEREF _Toc12714 \h </w:instrText>
      </w:r>
      <w:r>
        <w:rPr>
          <w:highlight w:val="none"/>
        </w:rPr>
        <w:fldChar w:fldCharType="separate"/>
      </w:r>
      <w:r>
        <w:rPr>
          <w:highlight w:val="none"/>
        </w:rPr>
        <w:t>24</w:t>
      </w:r>
      <w:r>
        <w:rPr>
          <w:highlight w:val="none"/>
        </w:rPr>
        <w:fldChar w:fldCharType="end"/>
      </w:r>
      <w:r>
        <w:rPr>
          <w:rFonts w:hint="eastAsia" w:ascii="宋体" w:hAnsi="宋体" w:eastAsia="宋体" w:cs="宋体"/>
          <w:color w:val="auto"/>
          <w:kern w:val="0"/>
          <w:szCs w:val="21"/>
          <w:highlight w:val="none"/>
        </w:rPr>
        <w:fldChar w:fldCharType="end"/>
      </w:r>
    </w:p>
    <w:p w14:paraId="03FDF83E">
      <w:pPr>
        <w:pStyle w:val="1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_Toc3136 </w:instrText>
      </w:r>
      <w:r>
        <w:rPr>
          <w:rFonts w:hint="eastAsia" w:ascii="宋体" w:hAnsi="宋体" w:eastAsia="宋体" w:cs="宋体"/>
          <w:kern w:val="0"/>
          <w:szCs w:val="21"/>
          <w:highlight w:val="none"/>
        </w:rPr>
        <w:fldChar w:fldCharType="separate"/>
      </w:r>
      <w:r>
        <w:rPr>
          <w:rFonts w:hint="eastAsia" w:ascii="宋体" w:hAnsi="宋体" w:eastAsia="宋体" w:cs="宋体"/>
          <w:kern w:val="0"/>
          <w:szCs w:val="24"/>
          <w:highlight w:val="none"/>
          <w:lang w:val="en-US" w:eastAsia="zh-CN" w:bidi="ar-SA"/>
        </w:rPr>
        <w:t>8.参与政府采购活动前3年内未被列入失信、重大税收违法案件、财政部门禁止参加政府采购活动的承诺书；</w:t>
      </w:r>
      <w:r>
        <w:rPr>
          <w:highlight w:val="none"/>
        </w:rPr>
        <w:tab/>
      </w:r>
      <w:r>
        <w:rPr>
          <w:highlight w:val="none"/>
        </w:rPr>
        <w:fldChar w:fldCharType="begin"/>
      </w:r>
      <w:r>
        <w:rPr>
          <w:highlight w:val="none"/>
        </w:rPr>
        <w:instrText xml:space="preserve"> PAGEREF _Toc3136 \h </w:instrText>
      </w:r>
      <w:r>
        <w:rPr>
          <w:highlight w:val="none"/>
        </w:rPr>
        <w:fldChar w:fldCharType="separate"/>
      </w:r>
      <w:r>
        <w:rPr>
          <w:highlight w:val="none"/>
        </w:rPr>
        <w:t>24</w:t>
      </w:r>
      <w:r>
        <w:rPr>
          <w:highlight w:val="none"/>
        </w:rPr>
        <w:fldChar w:fldCharType="end"/>
      </w:r>
      <w:r>
        <w:rPr>
          <w:rFonts w:hint="eastAsia" w:ascii="宋体" w:hAnsi="宋体" w:eastAsia="宋体" w:cs="宋体"/>
          <w:color w:val="auto"/>
          <w:kern w:val="0"/>
          <w:szCs w:val="21"/>
          <w:highlight w:val="none"/>
        </w:rPr>
        <w:fldChar w:fldCharType="end"/>
      </w:r>
    </w:p>
    <w:p w14:paraId="158BC8C8">
      <w:pPr>
        <w:pStyle w:val="1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_Toc23007 </w:instrText>
      </w:r>
      <w:r>
        <w:rPr>
          <w:rFonts w:hint="eastAsia" w:ascii="宋体" w:hAnsi="宋体" w:eastAsia="宋体" w:cs="宋体"/>
          <w:kern w:val="0"/>
          <w:szCs w:val="21"/>
          <w:highlight w:val="none"/>
        </w:rPr>
        <w:fldChar w:fldCharType="separate"/>
      </w:r>
      <w:r>
        <w:rPr>
          <w:rFonts w:hint="eastAsia" w:ascii="宋体" w:hAnsi="宋体" w:eastAsia="宋体" w:cs="宋体"/>
          <w:kern w:val="0"/>
          <w:szCs w:val="24"/>
          <w:highlight w:val="none"/>
          <w:lang w:val="en-US" w:eastAsia="zh-CN" w:bidi="ar-SA"/>
        </w:rPr>
        <w:t>9.提供针对本次项目《反商业贿赂承诺书》；</w:t>
      </w:r>
      <w:r>
        <w:rPr>
          <w:highlight w:val="none"/>
        </w:rPr>
        <w:tab/>
      </w:r>
      <w:r>
        <w:rPr>
          <w:highlight w:val="none"/>
        </w:rPr>
        <w:fldChar w:fldCharType="begin"/>
      </w:r>
      <w:r>
        <w:rPr>
          <w:highlight w:val="none"/>
        </w:rPr>
        <w:instrText xml:space="preserve"> PAGEREF _Toc23007 \h </w:instrText>
      </w:r>
      <w:r>
        <w:rPr>
          <w:highlight w:val="none"/>
        </w:rPr>
        <w:fldChar w:fldCharType="separate"/>
      </w:r>
      <w:r>
        <w:rPr>
          <w:highlight w:val="none"/>
        </w:rPr>
        <w:t>25</w:t>
      </w:r>
      <w:r>
        <w:rPr>
          <w:highlight w:val="none"/>
        </w:rPr>
        <w:fldChar w:fldCharType="end"/>
      </w:r>
      <w:r>
        <w:rPr>
          <w:rFonts w:hint="eastAsia" w:ascii="宋体" w:hAnsi="宋体" w:eastAsia="宋体" w:cs="宋体"/>
          <w:color w:val="auto"/>
          <w:kern w:val="0"/>
          <w:szCs w:val="21"/>
          <w:highlight w:val="none"/>
        </w:rPr>
        <w:fldChar w:fldCharType="end"/>
      </w:r>
    </w:p>
    <w:p w14:paraId="3B045626">
      <w:pPr>
        <w:pStyle w:val="1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_Toc30156 </w:instrText>
      </w:r>
      <w:r>
        <w:rPr>
          <w:rFonts w:hint="eastAsia" w:ascii="宋体" w:hAnsi="宋体" w:eastAsia="宋体" w:cs="宋体"/>
          <w:kern w:val="0"/>
          <w:szCs w:val="21"/>
          <w:highlight w:val="none"/>
        </w:rPr>
        <w:fldChar w:fldCharType="separate"/>
      </w:r>
      <w:r>
        <w:rPr>
          <w:rFonts w:hint="eastAsia" w:ascii="宋体" w:hAnsi="宋体" w:eastAsia="宋体" w:cs="宋体"/>
          <w:kern w:val="0"/>
          <w:szCs w:val="24"/>
          <w:highlight w:val="none"/>
          <w:lang w:val="en-US" w:eastAsia="zh-CN" w:bidi="ar-SA"/>
        </w:rPr>
        <w:t>10.银行开户许可证复印件或银行基本账户信息(包含：银行账号及开户行名称）；</w:t>
      </w:r>
      <w:r>
        <w:rPr>
          <w:highlight w:val="none"/>
        </w:rPr>
        <w:tab/>
      </w:r>
      <w:r>
        <w:rPr>
          <w:highlight w:val="none"/>
        </w:rPr>
        <w:fldChar w:fldCharType="begin"/>
      </w:r>
      <w:r>
        <w:rPr>
          <w:highlight w:val="none"/>
        </w:rPr>
        <w:instrText xml:space="preserve"> PAGEREF _Toc30156 \h </w:instrText>
      </w:r>
      <w:r>
        <w:rPr>
          <w:highlight w:val="none"/>
        </w:rPr>
        <w:fldChar w:fldCharType="separate"/>
      </w:r>
      <w:r>
        <w:rPr>
          <w:highlight w:val="none"/>
        </w:rPr>
        <w:t>25</w:t>
      </w:r>
      <w:r>
        <w:rPr>
          <w:highlight w:val="none"/>
        </w:rPr>
        <w:fldChar w:fldCharType="end"/>
      </w:r>
      <w:r>
        <w:rPr>
          <w:rFonts w:hint="eastAsia" w:ascii="宋体" w:hAnsi="宋体" w:eastAsia="宋体" w:cs="宋体"/>
          <w:color w:val="auto"/>
          <w:kern w:val="0"/>
          <w:szCs w:val="21"/>
          <w:highlight w:val="none"/>
        </w:rPr>
        <w:fldChar w:fldCharType="end"/>
      </w:r>
    </w:p>
    <w:p w14:paraId="239E8873">
      <w:pPr>
        <w:pStyle w:val="1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rFonts w:hint="eastAsia" w:eastAsia="宋体"/>
          <w:highlight w:val="none"/>
          <w:lang w:val="en-US" w:eastAsia="zh-CN"/>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_Toc23448 </w:instrText>
      </w:r>
      <w:r>
        <w:rPr>
          <w:rFonts w:hint="eastAsia" w:ascii="宋体" w:hAnsi="宋体" w:eastAsia="宋体" w:cs="宋体"/>
          <w:kern w:val="0"/>
          <w:szCs w:val="21"/>
          <w:highlight w:val="none"/>
        </w:rPr>
        <w:fldChar w:fldCharType="separate"/>
      </w:r>
      <w:r>
        <w:rPr>
          <w:rFonts w:hint="eastAsia" w:ascii="宋体" w:hAnsi="宋体" w:eastAsia="宋体" w:cs="宋体"/>
          <w:kern w:val="0"/>
          <w:szCs w:val="24"/>
          <w:highlight w:val="none"/>
          <w:lang w:val="en-US" w:eastAsia="zh-CN" w:bidi="ar-SA"/>
        </w:rPr>
        <w:t>11.缴纳磋商保证金有效凭证。</w:t>
      </w:r>
      <w:r>
        <w:rPr>
          <w:highlight w:val="none"/>
        </w:rPr>
        <w:tab/>
      </w:r>
      <w:r>
        <w:rPr>
          <w:rFonts w:hint="eastAsia"/>
          <w:highlight w:val="none"/>
          <w:lang w:val="en-US" w:eastAsia="zh-CN"/>
        </w:rPr>
        <w:t>2</w:t>
      </w:r>
      <w:r>
        <w:rPr>
          <w:rFonts w:hint="eastAsia" w:ascii="宋体" w:hAnsi="宋体" w:eastAsia="宋体" w:cs="宋体"/>
          <w:color w:val="auto"/>
          <w:kern w:val="0"/>
          <w:szCs w:val="21"/>
          <w:highlight w:val="none"/>
        </w:rPr>
        <w:fldChar w:fldCharType="end"/>
      </w:r>
      <w:r>
        <w:rPr>
          <w:rFonts w:hint="eastAsia" w:ascii="宋体" w:hAnsi="宋体" w:cs="宋体"/>
          <w:color w:val="auto"/>
          <w:kern w:val="0"/>
          <w:szCs w:val="21"/>
          <w:highlight w:val="none"/>
          <w:lang w:val="en-US" w:eastAsia="zh-CN"/>
        </w:rPr>
        <w:t>5</w:t>
      </w:r>
    </w:p>
    <w:p w14:paraId="70D7D306">
      <w:pPr>
        <w:pStyle w:val="1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_Toc5710 </w:instrText>
      </w:r>
      <w:r>
        <w:rPr>
          <w:rFonts w:hint="eastAsia" w:ascii="宋体" w:hAnsi="宋体" w:eastAsia="宋体" w:cs="宋体"/>
          <w:kern w:val="0"/>
          <w:szCs w:val="21"/>
          <w:highlight w:val="none"/>
        </w:rPr>
        <w:fldChar w:fldCharType="separate"/>
      </w:r>
      <w:r>
        <w:rPr>
          <w:rFonts w:hint="eastAsia" w:ascii="宋体" w:hAnsi="宋体" w:eastAsia="宋体" w:cs="宋体"/>
          <w:kern w:val="0"/>
          <w:szCs w:val="24"/>
          <w:highlight w:val="none"/>
          <w:lang w:val="en-US" w:eastAsia="zh-CN" w:bidi="ar-SA"/>
        </w:rPr>
        <w:t>12. 供应商可提供有利于投标的其他资格证明材料。</w:t>
      </w:r>
      <w:r>
        <w:rPr>
          <w:highlight w:val="none"/>
        </w:rPr>
        <w:tab/>
      </w:r>
      <w:r>
        <w:rPr>
          <w:highlight w:val="none"/>
        </w:rPr>
        <w:fldChar w:fldCharType="begin"/>
      </w:r>
      <w:r>
        <w:rPr>
          <w:highlight w:val="none"/>
        </w:rPr>
        <w:instrText xml:space="preserve"> PAGEREF _Toc5710 \h </w:instrText>
      </w:r>
      <w:r>
        <w:rPr>
          <w:highlight w:val="none"/>
        </w:rPr>
        <w:fldChar w:fldCharType="separate"/>
      </w:r>
      <w:r>
        <w:rPr>
          <w:highlight w:val="none"/>
        </w:rPr>
        <w:t>25</w:t>
      </w:r>
      <w:r>
        <w:rPr>
          <w:highlight w:val="none"/>
        </w:rPr>
        <w:fldChar w:fldCharType="end"/>
      </w:r>
      <w:r>
        <w:rPr>
          <w:rFonts w:hint="eastAsia" w:ascii="宋体" w:hAnsi="宋体" w:eastAsia="宋体" w:cs="宋体"/>
          <w:color w:val="auto"/>
          <w:kern w:val="0"/>
          <w:szCs w:val="21"/>
          <w:highlight w:val="none"/>
        </w:rPr>
        <w:fldChar w:fldCharType="end"/>
      </w:r>
    </w:p>
    <w:p w14:paraId="38F49D96">
      <w:pPr>
        <w:pStyle w:val="1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_Toc2400 </w:instrText>
      </w:r>
      <w:r>
        <w:rPr>
          <w:rFonts w:hint="eastAsia" w:ascii="宋体" w:hAnsi="宋体" w:eastAsia="宋体" w:cs="宋体"/>
          <w:kern w:val="0"/>
          <w:szCs w:val="21"/>
          <w:highlight w:val="none"/>
        </w:rPr>
        <w:fldChar w:fldCharType="separate"/>
      </w:r>
      <w:r>
        <w:rPr>
          <w:rFonts w:hint="eastAsia" w:ascii="宋体" w:hAnsi="宋体" w:eastAsia="宋体" w:cs="宋体"/>
          <w:i w:val="0"/>
          <w:caps w:val="0"/>
          <w:spacing w:val="0"/>
          <w:w w:val="100"/>
          <w:szCs w:val="24"/>
          <w:highlight w:val="none"/>
        </w:rPr>
        <w:t>第二部分  商务及技术文件</w:t>
      </w:r>
      <w:r>
        <w:rPr>
          <w:highlight w:val="none"/>
        </w:rPr>
        <w:tab/>
      </w:r>
      <w:r>
        <w:rPr>
          <w:highlight w:val="none"/>
        </w:rPr>
        <w:fldChar w:fldCharType="begin"/>
      </w:r>
      <w:r>
        <w:rPr>
          <w:highlight w:val="none"/>
        </w:rPr>
        <w:instrText xml:space="preserve"> PAGEREF _Toc2400 \h </w:instrText>
      </w:r>
      <w:r>
        <w:rPr>
          <w:highlight w:val="none"/>
        </w:rPr>
        <w:fldChar w:fldCharType="separate"/>
      </w:r>
      <w:r>
        <w:rPr>
          <w:highlight w:val="none"/>
        </w:rPr>
        <w:t>26</w:t>
      </w:r>
      <w:r>
        <w:rPr>
          <w:highlight w:val="none"/>
        </w:rPr>
        <w:fldChar w:fldCharType="end"/>
      </w:r>
      <w:r>
        <w:rPr>
          <w:rFonts w:hint="eastAsia" w:ascii="宋体" w:hAnsi="宋体" w:eastAsia="宋体" w:cs="宋体"/>
          <w:color w:val="auto"/>
          <w:kern w:val="0"/>
          <w:szCs w:val="21"/>
          <w:highlight w:val="none"/>
        </w:rPr>
        <w:fldChar w:fldCharType="end"/>
      </w:r>
    </w:p>
    <w:p w14:paraId="2DC67A8C">
      <w:pPr>
        <w:pStyle w:val="1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_Toc3771 </w:instrText>
      </w:r>
      <w:r>
        <w:rPr>
          <w:rFonts w:hint="eastAsia" w:ascii="宋体" w:hAnsi="宋体" w:eastAsia="宋体" w:cs="宋体"/>
          <w:kern w:val="0"/>
          <w:szCs w:val="21"/>
          <w:highlight w:val="none"/>
        </w:rPr>
        <w:fldChar w:fldCharType="separate"/>
      </w:r>
      <w:r>
        <w:rPr>
          <w:rFonts w:hint="eastAsia" w:ascii="宋体" w:hAnsi="宋体" w:eastAsia="宋体" w:cs="宋体"/>
          <w:i w:val="0"/>
          <w:caps w:val="0"/>
          <w:spacing w:val="0"/>
          <w:w w:val="100"/>
          <w:szCs w:val="24"/>
          <w:highlight w:val="none"/>
        </w:rPr>
        <w:t>1</w:t>
      </w:r>
      <w:r>
        <w:rPr>
          <w:rFonts w:hint="eastAsia" w:ascii="宋体" w:hAnsi="宋体" w:eastAsia="宋体" w:cs="宋体"/>
          <w:i w:val="0"/>
          <w:caps w:val="0"/>
          <w:spacing w:val="0"/>
          <w:w w:val="100"/>
          <w:szCs w:val="24"/>
          <w:highlight w:val="none"/>
          <w:lang w:eastAsia="zh-CN"/>
        </w:rPr>
        <w:t>、</w:t>
      </w:r>
      <w:r>
        <w:rPr>
          <w:rFonts w:hint="eastAsia" w:ascii="宋体" w:hAnsi="宋体" w:eastAsia="宋体" w:cs="宋体"/>
          <w:i w:val="0"/>
          <w:caps w:val="0"/>
          <w:spacing w:val="0"/>
          <w:w w:val="100"/>
          <w:szCs w:val="24"/>
          <w:highlight w:val="none"/>
        </w:rPr>
        <w:t>磋商书</w:t>
      </w:r>
      <w:r>
        <w:rPr>
          <w:highlight w:val="none"/>
        </w:rPr>
        <w:tab/>
      </w:r>
      <w:r>
        <w:rPr>
          <w:highlight w:val="none"/>
        </w:rPr>
        <w:fldChar w:fldCharType="begin"/>
      </w:r>
      <w:r>
        <w:rPr>
          <w:highlight w:val="none"/>
        </w:rPr>
        <w:instrText xml:space="preserve"> PAGEREF _Toc3771 \h </w:instrText>
      </w:r>
      <w:r>
        <w:rPr>
          <w:highlight w:val="none"/>
        </w:rPr>
        <w:fldChar w:fldCharType="separate"/>
      </w:r>
      <w:r>
        <w:rPr>
          <w:highlight w:val="none"/>
        </w:rPr>
        <w:t>27</w:t>
      </w:r>
      <w:r>
        <w:rPr>
          <w:highlight w:val="none"/>
        </w:rPr>
        <w:fldChar w:fldCharType="end"/>
      </w:r>
      <w:r>
        <w:rPr>
          <w:rFonts w:hint="eastAsia" w:ascii="宋体" w:hAnsi="宋体" w:eastAsia="宋体" w:cs="宋体"/>
          <w:color w:val="auto"/>
          <w:kern w:val="0"/>
          <w:szCs w:val="21"/>
          <w:highlight w:val="none"/>
        </w:rPr>
        <w:fldChar w:fldCharType="end"/>
      </w:r>
    </w:p>
    <w:p w14:paraId="1B43D192">
      <w:pPr>
        <w:pStyle w:val="1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_Toc19043 </w:instrText>
      </w:r>
      <w:r>
        <w:rPr>
          <w:rFonts w:hint="eastAsia" w:ascii="宋体" w:hAnsi="宋体" w:eastAsia="宋体" w:cs="宋体"/>
          <w:kern w:val="0"/>
          <w:szCs w:val="21"/>
          <w:highlight w:val="none"/>
        </w:rPr>
        <w:fldChar w:fldCharType="separate"/>
      </w:r>
      <w:r>
        <w:rPr>
          <w:rFonts w:hint="eastAsia" w:ascii="宋体" w:hAnsi="宋体" w:eastAsia="宋体" w:cs="宋体"/>
          <w:i w:val="0"/>
          <w:caps w:val="0"/>
          <w:spacing w:val="0"/>
          <w:w w:val="100"/>
          <w:szCs w:val="24"/>
          <w:highlight w:val="none"/>
        </w:rPr>
        <w:t>2</w:t>
      </w:r>
      <w:r>
        <w:rPr>
          <w:rFonts w:hint="eastAsia" w:ascii="宋体" w:hAnsi="宋体" w:eastAsia="宋体" w:cs="宋体"/>
          <w:i w:val="0"/>
          <w:caps w:val="0"/>
          <w:spacing w:val="0"/>
          <w:w w:val="100"/>
          <w:szCs w:val="24"/>
          <w:highlight w:val="none"/>
          <w:lang w:eastAsia="zh-CN"/>
        </w:rPr>
        <w:t>、</w:t>
      </w:r>
      <w:r>
        <w:rPr>
          <w:rFonts w:hint="eastAsia" w:ascii="宋体" w:hAnsi="宋体" w:eastAsia="宋体" w:cs="宋体"/>
          <w:i w:val="0"/>
          <w:caps w:val="0"/>
          <w:spacing w:val="0"/>
          <w:w w:val="100"/>
          <w:szCs w:val="24"/>
          <w:highlight w:val="none"/>
        </w:rPr>
        <w:t>磋商分项报价表</w:t>
      </w:r>
      <w:r>
        <w:rPr>
          <w:rFonts w:hint="eastAsia" w:ascii="宋体" w:hAnsi="宋体" w:eastAsia="宋体" w:cs="宋体"/>
          <w:i w:val="0"/>
          <w:caps w:val="0"/>
          <w:spacing w:val="0"/>
          <w:w w:val="100"/>
          <w:szCs w:val="24"/>
          <w:highlight w:val="none"/>
          <w:lang w:eastAsia="zh-CN"/>
        </w:rPr>
        <w:t>（</w:t>
      </w:r>
      <w:r>
        <w:rPr>
          <w:rFonts w:hint="eastAsia" w:ascii="宋体" w:hAnsi="宋体" w:eastAsia="宋体" w:cs="宋体"/>
          <w:i w:val="0"/>
          <w:caps w:val="0"/>
          <w:spacing w:val="0"/>
          <w:w w:val="100"/>
          <w:szCs w:val="24"/>
          <w:highlight w:val="none"/>
          <w:lang w:val="en-US" w:eastAsia="zh-CN"/>
        </w:rPr>
        <w:t>一</w:t>
      </w:r>
      <w:r>
        <w:rPr>
          <w:rFonts w:hint="eastAsia" w:ascii="宋体" w:hAnsi="宋体" w:eastAsia="宋体" w:cs="宋体"/>
          <w:i w:val="0"/>
          <w:caps w:val="0"/>
          <w:spacing w:val="0"/>
          <w:w w:val="100"/>
          <w:szCs w:val="24"/>
          <w:highlight w:val="none"/>
          <w:lang w:eastAsia="zh-CN"/>
        </w:rPr>
        <w:t>）</w:t>
      </w:r>
      <w:r>
        <w:rPr>
          <w:highlight w:val="none"/>
        </w:rPr>
        <w:tab/>
      </w:r>
      <w:r>
        <w:rPr>
          <w:highlight w:val="none"/>
        </w:rPr>
        <w:fldChar w:fldCharType="begin"/>
      </w:r>
      <w:r>
        <w:rPr>
          <w:highlight w:val="none"/>
        </w:rPr>
        <w:instrText xml:space="preserve"> PAGEREF _Toc19043 \h </w:instrText>
      </w:r>
      <w:r>
        <w:rPr>
          <w:highlight w:val="none"/>
        </w:rPr>
        <w:fldChar w:fldCharType="separate"/>
      </w:r>
      <w:r>
        <w:rPr>
          <w:highlight w:val="none"/>
        </w:rPr>
        <w:t>28</w:t>
      </w:r>
      <w:r>
        <w:rPr>
          <w:highlight w:val="none"/>
        </w:rPr>
        <w:fldChar w:fldCharType="end"/>
      </w:r>
      <w:r>
        <w:rPr>
          <w:rFonts w:hint="eastAsia" w:ascii="宋体" w:hAnsi="宋体" w:eastAsia="宋体" w:cs="宋体"/>
          <w:color w:val="auto"/>
          <w:kern w:val="0"/>
          <w:szCs w:val="21"/>
          <w:highlight w:val="none"/>
        </w:rPr>
        <w:fldChar w:fldCharType="end"/>
      </w:r>
    </w:p>
    <w:p w14:paraId="59F5E93E">
      <w:pPr>
        <w:pStyle w:val="1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_Toc15863 </w:instrText>
      </w:r>
      <w:r>
        <w:rPr>
          <w:rFonts w:hint="eastAsia" w:ascii="宋体" w:hAnsi="宋体" w:eastAsia="宋体" w:cs="宋体"/>
          <w:kern w:val="0"/>
          <w:szCs w:val="21"/>
          <w:highlight w:val="none"/>
        </w:rPr>
        <w:fldChar w:fldCharType="separate"/>
      </w:r>
      <w:r>
        <w:rPr>
          <w:rFonts w:hint="eastAsia" w:ascii="宋体" w:hAnsi="宋体" w:eastAsia="宋体" w:cs="宋体"/>
          <w:i w:val="0"/>
          <w:caps w:val="0"/>
          <w:spacing w:val="0"/>
          <w:w w:val="100"/>
          <w:szCs w:val="24"/>
          <w:highlight w:val="none"/>
        </w:rPr>
        <w:t>3</w:t>
      </w:r>
      <w:r>
        <w:rPr>
          <w:rFonts w:hint="eastAsia" w:ascii="宋体" w:hAnsi="宋体" w:eastAsia="宋体" w:cs="宋体"/>
          <w:i w:val="0"/>
          <w:caps w:val="0"/>
          <w:spacing w:val="0"/>
          <w:w w:val="100"/>
          <w:szCs w:val="24"/>
          <w:highlight w:val="none"/>
          <w:lang w:eastAsia="zh-CN"/>
        </w:rPr>
        <w:t>、</w:t>
      </w:r>
      <w:r>
        <w:rPr>
          <w:rFonts w:hint="eastAsia" w:ascii="宋体" w:hAnsi="宋体" w:eastAsia="宋体" w:cs="宋体"/>
          <w:i w:val="0"/>
          <w:caps w:val="0"/>
          <w:spacing w:val="0"/>
          <w:w w:val="100"/>
          <w:szCs w:val="24"/>
          <w:highlight w:val="none"/>
          <w:lang w:val="en-US" w:eastAsia="zh-CN"/>
        </w:rPr>
        <w:t>服务</w:t>
      </w:r>
      <w:r>
        <w:rPr>
          <w:rFonts w:hint="eastAsia" w:ascii="宋体" w:hAnsi="宋体" w:eastAsia="宋体" w:cs="宋体"/>
          <w:i w:val="0"/>
          <w:caps w:val="0"/>
          <w:spacing w:val="0"/>
          <w:w w:val="100"/>
          <w:szCs w:val="24"/>
          <w:highlight w:val="none"/>
        </w:rPr>
        <w:t>说明一览表</w:t>
      </w:r>
      <w:r>
        <w:rPr>
          <w:highlight w:val="none"/>
        </w:rPr>
        <w:tab/>
      </w:r>
      <w:r>
        <w:rPr>
          <w:highlight w:val="none"/>
        </w:rPr>
        <w:fldChar w:fldCharType="begin"/>
      </w:r>
      <w:r>
        <w:rPr>
          <w:highlight w:val="none"/>
        </w:rPr>
        <w:instrText xml:space="preserve"> PAGEREF _Toc15863 \h </w:instrText>
      </w:r>
      <w:r>
        <w:rPr>
          <w:highlight w:val="none"/>
        </w:rPr>
        <w:fldChar w:fldCharType="separate"/>
      </w:r>
      <w:r>
        <w:rPr>
          <w:highlight w:val="none"/>
        </w:rPr>
        <w:t>29</w:t>
      </w:r>
      <w:r>
        <w:rPr>
          <w:highlight w:val="none"/>
        </w:rPr>
        <w:fldChar w:fldCharType="end"/>
      </w:r>
      <w:r>
        <w:rPr>
          <w:rFonts w:hint="eastAsia" w:ascii="宋体" w:hAnsi="宋体" w:eastAsia="宋体" w:cs="宋体"/>
          <w:color w:val="auto"/>
          <w:kern w:val="0"/>
          <w:szCs w:val="21"/>
          <w:highlight w:val="none"/>
        </w:rPr>
        <w:fldChar w:fldCharType="end"/>
      </w:r>
    </w:p>
    <w:p w14:paraId="72ADA9DE">
      <w:pPr>
        <w:pStyle w:val="1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_Toc4742 </w:instrText>
      </w:r>
      <w:r>
        <w:rPr>
          <w:rFonts w:hint="eastAsia" w:ascii="宋体" w:hAnsi="宋体" w:eastAsia="宋体" w:cs="宋体"/>
          <w:kern w:val="0"/>
          <w:szCs w:val="21"/>
          <w:highlight w:val="none"/>
        </w:rPr>
        <w:fldChar w:fldCharType="separate"/>
      </w:r>
      <w:r>
        <w:rPr>
          <w:rFonts w:hint="eastAsia" w:ascii="宋体" w:hAnsi="宋体" w:eastAsia="宋体" w:cs="宋体"/>
          <w:bCs/>
          <w:szCs w:val="24"/>
          <w:highlight w:val="none"/>
        </w:rPr>
        <w:t>4</w:t>
      </w:r>
      <w:r>
        <w:rPr>
          <w:rFonts w:hint="eastAsia" w:ascii="宋体" w:hAnsi="宋体" w:eastAsia="宋体" w:cs="宋体"/>
          <w:bCs/>
          <w:szCs w:val="24"/>
          <w:highlight w:val="none"/>
          <w:lang w:eastAsia="zh-CN"/>
        </w:rPr>
        <w:t>、</w:t>
      </w:r>
      <w:r>
        <w:rPr>
          <w:rFonts w:hint="eastAsia" w:ascii="宋体" w:hAnsi="宋体" w:eastAsia="宋体" w:cs="宋体"/>
          <w:bCs/>
          <w:szCs w:val="24"/>
          <w:highlight w:val="none"/>
        </w:rPr>
        <w:t>技术规格偏离表</w:t>
      </w:r>
      <w:r>
        <w:rPr>
          <w:highlight w:val="none"/>
        </w:rPr>
        <w:tab/>
      </w:r>
      <w:r>
        <w:rPr>
          <w:highlight w:val="none"/>
        </w:rPr>
        <w:fldChar w:fldCharType="begin"/>
      </w:r>
      <w:r>
        <w:rPr>
          <w:highlight w:val="none"/>
        </w:rPr>
        <w:instrText xml:space="preserve"> PAGEREF _Toc4742 \h </w:instrText>
      </w:r>
      <w:r>
        <w:rPr>
          <w:highlight w:val="none"/>
        </w:rPr>
        <w:fldChar w:fldCharType="separate"/>
      </w:r>
      <w:r>
        <w:rPr>
          <w:highlight w:val="none"/>
        </w:rPr>
        <w:t>30</w:t>
      </w:r>
      <w:r>
        <w:rPr>
          <w:highlight w:val="none"/>
        </w:rPr>
        <w:fldChar w:fldCharType="end"/>
      </w:r>
      <w:r>
        <w:rPr>
          <w:rFonts w:hint="eastAsia" w:ascii="宋体" w:hAnsi="宋体" w:eastAsia="宋体" w:cs="宋体"/>
          <w:color w:val="auto"/>
          <w:kern w:val="0"/>
          <w:szCs w:val="21"/>
          <w:highlight w:val="none"/>
        </w:rPr>
        <w:fldChar w:fldCharType="end"/>
      </w:r>
    </w:p>
    <w:p w14:paraId="54D7DE52">
      <w:pPr>
        <w:pStyle w:val="1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_Toc24101 </w:instrText>
      </w:r>
      <w:r>
        <w:rPr>
          <w:rFonts w:hint="eastAsia" w:ascii="宋体" w:hAnsi="宋体" w:eastAsia="宋体" w:cs="宋体"/>
          <w:kern w:val="0"/>
          <w:szCs w:val="21"/>
          <w:highlight w:val="none"/>
        </w:rPr>
        <w:fldChar w:fldCharType="separate"/>
      </w:r>
      <w:r>
        <w:rPr>
          <w:rFonts w:hint="eastAsia" w:ascii="宋体" w:hAnsi="宋体" w:eastAsia="宋体" w:cs="宋体"/>
          <w:i w:val="0"/>
          <w:caps w:val="0"/>
          <w:spacing w:val="0"/>
          <w:w w:val="100"/>
          <w:szCs w:val="24"/>
          <w:highlight w:val="none"/>
          <w:lang w:val="en-US" w:eastAsia="zh-CN"/>
        </w:rPr>
        <w:t>5</w:t>
      </w:r>
      <w:r>
        <w:rPr>
          <w:rFonts w:hint="eastAsia" w:ascii="宋体" w:hAnsi="宋体" w:eastAsia="宋体" w:cs="宋体"/>
          <w:i w:val="0"/>
          <w:caps w:val="0"/>
          <w:spacing w:val="0"/>
          <w:w w:val="100"/>
          <w:szCs w:val="24"/>
          <w:highlight w:val="none"/>
          <w:lang w:eastAsia="zh-CN"/>
        </w:rPr>
        <w:t>、</w:t>
      </w:r>
      <w:r>
        <w:rPr>
          <w:rFonts w:hint="eastAsia" w:ascii="宋体" w:hAnsi="宋体" w:eastAsia="宋体" w:cs="宋体"/>
          <w:i w:val="0"/>
          <w:caps w:val="0"/>
          <w:spacing w:val="0"/>
          <w:w w:val="100"/>
          <w:szCs w:val="24"/>
          <w:highlight w:val="none"/>
        </w:rPr>
        <w:t>商务条款偏离表</w:t>
      </w:r>
      <w:r>
        <w:rPr>
          <w:highlight w:val="none"/>
        </w:rPr>
        <w:tab/>
      </w:r>
      <w:r>
        <w:rPr>
          <w:highlight w:val="none"/>
        </w:rPr>
        <w:fldChar w:fldCharType="begin"/>
      </w:r>
      <w:r>
        <w:rPr>
          <w:highlight w:val="none"/>
        </w:rPr>
        <w:instrText xml:space="preserve"> PAGEREF _Toc24101 \h </w:instrText>
      </w:r>
      <w:r>
        <w:rPr>
          <w:highlight w:val="none"/>
        </w:rPr>
        <w:fldChar w:fldCharType="separate"/>
      </w:r>
      <w:r>
        <w:rPr>
          <w:highlight w:val="none"/>
        </w:rPr>
        <w:t>31</w:t>
      </w:r>
      <w:r>
        <w:rPr>
          <w:highlight w:val="none"/>
        </w:rPr>
        <w:fldChar w:fldCharType="end"/>
      </w:r>
      <w:r>
        <w:rPr>
          <w:rFonts w:hint="eastAsia" w:ascii="宋体" w:hAnsi="宋体" w:eastAsia="宋体" w:cs="宋体"/>
          <w:color w:val="auto"/>
          <w:kern w:val="0"/>
          <w:szCs w:val="21"/>
          <w:highlight w:val="none"/>
        </w:rPr>
        <w:fldChar w:fldCharType="end"/>
      </w:r>
    </w:p>
    <w:p w14:paraId="4384C3D1">
      <w:pPr>
        <w:pStyle w:val="1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_Toc22995 </w:instrText>
      </w:r>
      <w:r>
        <w:rPr>
          <w:rFonts w:hint="eastAsia" w:ascii="宋体" w:hAnsi="宋体" w:eastAsia="宋体" w:cs="宋体"/>
          <w:kern w:val="0"/>
          <w:szCs w:val="21"/>
          <w:highlight w:val="none"/>
        </w:rPr>
        <w:fldChar w:fldCharType="separate"/>
      </w:r>
      <w:r>
        <w:rPr>
          <w:rFonts w:hint="eastAsia" w:ascii="宋体" w:hAnsi="宋体" w:eastAsia="宋体" w:cs="宋体"/>
          <w:bCs/>
          <w:kern w:val="2"/>
          <w:szCs w:val="22"/>
          <w:highlight w:val="none"/>
        </w:rPr>
        <w:t>6-1  中小企业声明函</w:t>
      </w:r>
      <w:r>
        <w:rPr>
          <w:highlight w:val="none"/>
        </w:rPr>
        <w:tab/>
      </w:r>
      <w:r>
        <w:rPr>
          <w:highlight w:val="none"/>
        </w:rPr>
        <w:fldChar w:fldCharType="begin"/>
      </w:r>
      <w:r>
        <w:rPr>
          <w:highlight w:val="none"/>
        </w:rPr>
        <w:instrText xml:space="preserve"> PAGEREF _Toc22995 \h </w:instrText>
      </w:r>
      <w:r>
        <w:rPr>
          <w:highlight w:val="none"/>
        </w:rPr>
        <w:fldChar w:fldCharType="separate"/>
      </w:r>
      <w:r>
        <w:rPr>
          <w:highlight w:val="none"/>
        </w:rPr>
        <w:t>32</w:t>
      </w:r>
      <w:r>
        <w:rPr>
          <w:highlight w:val="none"/>
        </w:rPr>
        <w:fldChar w:fldCharType="end"/>
      </w:r>
      <w:r>
        <w:rPr>
          <w:rFonts w:hint="eastAsia" w:ascii="宋体" w:hAnsi="宋体" w:eastAsia="宋体" w:cs="宋体"/>
          <w:color w:val="auto"/>
          <w:kern w:val="0"/>
          <w:szCs w:val="21"/>
          <w:highlight w:val="none"/>
        </w:rPr>
        <w:fldChar w:fldCharType="end"/>
      </w:r>
    </w:p>
    <w:p w14:paraId="6DAA698B">
      <w:pPr>
        <w:pStyle w:val="1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_Toc23508 </w:instrText>
      </w:r>
      <w:r>
        <w:rPr>
          <w:rFonts w:hint="eastAsia" w:ascii="宋体" w:hAnsi="宋体" w:eastAsia="宋体" w:cs="宋体"/>
          <w:kern w:val="0"/>
          <w:szCs w:val="21"/>
          <w:highlight w:val="none"/>
        </w:rPr>
        <w:fldChar w:fldCharType="separate"/>
      </w:r>
      <w:r>
        <w:rPr>
          <w:rFonts w:hint="eastAsia" w:ascii="宋体" w:hAnsi="宋体" w:eastAsia="宋体" w:cs="宋体"/>
          <w:bCs/>
          <w:kern w:val="2"/>
          <w:szCs w:val="22"/>
          <w:highlight w:val="none"/>
        </w:rPr>
        <w:t>6-2  残疾人福利性单位声明函</w:t>
      </w:r>
      <w:r>
        <w:rPr>
          <w:highlight w:val="none"/>
        </w:rPr>
        <w:tab/>
      </w:r>
      <w:r>
        <w:rPr>
          <w:highlight w:val="none"/>
        </w:rPr>
        <w:fldChar w:fldCharType="begin"/>
      </w:r>
      <w:r>
        <w:rPr>
          <w:highlight w:val="none"/>
        </w:rPr>
        <w:instrText xml:space="preserve"> PAGEREF _Toc23508 \h </w:instrText>
      </w:r>
      <w:r>
        <w:rPr>
          <w:highlight w:val="none"/>
        </w:rPr>
        <w:fldChar w:fldCharType="separate"/>
      </w:r>
      <w:r>
        <w:rPr>
          <w:highlight w:val="none"/>
        </w:rPr>
        <w:t>33</w:t>
      </w:r>
      <w:r>
        <w:rPr>
          <w:highlight w:val="none"/>
        </w:rPr>
        <w:fldChar w:fldCharType="end"/>
      </w:r>
      <w:r>
        <w:rPr>
          <w:rFonts w:hint="eastAsia" w:ascii="宋体" w:hAnsi="宋体" w:eastAsia="宋体" w:cs="宋体"/>
          <w:color w:val="auto"/>
          <w:kern w:val="0"/>
          <w:szCs w:val="21"/>
          <w:highlight w:val="none"/>
        </w:rPr>
        <w:fldChar w:fldCharType="end"/>
      </w:r>
    </w:p>
    <w:p w14:paraId="1F2CAA95">
      <w:pPr>
        <w:pStyle w:val="1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_Toc1185 </w:instrText>
      </w:r>
      <w:r>
        <w:rPr>
          <w:rFonts w:hint="eastAsia" w:ascii="宋体" w:hAnsi="宋体" w:eastAsia="宋体" w:cs="宋体"/>
          <w:kern w:val="0"/>
          <w:szCs w:val="21"/>
          <w:highlight w:val="none"/>
        </w:rPr>
        <w:fldChar w:fldCharType="separate"/>
      </w:r>
      <w:r>
        <w:rPr>
          <w:rFonts w:hint="eastAsia" w:ascii="宋体" w:hAnsi="宋体" w:eastAsia="宋体" w:cs="宋体"/>
          <w:bCs/>
          <w:kern w:val="2"/>
          <w:szCs w:val="24"/>
          <w:highlight w:val="none"/>
        </w:rPr>
        <w:t>7</w:t>
      </w:r>
      <w:r>
        <w:rPr>
          <w:rFonts w:hint="eastAsia" w:ascii="宋体" w:hAnsi="宋体" w:eastAsia="宋体" w:cs="宋体"/>
          <w:bCs/>
          <w:kern w:val="2"/>
          <w:szCs w:val="24"/>
          <w:highlight w:val="none"/>
          <w:lang w:val="en-US" w:eastAsia="zh-CN"/>
        </w:rPr>
        <w:t>、</w:t>
      </w:r>
      <w:r>
        <w:rPr>
          <w:rFonts w:hint="eastAsia" w:ascii="宋体" w:hAnsi="宋体" w:eastAsia="宋体" w:cs="宋体"/>
          <w:bCs/>
          <w:kern w:val="2"/>
          <w:szCs w:val="24"/>
          <w:highlight w:val="none"/>
        </w:rPr>
        <w:t>供应商关联单位的说明</w:t>
      </w:r>
      <w:r>
        <w:rPr>
          <w:highlight w:val="none"/>
        </w:rPr>
        <w:tab/>
      </w:r>
      <w:r>
        <w:rPr>
          <w:highlight w:val="none"/>
        </w:rPr>
        <w:fldChar w:fldCharType="begin"/>
      </w:r>
      <w:r>
        <w:rPr>
          <w:highlight w:val="none"/>
        </w:rPr>
        <w:instrText xml:space="preserve"> PAGEREF _Toc1185 \h </w:instrText>
      </w:r>
      <w:r>
        <w:rPr>
          <w:highlight w:val="none"/>
        </w:rPr>
        <w:fldChar w:fldCharType="separate"/>
      </w:r>
      <w:r>
        <w:rPr>
          <w:highlight w:val="none"/>
        </w:rPr>
        <w:t>37</w:t>
      </w:r>
      <w:r>
        <w:rPr>
          <w:highlight w:val="none"/>
        </w:rPr>
        <w:fldChar w:fldCharType="end"/>
      </w:r>
      <w:r>
        <w:rPr>
          <w:rFonts w:hint="eastAsia" w:ascii="宋体" w:hAnsi="宋体" w:eastAsia="宋体" w:cs="宋体"/>
          <w:color w:val="auto"/>
          <w:kern w:val="0"/>
          <w:szCs w:val="21"/>
          <w:highlight w:val="none"/>
        </w:rPr>
        <w:fldChar w:fldCharType="end"/>
      </w:r>
    </w:p>
    <w:p w14:paraId="633416B2">
      <w:pPr>
        <w:pStyle w:val="1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_Toc5115 </w:instrText>
      </w:r>
      <w:r>
        <w:rPr>
          <w:rFonts w:hint="eastAsia" w:ascii="宋体" w:hAnsi="宋体" w:eastAsia="宋体" w:cs="宋体"/>
          <w:kern w:val="0"/>
          <w:szCs w:val="21"/>
          <w:highlight w:val="none"/>
        </w:rPr>
        <w:fldChar w:fldCharType="separate"/>
      </w:r>
      <w:r>
        <w:rPr>
          <w:rFonts w:hint="eastAsia" w:ascii="宋体" w:hAnsi="宋体" w:eastAsia="宋体" w:cs="宋体"/>
          <w:bCs/>
          <w:kern w:val="2"/>
          <w:szCs w:val="24"/>
          <w:highlight w:val="none"/>
          <w:lang w:val="en-US" w:eastAsia="zh-CN"/>
        </w:rPr>
        <w:t>8、供应商可提供有利于投标的其他资格证明材料</w:t>
      </w:r>
      <w:r>
        <w:rPr>
          <w:highlight w:val="none"/>
        </w:rPr>
        <w:tab/>
      </w:r>
      <w:r>
        <w:rPr>
          <w:highlight w:val="none"/>
        </w:rPr>
        <w:fldChar w:fldCharType="begin"/>
      </w:r>
      <w:r>
        <w:rPr>
          <w:highlight w:val="none"/>
        </w:rPr>
        <w:instrText xml:space="preserve"> PAGEREF _Toc5115 \h </w:instrText>
      </w:r>
      <w:r>
        <w:rPr>
          <w:highlight w:val="none"/>
        </w:rPr>
        <w:fldChar w:fldCharType="separate"/>
      </w:r>
      <w:r>
        <w:rPr>
          <w:highlight w:val="none"/>
        </w:rPr>
        <w:t>37</w:t>
      </w:r>
      <w:r>
        <w:rPr>
          <w:highlight w:val="none"/>
        </w:rPr>
        <w:fldChar w:fldCharType="end"/>
      </w:r>
      <w:r>
        <w:rPr>
          <w:rFonts w:hint="eastAsia" w:ascii="宋体" w:hAnsi="宋体" w:eastAsia="宋体" w:cs="宋体"/>
          <w:color w:val="auto"/>
          <w:kern w:val="0"/>
          <w:szCs w:val="21"/>
          <w:highlight w:val="none"/>
        </w:rPr>
        <w:fldChar w:fldCharType="end"/>
      </w:r>
    </w:p>
    <w:p w14:paraId="3CE2C9FF">
      <w:pPr>
        <w:pStyle w:val="1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_Toc17947 </w:instrText>
      </w:r>
      <w:r>
        <w:rPr>
          <w:rFonts w:hint="eastAsia" w:ascii="宋体" w:hAnsi="宋体" w:eastAsia="宋体" w:cs="宋体"/>
          <w:kern w:val="0"/>
          <w:szCs w:val="21"/>
          <w:highlight w:val="none"/>
        </w:rPr>
        <w:fldChar w:fldCharType="separate"/>
      </w:r>
      <w:r>
        <w:rPr>
          <w:rFonts w:hint="eastAsia" w:ascii="宋体" w:hAnsi="宋体" w:eastAsia="宋体" w:cs="宋体"/>
          <w:kern w:val="0"/>
          <w:szCs w:val="20"/>
          <w:highlight w:val="none"/>
          <w:lang w:val="en-US" w:eastAsia="zh-CN"/>
        </w:rPr>
        <w:t>9、</w:t>
      </w:r>
      <w:r>
        <w:rPr>
          <w:rFonts w:hint="eastAsia" w:ascii="宋体" w:hAnsi="宋体" w:eastAsia="宋体" w:cs="宋体"/>
          <w:kern w:val="0"/>
          <w:szCs w:val="20"/>
          <w:highlight w:val="none"/>
          <w:lang w:eastAsia="zh-CN"/>
        </w:rPr>
        <w:t>响应文件</w:t>
      </w:r>
      <w:r>
        <w:rPr>
          <w:rFonts w:hint="eastAsia" w:ascii="宋体" w:hAnsi="宋体" w:eastAsia="宋体" w:cs="宋体"/>
          <w:kern w:val="0"/>
          <w:szCs w:val="20"/>
          <w:highlight w:val="none"/>
        </w:rPr>
        <w:t>格式范本</w:t>
      </w:r>
      <w:r>
        <w:rPr>
          <w:highlight w:val="none"/>
        </w:rPr>
        <w:tab/>
      </w:r>
      <w:r>
        <w:rPr>
          <w:highlight w:val="none"/>
        </w:rPr>
        <w:fldChar w:fldCharType="begin"/>
      </w:r>
      <w:r>
        <w:rPr>
          <w:highlight w:val="none"/>
        </w:rPr>
        <w:instrText xml:space="preserve"> PAGEREF _Toc17947 \h </w:instrText>
      </w:r>
      <w:r>
        <w:rPr>
          <w:highlight w:val="none"/>
        </w:rPr>
        <w:fldChar w:fldCharType="separate"/>
      </w:r>
      <w:r>
        <w:rPr>
          <w:highlight w:val="none"/>
        </w:rPr>
        <w:t>38</w:t>
      </w:r>
      <w:r>
        <w:rPr>
          <w:highlight w:val="none"/>
        </w:rPr>
        <w:fldChar w:fldCharType="end"/>
      </w:r>
      <w:r>
        <w:rPr>
          <w:rFonts w:hint="eastAsia" w:ascii="宋体" w:hAnsi="宋体" w:eastAsia="宋体" w:cs="宋体"/>
          <w:color w:val="auto"/>
          <w:kern w:val="0"/>
          <w:szCs w:val="21"/>
          <w:highlight w:val="none"/>
        </w:rPr>
        <w:fldChar w:fldCharType="end"/>
      </w:r>
    </w:p>
    <w:p w14:paraId="4EAF5A63">
      <w:pPr>
        <w:pStyle w:val="1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rFonts w:hint="eastAsia" w:eastAsia="宋体"/>
          <w:highlight w:val="none"/>
          <w:lang w:val="en-US" w:eastAsia="zh-CN"/>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_Toc22240 </w:instrText>
      </w:r>
      <w:r>
        <w:rPr>
          <w:rFonts w:hint="eastAsia" w:ascii="宋体" w:hAnsi="宋体" w:eastAsia="宋体" w:cs="宋体"/>
          <w:kern w:val="0"/>
          <w:szCs w:val="21"/>
          <w:highlight w:val="none"/>
        </w:rPr>
        <w:fldChar w:fldCharType="separate"/>
      </w:r>
      <w:r>
        <w:rPr>
          <w:rFonts w:hint="eastAsia" w:ascii="宋体" w:hAnsi="宋体" w:eastAsia="宋体" w:cs="宋体"/>
          <w:kern w:val="0"/>
          <w:szCs w:val="20"/>
          <w:highlight w:val="none"/>
          <w:lang w:val="en-US" w:eastAsia="zh-CN"/>
        </w:rPr>
        <w:t>10、二轮报价表（此表用于磋商现场）</w:t>
      </w:r>
      <w:r>
        <w:rPr>
          <w:highlight w:val="none"/>
        </w:rPr>
        <w:tab/>
      </w:r>
      <w:r>
        <w:rPr>
          <w:rFonts w:hint="eastAsia"/>
          <w:highlight w:val="none"/>
          <w:lang w:val="en-US" w:eastAsia="zh-CN"/>
        </w:rPr>
        <w:t>3</w:t>
      </w:r>
      <w:r>
        <w:rPr>
          <w:rFonts w:hint="eastAsia" w:ascii="宋体" w:hAnsi="宋体" w:eastAsia="宋体" w:cs="宋体"/>
          <w:color w:val="auto"/>
          <w:kern w:val="0"/>
          <w:szCs w:val="21"/>
          <w:highlight w:val="none"/>
        </w:rPr>
        <w:fldChar w:fldCharType="end"/>
      </w:r>
      <w:r>
        <w:rPr>
          <w:rFonts w:hint="eastAsia" w:ascii="宋体" w:hAnsi="宋体" w:cs="宋体"/>
          <w:color w:val="auto"/>
          <w:kern w:val="0"/>
          <w:szCs w:val="21"/>
          <w:highlight w:val="none"/>
          <w:lang w:val="en-US" w:eastAsia="zh-CN"/>
        </w:rPr>
        <w:t>8</w:t>
      </w:r>
    </w:p>
    <w:p w14:paraId="144AC6DA">
      <w:pPr>
        <w:pStyle w:val="15"/>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_Toc6161 </w:instrText>
      </w:r>
      <w:r>
        <w:rPr>
          <w:rFonts w:hint="eastAsia" w:ascii="宋体" w:hAnsi="宋体" w:eastAsia="宋体" w:cs="宋体"/>
          <w:kern w:val="0"/>
          <w:szCs w:val="21"/>
          <w:highlight w:val="none"/>
        </w:rPr>
        <w:fldChar w:fldCharType="separate"/>
      </w:r>
      <w:r>
        <w:rPr>
          <w:rFonts w:hint="eastAsia" w:ascii="宋体" w:hAnsi="宋体" w:eastAsia="宋体" w:cs="宋体"/>
          <w:highlight w:val="none"/>
          <w:lang w:val="en-US" w:eastAsia="zh-CN"/>
        </w:rPr>
        <w:t>第3章</w:t>
      </w:r>
      <w:r>
        <w:rPr>
          <w:rFonts w:hint="eastAsia" w:ascii="宋体" w:hAnsi="宋体" w:eastAsia="宋体" w:cs="宋体"/>
          <w:highlight w:val="none"/>
        </w:rPr>
        <w:t xml:space="preserve"> </w:t>
      </w:r>
      <w:r>
        <w:rPr>
          <w:rFonts w:hint="eastAsia" w:ascii="宋体" w:hAnsi="宋体" w:eastAsia="宋体" w:cs="宋体"/>
          <w:highlight w:val="none"/>
          <w:lang w:eastAsia="zh-CN"/>
        </w:rPr>
        <w:t>磋商</w:t>
      </w:r>
      <w:r>
        <w:rPr>
          <w:rFonts w:hint="eastAsia" w:ascii="宋体" w:hAnsi="宋体" w:eastAsia="宋体" w:cs="宋体"/>
          <w:highlight w:val="none"/>
        </w:rPr>
        <w:t>邀请</w:t>
      </w:r>
      <w:r>
        <w:rPr>
          <w:highlight w:val="none"/>
        </w:rPr>
        <w:tab/>
      </w:r>
      <w:r>
        <w:rPr>
          <w:highlight w:val="none"/>
        </w:rPr>
        <w:fldChar w:fldCharType="begin"/>
      </w:r>
      <w:r>
        <w:rPr>
          <w:highlight w:val="none"/>
        </w:rPr>
        <w:instrText xml:space="preserve"> PAGEREF _Toc6161 \h </w:instrText>
      </w:r>
      <w:r>
        <w:rPr>
          <w:highlight w:val="none"/>
        </w:rPr>
        <w:fldChar w:fldCharType="separate"/>
      </w:r>
      <w:r>
        <w:rPr>
          <w:highlight w:val="none"/>
        </w:rPr>
        <w:t>40</w:t>
      </w:r>
      <w:r>
        <w:rPr>
          <w:highlight w:val="none"/>
        </w:rPr>
        <w:fldChar w:fldCharType="end"/>
      </w:r>
      <w:r>
        <w:rPr>
          <w:rFonts w:hint="eastAsia" w:ascii="宋体" w:hAnsi="宋体" w:eastAsia="宋体" w:cs="宋体"/>
          <w:color w:val="auto"/>
          <w:kern w:val="0"/>
          <w:szCs w:val="21"/>
          <w:highlight w:val="none"/>
        </w:rPr>
        <w:fldChar w:fldCharType="end"/>
      </w:r>
    </w:p>
    <w:p w14:paraId="65EFC3E1">
      <w:pPr>
        <w:pStyle w:val="15"/>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_Toc32560 </w:instrText>
      </w:r>
      <w:r>
        <w:rPr>
          <w:rFonts w:hint="eastAsia" w:ascii="宋体" w:hAnsi="宋体" w:eastAsia="宋体" w:cs="宋体"/>
          <w:kern w:val="0"/>
          <w:szCs w:val="21"/>
          <w:highlight w:val="none"/>
        </w:rPr>
        <w:fldChar w:fldCharType="separate"/>
      </w:r>
      <w:r>
        <w:rPr>
          <w:rFonts w:hint="eastAsia" w:ascii="宋体" w:hAnsi="宋体" w:eastAsia="宋体" w:cs="宋体"/>
          <w:highlight w:val="none"/>
          <w:lang w:val="en-US" w:eastAsia="zh-CN"/>
        </w:rPr>
        <w:t xml:space="preserve">第4章 </w:t>
      </w:r>
      <w:r>
        <w:rPr>
          <w:rFonts w:hint="eastAsia" w:ascii="宋体" w:hAnsi="宋体" w:eastAsia="宋体" w:cs="宋体"/>
          <w:highlight w:val="none"/>
          <w:lang w:eastAsia="zh-CN"/>
        </w:rPr>
        <w:t>供应商</w:t>
      </w:r>
      <w:r>
        <w:rPr>
          <w:rFonts w:hint="eastAsia" w:ascii="宋体" w:hAnsi="宋体" w:eastAsia="宋体" w:cs="宋体"/>
          <w:highlight w:val="none"/>
        </w:rPr>
        <w:t>须知资料表</w:t>
      </w:r>
      <w:r>
        <w:rPr>
          <w:highlight w:val="none"/>
        </w:rPr>
        <w:tab/>
      </w:r>
      <w:r>
        <w:rPr>
          <w:highlight w:val="none"/>
        </w:rPr>
        <w:fldChar w:fldCharType="begin"/>
      </w:r>
      <w:r>
        <w:rPr>
          <w:highlight w:val="none"/>
        </w:rPr>
        <w:instrText xml:space="preserve"> PAGEREF _Toc32560 \h </w:instrText>
      </w:r>
      <w:r>
        <w:rPr>
          <w:highlight w:val="none"/>
        </w:rPr>
        <w:fldChar w:fldCharType="separate"/>
      </w:r>
      <w:r>
        <w:rPr>
          <w:highlight w:val="none"/>
        </w:rPr>
        <w:t>45</w:t>
      </w:r>
      <w:r>
        <w:rPr>
          <w:highlight w:val="none"/>
        </w:rPr>
        <w:fldChar w:fldCharType="end"/>
      </w:r>
      <w:r>
        <w:rPr>
          <w:rFonts w:hint="eastAsia" w:ascii="宋体" w:hAnsi="宋体" w:eastAsia="宋体" w:cs="宋体"/>
          <w:color w:val="auto"/>
          <w:kern w:val="0"/>
          <w:szCs w:val="21"/>
          <w:highlight w:val="none"/>
        </w:rPr>
        <w:fldChar w:fldCharType="end"/>
      </w:r>
    </w:p>
    <w:p w14:paraId="6CF6760E">
      <w:pPr>
        <w:pStyle w:val="15"/>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_Toc31280 </w:instrText>
      </w:r>
      <w:r>
        <w:rPr>
          <w:rFonts w:hint="eastAsia" w:ascii="宋体" w:hAnsi="宋体" w:eastAsia="宋体" w:cs="宋体"/>
          <w:kern w:val="0"/>
          <w:szCs w:val="21"/>
          <w:highlight w:val="none"/>
        </w:rPr>
        <w:fldChar w:fldCharType="separate"/>
      </w:r>
      <w:r>
        <w:rPr>
          <w:rFonts w:hint="eastAsia" w:ascii="宋体" w:hAnsi="宋体" w:eastAsia="宋体" w:cs="宋体"/>
          <w:szCs w:val="32"/>
          <w:highlight w:val="none"/>
          <w:lang w:val="en-US" w:eastAsia="zh-CN"/>
        </w:rPr>
        <w:t xml:space="preserve">第5章 </w:t>
      </w:r>
      <w:r>
        <w:rPr>
          <w:rFonts w:hint="eastAsia" w:ascii="宋体" w:hAnsi="宋体" w:cs="宋体"/>
          <w:szCs w:val="32"/>
          <w:highlight w:val="none"/>
          <w:lang w:val="en-US" w:eastAsia="zh-CN"/>
        </w:rPr>
        <w:t>货物</w:t>
      </w:r>
      <w:r>
        <w:rPr>
          <w:rFonts w:hint="eastAsia" w:ascii="宋体" w:hAnsi="宋体" w:eastAsia="宋体" w:cs="宋体"/>
          <w:highlight w:val="none"/>
          <w:lang w:val="en-US" w:eastAsia="zh-CN"/>
        </w:rPr>
        <w:t>需求及</w:t>
      </w:r>
      <w:r>
        <w:rPr>
          <w:rFonts w:hint="eastAsia" w:ascii="宋体" w:hAnsi="宋体" w:cs="宋体"/>
          <w:highlight w:val="none"/>
          <w:lang w:val="en-US" w:eastAsia="zh-CN"/>
        </w:rPr>
        <w:t>其他</w:t>
      </w:r>
      <w:r>
        <w:rPr>
          <w:rFonts w:hint="eastAsia" w:ascii="宋体" w:hAnsi="宋体" w:eastAsia="宋体" w:cs="宋体"/>
          <w:highlight w:val="none"/>
          <w:lang w:val="en-US" w:eastAsia="zh-CN"/>
        </w:rPr>
        <w:t>要求</w:t>
      </w:r>
      <w:r>
        <w:rPr>
          <w:highlight w:val="none"/>
        </w:rPr>
        <w:tab/>
      </w:r>
      <w:r>
        <w:rPr>
          <w:highlight w:val="none"/>
        </w:rPr>
        <w:fldChar w:fldCharType="begin"/>
      </w:r>
      <w:r>
        <w:rPr>
          <w:highlight w:val="none"/>
        </w:rPr>
        <w:instrText xml:space="preserve"> PAGEREF _Toc31280 \h </w:instrText>
      </w:r>
      <w:r>
        <w:rPr>
          <w:highlight w:val="none"/>
        </w:rPr>
        <w:fldChar w:fldCharType="separate"/>
      </w:r>
      <w:r>
        <w:rPr>
          <w:highlight w:val="none"/>
        </w:rPr>
        <w:t>51</w:t>
      </w:r>
      <w:r>
        <w:rPr>
          <w:highlight w:val="none"/>
        </w:rPr>
        <w:fldChar w:fldCharType="end"/>
      </w:r>
      <w:r>
        <w:rPr>
          <w:rFonts w:hint="eastAsia" w:ascii="宋体" w:hAnsi="宋体" w:eastAsia="宋体" w:cs="宋体"/>
          <w:color w:val="auto"/>
          <w:kern w:val="0"/>
          <w:szCs w:val="21"/>
          <w:highlight w:val="none"/>
        </w:rPr>
        <w:fldChar w:fldCharType="end"/>
      </w:r>
    </w:p>
    <w:p w14:paraId="5588EE38">
      <w:pPr>
        <w:pStyle w:val="15"/>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_Toc9932 </w:instrText>
      </w:r>
      <w:r>
        <w:rPr>
          <w:rFonts w:hint="eastAsia" w:ascii="宋体" w:hAnsi="宋体" w:eastAsia="宋体" w:cs="宋体"/>
          <w:kern w:val="0"/>
          <w:szCs w:val="21"/>
          <w:highlight w:val="none"/>
        </w:rPr>
        <w:fldChar w:fldCharType="separate"/>
      </w:r>
      <w:r>
        <w:rPr>
          <w:rFonts w:hint="eastAsia" w:ascii="宋体" w:hAnsi="宋体" w:eastAsia="宋体" w:cs="宋体"/>
          <w:i w:val="0"/>
          <w:caps w:val="0"/>
          <w:spacing w:val="0"/>
          <w:w w:val="100"/>
          <w:highlight w:val="none"/>
        </w:rPr>
        <w:t>第6章 评审方法和标准</w:t>
      </w:r>
      <w:r>
        <w:rPr>
          <w:highlight w:val="none"/>
        </w:rPr>
        <w:tab/>
      </w:r>
      <w:r>
        <w:rPr>
          <w:highlight w:val="none"/>
        </w:rPr>
        <w:fldChar w:fldCharType="begin"/>
      </w:r>
      <w:r>
        <w:rPr>
          <w:highlight w:val="none"/>
        </w:rPr>
        <w:instrText xml:space="preserve"> PAGEREF _Toc9932 \h </w:instrText>
      </w:r>
      <w:r>
        <w:rPr>
          <w:highlight w:val="none"/>
        </w:rPr>
        <w:fldChar w:fldCharType="separate"/>
      </w:r>
      <w:r>
        <w:rPr>
          <w:highlight w:val="none"/>
        </w:rPr>
        <w:t>53</w:t>
      </w:r>
      <w:r>
        <w:rPr>
          <w:highlight w:val="none"/>
        </w:rPr>
        <w:fldChar w:fldCharType="end"/>
      </w:r>
      <w:r>
        <w:rPr>
          <w:rFonts w:hint="eastAsia" w:ascii="宋体" w:hAnsi="宋体" w:eastAsia="宋体" w:cs="宋体"/>
          <w:color w:val="auto"/>
          <w:kern w:val="0"/>
          <w:szCs w:val="21"/>
          <w:highlight w:val="none"/>
        </w:rPr>
        <w:fldChar w:fldCharType="end"/>
      </w:r>
    </w:p>
    <w:p w14:paraId="019EC87F">
      <w:pPr>
        <w:pStyle w:val="15"/>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_Toc31762 </w:instrText>
      </w:r>
      <w:r>
        <w:rPr>
          <w:rFonts w:hint="eastAsia" w:ascii="宋体" w:hAnsi="宋体" w:eastAsia="宋体" w:cs="宋体"/>
          <w:kern w:val="0"/>
          <w:szCs w:val="21"/>
          <w:highlight w:val="none"/>
        </w:rPr>
        <w:fldChar w:fldCharType="separate"/>
      </w:r>
      <w:r>
        <w:rPr>
          <w:rFonts w:hint="eastAsia" w:ascii="宋体" w:hAnsi="宋体" w:eastAsia="宋体" w:cs="宋体"/>
          <w:bCs/>
          <w:szCs w:val="21"/>
          <w:highlight w:val="none"/>
        </w:rPr>
        <w:t>初步评审—资格性审查表</w:t>
      </w:r>
      <w:r>
        <w:rPr>
          <w:highlight w:val="none"/>
        </w:rPr>
        <w:tab/>
      </w:r>
      <w:r>
        <w:rPr>
          <w:highlight w:val="none"/>
        </w:rPr>
        <w:fldChar w:fldCharType="begin"/>
      </w:r>
      <w:r>
        <w:rPr>
          <w:highlight w:val="none"/>
        </w:rPr>
        <w:instrText xml:space="preserve"> PAGEREF _Toc31762 \h </w:instrText>
      </w:r>
      <w:r>
        <w:rPr>
          <w:highlight w:val="none"/>
        </w:rPr>
        <w:fldChar w:fldCharType="separate"/>
      </w:r>
      <w:r>
        <w:rPr>
          <w:highlight w:val="none"/>
        </w:rPr>
        <w:t>58</w:t>
      </w:r>
      <w:r>
        <w:rPr>
          <w:highlight w:val="none"/>
        </w:rPr>
        <w:fldChar w:fldCharType="end"/>
      </w:r>
      <w:r>
        <w:rPr>
          <w:rFonts w:hint="eastAsia" w:ascii="宋体" w:hAnsi="宋体" w:eastAsia="宋体" w:cs="宋体"/>
          <w:color w:val="auto"/>
          <w:kern w:val="0"/>
          <w:szCs w:val="21"/>
          <w:highlight w:val="none"/>
        </w:rPr>
        <w:fldChar w:fldCharType="end"/>
      </w:r>
    </w:p>
    <w:p w14:paraId="7CFC4C81">
      <w:pPr>
        <w:pStyle w:val="15"/>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_Toc3871 </w:instrText>
      </w:r>
      <w:r>
        <w:rPr>
          <w:rFonts w:hint="eastAsia" w:ascii="宋体" w:hAnsi="宋体" w:eastAsia="宋体" w:cs="宋体"/>
          <w:kern w:val="0"/>
          <w:szCs w:val="21"/>
          <w:highlight w:val="none"/>
        </w:rPr>
        <w:fldChar w:fldCharType="separate"/>
      </w:r>
      <w:r>
        <w:rPr>
          <w:rFonts w:hint="eastAsia" w:ascii="宋体" w:hAnsi="宋体" w:eastAsia="宋体" w:cs="宋体"/>
          <w:bCs/>
          <w:szCs w:val="21"/>
          <w:highlight w:val="none"/>
        </w:rPr>
        <w:t>初步评审—符合性审查表</w:t>
      </w:r>
      <w:r>
        <w:rPr>
          <w:highlight w:val="none"/>
        </w:rPr>
        <w:tab/>
      </w:r>
      <w:r>
        <w:rPr>
          <w:highlight w:val="none"/>
        </w:rPr>
        <w:fldChar w:fldCharType="begin"/>
      </w:r>
      <w:r>
        <w:rPr>
          <w:highlight w:val="none"/>
        </w:rPr>
        <w:instrText xml:space="preserve"> PAGEREF _Toc3871 \h </w:instrText>
      </w:r>
      <w:r>
        <w:rPr>
          <w:highlight w:val="none"/>
        </w:rPr>
        <w:fldChar w:fldCharType="separate"/>
      </w:r>
      <w:r>
        <w:rPr>
          <w:highlight w:val="none"/>
        </w:rPr>
        <w:t>59</w:t>
      </w:r>
      <w:r>
        <w:rPr>
          <w:highlight w:val="none"/>
        </w:rPr>
        <w:fldChar w:fldCharType="end"/>
      </w:r>
      <w:r>
        <w:rPr>
          <w:rFonts w:hint="eastAsia" w:ascii="宋体" w:hAnsi="宋体" w:eastAsia="宋体" w:cs="宋体"/>
          <w:color w:val="auto"/>
          <w:kern w:val="0"/>
          <w:szCs w:val="21"/>
          <w:highlight w:val="none"/>
        </w:rPr>
        <w:fldChar w:fldCharType="end"/>
      </w:r>
    </w:p>
    <w:p w14:paraId="41F7016A">
      <w:pPr>
        <w:pStyle w:val="19"/>
        <w:keepNext w:val="0"/>
        <w:keepLines w:val="0"/>
        <w:pageBreakBefore w:val="0"/>
        <w:widowControl w:val="0"/>
        <w:tabs>
          <w:tab w:val="right" w:leader="dot" w:pos="8312"/>
        </w:tabs>
        <w:kinsoku/>
        <w:wordWrap/>
        <w:overflowPunct/>
        <w:topLinePunct w:val="0"/>
        <w:autoSpaceDE/>
        <w:autoSpaceDN/>
        <w:bidi w:val="0"/>
        <w:adjustRightInd/>
        <w:snapToGrid/>
        <w:spacing w:line="400" w:lineRule="exact"/>
        <w:ind w:left="0" w:leftChars="0" w:firstLine="0" w:firstLineChars="0"/>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_Toc28876 </w:instrText>
      </w:r>
      <w:r>
        <w:rPr>
          <w:rFonts w:hint="eastAsia" w:ascii="宋体" w:hAnsi="宋体" w:eastAsia="宋体" w:cs="宋体"/>
          <w:kern w:val="0"/>
          <w:szCs w:val="21"/>
          <w:highlight w:val="none"/>
        </w:rPr>
        <w:fldChar w:fldCharType="separate"/>
      </w:r>
      <w:r>
        <w:rPr>
          <w:rFonts w:hint="eastAsia" w:ascii="宋体" w:hAnsi="宋体" w:eastAsia="宋体" w:cs="宋体"/>
          <w:highlight w:val="none"/>
        </w:rPr>
        <w:t>综合评分表</w:t>
      </w:r>
      <w:r>
        <w:rPr>
          <w:highlight w:val="none"/>
        </w:rPr>
        <w:tab/>
      </w:r>
      <w:r>
        <w:rPr>
          <w:highlight w:val="none"/>
        </w:rPr>
        <w:fldChar w:fldCharType="begin"/>
      </w:r>
      <w:r>
        <w:rPr>
          <w:highlight w:val="none"/>
        </w:rPr>
        <w:instrText xml:space="preserve"> PAGEREF _Toc28876 \h </w:instrText>
      </w:r>
      <w:r>
        <w:rPr>
          <w:highlight w:val="none"/>
        </w:rPr>
        <w:fldChar w:fldCharType="separate"/>
      </w:r>
      <w:r>
        <w:rPr>
          <w:highlight w:val="none"/>
        </w:rPr>
        <w:t>62</w:t>
      </w:r>
      <w:r>
        <w:rPr>
          <w:highlight w:val="none"/>
        </w:rPr>
        <w:fldChar w:fldCharType="end"/>
      </w:r>
      <w:r>
        <w:rPr>
          <w:rFonts w:hint="eastAsia" w:ascii="宋体" w:hAnsi="宋体" w:eastAsia="宋体" w:cs="宋体"/>
          <w:color w:val="auto"/>
          <w:kern w:val="0"/>
          <w:szCs w:val="21"/>
          <w:highlight w:val="none"/>
        </w:rPr>
        <w:fldChar w:fldCharType="end"/>
      </w:r>
    </w:p>
    <w:p w14:paraId="3353CF2F">
      <w:pPr>
        <w:pStyle w:val="15"/>
        <w:tabs>
          <w:tab w:val="right" w:leader="dot" w:pos="8312"/>
        </w:tabs>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_Toc18466 </w:instrText>
      </w:r>
      <w:r>
        <w:rPr>
          <w:rFonts w:hint="eastAsia" w:ascii="宋体" w:hAnsi="宋体" w:eastAsia="宋体" w:cs="宋体"/>
          <w:kern w:val="0"/>
          <w:szCs w:val="21"/>
          <w:highlight w:val="none"/>
        </w:rPr>
        <w:fldChar w:fldCharType="separate"/>
      </w:r>
      <w:r>
        <w:rPr>
          <w:rFonts w:hint="eastAsia" w:ascii="宋体" w:hAnsi="宋体" w:eastAsia="宋体" w:cs="宋体"/>
          <w:highlight w:val="none"/>
        </w:rPr>
        <w:t>第7章 政府采购合同</w:t>
      </w:r>
      <w:r>
        <w:rPr>
          <w:highlight w:val="none"/>
        </w:rPr>
        <w:tab/>
      </w:r>
      <w:r>
        <w:rPr>
          <w:highlight w:val="none"/>
        </w:rPr>
        <w:fldChar w:fldCharType="begin"/>
      </w:r>
      <w:r>
        <w:rPr>
          <w:highlight w:val="none"/>
        </w:rPr>
        <w:instrText xml:space="preserve"> PAGEREF _Toc18466 \h </w:instrText>
      </w:r>
      <w:r>
        <w:rPr>
          <w:highlight w:val="none"/>
        </w:rPr>
        <w:fldChar w:fldCharType="separate"/>
      </w:r>
      <w:r>
        <w:rPr>
          <w:highlight w:val="none"/>
        </w:rPr>
        <w:t>64</w:t>
      </w:r>
      <w:r>
        <w:rPr>
          <w:highlight w:val="none"/>
        </w:rPr>
        <w:fldChar w:fldCharType="end"/>
      </w:r>
      <w:r>
        <w:rPr>
          <w:rFonts w:hint="eastAsia" w:ascii="宋体" w:hAnsi="宋体" w:eastAsia="宋体" w:cs="宋体"/>
          <w:color w:val="auto"/>
          <w:kern w:val="0"/>
          <w:szCs w:val="21"/>
          <w:highlight w:val="none"/>
        </w:rPr>
        <w:fldChar w:fldCharType="end"/>
      </w:r>
    </w:p>
    <w:p w14:paraId="626F5B29">
      <w:pPr>
        <w:pStyle w:val="15"/>
        <w:tabs>
          <w:tab w:val="right" w:leader="dot" w:pos="8312"/>
        </w:tabs>
        <w:rPr>
          <w:highlight w:val="none"/>
        </w:rPr>
      </w:pPr>
    </w:p>
    <w:p w14:paraId="2FA6898A">
      <w:pPr>
        <w:pStyle w:val="15"/>
        <w:keepNext w:val="0"/>
        <w:keepLines w:val="0"/>
        <w:pageBreakBefore w:val="0"/>
        <w:widowControl w:val="0"/>
        <w:tabs>
          <w:tab w:val="right" w:leader="dot" w:pos="8312"/>
        </w:tabs>
        <w:kinsoku/>
        <w:wordWrap/>
        <w:overflowPunct/>
        <w:topLinePunct w:val="0"/>
        <w:autoSpaceDE/>
        <w:autoSpaceDN/>
        <w:bidi w:val="0"/>
        <w:adjustRightInd/>
        <w:snapToGrid/>
        <w:spacing w:line="260" w:lineRule="exact"/>
        <w:textAlignment w:val="auto"/>
        <w:rPr>
          <w:rFonts w:hint="eastAsia" w:ascii="宋体" w:hAnsi="宋体" w:eastAsia="宋体" w:cs="宋体"/>
          <w:color w:val="auto"/>
          <w:highlight w:val="none"/>
        </w:rPr>
        <w:sectPr>
          <w:headerReference r:id="rId5" w:type="default"/>
          <w:footerReference r:id="rId6" w:type="default"/>
          <w:pgSz w:w="11906" w:h="16838"/>
          <w:pgMar w:top="1440" w:right="1797" w:bottom="1440" w:left="1797" w:header="851" w:footer="992" w:gutter="0"/>
          <w:pgNumType w:fmt="decimal" w:start="1"/>
          <w:cols w:space="720" w:num="1"/>
          <w:docGrid w:linePitch="312" w:charSpace="0"/>
        </w:sectPr>
      </w:pPr>
      <w:r>
        <w:rPr>
          <w:rFonts w:hint="eastAsia" w:ascii="宋体" w:hAnsi="宋体" w:eastAsia="宋体" w:cs="宋体"/>
          <w:color w:val="auto"/>
          <w:kern w:val="0"/>
          <w:szCs w:val="21"/>
          <w:highlight w:val="none"/>
        </w:rPr>
        <w:fldChar w:fldCharType="end"/>
      </w:r>
    </w:p>
    <w:p w14:paraId="761ABD4D">
      <w:pPr>
        <w:pStyle w:val="2"/>
        <w:tabs>
          <w:tab w:val="left" w:pos="0"/>
        </w:tabs>
        <w:spacing w:before="0" w:after="0" w:line="240" w:lineRule="atLeast"/>
        <w:jc w:val="center"/>
        <w:rPr>
          <w:rFonts w:hint="eastAsia" w:ascii="宋体" w:hAnsi="宋体" w:eastAsia="宋体" w:cs="宋体"/>
          <w:color w:val="auto"/>
          <w:highlight w:val="none"/>
        </w:rPr>
      </w:pPr>
      <w:bookmarkStart w:id="0" w:name="_Toc18601"/>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w:t>
      </w:r>
      <w:bookmarkEnd w:id="0"/>
    </w:p>
    <w:p w14:paraId="35C9B5A7">
      <w:pPr>
        <w:pStyle w:val="3"/>
        <w:spacing w:before="0" w:line="240" w:lineRule="atLeast"/>
        <w:ind w:left="1080" w:leftChars="257" w:hanging="540"/>
        <w:rPr>
          <w:rFonts w:hint="eastAsia" w:ascii="宋体" w:hAnsi="宋体" w:eastAsia="宋体" w:cs="宋体"/>
          <w:color w:val="auto"/>
          <w:sz w:val="24"/>
          <w:szCs w:val="24"/>
          <w:highlight w:val="none"/>
        </w:rPr>
      </w:pPr>
      <w:bookmarkStart w:id="1" w:name="_Toc216582805"/>
      <w:bookmarkStart w:id="2" w:name="_Toc515647757"/>
      <w:bookmarkStart w:id="3" w:name="_Toc520356143"/>
      <w:bookmarkStart w:id="4" w:name="_Toc16706"/>
      <w:bookmarkStart w:id="5" w:name="_Toc21015"/>
      <w:bookmarkStart w:id="6" w:name="_Toc5597"/>
      <w:bookmarkStart w:id="7" w:name="_Toc21215"/>
      <w:bookmarkStart w:id="8" w:name="_Toc10472"/>
      <w:bookmarkStart w:id="9" w:name="_Toc19645"/>
      <w:bookmarkStart w:id="10" w:name="_Toc23018"/>
      <w:r>
        <w:rPr>
          <w:rFonts w:hint="eastAsia" w:ascii="宋体" w:hAnsi="宋体" w:eastAsia="宋体" w:cs="宋体"/>
          <w:color w:val="auto"/>
          <w:sz w:val="24"/>
          <w:szCs w:val="24"/>
          <w:highlight w:val="none"/>
        </w:rPr>
        <w:t xml:space="preserve">一   </w:t>
      </w:r>
      <w:bookmarkEnd w:id="1"/>
      <w:bookmarkEnd w:id="2"/>
      <w:bookmarkEnd w:id="3"/>
      <w:r>
        <w:rPr>
          <w:rFonts w:hint="eastAsia" w:ascii="宋体" w:hAnsi="宋体" w:eastAsia="宋体" w:cs="宋体"/>
          <w:color w:val="auto"/>
          <w:sz w:val="24"/>
          <w:szCs w:val="24"/>
          <w:highlight w:val="none"/>
        </w:rPr>
        <w:t>总 则</w:t>
      </w:r>
      <w:bookmarkEnd w:id="4"/>
      <w:bookmarkEnd w:id="5"/>
      <w:bookmarkEnd w:id="6"/>
      <w:bookmarkEnd w:id="7"/>
      <w:bookmarkEnd w:id="8"/>
      <w:bookmarkEnd w:id="9"/>
      <w:bookmarkEnd w:id="10"/>
    </w:p>
    <w:p w14:paraId="6026E122">
      <w:pPr>
        <w:pStyle w:val="4"/>
        <w:shd w:val="clear"/>
        <w:snapToGrid w:val="0"/>
        <w:spacing w:before="0" w:beforeAutospacing="0" w:after="0" w:afterAutospacing="0" w:line="240" w:lineRule="atLeast"/>
        <w:jc w:val="left"/>
        <w:textAlignment w:val="baseline"/>
        <w:rPr>
          <w:rFonts w:hint="eastAsia" w:ascii="宋体" w:hAnsi="宋体" w:eastAsia="宋体" w:cs="宋体"/>
          <w:b/>
          <w:i w:val="0"/>
          <w:caps w:val="0"/>
          <w:color w:val="auto"/>
          <w:spacing w:val="0"/>
          <w:w w:val="100"/>
          <w:sz w:val="24"/>
          <w:szCs w:val="24"/>
          <w:highlight w:val="none"/>
          <w:u w:val="single" w:color="000000"/>
        </w:rPr>
      </w:pPr>
      <w:bookmarkStart w:id="11" w:name="_Toc32623"/>
      <w:bookmarkStart w:id="12" w:name="_Toc520356144"/>
      <w:bookmarkStart w:id="13" w:name="_Toc32189"/>
      <w:bookmarkStart w:id="14" w:name="_Toc515647758"/>
      <w:bookmarkStart w:id="15" w:name="_Toc19826"/>
      <w:bookmarkStart w:id="16" w:name="_Toc11217"/>
      <w:bookmarkStart w:id="17" w:name="_Toc16501"/>
      <w:bookmarkStart w:id="18" w:name="_Toc9574"/>
      <w:bookmarkStart w:id="19" w:name="_Toc16079"/>
      <w:bookmarkStart w:id="20" w:name="_Toc28974"/>
      <w:bookmarkStart w:id="21" w:name="_Toc18866"/>
      <w:bookmarkStart w:id="22" w:name="_Toc16328"/>
      <w:bookmarkStart w:id="23" w:name="_Toc4619"/>
      <w:bookmarkStart w:id="24" w:name="_Toc5853"/>
      <w:bookmarkStart w:id="25" w:name="_Toc12920"/>
      <w:r>
        <w:rPr>
          <w:rFonts w:hint="eastAsia" w:ascii="宋体" w:hAnsi="宋体" w:eastAsia="宋体" w:cs="宋体"/>
          <w:b/>
          <w:i w:val="0"/>
          <w:caps w:val="0"/>
          <w:color w:val="auto"/>
          <w:spacing w:val="0"/>
          <w:w w:val="100"/>
          <w:sz w:val="24"/>
          <w:szCs w:val="24"/>
          <w:highlight w:val="none"/>
          <w:u w:val="single" w:color="000000"/>
        </w:rPr>
        <w:t>1.采购人、采购代理机构及</w:t>
      </w:r>
      <w:bookmarkEnd w:id="11"/>
      <w:bookmarkEnd w:id="12"/>
      <w:bookmarkEnd w:id="13"/>
      <w:bookmarkEnd w:id="14"/>
      <w:r>
        <w:rPr>
          <w:rFonts w:hint="eastAsia" w:ascii="宋体" w:hAnsi="宋体" w:eastAsia="宋体" w:cs="宋体"/>
          <w:b/>
          <w:i w:val="0"/>
          <w:caps w:val="0"/>
          <w:color w:val="auto"/>
          <w:spacing w:val="0"/>
          <w:w w:val="100"/>
          <w:sz w:val="24"/>
          <w:szCs w:val="24"/>
          <w:highlight w:val="none"/>
          <w:u w:val="single" w:color="000000"/>
        </w:rPr>
        <w:t>供应商</w:t>
      </w:r>
      <w:bookmarkEnd w:id="15"/>
      <w:bookmarkEnd w:id="16"/>
      <w:bookmarkEnd w:id="17"/>
      <w:bookmarkEnd w:id="18"/>
      <w:bookmarkEnd w:id="19"/>
      <w:bookmarkEnd w:id="20"/>
      <w:bookmarkEnd w:id="21"/>
    </w:p>
    <w:p w14:paraId="4F7029FE">
      <w:pPr>
        <w:numPr>
          <w:ilvl w:val="1"/>
          <w:numId w:val="2"/>
        </w:numPr>
        <w:shd w:val="clear"/>
        <w:tabs>
          <w:tab w:val="left" w:pos="0"/>
        </w:tabs>
        <w:snapToGrid w:val="0"/>
        <w:spacing w:before="0" w:beforeAutospacing="0" w:after="0" w:afterAutospacing="0" w:line="240" w:lineRule="atLeast"/>
        <w:ind w:hanging="898"/>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采购人：是指依法开展政府采购活动的国家机关、事业单位、团体组织。</w:t>
      </w:r>
    </w:p>
    <w:p w14:paraId="16011233">
      <w:pPr>
        <w:shd w:val="clear"/>
        <w:tabs>
          <w:tab w:val="left" w:pos="0"/>
        </w:tabs>
        <w:snapToGrid w:val="0"/>
        <w:spacing w:before="0" w:beforeAutospacing="0" w:after="0" w:afterAutospacing="0" w:line="240" w:lineRule="atLeast"/>
        <w:ind w:left="90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本项目的采购人见</w:t>
      </w:r>
      <w:r>
        <w:rPr>
          <w:rFonts w:hint="eastAsia" w:ascii="宋体" w:hAnsi="宋体" w:eastAsia="宋体" w:cs="宋体"/>
          <w:b w:val="0"/>
          <w:i w:val="0"/>
          <w:caps w:val="0"/>
          <w:color w:val="auto"/>
          <w:spacing w:val="0"/>
          <w:w w:val="100"/>
          <w:sz w:val="24"/>
          <w:highlight w:val="none"/>
          <w:u w:val="single" w:color="000000"/>
        </w:rPr>
        <w:t>供应商须知资料表</w:t>
      </w:r>
      <w:r>
        <w:rPr>
          <w:rFonts w:hint="eastAsia" w:ascii="宋体" w:hAnsi="宋体" w:eastAsia="宋体" w:cs="宋体"/>
          <w:b w:val="0"/>
          <w:i w:val="0"/>
          <w:caps w:val="0"/>
          <w:color w:val="auto"/>
          <w:spacing w:val="0"/>
          <w:w w:val="100"/>
          <w:sz w:val="24"/>
          <w:highlight w:val="none"/>
        </w:rPr>
        <w:t>。</w:t>
      </w:r>
    </w:p>
    <w:p w14:paraId="1E8F1A37">
      <w:pPr>
        <w:keepNext w:val="0"/>
        <w:keepLines w:val="0"/>
        <w:pageBreakBefore w:val="0"/>
        <w:widowControl w:val="0"/>
        <w:numPr>
          <w:ilvl w:val="1"/>
          <w:numId w:val="2"/>
        </w:numPr>
        <w:shd w:val="clear"/>
        <w:tabs>
          <w:tab w:val="left" w:pos="0"/>
        </w:tabs>
        <w:kinsoku/>
        <w:wordWrap/>
        <w:overflowPunct/>
        <w:topLinePunct w:val="0"/>
        <w:autoSpaceDE/>
        <w:autoSpaceDN/>
        <w:bidi w:val="0"/>
        <w:adjustRightInd/>
        <w:snapToGrid w:val="0"/>
        <w:spacing w:before="0" w:beforeAutospacing="0" w:after="0" w:afterAutospacing="0" w:line="240" w:lineRule="atLeast"/>
        <w:ind w:left="0" w:firstLine="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采购代理机构：是指在集中采购机构或从事采购代理业务的社会中介机构。本项目的采购代理机构见</w:t>
      </w:r>
      <w:r>
        <w:rPr>
          <w:rFonts w:hint="eastAsia" w:ascii="宋体" w:hAnsi="宋体" w:eastAsia="宋体" w:cs="宋体"/>
          <w:b w:val="0"/>
          <w:i w:val="0"/>
          <w:caps w:val="0"/>
          <w:color w:val="auto"/>
          <w:spacing w:val="0"/>
          <w:w w:val="100"/>
          <w:sz w:val="24"/>
          <w:highlight w:val="none"/>
          <w:u w:val="single" w:color="000000"/>
        </w:rPr>
        <w:t>供应商须知资料表</w:t>
      </w:r>
      <w:r>
        <w:rPr>
          <w:rFonts w:hint="eastAsia" w:ascii="宋体" w:hAnsi="宋体" w:eastAsia="宋体" w:cs="宋体"/>
          <w:b w:val="0"/>
          <w:i w:val="0"/>
          <w:caps w:val="0"/>
          <w:color w:val="auto"/>
          <w:spacing w:val="0"/>
          <w:w w:val="100"/>
          <w:sz w:val="24"/>
          <w:highlight w:val="none"/>
        </w:rPr>
        <w:t>。</w:t>
      </w:r>
    </w:p>
    <w:p w14:paraId="62135DFA">
      <w:pPr>
        <w:numPr>
          <w:ilvl w:val="1"/>
          <w:numId w:val="2"/>
        </w:num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供应商：是指向采购人提供货物、工程或者货物的</w:t>
      </w:r>
      <w:r>
        <w:rPr>
          <w:rFonts w:hint="eastAsia" w:ascii="宋体" w:hAnsi="宋体" w:eastAsia="宋体" w:cs="宋体"/>
          <w:b w:val="0"/>
          <w:i w:val="0"/>
          <w:caps w:val="0"/>
          <w:color w:val="auto"/>
          <w:spacing w:val="0"/>
          <w:w w:val="100"/>
          <w:sz w:val="24"/>
          <w:highlight w:val="none"/>
          <w:lang w:eastAsia="zh-CN"/>
        </w:rPr>
        <w:t>法定代表人</w:t>
      </w:r>
      <w:r>
        <w:rPr>
          <w:rFonts w:hint="eastAsia" w:ascii="宋体" w:hAnsi="宋体" w:eastAsia="宋体" w:cs="宋体"/>
          <w:b w:val="0"/>
          <w:i w:val="0"/>
          <w:caps w:val="0"/>
          <w:color w:val="auto"/>
          <w:spacing w:val="0"/>
          <w:w w:val="100"/>
          <w:sz w:val="24"/>
          <w:highlight w:val="none"/>
        </w:rPr>
        <w:t>、非</w:t>
      </w:r>
      <w:r>
        <w:rPr>
          <w:rFonts w:hint="eastAsia" w:ascii="宋体" w:hAnsi="宋体" w:eastAsia="宋体" w:cs="宋体"/>
          <w:b w:val="0"/>
          <w:i w:val="0"/>
          <w:caps w:val="0"/>
          <w:color w:val="auto"/>
          <w:spacing w:val="0"/>
          <w:w w:val="100"/>
          <w:sz w:val="24"/>
          <w:highlight w:val="none"/>
          <w:lang w:eastAsia="zh-CN"/>
        </w:rPr>
        <w:t>法定代表人</w:t>
      </w:r>
      <w:r>
        <w:rPr>
          <w:rFonts w:hint="eastAsia" w:ascii="宋体" w:hAnsi="宋体" w:eastAsia="宋体" w:cs="宋体"/>
          <w:b w:val="0"/>
          <w:i w:val="0"/>
          <w:caps w:val="0"/>
          <w:color w:val="auto"/>
          <w:spacing w:val="0"/>
          <w:w w:val="100"/>
          <w:sz w:val="24"/>
          <w:highlight w:val="none"/>
        </w:rPr>
        <w:t>组织或者自然人。本项目的供应商及其磋商</w:t>
      </w:r>
      <w:r>
        <w:rPr>
          <w:rFonts w:hint="eastAsia" w:ascii="宋体" w:hAnsi="宋体" w:eastAsia="宋体" w:cs="宋体"/>
          <w:b w:val="0"/>
          <w:i w:val="0"/>
          <w:caps w:val="0"/>
          <w:color w:val="auto"/>
          <w:spacing w:val="0"/>
          <w:w w:val="100"/>
          <w:sz w:val="24"/>
          <w:highlight w:val="none"/>
          <w:lang w:val="en-US" w:eastAsia="zh-CN"/>
        </w:rPr>
        <w:t>服务</w:t>
      </w:r>
      <w:r>
        <w:rPr>
          <w:rFonts w:hint="eastAsia" w:ascii="宋体" w:hAnsi="宋体" w:eastAsia="宋体" w:cs="宋体"/>
          <w:b w:val="0"/>
          <w:i w:val="0"/>
          <w:caps w:val="0"/>
          <w:color w:val="auto"/>
          <w:spacing w:val="0"/>
          <w:w w:val="100"/>
          <w:sz w:val="24"/>
          <w:highlight w:val="none"/>
        </w:rPr>
        <w:t>须满足以下条件：</w:t>
      </w:r>
    </w:p>
    <w:p w14:paraId="71044DD2">
      <w:pPr>
        <w:shd w:val="clear"/>
        <w:snapToGrid w:val="0"/>
        <w:spacing w:before="0" w:beforeAutospacing="0" w:after="0" w:afterAutospacing="0" w:line="240" w:lineRule="atLeast"/>
        <w:ind w:hangingChars="354"/>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1.3.1</w:t>
      </w: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val="0"/>
          <w:i w:val="0"/>
          <w:caps w:val="0"/>
          <w:color w:val="auto"/>
          <w:spacing w:val="0"/>
          <w:w w:val="100"/>
          <w:sz w:val="24"/>
          <w:highlight w:val="none"/>
        </w:rPr>
        <w:t>在中华人民共和国境内注册，能够独立承担民事责任，有生产或供应能力的本国供应商。</w:t>
      </w:r>
    </w:p>
    <w:p w14:paraId="75ADA721">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1.3.2  具备《中华人民共和国政府采购法》第二十二条关于供应商条件的规定，遵守本项目采购人本级和上级财政部门政府采购的有关规定。</w:t>
      </w:r>
    </w:p>
    <w:p w14:paraId="41CDAA69">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1.3.3   以采购代理机构认可的方式获得了本项目的磋商文件。</w:t>
      </w:r>
    </w:p>
    <w:p w14:paraId="25914529">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1.3.4   符合</w:t>
      </w:r>
      <w:r>
        <w:rPr>
          <w:rFonts w:hint="eastAsia" w:ascii="宋体" w:hAnsi="宋体" w:eastAsia="宋体" w:cs="宋体"/>
          <w:b w:val="0"/>
          <w:i w:val="0"/>
          <w:caps w:val="0"/>
          <w:color w:val="auto"/>
          <w:spacing w:val="0"/>
          <w:w w:val="100"/>
          <w:sz w:val="24"/>
          <w:highlight w:val="none"/>
          <w:u w:val="single" w:color="000000"/>
        </w:rPr>
        <w:t>供应商须知资料表</w:t>
      </w:r>
      <w:r>
        <w:rPr>
          <w:rFonts w:hint="eastAsia" w:ascii="宋体" w:hAnsi="宋体" w:eastAsia="宋体" w:cs="宋体"/>
          <w:b w:val="0"/>
          <w:i w:val="0"/>
          <w:caps w:val="0"/>
          <w:color w:val="auto"/>
          <w:spacing w:val="0"/>
          <w:w w:val="100"/>
          <w:sz w:val="24"/>
          <w:highlight w:val="none"/>
        </w:rPr>
        <w:t>中规定的其他要求。</w:t>
      </w:r>
    </w:p>
    <w:p w14:paraId="5D37E8B3">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1.3.5   若</w:t>
      </w:r>
      <w:r>
        <w:rPr>
          <w:rFonts w:hint="eastAsia" w:ascii="宋体" w:hAnsi="宋体" w:eastAsia="宋体" w:cs="宋体"/>
          <w:b w:val="0"/>
          <w:i w:val="0"/>
          <w:caps w:val="0"/>
          <w:color w:val="auto"/>
          <w:spacing w:val="0"/>
          <w:w w:val="100"/>
          <w:sz w:val="24"/>
          <w:highlight w:val="none"/>
          <w:u w:val="single" w:color="000000"/>
        </w:rPr>
        <w:t>供应商须知资料表</w:t>
      </w:r>
      <w:r>
        <w:rPr>
          <w:rFonts w:hint="eastAsia" w:ascii="宋体" w:hAnsi="宋体" w:eastAsia="宋体" w:cs="宋体"/>
          <w:b w:val="0"/>
          <w:i w:val="0"/>
          <w:caps w:val="0"/>
          <w:color w:val="auto"/>
          <w:spacing w:val="0"/>
          <w:w w:val="100"/>
          <w:sz w:val="24"/>
          <w:highlight w:val="none"/>
        </w:rPr>
        <w:t>中写明允许采购进口产品，供应商应保证所投产品可履行合法报通关手续进入中国关境内。</w:t>
      </w:r>
    </w:p>
    <w:p w14:paraId="7DE0F699">
      <w:pPr>
        <w:shd w:val="clear"/>
        <w:snapToGrid w:val="0"/>
        <w:spacing w:before="0" w:beforeAutospacing="0" w:after="0" w:afterAutospacing="0" w:line="240" w:lineRule="atLeast"/>
        <w:ind w:left="899" w:leftChars="428"/>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若</w:t>
      </w:r>
      <w:r>
        <w:rPr>
          <w:rFonts w:hint="eastAsia" w:ascii="宋体" w:hAnsi="宋体" w:eastAsia="宋体" w:cs="宋体"/>
          <w:b w:val="0"/>
          <w:i w:val="0"/>
          <w:caps w:val="0"/>
          <w:color w:val="auto"/>
          <w:spacing w:val="0"/>
          <w:w w:val="100"/>
          <w:sz w:val="24"/>
          <w:highlight w:val="none"/>
          <w:u w:val="single" w:color="000000"/>
        </w:rPr>
        <w:t>供应商须知资料表</w:t>
      </w:r>
      <w:r>
        <w:rPr>
          <w:rFonts w:hint="eastAsia" w:ascii="宋体" w:hAnsi="宋体" w:eastAsia="宋体" w:cs="宋体"/>
          <w:b w:val="0"/>
          <w:i w:val="0"/>
          <w:caps w:val="0"/>
          <w:color w:val="auto"/>
          <w:spacing w:val="0"/>
          <w:w w:val="100"/>
          <w:sz w:val="24"/>
          <w:highlight w:val="none"/>
        </w:rPr>
        <w:t>中未写明允许采购进口产品，如供应商所投产品为进口产品，其磋商将被认定为</w:t>
      </w:r>
      <w:r>
        <w:rPr>
          <w:rFonts w:hint="eastAsia" w:ascii="宋体" w:hAnsi="宋体" w:eastAsia="宋体" w:cs="宋体"/>
          <w:b/>
          <w:bCs/>
          <w:i w:val="0"/>
          <w:caps w:val="0"/>
          <w:color w:val="auto"/>
          <w:spacing w:val="0"/>
          <w:w w:val="100"/>
          <w:sz w:val="24"/>
          <w:highlight w:val="none"/>
        </w:rPr>
        <w:t>磋商无效</w:t>
      </w:r>
      <w:r>
        <w:rPr>
          <w:rFonts w:hint="eastAsia" w:ascii="宋体" w:hAnsi="宋体" w:eastAsia="宋体" w:cs="宋体"/>
          <w:b w:val="0"/>
          <w:i w:val="0"/>
          <w:caps w:val="0"/>
          <w:color w:val="auto"/>
          <w:spacing w:val="0"/>
          <w:w w:val="100"/>
          <w:sz w:val="24"/>
          <w:highlight w:val="none"/>
        </w:rPr>
        <w:t>。</w:t>
      </w:r>
    </w:p>
    <w:p w14:paraId="4B0F0146">
      <w:pPr>
        <w:shd w:val="clear"/>
        <w:snapToGrid w:val="0"/>
        <w:spacing w:before="0" w:beforeAutospacing="0" w:after="0" w:afterAutospacing="0" w:line="240" w:lineRule="atLeast"/>
        <w:ind w:hangingChars="35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1.3.6  若</w:t>
      </w:r>
      <w:r>
        <w:rPr>
          <w:rFonts w:hint="eastAsia" w:ascii="宋体" w:hAnsi="宋体" w:eastAsia="宋体" w:cs="宋体"/>
          <w:b w:val="0"/>
          <w:i w:val="0"/>
          <w:caps w:val="0"/>
          <w:color w:val="auto"/>
          <w:spacing w:val="0"/>
          <w:w w:val="100"/>
          <w:sz w:val="24"/>
          <w:highlight w:val="none"/>
          <w:u w:val="single" w:color="000000"/>
        </w:rPr>
        <w:t>供应商须知资料表</w:t>
      </w:r>
      <w:r>
        <w:rPr>
          <w:rFonts w:hint="eastAsia" w:ascii="宋体" w:hAnsi="宋体" w:eastAsia="宋体" w:cs="宋体"/>
          <w:b w:val="0"/>
          <w:i w:val="0"/>
          <w:caps w:val="0"/>
          <w:color w:val="auto"/>
          <w:spacing w:val="0"/>
          <w:w w:val="100"/>
          <w:sz w:val="24"/>
          <w:highlight w:val="none"/>
        </w:rPr>
        <w:t>中写明专门面向中小企业采购的，如供应商为非中小企业且所投产品为非中小企业产品，其磋商将被认定为</w:t>
      </w:r>
      <w:r>
        <w:rPr>
          <w:rFonts w:hint="eastAsia" w:ascii="宋体" w:hAnsi="宋体" w:eastAsia="宋体" w:cs="宋体"/>
          <w:b/>
          <w:bCs/>
          <w:i w:val="0"/>
          <w:caps w:val="0"/>
          <w:color w:val="auto"/>
          <w:spacing w:val="0"/>
          <w:w w:val="100"/>
          <w:sz w:val="24"/>
          <w:highlight w:val="none"/>
        </w:rPr>
        <w:t>磋商无效</w:t>
      </w:r>
      <w:r>
        <w:rPr>
          <w:rFonts w:hint="eastAsia" w:ascii="宋体" w:hAnsi="宋体" w:eastAsia="宋体" w:cs="宋体"/>
          <w:b w:val="0"/>
          <w:i w:val="0"/>
          <w:caps w:val="0"/>
          <w:color w:val="auto"/>
          <w:spacing w:val="0"/>
          <w:w w:val="100"/>
          <w:sz w:val="24"/>
          <w:highlight w:val="none"/>
        </w:rPr>
        <w:t>。</w:t>
      </w:r>
    </w:p>
    <w:p w14:paraId="3F85F5D2">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1.4     如</w:t>
      </w:r>
      <w:r>
        <w:rPr>
          <w:rFonts w:hint="eastAsia" w:ascii="宋体" w:hAnsi="宋体" w:eastAsia="宋体" w:cs="宋体"/>
          <w:b w:val="0"/>
          <w:i w:val="0"/>
          <w:caps w:val="0"/>
          <w:color w:val="auto"/>
          <w:spacing w:val="0"/>
          <w:w w:val="100"/>
          <w:sz w:val="24"/>
          <w:highlight w:val="none"/>
          <w:u w:val="single" w:color="000000"/>
        </w:rPr>
        <w:t>供应商须知资料表</w:t>
      </w:r>
      <w:r>
        <w:rPr>
          <w:rFonts w:hint="eastAsia" w:ascii="宋体" w:hAnsi="宋体" w:eastAsia="宋体" w:cs="宋体"/>
          <w:b w:val="0"/>
          <w:i w:val="0"/>
          <w:caps w:val="0"/>
          <w:color w:val="auto"/>
          <w:spacing w:val="0"/>
          <w:w w:val="100"/>
          <w:sz w:val="24"/>
          <w:highlight w:val="none"/>
        </w:rPr>
        <w:t>中允许联合体磋商，对联合体规定如下：</w:t>
      </w:r>
    </w:p>
    <w:p w14:paraId="039374FB">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1.4.1   两个以上供应商可以组成一个磋商联合体，以一个供应商的身份磋商。</w:t>
      </w:r>
    </w:p>
    <w:p w14:paraId="52084116">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1.4.2   联合体各方均应符合《中华人民共和国政府采购法》第二十二条规定的条件。</w:t>
      </w:r>
    </w:p>
    <w:p w14:paraId="0325A3FF">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1.4.3   采购人根据采购项目对供应商的特殊要求，联合体中至少应当有一方符合相关规定。</w:t>
      </w:r>
    </w:p>
    <w:p w14:paraId="731A7D3E">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1.4.4   联合体各方应签订共同磋商协议，明确约定联合体各方承担的工作和相应的责任，并将共同磋商协议连同作为磋商文件第一部分的内容提交。</w:t>
      </w:r>
    </w:p>
    <w:p w14:paraId="243D61A1">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1.4.5   大中型企业、其他自然人、</w:t>
      </w:r>
      <w:r>
        <w:rPr>
          <w:rFonts w:hint="eastAsia" w:ascii="宋体" w:hAnsi="宋体" w:eastAsia="宋体" w:cs="宋体"/>
          <w:b w:val="0"/>
          <w:i w:val="0"/>
          <w:caps w:val="0"/>
          <w:color w:val="auto"/>
          <w:spacing w:val="0"/>
          <w:w w:val="100"/>
          <w:sz w:val="24"/>
          <w:highlight w:val="none"/>
          <w:lang w:eastAsia="zh-CN"/>
        </w:rPr>
        <w:t>法定代表人</w:t>
      </w:r>
      <w:r>
        <w:rPr>
          <w:rFonts w:hint="eastAsia" w:ascii="宋体" w:hAnsi="宋体" w:eastAsia="宋体" w:cs="宋体"/>
          <w:b w:val="0"/>
          <w:i w:val="0"/>
          <w:caps w:val="0"/>
          <w:color w:val="auto"/>
          <w:spacing w:val="0"/>
          <w:w w:val="100"/>
          <w:sz w:val="24"/>
          <w:highlight w:val="none"/>
        </w:rPr>
        <w:t>或者非</w:t>
      </w:r>
      <w:r>
        <w:rPr>
          <w:rFonts w:hint="eastAsia" w:ascii="宋体" w:hAnsi="宋体" w:eastAsia="宋体" w:cs="宋体"/>
          <w:b w:val="0"/>
          <w:i w:val="0"/>
          <w:caps w:val="0"/>
          <w:color w:val="auto"/>
          <w:spacing w:val="0"/>
          <w:w w:val="100"/>
          <w:sz w:val="24"/>
          <w:highlight w:val="none"/>
          <w:lang w:eastAsia="zh-CN"/>
        </w:rPr>
        <w:t>法定代表人</w:t>
      </w:r>
      <w:r>
        <w:rPr>
          <w:rFonts w:hint="eastAsia" w:ascii="宋体" w:hAnsi="宋体" w:eastAsia="宋体" w:cs="宋体"/>
          <w:b w:val="0"/>
          <w:i w:val="0"/>
          <w:caps w:val="0"/>
          <w:color w:val="auto"/>
          <w:spacing w:val="0"/>
          <w:w w:val="100"/>
          <w:sz w:val="24"/>
          <w:highlight w:val="none"/>
        </w:rPr>
        <w:t>组织与小型、微型企业组成联合体共同参加磋商，共同磋商协议中应写明小型、微型企业的协议合同金额占到共同磋商协议磋商总金额的比例。</w:t>
      </w:r>
    </w:p>
    <w:p w14:paraId="64DCF21A">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1.4.6  联合体中有同类资质的供应商按照联合体分工承担相同工作的，按照较低的资质等级确定联合体的资质等级。</w:t>
      </w:r>
    </w:p>
    <w:p w14:paraId="40EE86D4">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1.4.7  以联合体形式参加政府采购活动的，联合体各方不得再单独参加或者与其他供应商另外组成联合体参加本项目磋商，否则相关磋商将被认定为</w:t>
      </w:r>
      <w:r>
        <w:rPr>
          <w:rFonts w:hint="eastAsia" w:ascii="宋体" w:hAnsi="宋体" w:eastAsia="宋体" w:cs="宋体"/>
          <w:b/>
          <w:bCs/>
          <w:i w:val="0"/>
          <w:caps w:val="0"/>
          <w:color w:val="auto"/>
          <w:spacing w:val="0"/>
          <w:w w:val="100"/>
          <w:sz w:val="24"/>
          <w:highlight w:val="none"/>
        </w:rPr>
        <w:t>磋商无效</w:t>
      </w:r>
      <w:r>
        <w:rPr>
          <w:rFonts w:hint="eastAsia" w:ascii="宋体" w:hAnsi="宋体" w:eastAsia="宋体" w:cs="宋体"/>
          <w:b w:val="0"/>
          <w:i w:val="0"/>
          <w:caps w:val="0"/>
          <w:color w:val="auto"/>
          <w:spacing w:val="0"/>
          <w:w w:val="100"/>
          <w:sz w:val="24"/>
          <w:highlight w:val="none"/>
        </w:rPr>
        <w:t>。</w:t>
      </w:r>
    </w:p>
    <w:p w14:paraId="707595D2">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1.4.8   对联合体磋商的其他资格要求见</w:t>
      </w:r>
      <w:r>
        <w:rPr>
          <w:rFonts w:hint="eastAsia" w:ascii="宋体" w:hAnsi="宋体" w:eastAsia="宋体" w:cs="宋体"/>
          <w:b w:val="0"/>
          <w:i w:val="0"/>
          <w:caps w:val="0"/>
          <w:color w:val="auto"/>
          <w:spacing w:val="0"/>
          <w:w w:val="100"/>
          <w:sz w:val="24"/>
          <w:highlight w:val="none"/>
          <w:u w:val="single" w:color="000000"/>
        </w:rPr>
        <w:t>供应商须知资料表</w:t>
      </w:r>
      <w:r>
        <w:rPr>
          <w:rFonts w:hint="eastAsia" w:ascii="宋体" w:hAnsi="宋体" w:eastAsia="宋体" w:cs="宋体"/>
          <w:b w:val="0"/>
          <w:i w:val="0"/>
          <w:caps w:val="0"/>
          <w:color w:val="auto"/>
          <w:spacing w:val="0"/>
          <w:w w:val="100"/>
          <w:sz w:val="24"/>
          <w:highlight w:val="none"/>
        </w:rPr>
        <w:t>。</w:t>
      </w:r>
    </w:p>
    <w:p w14:paraId="0C760426">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1.5    单位负责人为同一人或者存在直接控股、管理关系的不同供应商，其相关磋商将被认定为</w:t>
      </w:r>
      <w:r>
        <w:rPr>
          <w:rFonts w:hint="eastAsia" w:ascii="宋体" w:hAnsi="宋体" w:eastAsia="宋体" w:cs="宋体"/>
          <w:b/>
          <w:bCs/>
          <w:i w:val="0"/>
          <w:caps w:val="0"/>
          <w:color w:val="auto"/>
          <w:spacing w:val="0"/>
          <w:w w:val="100"/>
          <w:sz w:val="24"/>
          <w:highlight w:val="none"/>
        </w:rPr>
        <w:t>磋商无效</w:t>
      </w:r>
      <w:r>
        <w:rPr>
          <w:rFonts w:hint="eastAsia" w:ascii="宋体" w:hAnsi="宋体" w:eastAsia="宋体" w:cs="宋体"/>
          <w:b w:val="0"/>
          <w:i w:val="0"/>
          <w:caps w:val="0"/>
          <w:color w:val="auto"/>
          <w:spacing w:val="0"/>
          <w:w w:val="100"/>
          <w:sz w:val="24"/>
          <w:highlight w:val="none"/>
        </w:rPr>
        <w:t>。</w:t>
      </w:r>
    </w:p>
    <w:p w14:paraId="17468A31">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1.6    为本项目提供过整体设计、规范编制或者项目管理、监理、检测等</w:t>
      </w:r>
      <w:r>
        <w:rPr>
          <w:rFonts w:hint="eastAsia" w:ascii="宋体" w:hAnsi="宋体" w:eastAsia="宋体" w:cs="宋体"/>
          <w:b w:val="0"/>
          <w:i w:val="0"/>
          <w:caps w:val="0"/>
          <w:color w:val="auto"/>
          <w:spacing w:val="0"/>
          <w:w w:val="100"/>
          <w:sz w:val="24"/>
          <w:highlight w:val="none"/>
          <w:lang w:val="en-US" w:eastAsia="zh-CN"/>
        </w:rPr>
        <w:t>服务</w:t>
      </w:r>
      <w:r>
        <w:rPr>
          <w:rFonts w:hint="eastAsia" w:ascii="宋体" w:hAnsi="宋体" w:eastAsia="宋体" w:cs="宋体"/>
          <w:b w:val="0"/>
          <w:i w:val="0"/>
          <w:caps w:val="0"/>
          <w:color w:val="auto"/>
          <w:spacing w:val="0"/>
          <w:w w:val="100"/>
          <w:sz w:val="24"/>
          <w:highlight w:val="none"/>
        </w:rPr>
        <w:t>的供应商，不得再参加本项目上述</w:t>
      </w:r>
      <w:r>
        <w:rPr>
          <w:rFonts w:hint="eastAsia" w:ascii="宋体" w:hAnsi="宋体" w:eastAsia="宋体" w:cs="宋体"/>
          <w:b w:val="0"/>
          <w:i w:val="0"/>
          <w:caps w:val="0"/>
          <w:color w:val="auto"/>
          <w:spacing w:val="0"/>
          <w:w w:val="100"/>
          <w:sz w:val="24"/>
          <w:highlight w:val="none"/>
          <w:lang w:val="en-US" w:eastAsia="zh-CN"/>
        </w:rPr>
        <w:t>服务</w:t>
      </w:r>
      <w:r>
        <w:rPr>
          <w:rFonts w:hint="eastAsia" w:ascii="宋体" w:hAnsi="宋体" w:eastAsia="宋体" w:cs="宋体"/>
          <w:b w:val="0"/>
          <w:i w:val="0"/>
          <w:caps w:val="0"/>
          <w:color w:val="auto"/>
          <w:spacing w:val="0"/>
          <w:w w:val="100"/>
          <w:sz w:val="24"/>
          <w:highlight w:val="none"/>
        </w:rPr>
        <w:t>以外的其他采购活动。否则其磋商将被认定为</w:t>
      </w:r>
      <w:r>
        <w:rPr>
          <w:rFonts w:hint="eastAsia" w:ascii="宋体" w:hAnsi="宋体" w:eastAsia="宋体" w:cs="宋体"/>
          <w:b/>
          <w:bCs/>
          <w:i w:val="0"/>
          <w:caps w:val="0"/>
          <w:color w:val="auto"/>
          <w:spacing w:val="0"/>
          <w:w w:val="100"/>
          <w:sz w:val="24"/>
          <w:highlight w:val="none"/>
        </w:rPr>
        <w:t>磋商无效</w:t>
      </w:r>
      <w:r>
        <w:rPr>
          <w:rFonts w:hint="eastAsia" w:ascii="宋体" w:hAnsi="宋体" w:eastAsia="宋体" w:cs="宋体"/>
          <w:b w:val="0"/>
          <w:i w:val="0"/>
          <w:caps w:val="0"/>
          <w:color w:val="auto"/>
          <w:spacing w:val="0"/>
          <w:w w:val="100"/>
          <w:sz w:val="24"/>
          <w:highlight w:val="none"/>
        </w:rPr>
        <w:t>。</w:t>
      </w:r>
    </w:p>
    <w:p w14:paraId="69951A33">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1.7</w:t>
      </w: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val="0"/>
          <w:i w:val="0"/>
          <w:caps w:val="0"/>
          <w:color w:val="auto"/>
          <w:spacing w:val="0"/>
          <w:w w:val="100"/>
          <w:sz w:val="24"/>
          <w:highlight w:val="none"/>
        </w:rPr>
        <w:t>供应商在磋商过程中不得向采购人提供、给予任何有价值的物品，影响其正常决策行为。一经发现，其将被认定为</w:t>
      </w:r>
      <w:r>
        <w:rPr>
          <w:rFonts w:hint="eastAsia" w:ascii="宋体" w:hAnsi="宋体" w:eastAsia="宋体" w:cs="宋体"/>
          <w:b/>
          <w:bCs/>
          <w:i w:val="0"/>
          <w:caps w:val="0"/>
          <w:color w:val="auto"/>
          <w:spacing w:val="0"/>
          <w:w w:val="100"/>
          <w:sz w:val="24"/>
          <w:highlight w:val="none"/>
        </w:rPr>
        <w:t>磋商无效</w:t>
      </w:r>
      <w:r>
        <w:rPr>
          <w:rFonts w:hint="eastAsia" w:ascii="宋体" w:hAnsi="宋体" w:eastAsia="宋体" w:cs="宋体"/>
          <w:b w:val="0"/>
          <w:i w:val="0"/>
          <w:caps w:val="0"/>
          <w:color w:val="auto"/>
          <w:spacing w:val="0"/>
          <w:w w:val="100"/>
          <w:sz w:val="24"/>
          <w:highlight w:val="none"/>
        </w:rPr>
        <w:t>。</w:t>
      </w:r>
    </w:p>
    <w:p w14:paraId="53E38B32">
      <w:pPr>
        <w:pStyle w:val="4"/>
        <w:shd w:val="clear"/>
        <w:snapToGrid w:val="0"/>
        <w:spacing w:before="0" w:beforeAutospacing="0" w:after="0" w:afterAutospacing="0" w:line="240" w:lineRule="atLeast"/>
        <w:jc w:val="left"/>
        <w:textAlignment w:val="baseline"/>
        <w:rPr>
          <w:rFonts w:hint="eastAsia" w:ascii="宋体" w:hAnsi="宋体" w:eastAsia="宋体" w:cs="宋体"/>
          <w:b/>
          <w:i w:val="0"/>
          <w:caps w:val="0"/>
          <w:color w:val="auto"/>
          <w:spacing w:val="0"/>
          <w:w w:val="100"/>
          <w:sz w:val="24"/>
          <w:szCs w:val="24"/>
          <w:highlight w:val="none"/>
          <w:u w:val="single" w:color="000000"/>
        </w:rPr>
      </w:pPr>
      <w:bookmarkStart w:id="26" w:name="_Toc12994"/>
      <w:bookmarkStart w:id="27" w:name="_Toc31303"/>
      <w:bookmarkStart w:id="28" w:name="_Toc515647759"/>
      <w:bookmarkStart w:id="29" w:name="_Toc1145"/>
      <w:bookmarkStart w:id="30" w:name="_Toc17954"/>
      <w:bookmarkStart w:id="31" w:name="_Toc12139"/>
      <w:bookmarkStart w:id="32" w:name="_Toc5286"/>
      <w:bookmarkStart w:id="33" w:name="_Toc23184"/>
      <w:bookmarkStart w:id="34" w:name="_Toc12082"/>
      <w:bookmarkStart w:id="35" w:name="_Toc21899"/>
      <w:r>
        <w:rPr>
          <w:rFonts w:hint="eastAsia" w:ascii="宋体" w:hAnsi="宋体" w:eastAsia="宋体" w:cs="宋体"/>
          <w:b/>
          <w:i w:val="0"/>
          <w:caps w:val="0"/>
          <w:color w:val="auto"/>
          <w:spacing w:val="0"/>
          <w:w w:val="100"/>
          <w:sz w:val="24"/>
          <w:szCs w:val="24"/>
          <w:highlight w:val="none"/>
          <w:u w:val="single" w:color="000000"/>
        </w:rPr>
        <w:t>2.资金来源</w:t>
      </w:r>
      <w:bookmarkEnd w:id="26"/>
      <w:bookmarkEnd w:id="27"/>
      <w:bookmarkEnd w:id="28"/>
      <w:bookmarkEnd w:id="29"/>
      <w:bookmarkEnd w:id="30"/>
      <w:bookmarkEnd w:id="31"/>
      <w:bookmarkEnd w:id="32"/>
      <w:bookmarkEnd w:id="33"/>
      <w:bookmarkEnd w:id="34"/>
      <w:bookmarkEnd w:id="35"/>
    </w:p>
    <w:p w14:paraId="1613646F">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2.1</w:t>
      </w: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val="0"/>
          <w:i w:val="0"/>
          <w:caps w:val="0"/>
          <w:color w:val="auto"/>
          <w:spacing w:val="0"/>
          <w:w w:val="100"/>
          <w:sz w:val="24"/>
          <w:highlight w:val="none"/>
        </w:rPr>
        <w:t>本项目的采购人已获得足以支付本次招标后所签订的合同项下的资金（包括财政性资金和本项目采购中无法与财政性资金分割的非财政性资金）。</w:t>
      </w:r>
    </w:p>
    <w:p w14:paraId="5AEFC1B5">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2.2    项目预算金额和分项或分包最高限价</w:t>
      </w:r>
      <w:r>
        <w:rPr>
          <w:rFonts w:hint="eastAsia" w:ascii="宋体" w:hAnsi="宋体" w:eastAsia="宋体" w:cs="宋体"/>
          <w:b w:val="0"/>
          <w:i w:val="0"/>
          <w:caps w:val="0"/>
          <w:color w:val="auto"/>
          <w:spacing w:val="0"/>
          <w:w w:val="100"/>
          <w:sz w:val="24"/>
          <w:highlight w:val="none"/>
          <w:u w:val="single" w:color="000000"/>
        </w:rPr>
        <w:t>见供应商须知资料表</w:t>
      </w:r>
      <w:r>
        <w:rPr>
          <w:rFonts w:hint="eastAsia" w:ascii="宋体" w:hAnsi="宋体" w:eastAsia="宋体" w:cs="宋体"/>
          <w:b w:val="0"/>
          <w:i w:val="0"/>
          <w:caps w:val="0"/>
          <w:color w:val="auto"/>
          <w:spacing w:val="0"/>
          <w:w w:val="100"/>
          <w:sz w:val="24"/>
          <w:highlight w:val="none"/>
        </w:rPr>
        <w:t>。</w:t>
      </w:r>
    </w:p>
    <w:p w14:paraId="256DCDF7">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2.3    供应商报价超过磋商文件规定的预算金额或者分项、分包最高限价的，其磋商将被认定为</w:t>
      </w:r>
      <w:r>
        <w:rPr>
          <w:rFonts w:hint="eastAsia" w:ascii="宋体" w:hAnsi="宋体" w:eastAsia="宋体" w:cs="宋体"/>
          <w:b/>
          <w:bCs/>
          <w:i w:val="0"/>
          <w:caps w:val="0"/>
          <w:color w:val="auto"/>
          <w:spacing w:val="0"/>
          <w:w w:val="100"/>
          <w:sz w:val="24"/>
          <w:highlight w:val="none"/>
        </w:rPr>
        <w:t>磋商无效</w:t>
      </w:r>
      <w:r>
        <w:rPr>
          <w:rFonts w:hint="eastAsia" w:ascii="宋体" w:hAnsi="宋体" w:eastAsia="宋体" w:cs="宋体"/>
          <w:b w:val="0"/>
          <w:i w:val="0"/>
          <w:caps w:val="0"/>
          <w:color w:val="auto"/>
          <w:spacing w:val="0"/>
          <w:w w:val="100"/>
          <w:sz w:val="24"/>
          <w:highlight w:val="none"/>
        </w:rPr>
        <w:t>。</w:t>
      </w:r>
    </w:p>
    <w:p w14:paraId="46E739EE">
      <w:pPr>
        <w:pStyle w:val="4"/>
        <w:shd w:val="clear"/>
        <w:snapToGrid w:val="0"/>
        <w:spacing w:before="0" w:beforeAutospacing="0" w:after="0" w:afterAutospacing="0" w:line="240" w:lineRule="atLeast"/>
        <w:jc w:val="left"/>
        <w:textAlignment w:val="baseline"/>
        <w:rPr>
          <w:rFonts w:hint="eastAsia" w:ascii="宋体" w:hAnsi="宋体" w:eastAsia="宋体" w:cs="宋体"/>
          <w:b/>
          <w:i w:val="0"/>
          <w:caps w:val="0"/>
          <w:color w:val="auto"/>
          <w:spacing w:val="0"/>
          <w:w w:val="100"/>
          <w:sz w:val="24"/>
          <w:szCs w:val="24"/>
          <w:highlight w:val="none"/>
          <w:u w:val="single" w:color="000000"/>
        </w:rPr>
      </w:pPr>
      <w:bookmarkStart w:id="36" w:name="_Toc20526"/>
      <w:bookmarkStart w:id="37" w:name="_Toc15302"/>
      <w:bookmarkStart w:id="38" w:name="_Toc28061"/>
      <w:bookmarkStart w:id="39" w:name="_Toc30341"/>
      <w:bookmarkStart w:id="40" w:name="_Toc15936"/>
      <w:bookmarkStart w:id="41" w:name="_Toc515647760"/>
      <w:bookmarkStart w:id="42" w:name="_Toc520356145"/>
      <w:bookmarkStart w:id="43" w:name="_Toc6076"/>
      <w:bookmarkStart w:id="44" w:name="_Toc20149"/>
      <w:bookmarkStart w:id="45" w:name="_Toc91"/>
      <w:bookmarkStart w:id="46" w:name="_Toc23939"/>
      <w:r>
        <w:rPr>
          <w:rFonts w:hint="eastAsia" w:ascii="宋体" w:hAnsi="宋体" w:eastAsia="宋体" w:cs="宋体"/>
          <w:b/>
          <w:i w:val="0"/>
          <w:caps w:val="0"/>
          <w:color w:val="auto"/>
          <w:spacing w:val="0"/>
          <w:w w:val="100"/>
          <w:sz w:val="24"/>
          <w:szCs w:val="24"/>
          <w:highlight w:val="none"/>
          <w:u w:val="single" w:color="000000"/>
        </w:rPr>
        <w:t>3.磋商费用</w:t>
      </w:r>
      <w:bookmarkEnd w:id="36"/>
      <w:bookmarkEnd w:id="37"/>
      <w:bookmarkEnd w:id="38"/>
      <w:bookmarkEnd w:id="39"/>
      <w:bookmarkEnd w:id="40"/>
      <w:bookmarkEnd w:id="41"/>
      <w:bookmarkEnd w:id="42"/>
      <w:bookmarkEnd w:id="43"/>
      <w:bookmarkEnd w:id="44"/>
      <w:bookmarkEnd w:id="45"/>
      <w:bookmarkEnd w:id="46"/>
    </w:p>
    <w:p w14:paraId="269A9314">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val="0"/>
          <w:i w:val="0"/>
          <w:caps w:val="0"/>
          <w:color w:val="auto"/>
          <w:spacing w:val="0"/>
          <w:w w:val="100"/>
          <w:sz w:val="24"/>
          <w:highlight w:val="none"/>
        </w:rPr>
        <w:t>不论磋商的结果如何，供应商应承担所有与准备和参加磋商有关的费用。</w:t>
      </w:r>
    </w:p>
    <w:p w14:paraId="7CCE3D7C">
      <w:pPr>
        <w:pStyle w:val="4"/>
        <w:shd w:val="clear"/>
        <w:spacing w:before="0" w:after="0" w:line="380" w:lineRule="exac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4.适用法律</w:t>
      </w:r>
      <w:bookmarkEnd w:id="22"/>
      <w:bookmarkEnd w:id="23"/>
      <w:bookmarkEnd w:id="24"/>
      <w:bookmarkEnd w:id="25"/>
    </w:p>
    <w:p w14:paraId="2335AB58">
      <w:pPr>
        <w:shd w:val="clear"/>
        <w:spacing w:line="380" w:lineRule="exact"/>
        <w:ind w:left="900" w:hanging="900" w:hangingChars="375"/>
        <w:rPr>
          <w:rFonts w:hint="eastAsia" w:ascii="宋体" w:hAnsi="宋体" w:eastAsia="宋体" w:cs="宋体"/>
          <w:b w:val="0"/>
          <w:i w:val="0"/>
          <w:caps w:val="0"/>
          <w:color w:val="auto"/>
          <w:spacing w:val="0"/>
          <w:w w:val="100"/>
          <w:sz w:val="24"/>
          <w:highlight w:val="none"/>
        </w:rPr>
      </w:pPr>
      <w:r>
        <w:rPr>
          <w:rFonts w:hint="eastAsia" w:ascii="宋体" w:hAnsi="宋体" w:eastAsia="宋体" w:cs="宋体"/>
          <w:color w:val="auto"/>
          <w:sz w:val="24"/>
          <w:szCs w:val="24"/>
          <w:highlight w:val="none"/>
        </w:rPr>
        <w:t xml:space="preserve">       本项目采购人、采购代理机构、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的相关行为均受《中华人民共和国政府采购法》、《中华人民共和国政府采购法实施条例》</w:t>
      </w:r>
      <w:r>
        <w:rPr>
          <w:rFonts w:hint="eastAsia" w:ascii="宋体" w:hAnsi="宋体" w:eastAsia="宋体" w:cs="宋体"/>
          <w:color w:val="auto"/>
          <w:sz w:val="24"/>
          <w:szCs w:val="24"/>
          <w:highlight w:val="none"/>
          <w:lang w:eastAsia="zh-CN"/>
        </w:rPr>
        <w:t>、《政府采购竞争性磋商采购方式管理暂行办法》</w:t>
      </w:r>
      <w:r>
        <w:rPr>
          <w:rFonts w:hint="eastAsia" w:ascii="宋体" w:hAnsi="宋体" w:eastAsia="宋体" w:cs="宋体"/>
          <w:color w:val="auto"/>
          <w:sz w:val="24"/>
          <w:highlight w:val="none"/>
        </w:rPr>
        <w:t>令</w:t>
      </w:r>
      <w:r>
        <w:rPr>
          <w:rFonts w:hint="eastAsia" w:ascii="宋体" w:hAnsi="宋体" w:eastAsia="宋体" w:cs="宋体"/>
          <w:color w:val="auto"/>
          <w:sz w:val="24"/>
          <w:szCs w:val="24"/>
          <w:highlight w:val="none"/>
        </w:rPr>
        <w:t>及本项目本级和上级财政部门政府采购有关规定的约束，其权利受到上述法律法规的保护。</w:t>
      </w:r>
    </w:p>
    <w:p w14:paraId="6B0AF938">
      <w:pPr>
        <w:pStyle w:val="3"/>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i w:val="0"/>
          <w:caps w:val="0"/>
          <w:color w:val="auto"/>
          <w:spacing w:val="0"/>
          <w:w w:val="100"/>
          <w:sz w:val="24"/>
          <w:szCs w:val="24"/>
          <w:highlight w:val="none"/>
        </w:rPr>
      </w:pPr>
      <w:bookmarkStart w:id="47" w:name="_Toc216582806"/>
      <w:bookmarkStart w:id="48" w:name="_Toc520356146"/>
      <w:bookmarkStart w:id="49" w:name="_Toc515647762"/>
      <w:bookmarkStart w:id="50" w:name="_Toc4365"/>
      <w:bookmarkStart w:id="51" w:name="_Toc21566"/>
      <w:bookmarkStart w:id="52" w:name="_Toc23767"/>
      <w:bookmarkStart w:id="53" w:name="_Toc11946"/>
      <w:r>
        <w:rPr>
          <w:rFonts w:hint="eastAsia" w:ascii="宋体" w:hAnsi="宋体" w:eastAsia="宋体" w:cs="宋体"/>
          <w:b/>
          <w:i w:val="0"/>
          <w:caps w:val="0"/>
          <w:color w:val="auto"/>
          <w:spacing w:val="0"/>
          <w:w w:val="100"/>
          <w:sz w:val="24"/>
          <w:szCs w:val="24"/>
          <w:highlight w:val="none"/>
        </w:rPr>
        <w:t xml:space="preserve">二   </w:t>
      </w:r>
      <w:bookmarkEnd w:id="47"/>
      <w:bookmarkEnd w:id="48"/>
      <w:bookmarkEnd w:id="49"/>
      <w:bookmarkEnd w:id="50"/>
      <w:bookmarkEnd w:id="51"/>
      <w:r>
        <w:rPr>
          <w:rFonts w:hint="eastAsia" w:ascii="宋体" w:hAnsi="宋体" w:eastAsia="宋体" w:cs="宋体"/>
          <w:b/>
          <w:i w:val="0"/>
          <w:caps w:val="0"/>
          <w:color w:val="auto"/>
          <w:spacing w:val="0"/>
          <w:w w:val="100"/>
          <w:sz w:val="24"/>
          <w:szCs w:val="24"/>
          <w:highlight w:val="none"/>
        </w:rPr>
        <w:t>磋商文件</w:t>
      </w:r>
      <w:bookmarkEnd w:id="52"/>
      <w:bookmarkEnd w:id="53"/>
    </w:p>
    <w:p w14:paraId="2784BE8D">
      <w:pPr>
        <w:pStyle w:val="4"/>
        <w:shd w:val="clear"/>
        <w:snapToGrid w:val="0"/>
        <w:spacing w:before="0" w:beforeAutospacing="0" w:after="0" w:afterAutospacing="0" w:line="240" w:lineRule="atLeast"/>
        <w:jc w:val="left"/>
        <w:textAlignment w:val="baseline"/>
        <w:rPr>
          <w:rFonts w:hint="eastAsia" w:ascii="宋体" w:hAnsi="宋体" w:eastAsia="宋体" w:cs="宋体"/>
          <w:b/>
          <w:i w:val="0"/>
          <w:caps w:val="0"/>
          <w:color w:val="auto"/>
          <w:spacing w:val="0"/>
          <w:w w:val="100"/>
          <w:sz w:val="24"/>
          <w:szCs w:val="24"/>
          <w:highlight w:val="none"/>
          <w:u w:val="single" w:color="000000"/>
        </w:rPr>
      </w:pPr>
      <w:bookmarkStart w:id="54" w:name="_Toc27747"/>
      <w:bookmarkStart w:id="55" w:name="_Toc4254"/>
      <w:bookmarkStart w:id="56" w:name="_Toc16061"/>
      <w:bookmarkStart w:id="57" w:name="_Toc13013"/>
      <w:bookmarkStart w:id="58" w:name="_Toc25743"/>
      <w:bookmarkStart w:id="59" w:name="_Toc14084"/>
      <w:bookmarkStart w:id="60" w:name="_Toc515647763"/>
      <w:bookmarkStart w:id="61" w:name="_Toc20128"/>
      <w:bookmarkStart w:id="62" w:name="_Toc27545"/>
      <w:bookmarkStart w:id="63" w:name="_Toc520356147"/>
      <w:bookmarkStart w:id="64" w:name="_Toc9520"/>
      <w:r>
        <w:rPr>
          <w:rFonts w:hint="eastAsia" w:ascii="宋体" w:hAnsi="宋体" w:eastAsia="宋体" w:cs="宋体"/>
          <w:b/>
          <w:i w:val="0"/>
          <w:caps w:val="0"/>
          <w:color w:val="auto"/>
          <w:spacing w:val="0"/>
          <w:w w:val="100"/>
          <w:sz w:val="24"/>
          <w:szCs w:val="24"/>
          <w:highlight w:val="none"/>
          <w:u w:val="single" w:color="000000"/>
        </w:rPr>
        <w:t>5.磋商文件构成</w:t>
      </w:r>
      <w:bookmarkEnd w:id="54"/>
      <w:bookmarkEnd w:id="55"/>
      <w:bookmarkEnd w:id="56"/>
      <w:bookmarkEnd w:id="57"/>
      <w:bookmarkEnd w:id="58"/>
      <w:bookmarkEnd w:id="59"/>
      <w:bookmarkEnd w:id="60"/>
      <w:bookmarkEnd w:id="61"/>
      <w:bookmarkEnd w:id="62"/>
      <w:bookmarkEnd w:id="63"/>
      <w:bookmarkEnd w:id="64"/>
    </w:p>
    <w:p w14:paraId="2A0B913F">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5.1</w:t>
      </w: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val="0"/>
          <w:i w:val="0"/>
          <w:caps w:val="0"/>
          <w:color w:val="auto"/>
          <w:spacing w:val="0"/>
          <w:w w:val="100"/>
          <w:sz w:val="24"/>
          <w:highlight w:val="none"/>
        </w:rPr>
        <w:t>磋商文件分为三册共7章，内容如下：</w:t>
      </w:r>
    </w:p>
    <w:p w14:paraId="308817B4">
      <w:pPr>
        <w:shd w:val="clear"/>
        <w:snapToGrid w:val="0"/>
        <w:spacing w:before="0" w:beforeAutospacing="0" w:after="0" w:afterAutospacing="0" w:line="240" w:lineRule="atLeast"/>
        <w:ind w:left="1079" w:leftChars="428" w:hangingChars="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第一册</w:t>
      </w:r>
    </w:p>
    <w:p w14:paraId="789AAAC6">
      <w:pPr>
        <w:numPr>
          <w:ilvl w:val="0"/>
          <w:numId w:val="3"/>
        </w:numPr>
        <w:shd w:val="clear"/>
        <w:tabs>
          <w:tab w:val="left" w:pos="0"/>
        </w:tabs>
        <w:snapToGrid w:val="0"/>
        <w:spacing w:before="0" w:beforeAutospacing="0" w:after="0" w:afterAutospacing="0" w:line="240" w:lineRule="atLeast"/>
        <w:ind w:hanging="829"/>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 xml:space="preserve"> 供应商须知</w:t>
      </w:r>
    </w:p>
    <w:p w14:paraId="77439927">
      <w:pPr>
        <w:numPr>
          <w:ilvl w:val="0"/>
          <w:numId w:val="3"/>
        </w:numPr>
        <w:shd w:val="clear"/>
        <w:snapToGrid w:val="0"/>
        <w:spacing w:before="0" w:beforeAutospacing="0" w:after="0" w:afterAutospacing="0" w:line="240" w:lineRule="atLeast"/>
        <w:ind w:left="1081" w:leftChars="429" w:hanging="18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 xml:space="preserve"> 响应文件格式</w:t>
      </w:r>
    </w:p>
    <w:p w14:paraId="3100FEEF">
      <w:pPr>
        <w:shd w:val="clear"/>
        <w:snapToGrid w:val="0"/>
        <w:spacing w:before="0" w:beforeAutospacing="0" w:after="0" w:afterAutospacing="0" w:line="240" w:lineRule="atLeast"/>
        <w:ind w:left="1081" w:leftChars="429" w:hanging="18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第二册</w:t>
      </w:r>
    </w:p>
    <w:p w14:paraId="05E6C437">
      <w:pPr>
        <w:numPr>
          <w:ilvl w:val="0"/>
          <w:numId w:val="3"/>
        </w:numPr>
        <w:shd w:val="clear"/>
        <w:snapToGrid w:val="0"/>
        <w:spacing w:before="0" w:beforeAutospacing="0" w:after="0" w:afterAutospacing="0" w:line="240" w:lineRule="atLeast"/>
        <w:ind w:left="1081" w:leftChars="429" w:hanging="18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 xml:space="preserve"> 磋商邀请</w:t>
      </w:r>
    </w:p>
    <w:p w14:paraId="0672A7AD">
      <w:pPr>
        <w:numPr>
          <w:ilvl w:val="0"/>
          <w:numId w:val="3"/>
        </w:numPr>
        <w:shd w:val="clear"/>
        <w:snapToGrid w:val="0"/>
        <w:spacing w:before="0" w:beforeAutospacing="0" w:after="0" w:afterAutospacing="0" w:line="240" w:lineRule="atLeast"/>
        <w:ind w:left="1081" w:leftChars="429" w:hanging="18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 xml:space="preserve"> 供应商须知资料表</w:t>
      </w:r>
    </w:p>
    <w:p w14:paraId="4E291928">
      <w:pPr>
        <w:numPr>
          <w:ilvl w:val="0"/>
          <w:numId w:val="3"/>
        </w:numPr>
        <w:shd w:val="clear"/>
        <w:snapToGrid w:val="0"/>
        <w:spacing w:before="0" w:beforeAutospacing="0" w:after="0" w:afterAutospacing="0" w:line="240" w:lineRule="atLeast"/>
        <w:ind w:left="1081" w:leftChars="429" w:hanging="18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 xml:space="preserve"> </w:t>
      </w:r>
      <w:r>
        <w:rPr>
          <w:rFonts w:hint="eastAsia" w:ascii="宋体" w:hAnsi="宋体" w:cs="宋体"/>
          <w:b w:val="0"/>
          <w:i w:val="0"/>
          <w:caps w:val="0"/>
          <w:color w:val="auto"/>
          <w:spacing w:val="0"/>
          <w:w w:val="100"/>
          <w:sz w:val="24"/>
          <w:highlight w:val="none"/>
          <w:lang w:val="en-US" w:eastAsia="zh-CN"/>
        </w:rPr>
        <w:t>货物</w:t>
      </w:r>
      <w:r>
        <w:rPr>
          <w:rFonts w:hint="eastAsia" w:ascii="宋体" w:hAnsi="宋体" w:eastAsia="宋体" w:cs="宋体"/>
          <w:b w:val="0"/>
          <w:i w:val="0"/>
          <w:caps w:val="0"/>
          <w:color w:val="auto"/>
          <w:spacing w:val="0"/>
          <w:w w:val="100"/>
          <w:sz w:val="24"/>
          <w:highlight w:val="none"/>
          <w:lang w:val="en-US" w:eastAsia="zh-CN"/>
        </w:rPr>
        <w:t>需求及</w:t>
      </w:r>
      <w:r>
        <w:rPr>
          <w:rFonts w:hint="eastAsia" w:ascii="宋体" w:hAnsi="宋体" w:cs="宋体"/>
          <w:b w:val="0"/>
          <w:i w:val="0"/>
          <w:caps w:val="0"/>
          <w:color w:val="auto"/>
          <w:spacing w:val="0"/>
          <w:w w:val="100"/>
          <w:sz w:val="24"/>
          <w:highlight w:val="none"/>
          <w:lang w:val="en-US" w:eastAsia="zh-CN"/>
        </w:rPr>
        <w:t>其他</w:t>
      </w:r>
      <w:r>
        <w:rPr>
          <w:rFonts w:hint="eastAsia" w:ascii="宋体" w:hAnsi="宋体" w:eastAsia="宋体" w:cs="宋体"/>
          <w:b w:val="0"/>
          <w:i w:val="0"/>
          <w:caps w:val="0"/>
          <w:color w:val="auto"/>
          <w:spacing w:val="0"/>
          <w:w w:val="100"/>
          <w:sz w:val="24"/>
          <w:highlight w:val="none"/>
          <w:lang w:val="en-US" w:eastAsia="zh-CN"/>
        </w:rPr>
        <w:t>要求</w:t>
      </w:r>
    </w:p>
    <w:p w14:paraId="526DC9EA">
      <w:pPr>
        <w:numPr>
          <w:ilvl w:val="0"/>
          <w:numId w:val="3"/>
        </w:numPr>
        <w:shd w:val="clear"/>
        <w:snapToGrid w:val="0"/>
        <w:spacing w:before="0" w:beforeAutospacing="0" w:after="0" w:afterAutospacing="0" w:line="240" w:lineRule="atLeast"/>
        <w:ind w:left="1081" w:leftChars="429" w:hanging="18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 xml:space="preserve"> 评审方法和标准</w:t>
      </w:r>
    </w:p>
    <w:p w14:paraId="5CD2731B">
      <w:pPr>
        <w:shd w:val="clear"/>
        <w:snapToGrid w:val="0"/>
        <w:spacing w:before="0" w:beforeAutospacing="0" w:after="0" w:afterAutospacing="0" w:line="240" w:lineRule="atLeast"/>
        <w:ind w:left="901"/>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第三册</w:t>
      </w:r>
    </w:p>
    <w:p w14:paraId="0DAD8797">
      <w:pPr>
        <w:numPr>
          <w:ilvl w:val="0"/>
          <w:numId w:val="0"/>
        </w:numPr>
        <w:shd w:val="clear"/>
        <w:snapToGrid w:val="0"/>
        <w:spacing w:before="0" w:beforeAutospacing="0" w:after="0" w:afterAutospacing="0" w:line="240" w:lineRule="atLeast"/>
        <w:ind w:leftChars="442"/>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lang w:val="en-US" w:eastAsia="zh-CN"/>
        </w:rPr>
        <w:t xml:space="preserve">第7章 </w:t>
      </w:r>
      <w:r>
        <w:rPr>
          <w:rFonts w:hint="eastAsia" w:ascii="宋体" w:hAnsi="宋体" w:eastAsia="宋体" w:cs="宋体"/>
          <w:b w:val="0"/>
          <w:i w:val="0"/>
          <w:caps w:val="0"/>
          <w:color w:val="auto"/>
          <w:spacing w:val="0"/>
          <w:w w:val="100"/>
          <w:sz w:val="24"/>
          <w:highlight w:val="none"/>
        </w:rPr>
        <w:t>政府采购合同格式</w:t>
      </w:r>
    </w:p>
    <w:p w14:paraId="590A56DE">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5.2</w:t>
      </w: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val="0"/>
          <w:i w:val="0"/>
          <w:caps w:val="0"/>
          <w:color w:val="auto"/>
          <w:spacing w:val="0"/>
          <w:w w:val="100"/>
          <w:sz w:val="24"/>
          <w:highlight w:val="none"/>
        </w:rPr>
        <w:t>如本文件的前后内容不一致，以最后描述为准。</w:t>
      </w:r>
    </w:p>
    <w:p w14:paraId="64393828">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5.3    供应商应认真阅读磋商文件所有的事项、格式、条款和技术规范等。如供应商没有按照磋商文件要求提交全部资料，或者磋商文件没有对磋商文件在各方面都做出实质性响应，可能导致其磋商将被认定为</w:t>
      </w:r>
      <w:r>
        <w:rPr>
          <w:rFonts w:hint="eastAsia" w:ascii="宋体" w:hAnsi="宋体" w:eastAsia="宋体" w:cs="宋体"/>
          <w:b/>
          <w:bCs/>
          <w:i w:val="0"/>
          <w:caps w:val="0"/>
          <w:color w:val="auto"/>
          <w:spacing w:val="0"/>
          <w:w w:val="100"/>
          <w:sz w:val="24"/>
          <w:highlight w:val="none"/>
        </w:rPr>
        <w:t>磋商无效</w:t>
      </w:r>
      <w:r>
        <w:rPr>
          <w:rFonts w:hint="eastAsia" w:ascii="宋体" w:hAnsi="宋体" w:eastAsia="宋体" w:cs="宋体"/>
          <w:b w:val="0"/>
          <w:i w:val="0"/>
          <w:caps w:val="0"/>
          <w:color w:val="auto"/>
          <w:spacing w:val="0"/>
          <w:w w:val="100"/>
          <w:sz w:val="24"/>
          <w:highlight w:val="none"/>
        </w:rPr>
        <w:t>。</w:t>
      </w:r>
    </w:p>
    <w:p w14:paraId="0DF00306">
      <w:pPr>
        <w:pStyle w:val="4"/>
        <w:shd w:val="clear"/>
        <w:snapToGrid w:val="0"/>
        <w:spacing w:before="0" w:beforeAutospacing="0" w:after="0" w:afterAutospacing="0" w:line="240" w:lineRule="atLeast"/>
        <w:jc w:val="left"/>
        <w:textAlignment w:val="baseline"/>
        <w:rPr>
          <w:rFonts w:hint="eastAsia" w:ascii="宋体" w:hAnsi="宋体" w:eastAsia="宋体" w:cs="宋体"/>
          <w:b/>
          <w:i w:val="0"/>
          <w:caps w:val="0"/>
          <w:color w:val="auto"/>
          <w:spacing w:val="0"/>
          <w:w w:val="100"/>
          <w:sz w:val="24"/>
          <w:szCs w:val="24"/>
          <w:highlight w:val="none"/>
          <w:u w:val="single" w:color="000000"/>
        </w:rPr>
      </w:pPr>
      <w:bookmarkStart w:id="65" w:name="_Toc515904805"/>
      <w:bookmarkStart w:id="66" w:name="_Toc520356148"/>
      <w:bookmarkStart w:id="67" w:name="_Toc9232"/>
      <w:bookmarkStart w:id="68" w:name="_Toc6163"/>
      <w:bookmarkStart w:id="69" w:name="_Toc5371"/>
      <w:bookmarkStart w:id="70" w:name="_Toc19969"/>
      <w:bookmarkStart w:id="71" w:name="_Toc8912"/>
      <w:bookmarkStart w:id="72" w:name="_Toc73"/>
      <w:bookmarkStart w:id="73" w:name="_Toc26044"/>
      <w:bookmarkStart w:id="74" w:name="_Toc5443"/>
      <w:r>
        <w:rPr>
          <w:rFonts w:hint="eastAsia" w:ascii="宋体" w:hAnsi="宋体" w:eastAsia="宋体" w:cs="宋体"/>
          <w:b/>
          <w:i w:val="0"/>
          <w:caps w:val="0"/>
          <w:color w:val="auto"/>
          <w:spacing w:val="0"/>
          <w:w w:val="100"/>
          <w:sz w:val="24"/>
          <w:szCs w:val="24"/>
          <w:highlight w:val="none"/>
          <w:u w:val="single" w:color="000000"/>
        </w:rPr>
        <w:t>6.磋商文件的澄清</w:t>
      </w:r>
      <w:bookmarkEnd w:id="65"/>
      <w:bookmarkEnd w:id="66"/>
      <w:r>
        <w:rPr>
          <w:rFonts w:hint="eastAsia" w:ascii="宋体" w:hAnsi="宋体" w:eastAsia="宋体" w:cs="宋体"/>
          <w:b/>
          <w:i w:val="0"/>
          <w:caps w:val="0"/>
          <w:color w:val="auto"/>
          <w:spacing w:val="0"/>
          <w:w w:val="100"/>
          <w:sz w:val="24"/>
          <w:szCs w:val="24"/>
          <w:highlight w:val="none"/>
          <w:u w:val="single" w:color="000000"/>
        </w:rPr>
        <w:t>与修改</w:t>
      </w:r>
      <w:bookmarkEnd w:id="67"/>
      <w:bookmarkEnd w:id="68"/>
      <w:bookmarkEnd w:id="69"/>
      <w:bookmarkEnd w:id="70"/>
      <w:bookmarkEnd w:id="71"/>
      <w:bookmarkEnd w:id="72"/>
      <w:bookmarkEnd w:id="73"/>
      <w:bookmarkEnd w:id="74"/>
    </w:p>
    <w:p w14:paraId="51B0D872">
      <w:pPr>
        <w:pStyle w:val="6"/>
        <w:shd w:val="clear"/>
        <w:snapToGrid w:val="0"/>
        <w:spacing w:before="0" w:beforeAutospacing="0" w:after="0" w:afterAutospacing="0" w:line="240" w:lineRule="auto"/>
        <w:ind w:hangingChars="350"/>
        <w:jc w:val="left"/>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6.1    为了保证对磋商文件的澄清和修改满足法律的时限要求，任何要求对磋商文件进行澄清的供应商，均应在磋商截止期</w:t>
      </w:r>
      <w:r>
        <w:rPr>
          <w:rFonts w:hint="eastAsia" w:ascii="宋体" w:hAnsi="宋体" w:eastAsia="宋体" w:cs="宋体"/>
          <w:b w:val="0"/>
          <w:i w:val="0"/>
          <w:caps w:val="0"/>
          <w:color w:val="auto"/>
          <w:spacing w:val="0"/>
          <w:w w:val="100"/>
          <w:sz w:val="24"/>
          <w:szCs w:val="24"/>
          <w:highlight w:val="none"/>
          <w:lang w:val="en-US" w:eastAsia="zh-CN"/>
        </w:rPr>
        <w:t>5</w:t>
      </w:r>
      <w:r>
        <w:rPr>
          <w:rFonts w:hint="eastAsia" w:ascii="宋体" w:hAnsi="宋体" w:eastAsia="宋体" w:cs="宋体"/>
          <w:b w:val="0"/>
          <w:i w:val="0"/>
          <w:caps w:val="0"/>
          <w:color w:val="auto"/>
          <w:spacing w:val="0"/>
          <w:w w:val="100"/>
          <w:sz w:val="24"/>
          <w:szCs w:val="24"/>
          <w:highlight w:val="none"/>
        </w:rPr>
        <w:t>日前，以书面形式将澄清要求通知采购人或采购代理机构。</w:t>
      </w:r>
    </w:p>
    <w:p w14:paraId="1B8DB347">
      <w:pPr>
        <w:pStyle w:val="6"/>
        <w:shd w:val="clear"/>
        <w:snapToGrid w:val="0"/>
        <w:spacing w:before="0" w:beforeAutospacing="0" w:after="0" w:afterAutospacing="0" w:line="240" w:lineRule="auto"/>
        <w:ind w:hangingChars="350"/>
        <w:jc w:val="left"/>
        <w:textAlignment w:val="baseline"/>
        <w:rPr>
          <w:rFonts w:hint="eastAsia" w:ascii="宋体" w:hAnsi="宋体" w:eastAsia="宋体" w:cs="宋体"/>
          <w:b w:val="0"/>
          <w:i w:val="0"/>
          <w:caps w:val="0"/>
          <w:color w:val="auto"/>
          <w:spacing w:val="0"/>
          <w:w w:val="100"/>
          <w:sz w:val="24"/>
          <w:szCs w:val="24"/>
          <w:highlight w:val="none"/>
        </w:rPr>
      </w:pPr>
      <w:bookmarkStart w:id="75" w:name="_Toc520356149"/>
      <w:bookmarkStart w:id="76" w:name="_Toc515904806"/>
      <w:bookmarkStart w:id="77" w:name="_Ref467378678"/>
      <w:r>
        <w:rPr>
          <w:rFonts w:hint="eastAsia" w:ascii="宋体" w:hAnsi="宋体" w:eastAsia="宋体" w:cs="宋体"/>
          <w:b w:val="0"/>
          <w:i w:val="0"/>
          <w:caps w:val="0"/>
          <w:color w:val="auto"/>
          <w:spacing w:val="0"/>
          <w:w w:val="100"/>
          <w:sz w:val="24"/>
          <w:szCs w:val="24"/>
          <w:highlight w:val="none"/>
        </w:rPr>
        <w:t>6.2</w:t>
      </w:r>
      <w:r>
        <w:rPr>
          <w:rFonts w:hint="eastAsia" w:ascii="宋体" w:hAnsi="宋体" w:eastAsia="宋体" w:cs="宋体"/>
          <w:b w:val="0"/>
          <w:i w:val="0"/>
          <w:caps w:val="0"/>
          <w:color w:val="auto"/>
          <w:spacing w:val="0"/>
          <w:w w:val="100"/>
          <w:sz w:val="24"/>
          <w:szCs w:val="24"/>
          <w:highlight w:val="none"/>
        </w:rPr>
        <w:tab/>
      </w:r>
      <w:r>
        <w:rPr>
          <w:rFonts w:hint="eastAsia" w:ascii="宋体" w:hAnsi="宋体" w:eastAsia="宋体" w:cs="宋体"/>
          <w:b w:val="0"/>
          <w:i w:val="0"/>
          <w:caps w:val="0"/>
          <w:color w:val="auto"/>
          <w:spacing w:val="0"/>
          <w:w w:val="100"/>
          <w:sz w:val="24"/>
          <w:szCs w:val="24"/>
          <w:highlight w:val="none"/>
        </w:rPr>
        <w:t>采购人可主动地或在解答供应商提出的澄清问题时对磋商文件进行澄清或修改。采购代理机构将以发布澄清（更正）公告的方式，澄清或修改磋商文件，澄清或修改内容作为磋商文件的组成部分。</w:t>
      </w:r>
    </w:p>
    <w:p w14:paraId="4158595E">
      <w:pPr>
        <w:pStyle w:val="6"/>
        <w:shd w:val="clear"/>
        <w:snapToGrid w:val="0"/>
        <w:spacing w:before="0" w:beforeAutospacing="0" w:after="0" w:afterAutospacing="0" w:line="240" w:lineRule="auto"/>
        <w:ind w:hangingChars="350"/>
        <w:jc w:val="left"/>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6.3</w:t>
      </w:r>
      <w:r>
        <w:rPr>
          <w:rFonts w:hint="eastAsia" w:ascii="宋体" w:hAnsi="宋体" w:eastAsia="宋体" w:cs="宋体"/>
          <w:b w:val="0"/>
          <w:i w:val="0"/>
          <w:caps w:val="0"/>
          <w:color w:val="auto"/>
          <w:spacing w:val="0"/>
          <w:w w:val="100"/>
          <w:sz w:val="24"/>
          <w:szCs w:val="24"/>
          <w:highlight w:val="none"/>
        </w:rPr>
        <w:tab/>
      </w:r>
      <w:r>
        <w:rPr>
          <w:rFonts w:hint="eastAsia" w:ascii="宋体" w:hAnsi="宋体" w:eastAsia="宋体" w:cs="宋体"/>
          <w:b w:val="0"/>
          <w:i w:val="0"/>
          <w:caps w:val="0"/>
          <w:color w:val="auto"/>
          <w:spacing w:val="0"/>
          <w:w w:val="100"/>
          <w:sz w:val="24"/>
          <w:szCs w:val="24"/>
          <w:highlight w:val="none"/>
        </w:rPr>
        <w:t>澄清或者修改的内容可能影响磋商文件编制的，采购代理机构将以书面形式通知所有购买磋商文件的潜在供应商，并对其具有约束力。供应商在收到上述通知后，应及时向采购代理机构回函确认。</w:t>
      </w:r>
    </w:p>
    <w:p w14:paraId="6897CAAB">
      <w:pPr>
        <w:pStyle w:val="4"/>
        <w:shd w:val="clear"/>
        <w:tabs>
          <w:tab w:val="left" w:pos="900"/>
        </w:tabs>
        <w:snapToGrid w:val="0"/>
        <w:spacing w:before="0" w:beforeAutospacing="0" w:after="0" w:afterAutospacing="0" w:line="240" w:lineRule="atLeast"/>
        <w:jc w:val="left"/>
        <w:textAlignment w:val="baseline"/>
        <w:rPr>
          <w:rFonts w:hint="eastAsia" w:ascii="宋体" w:hAnsi="宋体" w:eastAsia="宋体" w:cs="宋体"/>
          <w:b/>
          <w:i w:val="0"/>
          <w:caps w:val="0"/>
          <w:color w:val="auto"/>
          <w:spacing w:val="0"/>
          <w:w w:val="100"/>
          <w:sz w:val="24"/>
          <w:szCs w:val="24"/>
          <w:highlight w:val="none"/>
          <w:u w:val="single" w:color="000000"/>
        </w:rPr>
      </w:pPr>
      <w:bookmarkStart w:id="78" w:name="_Toc14569"/>
      <w:bookmarkStart w:id="79" w:name="_Toc12135"/>
      <w:bookmarkStart w:id="80" w:name="_Toc25635"/>
      <w:bookmarkStart w:id="81" w:name="_Toc16843"/>
      <w:bookmarkStart w:id="82" w:name="_Toc5970"/>
      <w:bookmarkStart w:id="83" w:name="_Toc20247"/>
      <w:bookmarkStart w:id="84" w:name="_Toc16792"/>
      <w:bookmarkStart w:id="85" w:name="_Toc14294"/>
      <w:bookmarkStart w:id="86" w:name="_Toc3801"/>
      <w:r>
        <w:rPr>
          <w:rFonts w:hint="eastAsia" w:ascii="宋体" w:hAnsi="宋体" w:eastAsia="宋体" w:cs="宋体"/>
          <w:b/>
          <w:i w:val="0"/>
          <w:caps w:val="0"/>
          <w:color w:val="auto"/>
          <w:spacing w:val="0"/>
          <w:w w:val="100"/>
          <w:sz w:val="24"/>
          <w:szCs w:val="24"/>
          <w:highlight w:val="none"/>
          <w:u w:val="single" w:color="000000"/>
        </w:rPr>
        <w:t>7</w:t>
      </w:r>
      <w:bookmarkEnd w:id="75"/>
      <w:bookmarkEnd w:id="76"/>
      <w:bookmarkEnd w:id="77"/>
      <w:r>
        <w:rPr>
          <w:rFonts w:hint="eastAsia" w:ascii="宋体" w:hAnsi="宋体" w:eastAsia="宋体" w:cs="宋体"/>
          <w:b/>
          <w:i w:val="0"/>
          <w:caps w:val="0"/>
          <w:color w:val="auto"/>
          <w:spacing w:val="0"/>
          <w:w w:val="100"/>
          <w:sz w:val="24"/>
          <w:szCs w:val="24"/>
          <w:highlight w:val="none"/>
          <w:u w:val="single" w:color="000000"/>
        </w:rPr>
        <w:t>.磋商截止时间的顺延</w:t>
      </w:r>
      <w:bookmarkEnd w:id="78"/>
      <w:bookmarkEnd w:id="79"/>
      <w:bookmarkEnd w:id="80"/>
      <w:bookmarkEnd w:id="81"/>
      <w:bookmarkEnd w:id="82"/>
      <w:bookmarkEnd w:id="83"/>
      <w:bookmarkEnd w:id="84"/>
      <w:bookmarkEnd w:id="85"/>
      <w:bookmarkEnd w:id="86"/>
    </w:p>
    <w:p w14:paraId="696416B1">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val="0"/>
          <w:i w:val="0"/>
          <w:caps w:val="0"/>
          <w:color w:val="auto"/>
          <w:spacing w:val="0"/>
          <w:w w:val="100"/>
          <w:sz w:val="24"/>
          <w:highlight w:val="none"/>
        </w:rPr>
        <w:t>为使供应商准备磋商时有足够的时间对磋商文件的澄清或者修改部分进行研究，采购人将依法决定是否顺延磋商截止时间。</w:t>
      </w:r>
    </w:p>
    <w:p w14:paraId="6CCE8EFC">
      <w:pPr>
        <w:pStyle w:val="3"/>
        <w:shd w:val="clear"/>
        <w:tabs>
          <w:tab w:val="left" w:pos="900"/>
        </w:tabs>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highlight w:val="none"/>
        </w:rPr>
      </w:pPr>
      <w:bookmarkStart w:id="87" w:name="_Toc516367020"/>
      <w:bookmarkStart w:id="88" w:name="_Toc520356150"/>
      <w:bookmarkStart w:id="89" w:name="_Toc30808"/>
      <w:bookmarkStart w:id="90" w:name="_Toc14732"/>
      <w:bookmarkStart w:id="91" w:name="_Toc515647766"/>
      <w:bookmarkStart w:id="92" w:name="_Toc26746"/>
      <w:bookmarkStart w:id="93" w:name="_Toc216582807"/>
      <w:bookmarkStart w:id="94" w:name="_Toc18070"/>
      <w:bookmarkStart w:id="95" w:name="_Toc7636"/>
      <w:r>
        <w:rPr>
          <w:rFonts w:hint="eastAsia" w:ascii="宋体" w:hAnsi="宋体" w:eastAsia="宋体" w:cs="宋体"/>
          <w:b/>
          <w:i w:val="0"/>
          <w:caps w:val="0"/>
          <w:color w:val="auto"/>
          <w:spacing w:val="0"/>
          <w:w w:val="100"/>
          <w:sz w:val="28"/>
          <w:highlight w:val="none"/>
        </w:rPr>
        <w:t xml:space="preserve">三   </w:t>
      </w:r>
      <w:bookmarkEnd w:id="87"/>
      <w:r>
        <w:rPr>
          <w:rFonts w:hint="eastAsia" w:ascii="宋体" w:hAnsi="宋体" w:eastAsia="宋体" w:cs="宋体"/>
          <w:b/>
          <w:i w:val="0"/>
          <w:caps w:val="0"/>
          <w:color w:val="auto"/>
          <w:spacing w:val="0"/>
          <w:w w:val="100"/>
          <w:sz w:val="28"/>
          <w:highlight w:val="none"/>
        </w:rPr>
        <w:t>响应文件的编制</w:t>
      </w:r>
      <w:bookmarkEnd w:id="88"/>
      <w:bookmarkEnd w:id="89"/>
      <w:bookmarkEnd w:id="90"/>
      <w:bookmarkEnd w:id="91"/>
      <w:bookmarkEnd w:id="92"/>
      <w:bookmarkEnd w:id="93"/>
      <w:bookmarkEnd w:id="94"/>
      <w:bookmarkEnd w:id="95"/>
    </w:p>
    <w:p w14:paraId="0C265D50">
      <w:pPr>
        <w:pStyle w:val="4"/>
        <w:shd w:val="clear"/>
        <w:tabs>
          <w:tab w:val="left" w:pos="900"/>
        </w:tabs>
        <w:snapToGrid w:val="0"/>
        <w:spacing w:before="0" w:beforeAutospacing="0" w:after="0" w:afterAutospacing="0" w:line="240" w:lineRule="atLeast"/>
        <w:jc w:val="left"/>
        <w:textAlignment w:val="baseline"/>
        <w:rPr>
          <w:rFonts w:hint="eastAsia" w:ascii="宋体" w:hAnsi="宋体" w:eastAsia="宋体" w:cs="宋体"/>
          <w:b/>
          <w:i w:val="0"/>
          <w:caps w:val="0"/>
          <w:color w:val="auto"/>
          <w:spacing w:val="0"/>
          <w:w w:val="100"/>
          <w:sz w:val="24"/>
          <w:highlight w:val="none"/>
          <w:u w:val="single" w:color="000000"/>
        </w:rPr>
      </w:pPr>
      <w:bookmarkStart w:id="96" w:name="_Toc19644"/>
      <w:bookmarkStart w:id="97" w:name="_Toc7786"/>
      <w:bookmarkStart w:id="98" w:name="_Toc515647767"/>
      <w:bookmarkStart w:id="99" w:name="_Toc21065"/>
      <w:bookmarkStart w:id="100" w:name="_Toc3553"/>
      <w:bookmarkStart w:id="101" w:name="_Toc4525"/>
      <w:bookmarkStart w:id="102" w:name="_Toc11594"/>
      <w:bookmarkStart w:id="103" w:name="_Toc14330"/>
      <w:bookmarkStart w:id="104" w:name="_Toc21848"/>
      <w:bookmarkStart w:id="105" w:name="_Toc31904"/>
      <w:bookmarkStart w:id="106" w:name="_Toc520356151"/>
      <w:bookmarkStart w:id="107" w:name="_Toc516367021"/>
      <w:bookmarkStart w:id="108" w:name="_Toc21122"/>
      <w:r>
        <w:rPr>
          <w:rFonts w:hint="eastAsia" w:ascii="宋体" w:hAnsi="宋体" w:eastAsia="宋体" w:cs="宋体"/>
          <w:b/>
          <w:i w:val="0"/>
          <w:caps w:val="0"/>
          <w:color w:val="auto"/>
          <w:spacing w:val="0"/>
          <w:w w:val="100"/>
          <w:sz w:val="24"/>
          <w:highlight w:val="none"/>
          <w:u w:val="single" w:color="000000"/>
        </w:rPr>
        <w:t>8.</w:t>
      </w:r>
      <w:r>
        <w:rPr>
          <w:rFonts w:hint="eastAsia" w:ascii="宋体" w:hAnsi="宋体" w:eastAsia="宋体" w:cs="宋体"/>
          <w:b/>
          <w:i w:val="0"/>
          <w:caps w:val="0"/>
          <w:color w:val="auto"/>
          <w:spacing w:val="0"/>
          <w:w w:val="100"/>
          <w:sz w:val="24"/>
          <w:highlight w:val="none"/>
          <w:u w:val="single" w:color="000000"/>
        </w:rPr>
        <w:tab/>
      </w:r>
      <w:r>
        <w:rPr>
          <w:rFonts w:hint="eastAsia" w:ascii="宋体" w:hAnsi="宋体" w:eastAsia="宋体" w:cs="宋体"/>
          <w:b/>
          <w:i w:val="0"/>
          <w:caps w:val="0"/>
          <w:color w:val="auto"/>
          <w:spacing w:val="0"/>
          <w:w w:val="100"/>
          <w:sz w:val="24"/>
          <w:highlight w:val="none"/>
          <w:u w:val="single" w:color="000000"/>
        </w:rPr>
        <w:t>磋商范围及响应文件成交准和计量单位的使用</w:t>
      </w:r>
      <w:bookmarkEnd w:id="96"/>
      <w:bookmarkEnd w:id="97"/>
      <w:bookmarkEnd w:id="98"/>
      <w:bookmarkEnd w:id="99"/>
      <w:bookmarkEnd w:id="100"/>
      <w:bookmarkEnd w:id="101"/>
      <w:bookmarkEnd w:id="102"/>
      <w:bookmarkEnd w:id="103"/>
      <w:bookmarkEnd w:id="104"/>
      <w:bookmarkEnd w:id="105"/>
      <w:bookmarkEnd w:id="106"/>
      <w:bookmarkEnd w:id="107"/>
      <w:bookmarkEnd w:id="108"/>
    </w:p>
    <w:p w14:paraId="1766AF33">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8.1</w:t>
      </w: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val="0"/>
          <w:i w:val="0"/>
          <w:caps w:val="0"/>
          <w:color w:val="auto"/>
          <w:spacing w:val="0"/>
          <w:w w:val="100"/>
          <w:sz w:val="24"/>
          <w:highlight w:val="none"/>
        </w:rPr>
        <w:t>项目有分包的，供应商可对磋商文件其中某一个或几个分包</w:t>
      </w:r>
      <w:r>
        <w:rPr>
          <w:rFonts w:hint="eastAsia" w:ascii="宋体" w:hAnsi="宋体" w:eastAsia="宋体" w:cs="宋体"/>
          <w:b w:val="0"/>
          <w:i w:val="0"/>
          <w:caps w:val="0"/>
          <w:color w:val="auto"/>
          <w:spacing w:val="0"/>
          <w:w w:val="100"/>
          <w:sz w:val="24"/>
          <w:highlight w:val="none"/>
          <w:lang w:val="en-US" w:eastAsia="zh-CN"/>
        </w:rPr>
        <w:t>服务</w:t>
      </w:r>
      <w:r>
        <w:rPr>
          <w:rFonts w:hint="eastAsia" w:ascii="宋体" w:hAnsi="宋体" w:eastAsia="宋体" w:cs="宋体"/>
          <w:b w:val="0"/>
          <w:i w:val="0"/>
          <w:caps w:val="0"/>
          <w:color w:val="auto"/>
          <w:spacing w:val="0"/>
          <w:w w:val="100"/>
          <w:sz w:val="24"/>
          <w:highlight w:val="none"/>
        </w:rPr>
        <w:t>进行磋商，除非在</w:t>
      </w:r>
      <w:r>
        <w:rPr>
          <w:rFonts w:hint="eastAsia" w:ascii="宋体" w:hAnsi="宋体" w:eastAsia="宋体" w:cs="宋体"/>
          <w:b w:val="0"/>
          <w:i w:val="0"/>
          <w:caps w:val="0"/>
          <w:color w:val="auto"/>
          <w:spacing w:val="0"/>
          <w:w w:val="100"/>
          <w:sz w:val="24"/>
          <w:highlight w:val="none"/>
          <w:u w:val="single" w:color="000000"/>
        </w:rPr>
        <w:t>供应商须知资料表</w:t>
      </w:r>
      <w:r>
        <w:rPr>
          <w:rFonts w:hint="eastAsia" w:ascii="宋体" w:hAnsi="宋体" w:eastAsia="宋体" w:cs="宋体"/>
          <w:b w:val="0"/>
          <w:i w:val="0"/>
          <w:caps w:val="0"/>
          <w:color w:val="auto"/>
          <w:spacing w:val="0"/>
          <w:w w:val="100"/>
          <w:sz w:val="24"/>
          <w:highlight w:val="none"/>
        </w:rPr>
        <w:t>中另有规定。</w:t>
      </w:r>
    </w:p>
    <w:p w14:paraId="26738BE4">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8.2     供应商应当对所投分包磋商文件中“</w:t>
      </w:r>
      <w:r>
        <w:rPr>
          <w:rFonts w:hint="eastAsia" w:ascii="宋体" w:hAnsi="宋体" w:cs="宋体"/>
          <w:b w:val="0"/>
          <w:i w:val="0"/>
          <w:caps w:val="0"/>
          <w:color w:val="auto"/>
          <w:spacing w:val="0"/>
          <w:w w:val="100"/>
          <w:sz w:val="24"/>
          <w:highlight w:val="none"/>
          <w:lang w:eastAsia="zh-CN"/>
        </w:rPr>
        <w:t>货物</w:t>
      </w:r>
      <w:r>
        <w:rPr>
          <w:rFonts w:hint="eastAsia" w:ascii="宋体" w:hAnsi="宋体" w:eastAsia="宋体" w:cs="宋体"/>
          <w:b w:val="0"/>
          <w:i w:val="0"/>
          <w:caps w:val="0"/>
          <w:color w:val="auto"/>
          <w:spacing w:val="0"/>
          <w:w w:val="100"/>
          <w:sz w:val="24"/>
          <w:highlight w:val="none"/>
        </w:rPr>
        <w:t>需求及</w:t>
      </w:r>
      <w:r>
        <w:rPr>
          <w:rFonts w:hint="eastAsia" w:ascii="宋体" w:hAnsi="宋体" w:cs="宋体"/>
          <w:b w:val="0"/>
          <w:i w:val="0"/>
          <w:caps w:val="0"/>
          <w:color w:val="auto"/>
          <w:spacing w:val="0"/>
          <w:w w:val="100"/>
          <w:sz w:val="24"/>
          <w:highlight w:val="none"/>
          <w:lang w:eastAsia="zh-CN"/>
        </w:rPr>
        <w:t>其他</w:t>
      </w:r>
      <w:r>
        <w:rPr>
          <w:rFonts w:hint="eastAsia" w:ascii="宋体" w:hAnsi="宋体" w:eastAsia="宋体" w:cs="宋体"/>
          <w:b w:val="0"/>
          <w:i w:val="0"/>
          <w:caps w:val="0"/>
          <w:color w:val="auto"/>
          <w:spacing w:val="0"/>
          <w:w w:val="100"/>
          <w:sz w:val="24"/>
          <w:highlight w:val="none"/>
        </w:rPr>
        <w:t>要求”所列的所有内容进行磋商，如仅响应某一包中的部分内容，其该包磋商将被认定为</w:t>
      </w:r>
      <w:r>
        <w:rPr>
          <w:rFonts w:hint="eastAsia" w:ascii="宋体" w:hAnsi="宋体" w:eastAsia="宋体" w:cs="宋体"/>
          <w:b/>
          <w:bCs/>
          <w:i w:val="0"/>
          <w:caps w:val="0"/>
          <w:color w:val="auto"/>
          <w:spacing w:val="0"/>
          <w:w w:val="100"/>
          <w:sz w:val="24"/>
          <w:highlight w:val="none"/>
        </w:rPr>
        <w:t>磋商无效</w:t>
      </w:r>
      <w:r>
        <w:rPr>
          <w:rFonts w:hint="eastAsia" w:ascii="宋体" w:hAnsi="宋体" w:eastAsia="宋体" w:cs="宋体"/>
          <w:b w:val="0"/>
          <w:i w:val="0"/>
          <w:caps w:val="0"/>
          <w:color w:val="auto"/>
          <w:spacing w:val="0"/>
          <w:w w:val="100"/>
          <w:sz w:val="24"/>
          <w:highlight w:val="none"/>
        </w:rPr>
        <w:t>。</w:t>
      </w:r>
    </w:p>
    <w:p w14:paraId="327D6111">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8.3     无论磋商文件第5章</w:t>
      </w:r>
      <w:r>
        <w:rPr>
          <w:rFonts w:hint="eastAsia" w:ascii="宋体" w:hAnsi="宋体" w:cs="宋体"/>
          <w:b w:val="0"/>
          <w:i w:val="0"/>
          <w:caps w:val="0"/>
          <w:color w:val="auto"/>
          <w:spacing w:val="0"/>
          <w:w w:val="100"/>
          <w:sz w:val="24"/>
          <w:highlight w:val="none"/>
          <w:lang w:eastAsia="zh-CN"/>
        </w:rPr>
        <w:t>货物</w:t>
      </w:r>
      <w:r>
        <w:rPr>
          <w:rFonts w:hint="eastAsia" w:ascii="宋体" w:hAnsi="宋体" w:eastAsia="宋体" w:cs="宋体"/>
          <w:b w:val="0"/>
          <w:i w:val="0"/>
          <w:caps w:val="0"/>
          <w:color w:val="auto"/>
          <w:spacing w:val="0"/>
          <w:w w:val="100"/>
          <w:sz w:val="24"/>
          <w:highlight w:val="none"/>
        </w:rPr>
        <w:t>需求及</w:t>
      </w:r>
      <w:r>
        <w:rPr>
          <w:rFonts w:hint="eastAsia" w:ascii="宋体" w:hAnsi="宋体" w:cs="宋体"/>
          <w:b w:val="0"/>
          <w:i w:val="0"/>
          <w:caps w:val="0"/>
          <w:color w:val="auto"/>
          <w:spacing w:val="0"/>
          <w:w w:val="100"/>
          <w:sz w:val="24"/>
          <w:highlight w:val="none"/>
          <w:lang w:eastAsia="zh-CN"/>
        </w:rPr>
        <w:t>其他</w:t>
      </w:r>
      <w:r>
        <w:rPr>
          <w:rFonts w:hint="eastAsia" w:ascii="宋体" w:hAnsi="宋体" w:eastAsia="宋体" w:cs="宋体"/>
          <w:b w:val="0"/>
          <w:i w:val="0"/>
          <w:caps w:val="0"/>
          <w:color w:val="auto"/>
          <w:spacing w:val="0"/>
          <w:w w:val="100"/>
          <w:sz w:val="24"/>
          <w:highlight w:val="none"/>
        </w:rPr>
        <w:t>要求中是否要求，供应商所投</w:t>
      </w:r>
      <w:r>
        <w:rPr>
          <w:rFonts w:hint="eastAsia" w:ascii="宋体" w:hAnsi="宋体" w:eastAsia="宋体" w:cs="宋体"/>
          <w:b w:val="0"/>
          <w:i w:val="0"/>
          <w:caps w:val="0"/>
          <w:color w:val="auto"/>
          <w:spacing w:val="0"/>
          <w:w w:val="100"/>
          <w:sz w:val="24"/>
          <w:highlight w:val="none"/>
          <w:lang w:val="en-US" w:eastAsia="zh-CN"/>
        </w:rPr>
        <w:t>服务</w:t>
      </w:r>
      <w:r>
        <w:rPr>
          <w:rFonts w:hint="eastAsia" w:ascii="宋体" w:hAnsi="宋体" w:eastAsia="宋体" w:cs="宋体"/>
          <w:b w:val="0"/>
          <w:i w:val="0"/>
          <w:caps w:val="0"/>
          <w:color w:val="auto"/>
          <w:spacing w:val="0"/>
          <w:w w:val="100"/>
          <w:sz w:val="24"/>
          <w:highlight w:val="none"/>
        </w:rPr>
        <w:t>均应符合国家强制性标准。</w:t>
      </w:r>
    </w:p>
    <w:p w14:paraId="231D98A0">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8.4     除磋商文件中有特殊要求外，响应文件中所使用的计量单位，应采用中华人民共和国法定计量单位。</w:t>
      </w:r>
    </w:p>
    <w:p w14:paraId="59713B09">
      <w:pPr>
        <w:pStyle w:val="4"/>
        <w:shd w:val="clear"/>
        <w:tabs>
          <w:tab w:val="left" w:pos="900"/>
        </w:tabs>
        <w:snapToGrid w:val="0"/>
        <w:spacing w:before="0" w:beforeAutospacing="0" w:after="0" w:afterAutospacing="0" w:line="240" w:lineRule="atLeast"/>
        <w:jc w:val="left"/>
        <w:textAlignment w:val="baseline"/>
        <w:rPr>
          <w:rFonts w:hint="eastAsia" w:ascii="宋体" w:hAnsi="宋体" w:eastAsia="宋体" w:cs="宋体"/>
          <w:b/>
          <w:i w:val="0"/>
          <w:caps w:val="0"/>
          <w:color w:val="auto"/>
          <w:spacing w:val="0"/>
          <w:w w:val="100"/>
          <w:sz w:val="24"/>
          <w:highlight w:val="none"/>
          <w:u w:val="single" w:color="000000"/>
        </w:rPr>
      </w:pPr>
      <w:bookmarkStart w:id="109" w:name="_Ref467306676"/>
      <w:bookmarkStart w:id="110" w:name="_Toc516367022"/>
      <w:bookmarkStart w:id="111" w:name="_Ref467306195"/>
      <w:bookmarkStart w:id="112" w:name="_Toc2582"/>
      <w:bookmarkStart w:id="113" w:name="_Toc28307"/>
      <w:bookmarkStart w:id="114" w:name="_Toc26395"/>
      <w:bookmarkStart w:id="115" w:name="_Toc3006"/>
      <w:bookmarkStart w:id="116" w:name="_Toc10364"/>
      <w:bookmarkStart w:id="117" w:name="_Toc13837"/>
      <w:bookmarkStart w:id="118" w:name="_Toc26502"/>
      <w:bookmarkStart w:id="119" w:name="_Toc28670"/>
      <w:bookmarkStart w:id="120" w:name="_Toc515647768"/>
      <w:bookmarkStart w:id="121" w:name="_Toc22161"/>
      <w:bookmarkStart w:id="122" w:name="_Toc520356152"/>
      <w:r>
        <w:rPr>
          <w:rFonts w:hint="eastAsia" w:ascii="宋体" w:hAnsi="宋体" w:eastAsia="宋体" w:cs="宋体"/>
          <w:b/>
          <w:i w:val="0"/>
          <w:caps w:val="0"/>
          <w:color w:val="auto"/>
          <w:spacing w:val="0"/>
          <w:w w:val="100"/>
          <w:sz w:val="24"/>
          <w:highlight w:val="none"/>
          <w:u w:val="single" w:color="000000"/>
        </w:rPr>
        <w:t>9.</w:t>
      </w:r>
      <w:bookmarkEnd w:id="109"/>
      <w:bookmarkEnd w:id="110"/>
      <w:bookmarkEnd w:id="111"/>
      <w:r>
        <w:rPr>
          <w:rFonts w:hint="eastAsia" w:ascii="宋体" w:hAnsi="宋体" w:eastAsia="宋体" w:cs="宋体"/>
          <w:b/>
          <w:i w:val="0"/>
          <w:caps w:val="0"/>
          <w:color w:val="auto"/>
          <w:spacing w:val="0"/>
          <w:w w:val="100"/>
          <w:sz w:val="24"/>
          <w:highlight w:val="none"/>
          <w:u w:val="single" w:color="000000"/>
        </w:rPr>
        <w:t>响应文件构成</w:t>
      </w:r>
      <w:bookmarkEnd w:id="112"/>
      <w:bookmarkEnd w:id="113"/>
      <w:bookmarkEnd w:id="114"/>
      <w:bookmarkEnd w:id="115"/>
      <w:bookmarkEnd w:id="116"/>
      <w:bookmarkEnd w:id="117"/>
      <w:bookmarkEnd w:id="118"/>
      <w:bookmarkEnd w:id="119"/>
      <w:bookmarkEnd w:id="120"/>
      <w:bookmarkEnd w:id="121"/>
      <w:bookmarkEnd w:id="122"/>
    </w:p>
    <w:p w14:paraId="64AA0606">
      <w:pPr>
        <w:shd w:val="clear"/>
        <w:tabs>
          <w:tab w:val="left" w:pos="900"/>
          <w:tab w:val="left" w:pos="5580"/>
        </w:tabs>
        <w:snapToGrid w:val="0"/>
        <w:spacing w:before="0" w:beforeAutospacing="0" w:after="0" w:afterAutospacing="0" w:line="240" w:lineRule="atLeast"/>
        <w:ind w:hangingChars="400"/>
        <w:jc w:val="left"/>
        <w:textAlignment w:val="baseline"/>
        <w:rPr>
          <w:rFonts w:hint="eastAsia" w:ascii="宋体" w:hAnsi="宋体" w:eastAsia="宋体" w:cs="宋体"/>
          <w:b w:val="0"/>
          <w:i w:val="0"/>
          <w:caps w:val="0"/>
          <w:color w:val="auto"/>
          <w:spacing w:val="0"/>
          <w:w w:val="100"/>
          <w:sz w:val="24"/>
          <w:highlight w:val="none"/>
          <w:u w:val="single" w:color="000000"/>
        </w:rPr>
      </w:pPr>
      <w:bookmarkStart w:id="123" w:name="_Ref467052588"/>
      <w:r>
        <w:rPr>
          <w:rFonts w:hint="eastAsia" w:ascii="宋体" w:hAnsi="宋体" w:eastAsia="宋体" w:cs="宋体"/>
          <w:b w:val="0"/>
          <w:i w:val="0"/>
          <w:caps w:val="0"/>
          <w:color w:val="auto"/>
          <w:spacing w:val="0"/>
          <w:w w:val="100"/>
          <w:sz w:val="24"/>
          <w:highlight w:val="none"/>
        </w:rPr>
        <w:t xml:space="preserve">9.1     </w:t>
      </w:r>
      <w:r>
        <w:rPr>
          <w:rFonts w:hint="eastAsia" w:ascii="宋体" w:hAnsi="宋体" w:eastAsia="宋体" w:cs="宋体"/>
          <w:b w:val="0"/>
          <w:i w:val="0"/>
          <w:caps w:val="0"/>
          <w:color w:val="auto"/>
          <w:spacing w:val="0"/>
          <w:w w:val="100"/>
          <w:sz w:val="24"/>
          <w:highlight w:val="none"/>
          <w:u w:val="single" w:color="000000"/>
        </w:rPr>
        <w:t>供应商应完整地按磋商文件提供的响应文件格式及要求</w:t>
      </w:r>
      <w:r>
        <w:rPr>
          <w:rFonts w:hint="eastAsia" w:ascii="宋体" w:hAnsi="宋体" w:eastAsia="宋体" w:cs="宋体"/>
          <w:b w:val="0"/>
          <w:i w:val="0"/>
          <w:caps w:val="0"/>
          <w:color w:val="auto"/>
          <w:spacing w:val="0"/>
          <w:w w:val="100"/>
          <w:sz w:val="24"/>
          <w:highlight w:val="none"/>
          <w:u w:val="single" w:color="000000"/>
          <w:lang w:eastAsia="zh-Hans"/>
        </w:rPr>
        <w:t>编写</w:t>
      </w:r>
      <w:r>
        <w:rPr>
          <w:rFonts w:hint="eastAsia" w:ascii="宋体" w:hAnsi="宋体" w:eastAsia="宋体" w:cs="宋体"/>
          <w:b w:val="0"/>
          <w:i w:val="0"/>
          <w:caps w:val="0"/>
          <w:color w:val="auto"/>
          <w:spacing w:val="0"/>
          <w:w w:val="100"/>
          <w:sz w:val="24"/>
          <w:highlight w:val="none"/>
          <w:u w:val="single" w:color="000000"/>
        </w:rPr>
        <w:t>响应文件，响应文件应包括“</w:t>
      </w:r>
      <w:r>
        <w:rPr>
          <w:rFonts w:hint="eastAsia" w:ascii="宋体" w:hAnsi="宋体" w:eastAsia="宋体" w:cs="宋体"/>
          <w:b w:val="0"/>
          <w:i w:val="0"/>
          <w:caps w:val="0"/>
          <w:color w:val="auto"/>
          <w:spacing w:val="0"/>
          <w:w w:val="100"/>
          <w:sz w:val="24"/>
          <w:highlight w:val="none"/>
          <w:u w:val="single" w:color="000000"/>
          <w:lang w:eastAsia="zh-CN"/>
        </w:rPr>
        <w:t>磋商报价表</w:t>
      </w:r>
      <w:r>
        <w:rPr>
          <w:rFonts w:hint="eastAsia" w:ascii="宋体" w:hAnsi="宋体" w:eastAsia="宋体" w:cs="宋体"/>
          <w:b w:val="0"/>
          <w:i w:val="0"/>
          <w:caps w:val="0"/>
          <w:color w:val="auto"/>
          <w:spacing w:val="0"/>
          <w:w w:val="100"/>
          <w:sz w:val="24"/>
          <w:highlight w:val="none"/>
          <w:u w:val="single" w:color="000000"/>
        </w:rPr>
        <w:t>及资格证明文件”和“商务及技术文件”两部分。供应商应完整地按磋商文件提供的响应文件格式及要求编写响应文件，供应商须在响应截止时间前完成在系统上递交电子响应文件。供应商的电子响应文件是经过 CA 证书加密后上传提交的，任何单位或个人均无法在响应截止时间（即开标时间）之前查看或篡改，不存在泄密风险。（严格按照政采云电子投标流程制作并上传电子响应文件）</w:t>
      </w:r>
    </w:p>
    <w:p w14:paraId="18D8C289">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9.2    上述文件应按照磋商文件规定的格式填写、签署和盖章。</w:t>
      </w:r>
      <w:bookmarkEnd w:id="123"/>
    </w:p>
    <w:p w14:paraId="2E8B57AB">
      <w:pPr>
        <w:pStyle w:val="4"/>
        <w:shd w:val="clear"/>
        <w:tabs>
          <w:tab w:val="left" w:pos="900"/>
        </w:tabs>
        <w:snapToGrid w:val="0"/>
        <w:spacing w:before="0" w:beforeAutospacing="0" w:after="0" w:afterAutospacing="0" w:line="240" w:lineRule="atLeast"/>
        <w:jc w:val="left"/>
        <w:textAlignment w:val="baseline"/>
        <w:rPr>
          <w:rFonts w:hint="eastAsia" w:ascii="宋体" w:hAnsi="宋体" w:eastAsia="宋体" w:cs="宋体"/>
          <w:b/>
          <w:i w:val="0"/>
          <w:caps w:val="0"/>
          <w:color w:val="auto"/>
          <w:spacing w:val="0"/>
          <w:w w:val="100"/>
          <w:sz w:val="24"/>
          <w:highlight w:val="none"/>
          <w:u w:val="single" w:color="000000"/>
        </w:rPr>
      </w:pPr>
      <w:bookmarkStart w:id="124" w:name="_Toc5860"/>
      <w:bookmarkStart w:id="125" w:name="_Toc8626"/>
      <w:bookmarkStart w:id="126" w:name="_Toc22481"/>
      <w:bookmarkStart w:id="127" w:name="_Toc6860"/>
      <w:bookmarkStart w:id="128" w:name="_Toc4601"/>
      <w:bookmarkStart w:id="129" w:name="_Toc520356153"/>
      <w:bookmarkStart w:id="130" w:name="_Toc516367023"/>
      <w:bookmarkStart w:id="131" w:name="_Toc870"/>
      <w:bookmarkStart w:id="132" w:name="_Toc515647769"/>
      <w:bookmarkStart w:id="133" w:name="_Toc28330"/>
      <w:bookmarkStart w:id="134" w:name="_Toc5569"/>
      <w:bookmarkStart w:id="135" w:name="_Toc4291"/>
      <w:bookmarkStart w:id="136" w:name="_Toc10379"/>
      <w:r>
        <w:rPr>
          <w:rFonts w:hint="eastAsia" w:ascii="宋体" w:hAnsi="宋体" w:eastAsia="宋体" w:cs="宋体"/>
          <w:b/>
          <w:i w:val="0"/>
          <w:caps w:val="0"/>
          <w:color w:val="auto"/>
          <w:spacing w:val="0"/>
          <w:w w:val="100"/>
          <w:sz w:val="24"/>
          <w:highlight w:val="none"/>
          <w:u w:val="single" w:color="000000"/>
        </w:rPr>
        <w:t>10.</w:t>
      </w:r>
      <w:r>
        <w:rPr>
          <w:rFonts w:hint="eastAsia" w:ascii="宋体" w:hAnsi="宋体" w:eastAsia="宋体" w:cs="宋体"/>
          <w:b/>
          <w:i w:val="0"/>
          <w:caps w:val="0"/>
          <w:color w:val="auto"/>
          <w:spacing w:val="0"/>
          <w:w w:val="100"/>
          <w:sz w:val="24"/>
          <w:highlight w:val="none"/>
          <w:u w:val="single" w:color="000000"/>
        </w:rPr>
        <w:tab/>
      </w:r>
      <w:r>
        <w:rPr>
          <w:rFonts w:hint="eastAsia" w:ascii="宋体" w:hAnsi="宋体" w:eastAsia="宋体" w:cs="宋体"/>
          <w:b/>
          <w:i w:val="0"/>
          <w:caps w:val="0"/>
          <w:color w:val="auto"/>
          <w:spacing w:val="0"/>
          <w:w w:val="100"/>
          <w:sz w:val="24"/>
          <w:highlight w:val="none"/>
          <w:u w:val="single" w:color="000000"/>
        </w:rPr>
        <w:t>证明磋商标的的合格性和符合磋商文件规定的技术文件</w:t>
      </w:r>
      <w:bookmarkEnd w:id="124"/>
      <w:bookmarkEnd w:id="125"/>
      <w:bookmarkEnd w:id="126"/>
      <w:bookmarkEnd w:id="127"/>
      <w:bookmarkEnd w:id="128"/>
      <w:bookmarkEnd w:id="129"/>
      <w:bookmarkEnd w:id="130"/>
      <w:bookmarkEnd w:id="131"/>
      <w:bookmarkEnd w:id="132"/>
      <w:bookmarkEnd w:id="133"/>
      <w:bookmarkEnd w:id="134"/>
      <w:bookmarkEnd w:id="135"/>
      <w:bookmarkEnd w:id="136"/>
    </w:p>
    <w:p w14:paraId="101FB60B">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10.1</w:t>
      </w: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val="0"/>
          <w:i w:val="0"/>
          <w:caps w:val="0"/>
          <w:color w:val="auto"/>
          <w:spacing w:val="0"/>
          <w:w w:val="100"/>
          <w:sz w:val="24"/>
          <w:highlight w:val="none"/>
        </w:rPr>
        <w:t>供应商应提交证明文件，证明其磋商内容符合磋商文件规定。该证明文件是响应文件的一部分。</w:t>
      </w:r>
    </w:p>
    <w:p w14:paraId="0C68696C">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bookmarkStart w:id="137" w:name="_Ref467306244"/>
      <w:r>
        <w:rPr>
          <w:rFonts w:hint="eastAsia" w:ascii="宋体" w:hAnsi="宋体" w:eastAsia="宋体" w:cs="宋体"/>
          <w:b w:val="0"/>
          <w:i w:val="0"/>
          <w:caps w:val="0"/>
          <w:color w:val="auto"/>
          <w:spacing w:val="0"/>
          <w:w w:val="100"/>
          <w:sz w:val="24"/>
          <w:highlight w:val="none"/>
        </w:rPr>
        <w:t>10.2</w:t>
      </w: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val="0"/>
          <w:i w:val="0"/>
          <w:caps w:val="0"/>
          <w:color w:val="auto"/>
          <w:spacing w:val="0"/>
          <w:w w:val="100"/>
          <w:sz w:val="24"/>
          <w:highlight w:val="none"/>
        </w:rPr>
        <w:t>上款所述的证明文件，可以是文字资料、图纸和数据，</w:t>
      </w:r>
      <w:bookmarkEnd w:id="137"/>
      <w:r>
        <w:rPr>
          <w:rFonts w:hint="eastAsia" w:ascii="宋体" w:hAnsi="宋体" w:eastAsia="宋体" w:cs="宋体"/>
          <w:b w:val="0"/>
          <w:i w:val="0"/>
          <w:caps w:val="0"/>
          <w:color w:val="auto"/>
          <w:spacing w:val="0"/>
          <w:w w:val="100"/>
          <w:sz w:val="24"/>
          <w:highlight w:val="none"/>
        </w:rPr>
        <w:t>它包括：</w:t>
      </w:r>
    </w:p>
    <w:p w14:paraId="70C79D08">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10.2.1</w:t>
      </w: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val="0"/>
          <w:i w:val="0"/>
          <w:caps w:val="0"/>
          <w:color w:val="auto"/>
          <w:spacing w:val="0"/>
          <w:w w:val="100"/>
          <w:sz w:val="24"/>
          <w:highlight w:val="none"/>
          <w:lang w:val="en-US" w:eastAsia="zh-CN"/>
        </w:rPr>
        <w:t>服务</w:t>
      </w:r>
      <w:r>
        <w:rPr>
          <w:rFonts w:hint="eastAsia" w:ascii="宋体" w:hAnsi="宋体" w:eastAsia="宋体" w:cs="宋体"/>
          <w:b w:val="0"/>
          <w:i w:val="0"/>
          <w:caps w:val="0"/>
          <w:color w:val="auto"/>
          <w:spacing w:val="0"/>
          <w:w w:val="100"/>
          <w:sz w:val="24"/>
          <w:highlight w:val="none"/>
        </w:rPr>
        <w:t>主要技术指标和性能的详细说明；</w:t>
      </w:r>
    </w:p>
    <w:p w14:paraId="02708D22">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10.2.2</w:t>
      </w: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val="0"/>
          <w:i w:val="0"/>
          <w:caps w:val="0"/>
          <w:color w:val="auto"/>
          <w:spacing w:val="0"/>
          <w:w w:val="100"/>
          <w:sz w:val="24"/>
          <w:highlight w:val="none"/>
        </w:rPr>
        <w:t>对照磋商文件技术规格，逐条说明所提供</w:t>
      </w:r>
      <w:r>
        <w:rPr>
          <w:rFonts w:hint="eastAsia" w:ascii="宋体" w:hAnsi="宋体" w:eastAsia="宋体" w:cs="宋体"/>
          <w:b w:val="0"/>
          <w:i w:val="0"/>
          <w:caps w:val="0"/>
          <w:color w:val="auto"/>
          <w:spacing w:val="0"/>
          <w:w w:val="100"/>
          <w:sz w:val="24"/>
          <w:highlight w:val="none"/>
          <w:lang w:val="en-US" w:eastAsia="zh-CN"/>
        </w:rPr>
        <w:t>服务</w:t>
      </w:r>
      <w:r>
        <w:rPr>
          <w:rFonts w:hint="eastAsia" w:ascii="宋体" w:hAnsi="宋体" w:eastAsia="宋体" w:cs="宋体"/>
          <w:b w:val="0"/>
          <w:i w:val="0"/>
          <w:caps w:val="0"/>
          <w:color w:val="auto"/>
          <w:spacing w:val="0"/>
          <w:w w:val="100"/>
          <w:sz w:val="24"/>
          <w:highlight w:val="none"/>
        </w:rPr>
        <w:t>及伴随的工程和</w:t>
      </w:r>
      <w:r>
        <w:rPr>
          <w:rFonts w:hint="eastAsia" w:ascii="宋体" w:hAnsi="宋体" w:eastAsia="宋体" w:cs="宋体"/>
          <w:b w:val="0"/>
          <w:i w:val="0"/>
          <w:caps w:val="0"/>
          <w:color w:val="auto"/>
          <w:spacing w:val="0"/>
          <w:w w:val="100"/>
          <w:sz w:val="24"/>
          <w:highlight w:val="none"/>
          <w:lang w:val="en-US" w:eastAsia="zh-CN"/>
        </w:rPr>
        <w:t>服务</w:t>
      </w:r>
      <w:r>
        <w:rPr>
          <w:rFonts w:hint="eastAsia" w:ascii="宋体" w:hAnsi="宋体" w:eastAsia="宋体" w:cs="宋体"/>
          <w:b w:val="0"/>
          <w:i w:val="0"/>
          <w:caps w:val="0"/>
          <w:color w:val="auto"/>
          <w:spacing w:val="0"/>
          <w:w w:val="100"/>
          <w:sz w:val="24"/>
          <w:highlight w:val="none"/>
        </w:rPr>
        <w:t>已对磋商文件的技术规格做出了实质性的响应，或申明与技术规格条文的偏差和例外。</w:t>
      </w:r>
    </w:p>
    <w:p w14:paraId="04AE6639">
      <w:pPr>
        <w:pStyle w:val="4"/>
        <w:shd w:val="clear"/>
        <w:snapToGrid w:val="0"/>
        <w:spacing w:before="0" w:beforeAutospacing="0" w:after="0" w:afterAutospacing="0" w:line="240" w:lineRule="atLeast"/>
        <w:jc w:val="left"/>
        <w:textAlignment w:val="baseline"/>
        <w:rPr>
          <w:rFonts w:hint="eastAsia" w:ascii="宋体" w:hAnsi="宋体" w:eastAsia="宋体" w:cs="宋体"/>
          <w:b/>
          <w:i w:val="0"/>
          <w:caps w:val="0"/>
          <w:color w:val="auto"/>
          <w:spacing w:val="0"/>
          <w:w w:val="100"/>
          <w:sz w:val="24"/>
          <w:highlight w:val="none"/>
          <w:u w:val="single" w:color="000000"/>
        </w:rPr>
      </w:pPr>
      <w:bookmarkStart w:id="138" w:name="_Toc23231"/>
      <w:bookmarkStart w:id="139" w:name="_Toc2248"/>
      <w:bookmarkStart w:id="140" w:name="_Toc27117"/>
      <w:bookmarkStart w:id="141" w:name="_Toc6864"/>
      <w:bookmarkStart w:id="142" w:name="_Toc5859"/>
      <w:bookmarkStart w:id="143" w:name="_Toc16854"/>
      <w:bookmarkStart w:id="144" w:name="_Toc520356155"/>
      <w:bookmarkStart w:id="145" w:name="_Toc515647770"/>
      <w:bookmarkStart w:id="146" w:name="_Toc5239"/>
      <w:bookmarkStart w:id="147" w:name="_Toc10592"/>
      <w:bookmarkStart w:id="148" w:name="_Toc9025"/>
      <w:bookmarkStart w:id="149" w:name="_Toc3460"/>
      <w:r>
        <w:rPr>
          <w:rFonts w:hint="eastAsia" w:ascii="宋体" w:hAnsi="宋体" w:eastAsia="宋体" w:cs="宋体"/>
          <w:b/>
          <w:i w:val="0"/>
          <w:caps w:val="0"/>
          <w:color w:val="auto"/>
          <w:spacing w:val="0"/>
          <w:w w:val="100"/>
          <w:sz w:val="24"/>
          <w:highlight w:val="none"/>
          <w:u w:val="single" w:color="000000"/>
        </w:rPr>
        <w:t>11.磋商报价</w:t>
      </w:r>
      <w:bookmarkEnd w:id="138"/>
      <w:bookmarkEnd w:id="139"/>
      <w:bookmarkEnd w:id="140"/>
      <w:bookmarkEnd w:id="141"/>
      <w:bookmarkEnd w:id="142"/>
      <w:bookmarkEnd w:id="143"/>
      <w:bookmarkEnd w:id="144"/>
      <w:bookmarkEnd w:id="145"/>
      <w:bookmarkEnd w:id="146"/>
      <w:bookmarkEnd w:id="147"/>
      <w:bookmarkEnd w:id="148"/>
      <w:bookmarkEnd w:id="149"/>
    </w:p>
    <w:p w14:paraId="1CF6E795">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11.1</w:t>
      </w: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val="0"/>
          <w:i w:val="0"/>
          <w:caps w:val="0"/>
          <w:color w:val="auto"/>
          <w:spacing w:val="0"/>
          <w:w w:val="100"/>
          <w:sz w:val="24"/>
          <w:highlight w:val="none"/>
        </w:rPr>
        <w:t>所有磋商均以人民币报价。供应商的磋商报价应遵守《中华人民共和国价格法》。同时，根据《中华人民共和国政府采购法》第二条的规定，为保证公平竞争，如有</w:t>
      </w:r>
      <w:r>
        <w:rPr>
          <w:rFonts w:hint="eastAsia" w:ascii="宋体" w:hAnsi="宋体" w:eastAsia="宋体" w:cs="宋体"/>
          <w:b w:val="0"/>
          <w:i w:val="0"/>
          <w:caps w:val="0"/>
          <w:color w:val="auto"/>
          <w:spacing w:val="0"/>
          <w:w w:val="100"/>
          <w:sz w:val="24"/>
          <w:highlight w:val="none"/>
          <w:lang w:val="en-US" w:eastAsia="zh-CN"/>
        </w:rPr>
        <w:t>服务</w:t>
      </w:r>
      <w:r>
        <w:rPr>
          <w:rFonts w:hint="eastAsia" w:ascii="宋体" w:hAnsi="宋体" w:eastAsia="宋体" w:cs="宋体"/>
          <w:b w:val="0"/>
          <w:i w:val="0"/>
          <w:caps w:val="0"/>
          <w:color w:val="auto"/>
          <w:spacing w:val="0"/>
          <w:w w:val="100"/>
          <w:sz w:val="24"/>
          <w:highlight w:val="none"/>
        </w:rPr>
        <w:t>主体部分的赠与行为，其磋商将被认定为</w:t>
      </w:r>
      <w:r>
        <w:rPr>
          <w:rFonts w:hint="eastAsia" w:ascii="宋体" w:hAnsi="宋体" w:eastAsia="宋体" w:cs="宋体"/>
          <w:b/>
          <w:bCs/>
          <w:i w:val="0"/>
          <w:caps w:val="0"/>
          <w:color w:val="auto"/>
          <w:spacing w:val="0"/>
          <w:w w:val="100"/>
          <w:sz w:val="24"/>
          <w:highlight w:val="none"/>
        </w:rPr>
        <w:t>磋商无效</w:t>
      </w:r>
      <w:r>
        <w:rPr>
          <w:rFonts w:hint="eastAsia" w:ascii="宋体" w:hAnsi="宋体" w:eastAsia="宋体" w:cs="宋体"/>
          <w:b w:val="0"/>
          <w:i w:val="0"/>
          <w:caps w:val="0"/>
          <w:color w:val="auto"/>
          <w:spacing w:val="0"/>
          <w:w w:val="100"/>
          <w:sz w:val="24"/>
          <w:highlight w:val="none"/>
        </w:rPr>
        <w:t>。</w:t>
      </w:r>
    </w:p>
    <w:p w14:paraId="792CDB13">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11.2</w:t>
      </w: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val="0"/>
          <w:i w:val="0"/>
          <w:caps w:val="0"/>
          <w:color w:val="auto"/>
          <w:spacing w:val="0"/>
          <w:w w:val="100"/>
          <w:sz w:val="24"/>
          <w:highlight w:val="none"/>
        </w:rPr>
        <w:t>供应商应在磋商分项报价表上标明磋商</w:t>
      </w:r>
      <w:r>
        <w:rPr>
          <w:rFonts w:hint="eastAsia" w:ascii="宋体" w:hAnsi="宋体" w:eastAsia="宋体" w:cs="宋体"/>
          <w:b w:val="0"/>
          <w:i w:val="0"/>
          <w:caps w:val="0"/>
          <w:color w:val="auto"/>
          <w:spacing w:val="0"/>
          <w:w w:val="100"/>
          <w:sz w:val="24"/>
          <w:highlight w:val="none"/>
          <w:lang w:val="en-US" w:eastAsia="zh-CN"/>
        </w:rPr>
        <w:t>服务</w:t>
      </w:r>
      <w:r>
        <w:rPr>
          <w:rFonts w:hint="eastAsia" w:ascii="宋体" w:hAnsi="宋体" w:eastAsia="宋体" w:cs="宋体"/>
          <w:b w:val="0"/>
          <w:i w:val="0"/>
          <w:caps w:val="0"/>
          <w:color w:val="auto"/>
          <w:spacing w:val="0"/>
          <w:w w:val="100"/>
          <w:sz w:val="24"/>
          <w:highlight w:val="none"/>
        </w:rPr>
        <w:t>及相关</w:t>
      </w:r>
      <w:r>
        <w:rPr>
          <w:rFonts w:hint="eastAsia" w:ascii="宋体" w:hAnsi="宋体" w:eastAsia="宋体" w:cs="宋体"/>
          <w:b w:val="0"/>
          <w:i w:val="0"/>
          <w:caps w:val="0"/>
          <w:color w:val="auto"/>
          <w:spacing w:val="0"/>
          <w:w w:val="100"/>
          <w:sz w:val="24"/>
          <w:highlight w:val="none"/>
          <w:lang w:val="en-US" w:eastAsia="zh-CN"/>
        </w:rPr>
        <w:t>服务</w:t>
      </w:r>
      <w:r>
        <w:rPr>
          <w:rFonts w:hint="eastAsia" w:ascii="宋体" w:hAnsi="宋体" w:eastAsia="宋体" w:cs="宋体"/>
          <w:b w:val="0"/>
          <w:i w:val="0"/>
          <w:caps w:val="0"/>
          <w:color w:val="auto"/>
          <w:spacing w:val="0"/>
          <w:w w:val="100"/>
          <w:sz w:val="24"/>
          <w:highlight w:val="none"/>
        </w:rPr>
        <w:t>的单价（如适用）和总价，并由法定代表人或其授权代表签署。</w:t>
      </w:r>
    </w:p>
    <w:p w14:paraId="1FE75D3C">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lang w:eastAsia="zh-CN"/>
        </w:rPr>
      </w:pPr>
      <w:r>
        <w:rPr>
          <w:rFonts w:hint="eastAsia" w:ascii="宋体" w:hAnsi="宋体" w:eastAsia="宋体" w:cs="宋体"/>
          <w:b w:val="0"/>
          <w:i w:val="0"/>
          <w:caps w:val="0"/>
          <w:color w:val="auto"/>
          <w:spacing w:val="0"/>
          <w:w w:val="100"/>
          <w:sz w:val="24"/>
          <w:highlight w:val="none"/>
        </w:rPr>
        <w:t>11.3</w:t>
      </w: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val="0"/>
          <w:i w:val="0"/>
          <w:caps w:val="0"/>
          <w:color w:val="auto"/>
          <w:spacing w:val="0"/>
          <w:w w:val="100"/>
          <w:sz w:val="24"/>
          <w:highlight w:val="none"/>
        </w:rPr>
        <w:t>磋商分项报价表上的价格</w:t>
      </w:r>
      <w:r>
        <w:rPr>
          <w:rFonts w:hint="eastAsia" w:ascii="宋体" w:hAnsi="宋体" w:eastAsia="宋体" w:cs="宋体"/>
          <w:b w:val="0"/>
          <w:i w:val="0"/>
          <w:caps w:val="0"/>
          <w:color w:val="auto"/>
          <w:spacing w:val="0"/>
          <w:w w:val="100"/>
          <w:sz w:val="24"/>
          <w:highlight w:val="none"/>
          <w:lang w:eastAsia="zh-CN"/>
        </w:rPr>
        <w:t>。</w:t>
      </w:r>
    </w:p>
    <w:p w14:paraId="33557E06">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11.4</w:t>
      </w: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val="0"/>
          <w:i w:val="0"/>
          <w:caps w:val="0"/>
          <w:color w:val="auto"/>
          <w:spacing w:val="0"/>
          <w:w w:val="100"/>
          <w:sz w:val="24"/>
          <w:highlight w:val="none"/>
        </w:rPr>
        <w:t>供应商所报的各分项磋商单价在合同履行过程中是固定不变的，不得以任何理由予以变更。任何包含价格调整要求的磋商，其磋商将被认定为</w:t>
      </w:r>
      <w:r>
        <w:rPr>
          <w:rFonts w:hint="eastAsia" w:ascii="宋体" w:hAnsi="宋体" w:eastAsia="宋体" w:cs="宋体"/>
          <w:b/>
          <w:bCs/>
          <w:i w:val="0"/>
          <w:caps w:val="0"/>
          <w:color w:val="auto"/>
          <w:spacing w:val="0"/>
          <w:w w:val="100"/>
          <w:sz w:val="24"/>
          <w:highlight w:val="none"/>
        </w:rPr>
        <w:t>磋商无效</w:t>
      </w:r>
      <w:r>
        <w:rPr>
          <w:rFonts w:hint="eastAsia" w:ascii="宋体" w:hAnsi="宋体" w:eastAsia="宋体" w:cs="宋体"/>
          <w:b w:val="0"/>
          <w:i w:val="0"/>
          <w:caps w:val="0"/>
          <w:color w:val="auto"/>
          <w:spacing w:val="0"/>
          <w:w w:val="100"/>
          <w:sz w:val="24"/>
          <w:highlight w:val="none"/>
        </w:rPr>
        <w:t>。</w:t>
      </w:r>
    </w:p>
    <w:p w14:paraId="0D7E8643">
      <w:pPr>
        <w:shd w:val="clear"/>
        <w:snapToGrid w:val="0"/>
        <w:spacing w:before="0" w:beforeAutospacing="0" w:after="0" w:afterAutospacing="0" w:line="240" w:lineRule="atLeast"/>
        <w:ind w:hangingChars="375"/>
        <w:jc w:val="both"/>
        <w:textAlignment w:val="baseline"/>
        <w:rPr>
          <w:rFonts w:hint="eastAsia" w:ascii="宋体" w:hAnsi="宋体" w:eastAsia="宋体" w:cs="宋体"/>
          <w:b/>
          <w:bCs/>
          <w:i w:val="0"/>
          <w:caps w:val="0"/>
          <w:color w:val="auto"/>
          <w:spacing w:val="0"/>
          <w:w w:val="100"/>
          <w:sz w:val="24"/>
          <w:highlight w:val="none"/>
          <w:lang w:eastAsia="zh-CN"/>
        </w:rPr>
      </w:pPr>
      <w:r>
        <w:rPr>
          <w:rFonts w:hint="eastAsia" w:ascii="宋体" w:hAnsi="宋体" w:eastAsia="宋体" w:cs="宋体"/>
          <w:b w:val="0"/>
          <w:i w:val="0"/>
          <w:caps w:val="0"/>
          <w:color w:val="auto"/>
          <w:spacing w:val="0"/>
          <w:w w:val="100"/>
          <w:sz w:val="24"/>
          <w:highlight w:val="none"/>
        </w:rPr>
        <w:t>11.5</w:t>
      </w: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bCs/>
          <w:i w:val="0"/>
          <w:caps w:val="0"/>
          <w:color w:val="auto"/>
          <w:spacing w:val="0"/>
          <w:w w:val="100"/>
          <w:sz w:val="24"/>
          <w:highlight w:val="none"/>
        </w:rPr>
        <w:t>竞争性磋商共有两次报价，代理机构开启第二轮报价环节后，各供应商应尽快在政采云系统提交各自的二轮报价，超过 30 分钟（自代理机构开启第二轮报价环节起计算）未提交二轮报价的以第一轮报价为准。整个开标环节需要供应商在系统确认的报价等信息最长时限均为 30分钟。二次报价为最终报价，磋商小组所有成员集中与单一供应商分别进行磋商，并给予所有参加磋商的供应商平等的磋商机会，磋商小组要求所有实质性响应的供应商在规定时间内提交最后报价，最后报价是供应商响应文件的有效组成部分，经磋商确定最终采购需求和提交最后报价的供应商后，由磋商小组采用综合评分法对提交最后报价的供应商的响应文件和最后报价进行综合评分。磋商小组应当从质量和服务均能满足采购文件实质性响应要求的供应商中，按照综合评分由高到低的顺序提出成交候选人，并编写评审报告，将结果通知所有参加磋商的未成交的供应商</w:t>
      </w:r>
      <w:r>
        <w:rPr>
          <w:rFonts w:hint="eastAsia" w:ascii="宋体" w:hAnsi="宋体" w:eastAsia="宋体" w:cs="宋体"/>
          <w:b/>
          <w:bCs/>
          <w:i w:val="0"/>
          <w:caps w:val="0"/>
          <w:color w:val="auto"/>
          <w:spacing w:val="0"/>
          <w:w w:val="100"/>
          <w:sz w:val="24"/>
          <w:highlight w:val="none"/>
          <w:lang w:eastAsia="zh-CN"/>
        </w:rPr>
        <w:t>。</w:t>
      </w:r>
    </w:p>
    <w:p w14:paraId="670B3446">
      <w:pPr>
        <w:pStyle w:val="4"/>
        <w:shd w:val="clear"/>
        <w:snapToGrid w:val="0"/>
        <w:spacing w:before="0" w:beforeAutospacing="0" w:after="0" w:afterAutospacing="0" w:line="240" w:lineRule="atLeast"/>
        <w:jc w:val="left"/>
        <w:textAlignment w:val="baseline"/>
        <w:rPr>
          <w:rFonts w:hint="eastAsia" w:ascii="宋体" w:hAnsi="宋体" w:eastAsia="宋体" w:cs="宋体"/>
          <w:b/>
          <w:i w:val="0"/>
          <w:caps w:val="0"/>
          <w:color w:val="auto"/>
          <w:spacing w:val="0"/>
          <w:w w:val="100"/>
          <w:sz w:val="24"/>
          <w:highlight w:val="none"/>
          <w:u w:val="single" w:color="000000"/>
        </w:rPr>
      </w:pPr>
      <w:bookmarkStart w:id="150" w:name="_Toc9763"/>
      <w:bookmarkStart w:id="151" w:name="_Toc31526"/>
      <w:bookmarkStart w:id="152" w:name="_Toc30640"/>
      <w:bookmarkStart w:id="153" w:name="_Toc17788"/>
      <w:bookmarkStart w:id="154" w:name="_Ref467306513"/>
      <w:bookmarkStart w:id="155" w:name="_Toc520356156"/>
      <w:bookmarkStart w:id="156" w:name="_Toc16693"/>
      <w:bookmarkStart w:id="157" w:name="_Toc32756"/>
      <w:bookmarkStart w:id="158" w:name="_Toc20519"/>
      <w:bookmarkStart w:id="159" w:name="_Toc3852"/>
      <w:bookmarkStart w:id="160" w:name="_Toc19405"/>
      <w:bookmarkStart w:id="161" w:name="_Toc515647771"/>
      <w:bookmarkStart w:id="162" w:name="_Toc11514"/>
      <w:r>
        <w:rPr>
          <w:rFonts w:hint="eastAsia" w:ascii="宋体" w:hAnsi="宋体" w:eastAsia="宋体" w:cs="宋体"/>
          <w:b/>
          <w:i w:val="0"/>
          <w:caps w:val="0"/>
          <w:color w:val="auto"/>
          <w:spacing w:val="0"/>
          <w:w w:val="100"/>
          <w:sz w:val="24"/>
          <w:highlight w:val="none"/>
          <w:u w:val="single" w:color="000000"/>
        </w:rPr>
        <w:t>12.磋商保证金</w:t>
      </w:r>
      <w:bookmarkEnd w:id="150"/>
      <w:bookmarkEnd w:id="151"/>
      <w:bookmarkEnd w:id="152"/>
      <w:bookmarkEnd w:id="153"/>
      <w:bookmarkEnd w:id="154"/>
      <w:bookmarkEnd w:id="155"/>
      <w:bookmarkEnd w:id="156"/>
      <w:bookmarkEnd w:id="157"/>
      <w:bookmarkEnd w:id="158"/>
      <w:bookmarkEnd w:id="159"/>
      <w:bookmarkEnd w:id="160"/>
      <w:bookmarkEnd w:id="161"/>
      <w:bookmarkEnd w:id="162"/>
    </w:p>
    <w:p w14:paraId="2698F01D">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bookmarkStart w:id="163" w:name="_Ref467306302"/>
      <w:r>
        <w:rPr>
          <w:rFonts w:hint="eastAsia" w:ascii="宋体" w:hAnsi="宋体" w:eastAsia="宋体" w:cs="宋体"/>
          <w:b w:val="0"/>
          <w:i w:val="0"/>
          <w:caps w:val="0"/>
          <w:color w:val="auto"/>
          <w:spacing w:val="0"/>
          <w:w w:val="100"/>
          <w:sz w:val="24"/>
          <w:highlight w:val="none"/>
        </w:rPr>
        <w:t>12.1</w:t>
      </w: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val="0"/>
          <w:i w:val="0"/>
          <w:caps w:val="0"/>
          <w:color w:val="auto"/>
          <w:spacing w:val="0"/>
          <w:w w:val="100"/>
          <w:sz w:val="24"/>
          <w:highlight w:val="none"/>
        </w:rPr>
        <w:t>供应商应提交</w:t>
      </w:r>
      <w:r>
        <w:rPr>
          <w:rFonts w:hint="eastAsia" w:ascii="宋体" w:hAnsi="宋体" w:eastAsia="宋体" w:cs="宋体"/>
          <w:b w:val="0"/>
          <w:i w:val="0"/>
          <w:caps w:val="0"/>
          <w:color w:val="auto"/>
          <w:spacing w:val="0"/>
          <w:w w:val="100"/>
          <w:sz w:val="24"/>
          <w:highlight w:val="none"/>
          <w:u w:val="single" w:color="000000"/>
        </w:rPr>
        <w:t>供应商须知资料表</w:t>
      </w:r>
      <w:r>
        <w:rPr>
          <w:rFonts w:hint="eastAsia" w:ascii="宋体" w:hAnsi="宋体" w:eastAsia="宋体" w:cs="宋体"/>
          <w:b w:val="0"/>
          <w:i w:val="0"/>
          <w:caps w:val="0"/>
          <w:color w:val="auto"/>
          <w:spacing w:val="0"/>
          <w:w w:val="100"/>
          <w:sz w:val="24"/>
          <w:highlight w:val="none"/>
        </w:rPr>
        <w:t>中规定的磋商保证金</w:t>
      </w:r>
      <w:bookmarkEnd w:id="163"/>
      <w:r>
        <w:rPr>
          <w:rFonts w:hint="eastAsia" w:ascii="宋体" w:hAnsi="宋体" w:eastAsia="宋体" w:cs="宋体"/>
          <w:b w:val="0"/>
          <w:i w:val="0"/>
          <w:caps w:val="0"/>
          <w:color w:val="auto"/>
          <w:spacing w:val="0"/>
          <w:w w:val="100"/>
          <w:sz w:val="24"/>
          <w:highlight w:val="none"/>
        </w:rPr>
        <w:t>，并作为其磋商的一部分。</w:t>
      </w:r>
    </w:p>
    <w:p w14:paraId="5D575C6C">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12.2</w:t>
      </w: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val="0"/>
          <w:i w:val="0"/>
          <w:caps w:val="0"/>
          <w:color w:val="auto"/>
          <w:spacing w:val="0"/>
          <w:w w:val="100"/>
          <w:sz w:val="24"/>
          <w:highlight w:val="none"/>
        </w:rPr>
        <w:t>供应商存在下列情形的，磋商保证金不予退还：</w:t>
      </w:r>
    </w:p>
    <w:p w14:paraId="2723E2D3">
      <w:pPr>
        <w:pStyle w:val="11"/>
        <w:shd w:val="clear"/>
        <w:tabs>
          <w:tab w:val="left" w:pos="2240"/>
        </w:tabs>
        <w:snapToGrid w:val="0"/>
        <w:spacing w:before="0" w:beforeAutospacing="0" w:after="0" w:afterAutospacing="0" w:line="240" w:lineRule="atLeast"/>
        <w:ind w:left="1079" w:leftChars="371" w:hangingChars="12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（1）在磋商有效期内，撤销磋商的；</w:t>
      </w:r>
    </w:p>
    <w:p w14:paraId="1FDAC157">
      <w:pPr>
        <w:pStyle w:val="11"/>
        <w:shd w:val="clear"/>
        <w:tabs>
          <w:tab w:val="left" w:pos="2240"/>
        </w:tabs>
        <w:snapToGrid w:val="0"/>
        <w:spacing w:before="0" w:beforeAutospacing="0" w:after="0" w:afterAutospacing="0" w:line="240" w:lineRule="atLeast"/>
        <w:ind w:left="1079" w:leftChars="371" w:hangingChars="12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（2）成交后不按本须知第30条的规定与采购人签订合同的；</w:t>
      </w:r>
    </w:p>
    <w:p w14:paraId="35E37075">
      <w:pPr>
        <w:pStyle w:val="11"/>
        <w:shd w:val="clear"/>
        <w:tabs>
          <w:tab w:val="left" w:pos="2240"/>
        </w:tabs>
        <w:snapToGrid w:val="0"/>
        <w:spacing w:before="0" w:beforeAutospacing="0" w:after="0" w:afterAutospacing="0" w:line="240" w:lineRule="atLeast"/>
        <w:ind w:left="1079" w:leftChars="371" w:hangingChars="12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（3）成交后不按本须知第31条的规定提交履约保证金的；</w:t>
      </w:r>
    </w:p>
    <w:p w14:paraId="1F4F1975">
      <w:pPr>
        <w:pStyle w:val="11"/>
        <w:shd w:val="clear"/>
        <w:tabs>
          <w:tab w:val="left" w:pos="2240"/>
        </w:tabs>
        <w:snapToGrid w:val="0"/>
        <w:spacing w:before="0" w:beforeAutospacing="0" w:after="0" w:afterAutospacing="0" w:line="240" w:lineRule="atLeast"/>
        <w:ind w:left="1079" w:leftChars="371" w:hangingChars="12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（4）成交后不按本须知第32条的规定缴纳成交</w:t>
      </w:r>
      <w:r>
        <w:rPr>
          <w:rFonts w:hint="eastAsia" w:ascii="宋体" w:hAnsi="宋体" w:eastAsia="宋体" w:cs="宋体"/>
          <w:b w:val="0"/>
          <w:i w:val="0"/>
          <w:caps w:val="0"/>
          <w:color w:val="auto"/>
          <w:spacing w:val="0"/>
          <w:w w:val="100"/>
          <w:sz w:val="24"/>
          <w:highlight w:val="none"/>
          <w:lang w:val="en-US" w:eastAsia="zh-CN"/>
        </w:rPr>
        <w:t>服务</w:t>
      </w:r>
      <w:r>
        <w:rPr>
          <w:rFonts w:hint="eastAsia" w:ascii="宋体" w:hAnsi="宋体" w:eastAsia="宋体" w:cs="宋体"/>
          <w:b w:val="0"/>
          <w:i w:val="0"/>
          <w:caps w:val="0"/>
          <w:color w:val="auto"/>
          <w:spacing w:val="0"/>
          <w:w w:val="100"/>
          <w:sz w:val="24"/>
          <w:highlight w:val="none"/>
        </w:rPr>
        <w:t>费的；</w:t>
      </w:r>
    </w:p>
    <w:p w14:paraId="28ACEACE">
      <w:pPr>
        <w:pStyle w:val="11"/>
        <w:shd w:val="clear"/>
        <w:tabs>
          <w:tab w:val="left" w:pos="2240"/>
        </w:tabs>
        <w:snapToGrid w:val="0"/>
        <w:spacing w:before="0" w:beforeAutospacing="0" w:after="0" w:afterAutospacing="0" w:line="240" w:lineRule="atLeast"/>
        <w:ind w:left="1079" w:leftChars="371" w:hangingChars="12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（5）存在其他违法违规行为的。</w:t>
      </w:r>
    </w:p>
    <w:p w14:paraId="048E5DBE">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bookmarkStart w:id="164" w:name="_Ref467306336"/>
      <w:r>
        <w:rPr>
          <w:rFonts w:hint="eastAsia" w:ascii="宋体" w:hAnsi="宋体" w:eastAsia="宋体" w:cs="宋体"/>
          <w:b w:val="0"/>
          <w:i w:val="0"/>
          <w:caps w:val="0"/>
          <w:color w:val="auto"/>
          <w:spacing w:val="0"/>
          <w:w w:val="100"/>
          <w:sz w:val="24"/>
          <w:highlight w:val="none"/>
        </w:rPr>
        <w:t>12.3</w:t>
      </w:r>
      <w:r>
        <w:rPr>
          <w:rFonts w:hint="eastAsia" w:ascii="宋体" w:hAnsi="宋体" w:eastAsia="宋体" w:cs="宋体"/>
          <w:b w:val="0"/>
          <w:i w:val="0"/>
          <w:caps w:val="0"/>
          <w:color w:val="auto"/>
          <w:spacing w:val="0"/>
          <w:w w:val="100"/>
          <w:sz w:val="24"/>
          <w:highlight w:val="none"/>
        </w:rPr>
        <w:tab/>
      </w:r>
      <w:bookmarkEnd w:id="164"/>
      <w:r>
        <w:rPr>
          <w:rFonts w:hint="eastAsia" w:ascii="宋体" w:hAnsi="宋体" w:eastAsia="宋体" w:cs="宋体"/>
          <w:b w:val="0"/>
          <w:i w:val="0"/>
          <w:caps w:val="0"/>
          <w:color w:val="auto"/>
          <w:spacing w:val="0"/>
          <w:w w:val="100"/>
          <w:sz w:val="24"/>
          <w:highlight w:val="none"/>
        </w:rPr>
        <w:t>政府采购信用担保试点范围内的项目，接受符合财政部门规定的政府采购磋商担保函原件。</w:t>
      </w:r>
    </w:p>
    <w:p w14:paraId="2C6A8D43">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12.4</w:t>
      </w: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val="0"/>
          <w:i w:val="0"/>
          <w:caps w:val="0"/>
          <w:color w:val="auto"/>
          <w:spacing w:val="0"/>
          <w:w w:val="100"/>
          <w:sz w:val="24"/>
          <w:highlight w:val="none"/>
        </w:rPr>
        <w:t>供应商未按本须知第12.1和12.3条规定提交磋商保证金的，其磋商将被认定为</w:t>
      </w:r>
      <w:r>
        <w:rPr>
          <w:rFonts w:hint="eastAsia" w:ascii="宋体" w:hAnsi="宋体" w:eastAsia="宋体" w:cs="宋体"/>
          <w:b/>
          <w:bCs/>
          <w:i w:val="0"/>
          <w:caps w:val="0"/>
          <w:color w:val="auto"/>
          <w:spacing w:val="0"/>
          <w:w w:val="100"/>
          <w:sz w:val="24"/>
          <w:highlight w:val="none"/>
        </w:rPr>
        <w:t>磋商无效</w:t>
      </w:r>
      <w:r>
        <w:rPr>
          <w:rFonts w:hint="eastAsia" w:ascii="宋体" w:hAnsi="宋体" w:eastAsia="宋体" w:cs="宋体"/>
          <w:b w:val="0"/>
          <w:i w:val="0"/>
          <w:caps w:val="0"/>
          <w:color w:val="auto"/>
          <w:spacing w:val="0"/>
          <w:w w:val="100"/>
          <w:sz w:val="24"/>
          <w:highlight w:val="none"/>
        </w:rPr>
        <w:t>。</w:t>
      </w:r>
    </w:p>
    <w:p w14:paraId="5A92F7F4">
      <w:pPr>
        <w:shd w:val="clear"/>
        <w:snapToGrid w:val="0"/>
        <w:spacing w:before="0" w:beforeAutospacing="0" w:after="0" w:afterAutospacing="0" w:line="240" w:lineRule="atLeast"/>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12.4.1  采用电汇形式的，一般可以实时入账。</w:t>
      </w:r>
    </w:p>
    <w:p w14:paraId="5035A0F3">
      <w:pPr>
        <w:shd w:val="clear"/>
        <w:snapToGrid w:val="0"/>
        <w:spacing w:before="0" w:beforeAutospacing="0" w:after="0" w:afterAutospacing="0" w:line="240" w:lineRule="atLeast"/>
        <w:ind w:hangingChars="400"/>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12.4.2  采用支票形式的，供应商则应充分考虑支票入账时间，以确保磋商保证金能按时进入指定账户。根据银行信息交换和付款时间，支票从递交至实际入账一般需要4-5个工作日。如供应商未及时提交支票或支票不符合银行委托收款要求（如污损、折叠、胶装等），导致磋商保证金不能按时进入指定账户的，将按照磋商文件的第22.2条相关规定处理。</w:t>
      </w:r>
    </w:p>
    <w:p w14:paraId="37CD6A6A">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12.5   联合体磋商的，可以由联合体中的一方或者共同提交磋商保证金。以一方名义提交磋商保证金的，对联合体各方均具有约束力。</w:t>
      </w:r>
    </w:p>
    <w:p w14:paraId="7D17A681">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12.6</w:t>
      </w: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val="0"/>
          <w:i w:val="0"/>
          <w:caps w:val="0"/>
          <w:color w:val="auto"/>
          <w:spacing w:val="0"/>
          <w:w w:val="100"/>
          <w:sz w:val="24"/>
          <w:highlight w:val="none"/>
        </w:rPr>
        <w:t>磋商保证金的退还</w:t>
      </w:r>
    </w:p>
    <w:p w14:paraId="3BC8C26D">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12.6.1  成交人应在与采购人签订合同之日起5个工作日内，及时联系保证金收受机构办理磋商保证金无息退还手续。</w:t>
      </w:r>
    </w:p>
    <w:p w14:paraId="3A2D417B">
      <w:pPr>
        <w:shd w:val="clear"/>
        <w:snapToGrid w:val="0"/>
        <w:spacing w:before="0" w:beforeAutospacing="0" w:after="0" w:afterAutospacing="0" w:line="240" w:lineRule="atLeast"/>
        <w:ind w:hangingChars="40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12.6.2  未成交供应商的磋商保证金将在成交通知书发出之日暨成交结果公告公布之日起5个工作日内无息退还。供应商应及时联系保证金收受机构办理退还磋商保证金手续。</w:t>
      </w:r>
    </w:p>
    <w:p w14:paraId="3B5E0645">
      <w:pPr>
        <w:shd w:val="clear"/>
        <w:snapToGrid w:val="0"/>
        <w:spacing w:before="0" w:beforeAutospacing="0" w:after="0" w:afterAutospacing="0" w:line="240" w:lineRule="atLeast"/>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12.6.3  政府采购磋商担保函不予退回。</w:t>
      </w:r>
    </w:p>
    <w:p w14:paraId="42534E16">
      <w:pPr>
        <w:shd w:val="clear"/>
        <w:snapToGrid w:val="0"/>
        <w:spacing w:before="0" w:beforeAutospacing="0" w:after="0" w:afterAutospacing="0" w:line="240" w:lineRule="atLeast"/>
        <w:ind w:hangingChars="40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12.7    因供应商自身原因导致无法及时退还的，采购人或采购代理机构将不承担相应责任。</w:t>
      </w:r>
    </w:p>
    <w:p w14:paraId="7A66424B">
      <w:pPr>
        <w:pStyle w:val="4"/>
        <w:shd w:val="clear"/>
        <w:snapToGrid w:val="0"/>
        <w:spacing w:before="0" w:beforeAutospacing="0" w:after="0" w:afterAutospacing="0" w:line="240" w:lineRule="atLeast"/>
        <w:jc w:val="left"/>
        <w:textAlignment w:val="baseline"/>
        <w:rPr>
          <w:rFonts w:hint="eastAsia" w:ascii="宋体" w:hAnsi="宋体" w:eastAsia="宋体" w:cs="宋体"/>
          <w:b/>
          <w:i w:val="0"/>
          <w:caps w:val="0"/>
          <w:color w:val="auto"/>
          <w:spacing w:val="0"/>
          <w:w w:val="100"/>
          <w:sz w:val="24"/>
          <w:highlight w:val="none"/>
          <w:u w:val="single" w:color="000000"/>
        </w:rPr>
      </w:pPr>
      <w:bookmarkStart w:id="165" w:name="_Toc29124"/>
      <w:bookmarkStart w:id="166" w:name="_Toc32569"/>
      <w:bookmarkStart w:id="167" w:name="_Toc23590"/>
      <w:bookmarkStart w:id="168" w:name="_Toc520356157"/>
      <w:bookmarkStart w:id="169" w:name="_Toc16046"/>
      <w:bookmarkStart w:id="170" w:name="_Toc515647772"/>
      <w:bookmarkStart w:id="171" w:name="_Toc28268"/>
      <w:bookmarkStart w:id="172" w:name="_Toc21509"/>
      <w:bookmarkStart w:id="173" w:name="_Toc3815"/>
      <w:bookmarkStart w:id="174" w:name="_Toc20387"/>
      <w:bookmarkStart w:id="175" w:name="_Toc325"/>
      <w:bookmarkStart w:id="176" w:name="_Toc1400"/>
      <w:r>
        <w:rPr>
          <w:rFonts w:hint="eastAsia" w:ascii="宋体" w:hAnsi="宋体" w:eastAsia="宋体" w:cs="宋体"/>
          <w:b/>
          <w:i w:val="0"/>
          <w:caps w:val="0"/>
          <w:color w:val="auto"/>
          <w:spacing w:val="0"/>
          <w:w w:val="100"/>
          <w:sz w:val="24"/>
          <w:highlight w:val="none"/>
          <w:u w:val="single" w:color="000000"/>
        </w:rPr>
        <w:t>13.磋商有效期</w:t>
      </w:r>
      <w:bookmarkEnd w:id="165"/>
      <w:bookmarkEnd w:id="166"/>
      <w:bookmarkEnd w:id="167"/>
      <w:bookmarkEnd w:id="168"/>
      <w:bookmarkEnd w:id="169"/>
      <w:bookmarkEnd w:id="170"/>
      <w:bookmarkEnd w:id="171"/>
      <w:bookmarkEnd w:id="172"/>
      <w:bookmarkEnd w:id="173"/>
      <w:bookmarkEnd w:id="174"/>
      <w:bookmarkEnd w:id="175"/>
      <w:bookmarkEnd w:id="176"/>
    </w:p>
    <w:p w14:paraId="5E9ABFD1">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13.1</w:t>
      </w: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val="0"/>
          <w:i w:val="0"/>
          <w:caps w:val="0"/>
          <w:color w:val="auto"/>
          <w:spacing w:val="0"/>
          <w:w w:val="100"/>
          <w:sz w:val="24"/>
          <w:highlight w:val="none"/>
        </w:rPr>
        <w:t>磋商应在</w:t>
      </w:r>
      <w:r>
        <w:rPr>
          <w:rFonts w:hint="eastAsia" w:ascii="宋体" w:hAnsi="宋体" w:eastAsia="宋体" w:cs="宋体"/>
          <w:b w:val="0"/>
          <w:i w:val="0"/>
          <w:caps w:val="0"/>
          <w:color w:val="auto"/>
          <w:spacing w:val="0"/>
          <w:w w:val="100"/>
          <w:sz w:val="24"/>
          <w:highlight w:val="none"/>
          <w:u w:val="single" w:color="000000"/>
        </w:rPr>
        <w:t>供应商须知资料表</w:t>
      </w:r>
      <w:r>
        <w:rPr>
          <w:rFonts w:hint="eastAsia" w:ascii="宋体" w:hAnsi="宋体" w:eastAsia="宋体" w:cs="宋体"/>
          <w:b w:val="0"/>
          <w:i w:val="0"/>
          <w:caps w:val="0"/>
          <w:color w:val="auto"/>
          <w:spacing w:val="0"/>
          <w:w w:val="100"/>
          <w:sz w:val="24"/>
          <w:highlight w:val="none"/>
        </w:rPr>
        <w:t>中规定时间内保持有效。磋商有效期不满足要求的磋商，其磋商将被认定为</w:t>
      </w:r>
      <w:r>
        <w:rPr>
          <w:rFonts w:hint="eastAsia" w:ascii="宋体" w:hAnsi="宋体" w:eastAsia="宋体" w:cs="宋体"/>
          <w:b/>
          <w:bCs/>
          <w:i w:val="0"/>
          <w:caps w:val="0"/>
          <w:color w:val="auto"/>
          <w:spacing w:val="0"/>
          <w:w w:val="100"/>
          <w:sz w:val="24"/>
          <w:highlight w:val="none"/>
        </w:rPr>
        <w:t>磋商无效</w:t>
      </w:r>
      <w:r>
        <w:rPr>
          <w:rFonts w:hint="eastAsia" w:ascii="宋体" w:hAnsi="宋体" w:eastAsia="宋体" w:cs="宋体"/>
          <w:b w:val="0"/>
          <w:i w:val="0"/>
          <w:caps w:val="0"/>
          <w:color w:val="auto"/>
          <w:spacing w:val="0"/>
          <w:w w:val="100"/>
          <w:sz w:val="24"/>
          <w:highlight w:val="none"/>
        </w:rPr>
        <w:t>。</w:t>
      </w:r>
    </w:p>
    <w:p w14:paraId="1242356B">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13.2</w:t>
      </w: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val="0"/>
          <w:i w:val="0"/>
          <w:caps w:val="0"/>
          <w:color w:val="auto"/>
          <w:spacing w:val="0"/>
          <w:w w:val="100"/>
          <w:sz w:val="24"/>
          <w:highlight w:val="none"/>
        </w:rPr>
        <w:t>为保证有充分时间签订合同，采购人或采购代理机构可根据实际情况，在原磋商有效期截止之前，要求供应商延长响应文件的有效期。接受该要求的供应商将不会被要求和允许修正其磋商，且本须知中有关磋商保证金的要求须在延长的有效期内继续有效。供应商可以拒绝延长磋商有效期的要求，其磋商保证金将及时无息退还。上述要求和答复都应以书面形式提交。</w:t>
      </w:r>
    </w:p>
    <w:p w14:paraId="23130D42">
      <w:pPr>
        <w:pStyle w:val="4"/>
        <w:spacing w:before="0" w:after="0" w:line="360" w:lineRule="exact"/>
        <w:rPr>
          <w:rFonts w:hint="eastAsia" w:ascii="宋体" w:hAnsi="宋体" w:eastAsia="宋体" w:cs="宋体"/>
          <w:color w:val="auto"/>
          <w:highlight w:val="none"/>
          <w:u w:val="none"/>
        </w:rPr>
      </w:pPr>
      <w:bookmarkStart w:id="177" w:name="_Toc520356158"/>
      <w:bookmarkStart w:id="178" w:name="_Toc16503"/>
      <w:bookmarkStart w:id="179" w:name="_Toc4425"/>
      <w:bookmarkStart w:id="180" w:name="_Toc3558"/>
      <w:bookmarkStart w:id="181" w:name="_Toc9672"/>
      <w:bookmarkStart w:id="182" w:name="_Toc515647773"/>
      <w:bookmarkStart w:id="183" w:name="_Toc10391"/>
      <w:bookmarkStart w:id="184" w:name="_Toc6302"/>
      <w:bookmarkStart w:id="185" w:name="_Toc26703"/>
      <w:bookmarkStart w:id="186" w:name="_Toc24787"/>
      <w:bookmarkStart w:id="187" w:name="_Toc493"/>
      <w:bookmarkStart w:id="188" w:name="_Toc29619"/>
      <w:bookmarkStart w:id="189" w:name="_Toc6286"/>
      <w:bookmarkStart w:id="190" w:name="_Toc17074"/>
      <w:bookmarkStart w:id="191" w:name="_Toc30127"/>
      <w:bookmarkStart w:id="192" w:name="_Toc520356159"/>
      <w:bookmarkStart w:id="193" w:name="_Toc515647774"/>
      <w:bookmarkStart w:id="194" w:name="_Toc16865"/>
      <w:bookmarkStart w:id="195" w:name="_Toc11179"/>
      <w:bookmarkStart w:id="196" w:name="_Toc8824"/>
      <w:bookmarkStart w:id="197" w:name="_Toc8711"/>
      <w:bookmarkStart w:id="198" w:name="_Toc216582808"/>
      <w:r>
        <w:rPr>
          <w:rFonts w:hint="eastAsia" w:ascii="宋体" w:hAnsi="宋体" w:eastAsia="宋体" w:cs="宋体"/>
          <w:color w:val="auto"/>
          <w:highlight w:val="none"/>
          <w:u w:val="none"/>
        </w:rPr>
        <w:t>14.</w:t>
      </w:r>
      <w:r>
        <w:rPr>
          <w:rFonts w:hint="eastAsia" w:ascii="宋体" w:hAnsi="宋体" w:eastAsia="宋体" w:cs="宋体"/>
          <w:color w:val="auto"/>
          <w:highlight w:val="none"/>
          <w:u w:val="none"/>
          <w:lang w:eastAsia="zh-CN"/>
        </w:rPr>
        <w:t>响应文件</w:t>
      </w:r>
      <w:r>
        <w:rPr>
          <w:rFonts w:hint="eastAsia" w:ascii="宋体" w:hAnsi="宋体" w:eastAsia="宋体" w:cs="宋体"/>
          <w:color w:val="auto"/>
          <w:highlight w:val="none"/>
          <w:u w:val="none"/>
        </w:rPr>
        <w:t>的签署</w:t>
      </w:r>
      <w:bookmarkEnd w:id="177"/>
      <w:r>
        <w:rPr>
          <w:rFonts w:hint="eastAsia" w:ascii="宋体" w:hAnsi="宋体" w:eastAsia="宋体" w:cs="宋体"/>
          <w:color w:val="auto"/>
          <w:highlight w:val="none"/>
          <w:u w:val="none"/>
        </w:rPr>
        <w:t>及规定</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Pr>
          <w:rFonts w:hint="eastAsia" w:ascii="宋体" w:hAnsi="宋体" w:eastAsia="宋体" w:cs="宋体"/>
          <w:b/>
          <w:color w:val="auto"/>
          <w:highlight w:val="none"/>
          <w:u w:color="000000"/>
        </w:rPr>
        <w:t>（电子投标以政采云系统生成格式为准）</w:t>
      </w:r>
    </w:p>
    <w:p w14:paraId="4C8ECE01">
      <w:pPr>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14.1</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供应商应按供应商须知资料表中的规定，准备和递交（加密上传）电子响应文件。</w:t>
      </w:r>
    </w:p>
    <w:p w14:paraId="0D52B9F4">
      <w:pPr>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r>
        <w:rPr>
          <w:rFonts w:hint="eastAsia" w:ascii="宋体" w:hAnsi="宋体" w:eastAsia="宋体" w:cs="宋体"/>
          <w:color w:val="auto"/>
          <w:sz w:val="24"/>
          <w:highlight w:val="none"/>
        </w:rPr>
        <w:tab/>
      </w:r>
      <w:r>
        <w:rPr>
          <w:rFonts w:hint="eastAsia" w:ascii="宋体" w:hAnsi="宋体" w:eastAsia="宋体" w:cs="宋体"/>
          <w:color w:val="auto"/>
          <w:sz w:val="24"/>
          <w:highlight w:val="none"/>
          <w:lang w:eastAsia="zh-CN"/>
        </w:rPr>
        <w:t>所有响应文件应按照磋商文件规定的格式填写、签署和盖章</w:t>
      </w:r>
      <w:r>
        <w:rPr>
          <w:rFonts w:hint="eastAsia" w:ascii="宋体" w:hAnsi="宋体" w:eastAsia="宋体" w:cs="宋体"/>
          <w:color w:val="auto"/>
          <w:sz w:val="24"/>
          <w:highlight w:val="none"/>
        </w:rPr>
        <w:t>。</w:t>
      </w:r>
    </w:p>
    <w:p w14:paraId="25B35B38">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14.3   </w:t>
      </w:r>
      <w:r>
        <w:rPr>
          <w:rFonts w:hint="eastAsia" w:ascii="宋体" w:hAnsi="宋体" w:eastAsia="宋体" w:cs="宋体"/>
          <w:color w:val="auto"/>
          <w:sz w:val="24"/>
          <w:highlight w:val="none"/>
          <w:lang w:eastAsia="zh-CN"/>
        </w:rPr>
        <w:t>响应文件因字迹潦草、表达不清或未按照磋商文件规定的格式填写、签署和盖章所引起的后果由供应商负责</w:t>
      </w:r>
      <w:r>
        <w:rPr>
          <w:rFonts w:hint="eastAsia" w:ascii="宋体" w:hAnsi="宋体" w:eastAsia="宋体" w:cs="宋体"/>
          <w:color w:val="auto"/>
          <w:sz w:val="24"/>
          <w:highlight w:val="none"/>
        </w:rPr>
        <w:t>。</w:t>
      </w:r>
    </w:p>
    <w:p w14:paraId="48DBB993">
      <w:pPr>
        <w:pStyle w:val="3"/>
        <w:pageBreakBefore w:val="0"/>
        <w:widowControl w:val="0"/>
        <w:shd w:val="clear"/>
        <w:kinsoku/>
        <w:wordWrap/>
        <w:overflowPunct/>
        <w:topLinePunct w:val="0"/>
        <w:bidi w:val="0"/>
        <w:snapToGrid w:val="0"/>
        <w:spacing w:before="0" w:beforeAutospacing="0" w:after="0" w:afterAutospacing="0" w:line="460" w:lineRule="exact"/>
        <w:ind w:left="1080" w:leftChars="257" w:hanging="540"/>
        <w:jc w:val="center"/>
        <w:textAlignment w:val="baseline"/>
        <w:rPr>
          <w:rFonts w:hint="eastAsia" w:ascii="宋体" w:hAnsi="宋体" w:eastAsia="宋体" w:cs="宋体"/>
          <w:b w:val="0"/>
          <w:i w:val="0"/>
          <w:caps w:val="0"/>
          <w:color w:val="auto"/>
          <w:spacing w:val="0"/>
          <w:w w:val="100"/>
          <w:sz w:val="24"/>
          <w:highlight w:val="none"/>
        </w:rPr>
      </w:pPr>
      <w:bookmarkStart w:id="199" w:name="_Toc7919"/>
      <w:r>
        <w:rPr>
          <w:rFonts w:hint="eastAsia" w:ascii="宋体" w:hAnsi="宋体" w:eastAsia="宋体" w:cs="宋体"/>
          <w:b/>
          <w:i w:val="0"/>
          <w:caps w:val="0"/>
          <w:color w:val="auto"/>
          <w:spacing w:val="0"/>
          <w:w w:val="100"/>
          <w:sz w:val="24"/>
          <w:highlight w:val="none"/>
        </w:rPr>
        <w:t>四   响应文件的递交</w:t>
      </w:r>
      <w:bookmarkEnd w:id="192"/>
      <w:bookmarkEnd w:id="193"/>
      <w:bookmarkEnd w:id="194"/>
      <w:bookmarkEnd w:id="195"/>
      <w:bookmarkEnd w:id="196"/>
      <w:bookmarkEnd w:id="197"/>
      <w:bookmarkEnd w:id="198"/>
      <w:bookmarkEnd w:id="199"/>
    </w:p>
    <w:p w14:paraId="685D9E03">
      <w:pPr>
        <w:numPr>
          <w:ilvl w:val="0"/>
          <w:numId w:val="4"/>
        </w:numPr>
        <w:spacing w:line="360" w:lineRule="exact"/>
        <w:outlineLvl w:val="2"/>
        <w:rPr>
          <w:rFonts w:hint="eastAsia" w:ascii="宋体" w:hAnsi="宋体" w:eastAsia="宋体" w:cs="宋体"/>
          <w:color w:val="auto"/>
          <w:sz w:val="24"/>
          <w:highlight w:val="none"/>
        </w:rPr>
      </w:pPr>
      <w:bookmarkStart w:id="200" w:name="_Toc24025"/>
      <w:bookmarkStart w:id="201" w:name="_Toc27010"/>
      <w:bookmarkStart w:id="202" w:name="_Toc7238"/>
      <w:bookmarkStart w:id="203" w:name="_Toc2068"/>
      <w:bookmarkStart w:id="204" w:name="_Toc515647776"/>
      <w:bookmarkStart w:id="205" w:name="_Toc520356161"/>
      <w:bookmarkStart w:id="206" w:name="_Toc3372"/>
      <w:bookmarkStart w:id="207" w:name="_Toc8557"/>
      <w:bookmarkStart w:id="208" w:name="_Toc26069"/>
      <w:bookmarkStart w:id="209" w:name="_Toc9840"/>
      <w:bookmarkStart w:id="210" w:name="_Toc31921"/>
      <w:bookmarkStart w:id="211" w:name="_Toc9452"/>
      <w:bookmarkStart w:id="212" w:name="_Toc11639"/>
      <w:bookmarkStart w:id="213" w:name="_Toc12751"/>
      <w:bookmarkStart w:id="214" w:name="_Toc7478"/>
      <w:bookmarkStart w:id="215" w:name="_Toc18350"/>
      <w:bookmarkStart w:id="216" w:name="_Toc27283"/>
      <w:bookmarkStart w:id="217" w:name="_Toc520356163"/>
      <w:bookmarkStart w:id="218" w:name="_Toc12436"/>
      <w:bookmarkStart w:id="219" w:name="_Toc515647778"/>
      <w:bookmarkStart w:id="220" w:name="_Toc28398"/>
      <w:bookmarkStart w:id="221" w:name="_Toc216582809"/>
      <w:r>
        <w:rPr>
          <w:rFonts w:hint="eastAsia" w:ascii="宋体" w:hAnsi="宋体" w:eastAsia="宋体" w:cs="宋体"/>
          <w:color w:val="auto"/>
          <w:sz w:val="24"/>
          <w:highlight w:val="none"/>
        </w:rPr>
        <w:t xml:space="preserve">  </w:t>
      </w:r>
      <w:bookmarkStart w:id="222" w:name="_Toc20727"/>
      <w:bookmarkStart w:id="223" w:name="_Toc8317"/>
      <w:bookmarkStart w:id="224" w:name="_Toc14401"/>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的密封和标记</w:t>
      </w:r>
      <w:bookmarkEnd w:id="222"/>
      <w:bookmarkEnd w:id="223"/>
      <w:bookmarkEnd w:id="224"/>
      <w:r>
        <w:rPr>
          <w:rFonts w:hint="eastAsia" w:ascii="宋体" w:hAnsi="宋体" w:eastAsia="宋体" w:cs="宋体"/>
          <w:b/>
          <w:color w:val="auto"/>
          <w:sz w:val="24"/>
          <w:highlight w:val="none"/>
          <w:u w:val="single" w:color="000000"/>
        </w:rPr>
        <w:t>（电子投标以政采云系统生成格式为准）</w:t>
      </w:r>
    </w:p>
    <w:p w14:paraId="66102BB6">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15.1  为方便评审及进行资格审查，供应商应完整地按磋商文件提供的响应文件格式及要求编写响应文件，供应商须在响应截止时间前完成在系统上传递交电子响应文件。供应商的电子响应文件是经过CA证书加密后上传提交的，任何单位或个人均无法在投标截止时间(即开标时间)之前查看或篡改，不存在泄密风险。（严格按照政采云电子投标流程制作并上传电子响应文件）。</w:t>
      </w:r>
    </w:p>
    <w:p w14:paraId="5BDC8E7C">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15.2  供应商因自身原因导致电子响应文件无法导入电子评标系统的，该响应文件视为无效文件。</w:t>
      </w:r>
    </w:p>
    <w:p w14:paraId="60801D1C">
      <w:pPr>
        <w:pStyle w:val="23"/>
        <w:spacing w:line="240" w:lineRule="auto"/>
        <w:ind w:left="0" w:leftChars="0" w:firstLine="0" w:firstLineChars="0"/>
        <w:rPr>
          <w:rFonts w:hint="default" w:eastAsia="宋体"/>
          <w:highlight w:val="none"/>
          <w:lang w:val="en-US" w:eastAsia="zh-CN"/>
        </w:rPr>
      </w:pPr>
      <w:r>
        <w:rPr>
          <w:rFonts w:hint="eastAsia" w:ascii="宋体" w:hAnsi="宋体" w:cs="宋体"/>
          <w:color w:val="auto"/>
          <w:sz w:val="24"/>
          <w:highlight w:val="none"/>
          <w:lang w:val="en-US" w:eastAsia="zh-CN"/>
        </w:rPr>
        <w:t>15.3  电子响应文件具有法律效力,与其他形式的响应文件在内容和格式上等同，若响应文件与磋商文件要求不一致，其内容影响成交结果时，责任由供应商自行承担。</w:t>
      </w:r>
    </w:p>
    <w:p w14:paraId="0CA8497C">
      <w:pPr>
        <w:pStyle w:val="4"/>
        <w:shd w:val="clear"/>
        <w:snapToGrid w:val="0"/>
        <w:spacing w:before="0" w:after="0" w:line="380" w:lineRule="exact"/>
        <w:textAlignment w:val="baseline"/>
        <w:rPr>
          <w:rFonts w:hint="eastAsia" w:ascii="宋体" w:hAnsi="宋体" w:eastAsia="宋体" w:cs="宋体"/>
          <w:color w:val="auto"/>
          <w:highlight w:val="none"/>
          <w:u w:color="000000"/>
        </w:rPr>
      </w:pPr>
      <w:r>
        <w:rPr>
          <w:rFonts w:hint="eastAsia" w:ascii="宋体" w:hAnsi="宋体" w:eastAsia="宋体" w:cs="宋体"/>
          <w:color w:val="auto"/>
          <w:highlight w:val="none"/>
          <w:u w:color="000000"/>
        </w:rPr>
        <w:t>16.磋商截止</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5E332E2E">
      <w:pPr>
        <w:spacing w:line="360" w:lineRule="exact"/>
        <w:rPr>
          <w:rFonts w:hint="eastAsia" w:ascii="宋体" w:hAnsi="宋体" w:eastAsia="宋体" w:cs="宋体"/>
          <w:color w:val="auto"/>
          <w:sz w:val="24"/>
          <w:highlight w:val="none"/>
        </w:rPr>
      </w:pPr>
      <w:bookmarkStart w:id="225" w:name="_Toc10299"/>
      <w:bookmarkStart w:id="226" w:name="_Toc3014"/>
      <w:bookmarkStart w:id="227" w:name="_Toc23557"/>
      <w:bookmarkStart w:id="228" w:name="_Toc7274"/>
      <w:bookmarkStart w:id="229" w:name="_Toc29943"/>
      <w:bookmarkStart w:id="230" w:name="_Toc11003"/>
      <w:bookmarkStart w:id="231" w:name="_Toc27719"/>
      <w:bookmarkStart w:id="232" w:name="_Toc31057"/>
      <w:bookmarkStart w:id="233" w:name="_Toc520356162"/>
      <w:bookmarkStart w:id="234" w:name="_Toc18594"/>
      <w:bookmarkStart w:id="235" w:name="_Toc24275"/>
      <w:bookmarkStart w:id="236" w:name="_Toc22201"/>
      <w:bookmarkStart w:id="237" w:name="_Toc21926"/>
      <w:bookmarkStart w:id="238" w:name="_Toc515647777"/>
      <w:bookmarkStart w:id="239" w:name="_Toc18537"/>
      <w:r>
        <w:rPr>
          <w:rFonts w:hint="eastAsia" w:ascii="宋体" w:hAnsi="宋体" w:eastAsia="宋体" w:cs="宋体"/>
          <w:color w:val="auto"/>
          <w:sz w:val="24"/>
          <w:highlight w:val="none"/>
        </w:rPr>
        <w:t>16.1</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供应商应在磋商文件中规定的截止时间前，将电子响应文件上传到政采云平台。</w:t>
      </w:r>
    </w:p>
    <w:p w14:paraId="3785C4EA">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采购人和采购代理机构有权按本须知的规定，延迟投标截止时间。在此情况下，采购人、采购代理机构和供应商受投标截止时间制约的所有权利和义务均应延长至新的截止时间。</w:t>
      </w:r>
    </w:p>
    <w:p w14:paraId="417BB15F">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16.3</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采购人和采购代理机构将拒绝接收在投标截止时间后上传的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w:t>
      </w:r>
    </w:p>
    <w:p w14:paraId="61B23810">
      <w:pPr>
        <w:pStyle w:val="4"/>
        <w:shd w:val="clear"/>
        <w:snapToGrid w:val="0"/>
        <w:spacing w:before="0" w:after="0" w:line="380" w:lineRule="exact"/>
        <w:textAlignment w:val="baseline"/>
        <w:rPr>
          <w:rFonts w:hint="eastAsia" w:ascii="宋体" w:hAnsi="宋体" w:eastAsia="宋体" w:cs="宋体"/>
          <w:color w:val="auto"/>
          <w:highlight w:val="none"/>
          <w:u w:color="000000"/>
        </w:rPr>
      </w:pPr>
      <w:r>
        <w:rPr>
          <w:rFonts w:hint="eastAsia" w:ascii="宋体" w:hAnsi="宋体" w:eastAsia="宋体" w:cs="宋体"/>
          <w:color w:val="auto"/>
          <w:highlight w:val="none"/>
          <w:u w:color="000000"/>
        </w:rPr>
        <w:t>17.</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Pr>
          <w:rFonts w:hint="eastAsia" w:ascii="宋体" w:hAnsi="宋体" w:eastAsia="宋体" w:cs="宋体"/>
          <w:color w:val="auto"/>
          <w:highlight w:val="none"/>
          <w:u w:color="000000"/>
        </w:rPr>
        <w:t>响应文件的接收、修改与撤回与解密</w:t>
      </w:r>
    </w:p>
    <w:p w14:paraId="5732B8F5">
      <w:pPr>
        <w:spacing w:line="360" w:lineRule="exact"/>
        <w:rPr>
          <w:rFonts w:hint="eastAsia" w:ascii="宋体" w:hAnsi="宋体" w:eastAsia="宋体" w:cs="宋体"/>
          <w:color w:val="auto"/>
          <w:sz w:val="24"/>
          <w:highlight w:val="none"/>
        </w:rPr>
      </w:pPr>
      <w:bookmarkStart w:id="240" w:name="_Toc910"/>
      <w:r>
        <w:rPr>
          <w:rFonts w:hint="eastAsia" w:ascii="宋体" w:hAnsi="宋体" w:eastAsia="宋体" w:cs="宋体"/>
          <w:color w:val="auto"/>
          <w:sz w:val="24"/>
          <w:highlight w:val="none"/>
        </w:rPr>
        <w:t>17.1</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在响应文件提交截止时间前，供应商须将电子投标文件成功完整上传到政采云平台项目采购系统。时间以政采云平台项目采购系统服务器从中国科学院国家授时中心取得的北京时间为准，投标截止时间结束后，系统将不允许供应商上传响应文件，已上传响应文件但未完成传输的文件系统将拒绝接收。</w:t>
      </w:r>
    </w:p>
    <w:p w14:paraId="7EA4E94C">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代理机构对因不可抗力事件造成的响应文件的损坏、丢失的，不承担责任。</w:t>
      </w:r>
    </w:p>
    <w:p w14:paraId="0EA44C73">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17.3   在提交响应文件截止时间前，供应商可以修改或撤回未解密的电子响应文件，并于提交响应文件截止时间前将修改后重新生成的电子响应文件上传至政采云平台项目采购系统，到达响应文件提交截止时间后，将不允许修改或撤回。</w:t>
      </w:r>
    </w:p>
    <w:p w14:paraId="6C1C79FF">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在投标截止期之后，采购人和采购代理机构不接受供应商主动对其</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做任何修改。</w:t>
      </w:r>
    </w:p>
    <w:p w14:paraId="6DAD3CF5">
      <w:pPr>
        <w:pStyle w:val="3"/>
        <w:shd w:val="clear"/>
        <w:snapToGrid w:val="0"/>
        <w:spacing w:before="0" w:beforeAutospacing="0" w:after="0" w:afterAutospacing="0" w:line="240" w:lineRule="atLeast"/>
        <w:jc w:val="both"/>
        <w:textAlignment w:val="baseline"/>
        <w:rPr>
          <w:rFonts w:hint="eastAsia" w:ascii="宋体" w:hAnsi="宋体" w:eastAsia="宋体" w:cs="宋体"/>
          <w:color w:val="auto"/>
          <w:sz w:val="24"/>
          <w:highlight w:val="none"/>
        </w:rPr>
      </w:pPr>
      <w:bookmarkStart w:id="241" w:name="_Toc16482"/>
      <w:r>
        <w:rPr>
          <w:rFonts w:hint="eastAsia" w:ascii="宋体" w:hAnsi="宋体" w:eastAsia="宋体" w:cs="宋体"/>
          <w:color w:val="auto"/>
          <w:sz w:val="24"/>
          <w:highlight w:val="none"/>
        </w:rPr>
        <w:t>17.</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采购人和采购代理机构对所接收</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概不退回。</w:t>
      </w:r>
      <w:bookmarkEnd w:id="241"/>
    </w:p>
    <w:p w14:paraId="1F926FC6">
      <w:pP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17.6   出现下述情形之一，属于未成功提交响应文件，按无效投标处理：</w:t>
      </w:r>
    </w:p>
    <w:p w14:paraId="640711C4">
      <w:pP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（1）至提交响应文件截止时间，响应文件未完整上传的。</w:t>
      </w:r>
    </w:p>
    <w:p w14:paraId="36F7C90B">
      <w:pP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（2）响应文件未按投标格式中注明需签字盖章的要求进行签名（含电子签名）和加盖电子印章，或签名（含电子签名）或电子印章不完整的。</w:t>
      </w:r>
    </w:p>
    <w:p w14:paraId="5C8588AD">
      <w:pP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（3）响应文件损坏或格式不正确的。</w:t>
      </w:r>
    </w:p>
    <w:p w14:paraId="29F95FCD">
      <w:pPr>
        <w:pStyle w:val="23"/>
        <w:ind w:left="0" w:leftChars="0" w:firstLine="0" w:firstLineChars="0"/>
        <w:rPr>
          <w:rFonts w:hint="eastAsia" w:ascii="宋体" w:hAnsi="宋体" w:eastAsia="宋体" w:cs="宋体"/>
          <w:highlight w:val="none"/>
        </w:rPr>
      </w:pPr>
      <w:r>
        <w:rPr>
          <w:rFonts w:hint="eastAsia" w:ascii="宋体" w:hAnsi="宋体" w:cs="宋体"/>
          <w:color w:val="auto"/>
          <w:sz w:val="24"/>
          <w:highlight w:val="none"/>
          <w:lang w:val="en-US" w:eastAsia="zh-CN"/>
        </w:rPr>
        <w:t>17.7   到达开标时间后，供应商需使用上传响应文件的同一数字证书解密，供应商须在采购代理机构规定的时间内完成响应文件解密，供应商因非系统原因导致的逾期未解密响应文件，将作无效投标处理。</w:t>
      </w:r>
    </w:p>
    <w:p w14:paraId="2C343E09">
      <w:pPr>
        <w:pStyle w:val="3"/>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i w:val="0"/>
          <w:caps w:val="0"/>
          <w:color w:val="auto"/>
          <w:spacing w:val="0"/>
          <w:w w:val="100"/>
          <w:sz w:val="24"/>
          <w:highlight w:val="none"/>
          <w:lang w:val="en-US" w:eastAsia="zh-CN"/>
        </w:rPr>
      </w:pPr>
      <w:bookmarkStart w:id="242" w:name="_Toc23238"/>
      <w:r>
        <w:rPr>
          <w:rFonts w:hint="eastAsia" w:ascii="宋体" w:hAnsi="宋体" w:eastAsia="宋体" w:cs="宋体"/>
          <w:b/>
          <w:i w:val="0"/>
          <w:caps w:val="0"/>
          <w:color w:val="auto"/>
          <w:spacing w:val="0"/>
          <w:w w:val="100"/>
          <w:sz w:val="24"/>
          <w:highlight w:val="none"/>
        </w:rPr>
        <w:t xml:space="preserve">五   </w:t>
      </w:r>
      <w:r>
        <w:rPr>
          <w:rFonts w:hint="eastAsia" w:ascii="宋体" w:hAnsi="宋体" w:eastAsia="宋体" w:cs="宋体"/>
          <w:b/>
          <w:i w:val="0"/>
          <w:caps w:val="0"/>
          <w:color w:val="auto"/>
          <w:spacing w:val="0"/>
          <w:w w:val="100"/>
          <w:sz w:val="24"/>
          <w:highlight w:val="none"/>
          <w:lang w:val="en-US" w:eastAsia="zh-CN"/>
        </w:rPr>
        <w:t>磋商</w:t>
      </w:r>
      <w:r>
        <w:rPr>
          <w:rFonts w:hint="eastAsia" w:ascii="宋体" w:hAnsi="宋体" w:eastAsia="宋体" w:cs="宋体"/>
          <w:b/>
          <w:i w:val="0"/>
          <w:caps w:val="0"/>
          <w:color w:val="auto"/>
          <w:spacing w:val="0"/>
          <w:w w:val="100"/>
          <w:sz w:val="24"/>
          <w:highlight w:val="none"/>
        </w:rPr>
        <w:t>及</w:t>
      </w:r>
      <w:bookmarkEnd w:id="216"/>
      <w:bookmarkEnd w:id="217"/>
      <w:bookmarkEnd w:id="218"/>
      <w:bookmarkEnd w:id="219"/>
      <w:bookmarkEnd w:id="220"/>
      <w:bookmarkEnd w:id="221"/>
      <w:bookmarkEnd w:id="240"/>
      <w:r>
        <w:rPr>
          <w:rFonts w:hint="eastAsia" w:ascii="宋体" w:hAnsi="宋体" w:eastAsia="宋体" w:cs="宋体"/>
          <w:b/>
          <w:i w:val="0"/>
          <w:caps w:val="0"/>
          <w:color w:val="auto"/>
          <w:spacing w:val="0"/>
          <w:w w:val="100"/>
          <w:sz w:val="24"/>
          <w:highlight w:val="none"/>
          <w:lang w:val="en-US" w:eastAsia="zh-CN"/>
        </w:rPr>
        <w:t>评审</w:t>
      </w:r>
      <w:bookmarkEnd w:id="242"/>
    </w:p>
    <w:p w14:paraId="3937C494">
      <w:pPr>
        <w:pStyle w:val="4"/>
        <w:spacing w:before="0" w:line="360" w:lineRule="exact"/>
        <w:rPr>
          <w:rFonts w:hint="eastAsia" w:ascii="宋体" w:hAnsi="宋体" w:eastAsia="宋体" w:cs="宋体"/>
          <w:color w:val="auto"/>
          <w:highlight w:val="none"/>
        </w:rPr>
      </w:pPr>
      <w:bookmarkStart w:id="243" w:name="_Toc7345"/>
      <w:bookmarkStart w:id="244" w:name="_Toc520356164"/>
      <w:bookmarkStart w:id="245" w:name="_Toc7186"/>
      <w:bookmarkStart w:id="246" w:name="_Toc24922"/>
      <w:bookmarkStart w:id="247" w:name="_Toc1738"/>
      <w:bookmarkStart w:id="248" w:name="_Toc21418"/>
      <w:bookmarkStart w:id="249" w:name="_Toc11726"/>
      <w:bookmarkStart w:id="250" w:name="_Toc23987"/>
      <w:bookmarkStart w:id="251" w:name="_Toc9432"/>
      <w:bookmarkStart w:id="252" w:name="_Toc25345"/>
      <w:bookmarkStart w:id="253" w:name="_Toc2886"/>
      <w:bookmarkStart w:id="254" w:name="_Toc30037"/>
      <w:bookmarkStart w:id="255" w:name="_Toc515647779"/>
      <w:bookmarkStart w:id="256" w:name="_Toc23772"/>
      <w:bookmarkStart w:id="257" w:name="_Toc11762"/>
      <w:bookmarkStart w:id="258" w:name="_Toc28057"/>
      <w:bookmarkStart w:id="259" w:name="_Toc32409"/>
      <w:bookmarkStart w:id="260" w:name="_Toc4771"/>
      <w:bookmarkStart w:id="261" w:name="_Toc10415"/>
      <w:bookmarkStart w:id="262" w:name="_Toc63"/>
      <w:bookmarkStart w:id="263" w:name="_Toc520356165"/>
      <w:bookmarkStart w:id="264" w:name="_Toc3080"/>
      <w:bookmarkStart w:id="265" w:name="_Toc22792"/>
      <w:bookmarkStart w:id="266" w:name="_Toc10550"/>
      <w:bookmarkStart w:id="267" w:name="_Toc10746"/>
      <w:bookmarkStart w:id="268" w:name="_Toc18233"/>
      <w:bookmarkStart w:id="269" w:name="_Toc5052"/>
      <w:bookmarkStart w:id="270" w:name="_Toc21372"/>
      <w:bookmarkStart w:id="271" w:name="_Toc26266"/>
      <w:bookmarkStart w:id="272" w:name="_Toc28586"/>
      <w:bookmarkStart w:id="273" w:name="_Toc18228"/>
      <w:bookmarkStart w:id="274" w:name="_Toc19296"/>
      <w:bookmarkStart w:id="275" w:name="_Toc22770"/>
      <w:bookmarkStart w:id="276" w:name="_Toc21667"/>
      <w:bookmarkStart w:id="277" w:name="_Toc2316"/>
      <w:bookmarkStart w:id="278" w:name="_Toc515647780"/>
      <w:bookmarkStart w:id="279" w:name="_Toc4063"/>
      <w:r>
        <w:rPr>
          <w:rFonts w:hint="eastAsia" w:ascii="宋体" w:hAnsi="宋体" w:eastAsia="宋体" w:cs="宋体"/>
          <w:color w:val="auto"/>
          <w:highlight w:val="none"/>
          <w:u w:val="none"/>
        </w:rPr>
        <w:t>18.开标</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7C3672E7">
      <w:pPr>
        <w:spacing w:line="360" w:lineRule="auto"/>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采购人和采购代理机构将按投标供应商须知资料表中规定的开标时间和地点组织开标。投标供应商不足3家的，不得开标。</w:t>
      </w:r>
    </w:p>
    <w:p w14:paraId="1180E413">
      <w:pPr>
        <w:spacing w:line="387" w:lineRule="exact"/>
        <w:ind w:left="960" w:hanging="960" w:hanging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18.2   供应商按照须知资料表中规定的开标时间和地点，在规定时间内上传</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w:t>
      </w:r>
    </w:p>
    <w:p w14:paraId="5C8C2692">
      <w:pPr>
        <w:spacing w:line="387" w:lineRule="exact"/>
        <w:ind w:left="960" w:hanging="960" w:hanging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18.3   采购代理机构在规定时间内度</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进行</w:t>
      </w:r>
      <w:r>
        <w:rPr>
          <w:rFonts w:hint="eastAsia" w:ascii="宋体" w:hAnsi="宋体" w:eastAsia="宋体" w:cs="宋体"/>
          <w:b/>
          <w:bCs/>
          <w:color w:val="auto"/>
          <w:sz w:val="24"/>
          <w:highlight w:val="none"/>
        </w:rPr>
        <w:t>解密，时长为30分钟</w:t>
      </w:r>
      <w:r>
        <w:rPr>
          <w:rFonts w:hint="eastAsia" w:ascii="宋体" w:hAnsi="宋体" w:eastAsia="宋体" w:cs="宋体"/>
          <w:color w:val="auto"/>
          <w:sz w:val="24"/>
          <w:highlight w:val="none"/>
        </w:rPr>
        <w:t>。</w:t>
      </w:r>
    </w:p>
    <w:p w14:paraId="121C2DDD">
      <w:pPr>
        <w:spacing w:line="387" w:lineRule="exact"/>
        <w:ind w:left="960" w:hanging="960" w:hanging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18.4   由采购代理机构开启开标记录，须供应商在政采云平台对报价进行签字确认。</w:t>
      </w:r>
    </w:p>
    <w:p w14:paraId="53E090A3">
      <w:pPr>
        <w:snapToGrid w:val="0"/>
        <w:spacing w:line="380" w:lineRule="exact"/>
        <w:ind w:left="720" w:hanging="720" w:hangingChars="300"/>
        <w:textAlignment w:val="baseline"/>
        <w:outlineLvl w:val="2"/>
        <w:rPr>
          <w:rFonts w:hint="eastAsia" w:ascii="宋体" w:hAnsi="宋体" w:eastAsia="宋体" w:cs="宋体"/>
          <w:color w:val="auto"/>
          <w:sz w:val="24"/>
          <w:highlight w:val="none"/>
        </w:rPr>
      </w:pPr>
      <w:bookmarkStart w:id="280" w:name="_Toc2280"/>
      <w:bookmarkStart w:id="281" w:name="_Toc29601"/>
      <w:bookmarkStart w:id="282" w:name="_Toc25205"/>
      <w:r>
        <w:rPr>
          <w:rFonts w:hint="eastAsia" w:ascii="宋体" w:hAnsi="宋体" w:eastAsia="宋体" w:cs="宋体"/>
          <w:color w:val="auto"/>
          <w:sz w:val="24"/>
          <w:highlight w:val="none"/>
        </w:rPr>
        <w:t>19.</w:t>
      </w:r>
      <w:bookmarkEnd w:id="263"/>
      <w:r>
        <w:rPr>
          <w:rFonts w:hint="eastAsia" w:ascii="宋体" w:hAnsi="宋体" w:eastAsia="宋体" w:cs="宋体"/>
          <w:color w:val="auto"/>
          <w:sz w:val="24"/>
          <w:highlight w:val="none"/>
        </w:rPr>
        <w:t>资格审查及组建评标委员会</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23B052E6">
      <w:pPr>
        <w:snapToGrid w:val="0"/>
        <w:spacing w:line="380" w:lineRule="exact"/>
        <w:ind w:left="720" w:hanging="720" w:hangingChars="3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19.1 采购人或采购代理机构依据法律法规和</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中规定的内容，对供应商及其服务的资格进行审查，本项目审查内容如下：</w:t>
      </w:r>
    </w:p>
    <w:p w14:paraId="6F062DB7">
      <w:pPr>
        <w:widowControl/>
        <w:snapToGrid w:val="0"/>
        <w:spacing w:line="360" w:lineRule="exact"/>
        <w:ind w:firstLine="482" w:firstLineChars="200"/>
        <w:jc w:val="left"/>
        <w:textAlignment w:val="baseline"/>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（1）具有有效的独立法定代表人营业执照；</w:t>
      </w:r>
    </w:p>
    <w:p w14:paraId="427FD9B1">
      <w:pPr>
        <w:widowControl/>
        <w:snapToGrid w:val="0"/>
        <w:spacing w:line="360" w:lineRule="exact"/>
        <w:ind w:firstLine="482" w:firstLineChars="200"/>
        <w:jc w:val="left"/>
        <w:textAlignment w:val="baseline"/>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2）法定代表人需提供法定代表人身份证明扫描件加盖公章，被授权委托人需提供法人授权委托书扫描件加盖公章、法人身份证复印件及被授权委托人身份证扫描件加盖公章，被授权委托人必须是本单位正式员工；</w:t>
      </w:r>
    </w:p>
    <w:p w14:paraId="732993B5">
      <w:pPr>
        <w:widowControl/>
        <w:snapToGrid w:val="0"/>
        <w:spacing w:line="360" w:lineRule="exact"/>
        <w:ind w:firstLine="482" w:firstLineChars="200"/>
        <w:jc w:val="left"/>
        <w:textAlignment w:val="baseline"/>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（3）近两年任意一年的财务审计报告，包括资产负债表、现金流量表、利润表等（新成立公司需提供银行资信证明）；</w:t>
      </w:r>
    </w:p>
    <w:p w14:paraId="7D2848FB">
      <w:pPr>
        <w:widowControl/>
        <w:snapToGrid w:val="0"/>
        <w:spacing w:line="360" w:lineRule="exact"/>
        <w:ind w:firstLine="482" w:firstLineChars="200"/>
        <w:jc w:val="left"/>
        <w:textAlignment w:val="baseline"/>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（4）提供本单位缴纳的近六个月内任意一个月社保缴纳证明及明细；</w:t>
      </w:r>
    </w:p>
    <w:p w14:paraId="7EC44C47">
      <w:pPr>
        <w:widowControl/>
        <w:snapToGrid w:val="0"/>
        <w:spacing w:line="360" w:lineRule="exact"/>
        <w:ind w:firstLine="482" w:firstLineChars="200"/>
        <w:jc w:val="left"/>
        <w:textAlignment w:val="baseline"/>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（5）提供税务部门出具的近六个月任意一个月的完税证明；</w:t>
      </w:r>
    </w:p>
    <w:p w14:paraId="76597371">
      <w:pPr>
        <w:widowControl/>
        <w:snapToGrid w:val="0"/>
        <w:spacing w:line="360" w:lineRule="exact"/>
        <w:ind w:firstLine="482" w:firstLineChars="200"/>
        <w:jc w:val="left"/>
        <w:textAlignment w:val="baseline"/>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（6）供应商须具备[公路工程施工总承包叁级]（含）以上资质，且具有效的安全生产许可证；项目负责人须具备公路工程专业二级（含）以上注册建造师执业资格, 具备有效的安全生产考核合格证书，近 3 个月有效的社保证明，且未担任其他在施建设项目的项目负责人。</w:t>
      </w:r>
    </w:p>
    <w:p w14:paraId="6EB21126">
      <w:pPr>
        <w:keepNext w:val="0"/>
        <w:keepLines w:val="0"/>
        <w:pageBreakBefore w:val="0"/>
        <w:widowControl/>
        <w:kinsoku/>
        <w:wordWrap w:val="0"/>
        <w:overflowPunct/>
        <w:topLinePunct w:val="0"/>
        <w:autoSpaceDE/>
        <w:autoSpaceDN/>
        <w:bidi w:val="0"/>
        <w:adjustRightInd w:val="0"/>
        <w:snapToGrid w:val="0"/>
        <w:spacing w:line="360" w:lineRule="exact"/>
        <w:ind w:firstLine="482" w:firstLineChars="200"/>
        <w:jc w:val="left"/>
        <w:textAlignment w:val="baseline"/>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7）供应商在“信用中国”网站（www.creditchina.gov.cn）中查询“严重失信、经营异常”；“中国政府采购网”网站（http://www.ccgp.gov.cn/search/cr/）中查询“严重违法失信行为”；“国家企业信用信息公示系统”（http://www.gsxt.gov.cn）中查询“严重违法失信名单、经营异常名录”，尚在处罚期内的将拒绝其参加本次招标活动（请各供应商提供以上网站完整查询结果，并加盖本单位公章）；</w:t>
      </w:r>
    </w:p>
    <w:p w14:paraId="5C657782">
      <w:pPr>
        <w:widowControl/>
        <w:snapToGrid w:val="0"/>
        <w:spacing w:line="360" w:lineRule="exact"/>
        <w:ind w:firstLine="482" w:firstLineChars="200"/>
        <w:jc w:val="left"/>
        <w:textAlignment w:val="baseline"/>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（8）参与政府采购活动前3年内未被列入失信、重大税收违法案件、财政部门禁止参加政府采购活动的承诺书；</w:t>
      </w:r>
    </w:p>
    <w:p w14:paraId="4011F6FC">
      <w:pPr>
        <w:widowControl/>
        <w:snapToGrid w:val="0"/>
        <w:spacing w:line="360" w:lineRule="exact"/>
        <w:ind w:firstLine="482" w:firstLineChars="200"/>
        <w:jc w:val="left"/>
        <w:textAlignment w:val="baseline"/>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（9）提供针对本次项目《反商业贿赂承诺书》；</w:t>
      </w:r>
    </w:p>
    <w:p w14:paraId="75BD6A08">
      <w:pPr>
        <w:widowControl/>
        <w:snapToGrid w:val="0"/>
        <w:spacing w:line="360" w:lineRule="exact"/>
        <w:ind w:firstLine="482" w:firstLineChars="200"/>
        <w:jc w:val="left"/>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（10）</w:t>
      </w:r>
      <w:r>
        <w:rPr>
          <w:rFonts w:hint="eastAsia" w:ascii="宋体" w:hAnsi="宋体" w:eastAsia="宋体" w:cs="宋体"/>
          <w:b/>
          <w:bCs/>
          <w:color w:val="auto"/>
          <w:kern w:val="2"/>
          <w:sz w:val="24"/>
          <w:szCs w:val="24"/>
          <w:highlight w:val="none"/>
          <w:lang w:val="en-US" w:eastAsia="zh-CN" w:bidi="ar-SA"/>
        </w:rPr>
        <w:t>缴纳磋商保证金有效凭证。</w:t>
      </w:r>
    </w:p>
    <w:p w14:paraId="270A179F">
      <w:pPr>
        <w:widowControl/>
        <w:snapToGrid w:val="0"/>
        <w:spacing w:line="360" w:lineRule="exact"/>
        <w:ind w:firstLine="482" w:firstLineChars="200"/>
        <w:jc w:val="left"/>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（11）中小企业声明函。</w:t>
      </w:r>
    </w:p>
    <w:p w14:paraId="6EF518E0">
      <w:pPr>
        <w:keepNext w:val="0"/>
        <w:keepLines w:val="0"/>
        <w:pageBreakBefore w:val="0"/>
        <w:widowControl w:val="0"/>
        <w:shd w:val="clear"/>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1、“提供税务部门出具的近六个月任意一个月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供应商注意！</w:t>
      </w:r>
    </w:p>
    <w:p w14:paraId="36C355A7">
      <w:pPr>
        <w:keepNext w:val="0"/>
        <w:keepLines w:val="0"/>
        <w:pageBreakBefore w:val="0"/>
        <w:widowControl w:val="0"/>
        <w:shd w:val="clear"/>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2、提示：未通过资格审查的供应商不进入</w:t>
      </w:r>
      <w:r>
        <w:rPr>
          <w:rFonts w:hint="eastAsia" w:ascii="宋体" w:hAnsi="宋体" w:eastAsia="宋体" w:cs="宋体"/>
          <w:b/>
          <w:bCs/>
          <w:color w:val="auto"/>
          <w:sz w:val="24"/>
          <w:szCs w:val="24"/>
          <w:highlight w:val="none"/>
          <w:lang w:eastAsia="zh-CN"/>
        </w:rPr>
        <w:t>评审</w:t>
      </w:r>
      <w:r>
        <w:rPr>
          <w:rFonts w:hint="eastAsia" w:ascii="宋体" w:hAnsi="宋体" w:eastAsia="宋体" w:cs="宋体"/>
          <w:b/>
          <w:bCs/>
          <w:color w:val="auto"/>
          <w:sz w:val="24"/>
          <w:szCs w:val="24"/>
          <w:highlight w:val="none"/>
        </w:rPr>
        <w:t>；通过资格审查的供应商少于不足三家的，不得</w:t>
      </w:r>
      <w:r>
        <w:rPr>
          <w:rFonts w:hint="eastAsia" w:ascii="宋体" w:hAnsi="宋体" w:eastAsia="宋体" w:cs="宋体"/>
          <w:b/>
          <w:bCs/>
          <w:color w:val="auto"/>
          <w:sz w:val="24"/>
          <w:szCs w:val="24"/>
          <w:highlight w:val="none"/>
          <w:lang w:eastAsia="zh-CN"/>
        </w:rPr>
        <w:t>评审</w:t>
      </w:r>
      <w:r>
        <w:rPr>
          <w:rFonts w:hint="eastAsia" w:ascii="宋体" w:hAnsi="宋体" w:eastAsia="宋体" w:cs="宋体"/>
          <w:b/>
          <w:bCs/>
          <w:color w:val="auto"/>
          <w:sz w:val="24"/>
          <w:szCs w:val="24"/>
          <w:highlight w:val="none"/>
        </w:rPr>
        <w:t>。</w:t>
      </w:r>
    </w:p>
    <w:p w14:paraId="0DE30E26">
      <w:pPr>
        <w:pageBreakBefore w:val="0"/>
        <w:shd w:val="clear"/>
        <w:kinsoku/>
        <w:wordWrap/>
        <w:overflowPunct/>
        <w:topLinePunct w:val="0"/>
        <w:bidi w:val="0"/>
        <w:snapToGrid w:val="0"/>
        <w:spacing w:before="0" w:beforeAutospacing="0" w:after="0" w:afterAutospacing="0" w:line="360" w:lineRule="auto"/>
        <w:ind w:left="973" w:leftChars="114" w:hanging="734" w:hangingChars="306"/>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19.2   供应商存在不良信用记录的，其磋商将被认定为投标无效。</w:t>
      </w:r>
    </w:p>
    <w:p w14:paraId="75BDC243">
      <w:pPr>
        <w:pageBreakBefore w:val="0"/>
        <w:widowControl w:val="0"/>
        <w:shd w:val="clear"/>
        <w:kinsoku/>
        <w:wordWrap/>
        <w:overflowPunct/>
        <w:topLinePunct w:val="0"/>
        <w:bidi w:val="0"/>
        <w:snapToGrid w:val="0"/>
        <w:spacing w:before="0" w:beforeAutospacing="0" w:after="0" w:afterAutospacing="0" w:line="360" w:lineRule="auto"/>
        <w:ind w:left="0" w:leftChars="0" w:firstLine="960" w:firstLineChars="40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19.2.1 不良信用记录指：</w:t>
      </w:r>
      <w:r>
        <w:rPr>
          <w:rFonts w:hint="eastAsia" w:ascii="宋体" w:hAnsi="宋体" w:eastAsia="宋体" w:cs="宋体"/>
          <w:b w:val="0"/>
          <w:i w:val="0"/>
          <w:caps w:val="0"/>
          <w:color w:val="auto"/>
          <w:spacing w:val="0"/>
          <w:w w:val="100"/>
          <w:sz w:val="24"/>
          <w:highlight w:val="none"/>
          <w:lang w:val="en-US" w:eastAsia="zh-CN"/>
        </w:rPr>
        <w:t>不良信用记录指：供应商被“信用中国”网站列入失信被执行人和重大税收违法失信主体的、被“中国政府采购网”网站列入政府采购严重违法失信行为记录名单（处罚期限尚未届满的）的供应商；以及存在《中华人民共和国政府采购法实施条例》第十九条规定的行政处罚记录</w:t>
      </w:r>
      <w:r>
        <w:rPr>
          <w:rFonts w:hint="eastAsia" w:ascii="宋体" w:hAnsi="宋体" w:eastAsia="宋体" w:cs="宋体"/>
          <w:b w:val="0"/>
          <w:i w:val="0"/>
          <w:caps w:val="0"/>
          <w:color w:val="auto"/>
          <w:spacing w:val="0"/>
          <w:w w:val="100"/>
          <w:sz w:val="24"/>
          <w:highlight w:val="none"/>
        </w:rPr>
        <w:t>。</w:t>
      </w:r>
    </w:p>
    <w:p w14:paraId="4901EC71">
      <w:pPr>
        <w:pStyle w:val="23"/>
        <w:spacing w:line="360" w:lineRule="auto"/>
        <w:ind w:left="0" w:leftChars="0" w:firstLine="960" w:firstLineChars="400"/>
        <w:rPr>
          <w:rFonts w:hint="eastAsia"/>
          <w:highlight w:val="none"/>
        </w:rPr>
      </w:pPr>
      <w:r>
        <w:rPr>
          <w:rFonts w:hint="eastAsia"/>
          <w:highlight w:val="none"/>
        </w:rPr>
        <w:t>以联合体形式参加投标的，联合体任何成员存在以上不良信用记录的，联合体投标将被认定为投标无效。</w:t>
      </w:r>
    </w:p>
    <w:p w14:paraId="2F183366">
      <w:pPr>
        <w:pStyle w:val="6"/>
        <w:pageBreakBefore w:val="0"/>
        <w:widowControl w:val="0"/>
        <w:shd w:val="clear"/>
        <w:kinsoku/>
        <w:wordWrap/>
        <w:overflowPunct/>
        <w:topLinePunct w:val="0"/>
        <w:bidi w:val="0"/>
        <w:snapToGrid w:val="0"/>
        <w:spacing w:before="0" w:beforeAutospacing="0" w:after="0" w:afterAutospacing="0" w:line="420" w:lineRule="exact"/>
        <w:ind w:left="850" w:leftChars="405" w:firstLine="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19.2.2 查询及记录方式：采购人或采购代理机构经办人将查询网页打印并存档备查。供应商不良信用记录以采购人或采购代理机构查询结果为准。在本磋商文件规定的查询时间之后，网站信息发生的任何变更均不再作为评标依据。供应商自行提供的与网站信息不一致的其他证明材料亦不作为资格审查依据。</w:t>
      </w:r>
    </w:p>
    <w:p w14:paraId="69D1D09D">
      <w:pPr>
        <w:pageBreakBefore w:val="0"/>
        <w:widowControl w:val="0"/>
        <w:shd w:val="clear"/>
        <w:kinsoku/>
        <w:wordWrap/>
        <w:overflowPunct/>
        <w:topLinePunct w:val="0"/>
        <w:bidi w:val="0"/>
        <w:snapToGrid w:val="0"/>
        <w:spacing w:before="0" w:beforeAutospacing="0" w:after="0" w:afterAutospacing="0" w:line="420" w:lineRule="exact"/>
        <w:ind w:hangingChars="354"/>
        <w:jc w:val="both"/>
        <w:textAlignment w:val="baseline"/>
        <w:rPr>
          <w:rFonts w:hint="eastAsia" w:ascii="宋体" w:hAnsi="宋体" w:eastAsia="宋体" w:cs="宋体"/>
          <w:b w:val="0"/>
          <w:i w:val="0"/>
          <w:caps w:val="0"/>
          <w:color w:val="auto"/>
          <w:spacing w:val="0"/>
          <w:w w:val="100"/>
          <w:sz w:val="24"/>
          <w:highlight w:val="none"/>
          <w:lang w:eastAsia="zh-CN"/>
        </w:rPr>
      </w:pPr>
      <w:r>
        <w:rPr>
          <w:rFonts w:hint="eastAsia" w:ascii="宋体" w:hAnsi="宋体" w:eastAsia="宋体" w:cs="宋体"/>
          <w:b w:val="0"/>
          <w:i w:val="0"/>
          <w:caps w:val="0"/>
          <w:color w:val="auto"/>
          <w:spacing w:val="0"/>
          <w:w w:val="100"/>
          <w:sz w:val="24"/>
          <w:highlight w:val="none"/>
        </w:rPr>
        <w:t xml:space="preserve">19.3   </w:t>
      </w:r>
      <w:bookmarkStart w:id="283" w:name="_Toc520356166"/>
      <w:r>
        <w:rPr>
          <w:rFonts w:hint="eastAsia" w:ascii="宋体" w:hAnsi="宋体" w:eastAsia="宋体" w:cs="宋体"/>
          <w:b w:val="0"/>
          <w:i w:val="0"/>
          <w:caps w:val="0"/>
          <w:color w:val="auto"/>
          <w:spacing w:val="0"/>
          <w:w w:val="100"/>
          <w:sz w:val="24"/>
          <w:highlight w:val="none"/>
        </w:rPr>
        <w:t>按照《中华人民共和国政府采购法》、《中华人民共和国政府采购法实施条例》、《政府采购竞争性磋商采购方式管理暂行办法》及本项目本级和上级财政部门的有关规定依法组建</w:t>
      </w:r>
      <w:r>
        <w:rPr>
          <w:rFonts w:hint="eastAsia" w:ascii="宋体" w:hAnsi="宋体" w:cs="宋体"/>
          <w:b/>
          <w:bCs/>
          <w:i w:val="0"/>
          <w:caps w:val="0"/>
          <w:color w:val="auto"/>
          <w:spacing w:val="0"/>
          <w:w w:val="100"/>
          <w:sz w:val="24"/>
          <w:highlight w:val="none"/>
          <w:lang w:val="en-US" w:eastAsia="zh-CN"/>
        </w:rPr>
        <w:t>评标委员会成员5</w:t>
      </w:r>
      <w:r>
        <w:rPr>
          <w:rFonts w:hint="eastAsia" w:ascii="宋体" w:hAnsi="宋体" w:eastAsia="宋体" w:cs="宋体"/>
          <w:b/>
          <w:bCs/>
          <w:i w:val="0"/>
          <w:caps w:val="0"/>
          <w:color w:val="auto"/>
          <w:spacing w:val="0"/>
          <w:w w:val="100"/>
          <w:sz w:val="24"/>
          <w:highlight w:val="none"/>
        </w:rPr>
        <w:t>名</w:t>
      </w:r>
      <w:r>
        <w:rPr>
          <w:rFonts w:hint="eastAsia" w:ascii="宋体" w:hAnsi="宋体" w:cs="宋体"/>
          <w:b/>
          <w:bCs/>
          <w:i w:val="0"/>
          <w:caps w:val="0"/>
          <w:color w:val="auto"/>
          <w:spacing w:val="0"/>
          <w:w w:val="100"/>
          <w:sz w:val="24"/>
          <w:highlight w:val="none"/>
          <w:lang w:eastAsia="zh-CN"/>
        </w:rPr>
        <w:t>（其中</w:t>
      </w:r>
      <w:r>
        <w:rPr>
          <w:rFonts w:hint="eastAsia" w:ascii="宋体" w:hAnsi="宋体" w:cs="宋体"/>
          <w:b/>
          <w:bCs/>
          <w:i w:val="0"/>
          <w:caps w:val="0"/>
          <w:color w:val="auto"/>
          <w:spacing w:val="0"/>
          <w:w w:val="100"/>
          <w:sz w:val="24"/>
          <w:highlight w:val="none"/>
          <w:lang w:val="en-US" w:eastAsia="zh-CN"/>
        </w:rPr>
        <w:t>政采云专家库随机抽取4名，招标人代表1名</w:t>
      </w:r>
      <w:r>
        <w:rPr>
          <w:rFonts w:hint="eastAsia" w:ascii="宋体" w:hAnsi="宋体" w:cs="宋体"/>
          <w:b/>
          <w:bCs/>
          <w:i w:val="0"/>
          <w:caps w:val="0"/>
          <w:color w:val="auto"/>
          <w:spacing w:val="0"/>
          <w:w w:val="100"/>
          <w:sz w:val="24"/>
          <w:highlight w:val="none"/>
          <w:lang w:eastAsia="zh-CN"/>
        </w:rPr>
        <w:t>）</w:t>
      </w:r>
      <w:r>
        <w:rPr>
          <w:rFonts w:hint="eastAsia" w:ascii="宋体" w:hAnsi="宋体" w:eastAsia="宋体" w:cs="宋体"/>
          <w:b w:val="0"/>
          <w:i w:val="0"/>
          <w:caps w:val="0"/>
          <w:color w:val="auto"/>
          <w:spacing w:val="0"/>
          <w:w w:val="100"/>
          <w:sz w:val="24"/>
          <w:highlight w:val="none"/>
        </w:rPr>
        <w:t>，负责评审工作</w:t>
      </w:r>
      <w:r>
        <w:rPr>
          <w:rFonts w:hint="eastAsia" w:ascii="宋体" w:hAnsi="宋体" w:eastAsia="宋体" w:cs="宋体"/>
          <w:b w:val="0"/>
          <w:i w:val="0"/>
          <w:caps w:val="0"/>
          <w:color w:val="auto"/>
          <w:spacing w:val="0"/>
          <w:w w:val="100"/>
          <w:sz w:val="24"/>
          <w:highlight w:val="none"/>
          <w:lang w:eastAsia="zh-CN"/>
        </w:rPr>
        <w:t>。</w:t>
      </w:r>
    </w:p>
    <w:p w14:paraId="4BEE67FF">
      <w:pPr>
        <w:pStyle w:val="4"/>
        <w:pageBreakBefore w:val="0"/>
        <w:widowControl w:val="0"/>
        <w:shd w:val="clear"/>
        <w:kinsoku/>
        <w:wordWrap/>
        <w:overflowPunct/>
        <w:topLinePunct w:val="0"/>
        <w:bidi w:val="0"/>
        <w:snapToGrid w:val="0"/>
        <w:spacing w:before="0" w:beforeAutospacing="0" w:after="0" w:afterAutospacing="0" w:line="420" w:lineRule="exact"/>
        <w:jc w:val="left"/>
        <w:textAlignment w:val="baseline"/>
        <w:rPr>
          <w:rFonts w:hint="eastAsia" w:ascii="宋体" w:hAnsi="宋体" w:eastAsia="宋体" w:cs="宋体"/>
          <w:b w:val="0"/>
          <w:bCs/>
          <w:i w:val="0"/>
          <w:caps w:val="0"/>
          <w:color w:val="auto"/>
          <w:spacing w:val="0"/>
          <w:w w:val="100"/>
          <w:sz w:val="24"/>
          <w:highlight w:val="none"/>
          <w:u w:val="single" w:color="000000"/>
          <w:bdr w:val="single" w:color="auto" w:sz="4" w:space="0"/>
        </w:rPr>
      </w:pPr>
      <w:bookmarkStart w:id="284" w:name="_Toc17557"/>
      <w:bookmarkStart w:id="285" w:name="_Toc29938"/>
      <w:bookmarkStart w:id="286" w:name="_Toc10117"/>
      <w:bookmarkStart w:id="287" w:name="_Toc29043"/>
      <w:bookmarkStart w:id="288" w:name="_Toc515647781"/>
      <w:bookmarkStart w:id="289" w:name="_Toc15335"/>
      <w:bookmarkStart w:id="290" w:name="_Toc17520"/>
      <w:bookmarkStart w:id="291" w:name="_Toc32528"/>
      <w:bookmarkStart w:id="292" w:name="_Toc19949"/>
      <w:bookmarkStart w:id="293" w:name="_Toc28479"/>
      <w:bookmarkStart w:id="294" w:name="_Toc22740"/>
      <w:r>
        <w:rPr>
          <w:rFonts w:hint="eastAsia" w:ascii="宋体" w:hAnsi="宋体" w:eastAsia="宋体" w:cs="宋体"/>
          <w:b/>
          <w:i w:val="0"/>
          <w:caps w:val="0"/>
          <w:color w:val="auto"/>
          <w:spacing w:val="0"/>
          <w:w w:val="100"/>
          <w:sz w:val="24"/>
          <w:highlight w:val="none"/>
          <w:u w:val="single" w:color="000000"/>
        </w:rPr>
        <w:t>20.</w:t>
      </w:r>
      <w:bookmarkEnd w:id="283"/>
      <w:r>
        <w:rPr>
          <w:rFonts w:hint="eastAsia" w:ascii="宋体" w:hAnsi="宋体" w:eastAsia="宋体" w:cs="宋体"/>
          <w:b/>
          <w:i w:val="0"/>
          <w:caps w:val="0"/>
          <w:color w:val="auto"/>
          <w:spacing w:val="0"/>
          <w:w w:val="100"/>
          <w:sz w:val="24"/>
          <w:highlight w:val="none"/>
          <w:u w:val="single" w:color="000000"/>
        </w:rPr>
        <w:t>响应文件符合性审查与澄清</w:t>
      </w:r>
      <w:bookmarkEnd w:id="284"/>
      <w:bookmarkEnd w:id="285"/>
      <w:bookmarkEnd w:id="286"/>
      <w:bookmarkEnd w:id="287"/>
      <w:bookmarkEnd w:id="288"/>
      <w:bookmarkEnd w:id="289"/>
      <w:bookmarkEnd w:id="290"/>
      <w:bookmarkEnd w:id="291"/>
      <w:bookmarkEnd w:id="292"/>
      <w:bookmarkEnd w:id="293"/>
      <w:bookmarkEnd w:id="294"/>
    </w:p>
    <w:p w14:paraId="3C7B6EC6">
      <w:pPr>
        <w:pageBreakBefore w:val="0"/>
        <w:widowControl w:val="0"/>
        <w:shd w:val="clear"/>
        <w:kinsoku/>
        <w:wordWrap/>
        <w:overflowPunct/>
        <w:topLinePunct w:val="0"/>
        <w:bidi w:val="0"/>
        <w:snapToGrid w:val="0"/>
        <w:spacing w:before="0" w:beforeAutospacing="0" w:after="0" w:afterAutospacing="0" w:line="420" w:lineRule="exac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20.1   符合性审查是指依据磋商文件的规定，从响应文件的有效性和完整性对磋商文件的响应程度进行审查，以确定是否对磋商文件的实质性要求做出响应。</w:t>
      </w:r>
      <w:bookmarkStart w:id="295" w:name="_Hlt522424701"/>
      <w:bookmarkEnd w:id="295"/>
      <w:bookmarkStart w:id="296" w:name="_Toc520356167"/>
    </w:p>
    <w:p w14:paraId="770C98AD">
      <w:pPr>
        <w:pageBreakBefore w:val="0"/>
        <w:widowControl w:val="0"/>
        <w:shd w:val="clear"/>
        <w:kinsoku/>
        <w:wordWrap/>
        <w:overflowPunct/>
        <w:topLinePunct w:val="0"/>
        <w:bidi w:val="0"/>
        <w:snapToGrid w:val="0"/>
        <w:spacing w:before="0" w:beforeAutospacing="0" w:after="0" w:afterAutospacing="0" w:line="420" w:lineRule="exac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20.2</w:t>
      </w: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val="0"/>
          <w:i w:val="0"/>
          <w:caps w:val="0"/>
          <w:color w:val="auto"/>
          <w:spacing w:val="0"/>
          <w:w w:val="100"/>
          <w:sz w:val="24"/>
          <w:highlight w:val="none"/>
        </w:rPr>
        <w:t>响应文件的澄清</w:t>
      </w:r>
    </w:p>
    <w:p w14:paraId="203F8554">
      <w:pPr>
        <w:pageBreakBefore w:val="0"/>
        <w:widowControl w:val="0"/>
        <w:shd w:val="clear"/>
        <w:kinsoku/>
        <w:wordWrap/>
        <w:overflowPunct/>
        <w:topLinePunct w:val="0"/>
        <w:bidi w:val="0"/>
        <w:snapToGrid w:val="0"/>
        <w:spacing w:before="0" w:beforeAutospacing="0" w:after="0" w:afterAutospacing="0" w:line="420" w:lineRule="exac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20.2.1  在</w:t>
      </w:r>
      <w:r>
        <w:rPr>
          <w:rFonts w:hint="eastAsia" w:ascii="宋体" w:hAnsi="宋体" w:eastAsia="宋体" w:cs="宋体"/>
          <w:b w:val="0"/>
          <w:i w:val="0"/>
          <w:caps w:val="0"/>
          <w:color w:val="auto"/>
          <w:spacing w:val="0"/>
          <w:w w:val="100"/>
          <w:sz w:val="24"/>
          <w:highlight w:val="none"/>
          <w:lang w:eastAsia="zh-CN"/>
        </w:rPr>
        <w:t>评审</w:t>
      </w:r>
      <w:r>
        <w:rPr>
          <w:rFonts w:hint="eastAsia" w:ascii="宋体" w:hAnsi="宋体" w:eastAsia="宋体" w:cs="宋体"/>
          <w:b w:val="0"/>
          <w:i w:val="0"/>
          <w:caps w:val="0"/>
          <w:color w:val="auto"/>
          <w:spacing w:val="0"/>
          <w:w w:val="100"/>
          <w:sz w:val="24"/>
          <w:highlight w:val="none"/>
        </w:rPr>
        <w:t>期间，磋商小组将以书面方式要求供应商对其响应文件中含义不明确、对同类问题表述不一致或者有明显文字和计算错误的内容，以及磋商小组认为供应商的报价明显低于其他通过符合性检查供应商的报价，有可能影响履约的情况作必要的澄清、说明或补正。供应商的澄清、说明或补正应在磋商小组规定的时间内以书面方式进行，并不得超出响应文件范围或者改变响应文件的实质性内容。</w:t>
      </w:r>
    </w:p>
    <w:p w14:paraId="4774652D">
      <w:pPr>
        <w:pageBreakBefore w:val="0"/>
        <w:widowControl w:val="0"/>
        <w:shd w:val="clear"/>
        <w:kinsoku/>
        <w:wordWrap/>
        <w:overflowPunct/>
        <w:topLinePunct w:val="0"/>
        <w:bidi w:val="0"/>
        <w:snapToGrid w:val="0"/>
        <w:spacing w:before="0" w:beforeAutospacing="0" w:after="0" w:afterAutospacing="0" w:line="420" w:lineRule="exac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20.2.2  供应商的的澄清、说明或补正将作为响应文件的一部分。</w:t>
      </w:r>
    </w:p>
    <w:p w14:paraId="3BFDDE6F">
      <w:pPr>
        <w:pageBreakBefore w:val="0"/>
        <w:widowControl w:val="0"/>
        <w:shd w:val="clear"/>
        <w:kinsoku/>
        <w:wordWrap/>
        <w:overflowPunct/>
        <w:topLinePunct w:val="0"/>
        <w:bidi w:val="0"/>
        <w:snapToGrid w:val="0"/>
        <w:spacing w:before="0" w:beforeAutospacing="0" w:after="0" w:afterAutospacing="0" w:line="420" w:lineRule="exac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20.3  响应文件报价出现前后不一致的，按照下列规定修正：</w:t>
      </w:r>
    </w:p>
    <w:p w14:paraId="4E4AF582">
      <w:pPr>
        <w:pageBreakBefore w:val="0"/>
        <w:widowControl w:val="0"/>
        <w:shd w:val="clear"/>
        <w:kinsoku/>
        <w:wordWrap/>
        <w:overflowPunct/>
        <w:topLinePunct w:val="0"/>
        <w:bidi w:val="0"/>
        <w:snapToGrid w:val="0"/>
        <w:spacing w:before="0" w:beforeAutospacing="0" w:after="0" w:afterAutospacing="0" w:line="420" w:lineRule="exact"/>
        <w:ind w:hangingChars="42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　　   （一）响应文件中</w:t>
      </w:r>
      <w:r>
        <w:rPr>
          <w:rFonts w:hint="eastAsia" w:ascii="宋体" w:hAnsi="宋体" w:eastAsia="宋体" w:cs="宋体"/>
          <w:b w:val="0"/>
          <w:i w:val="0"/>
          <w:caps w:val="0"/>
          <w:color w:val="auto"/>
          <w:spacing w:val="0"/>
          <w:w w:val="100"/>
          <w:sz w:val="24"/>
          <w:highlight w:val="none"/>
          <w:lang w:eastAsia="zh-CN"/>
        </w:rPr>
        <w:t>磋商报价表</w:t>
      </w:r>
      <w:r>
        <w:rPr>
          <w:rFonts w:hint="eastAsia" w:ascii="宋体" w:hAnsi="宋体" w:eastAsia="宋体" w:cs="宋体"/>
          <w:b w:val="0"/>
          <w:i w:val="0"/>
          <w:caps w:val="0"/>
          <w:color w:val="auto"/>
          <w:spacing w:val="0"/>
          <w:w w:val="100"/>
          <w:sz w:val="24"/>
          <w:highlight w:val="none"/>
        </w:rPr>
        <w:t>（报价表）内容与响应文件中相应内容不一致的，以</w:t>
      </w:r>
      <w:r>
        <w:rPr>
          <w:rFonts w:hint="eastAsia" w:ascii="宋体" w:hAnsi="宋体" w:eastAsia="宋体" w:cs="宋体"/>
          <w:b w:val="0"/>
          <w:i w:val="0"/>
          <w:caps w:val="0"/>
          <w:color w:val="auto"/>
          <w:spacing w:val="0"/>
          <w:w w:val="100"/>
          <w:sz w:val="24"/>
          <w:highlight w:val="none"/>
          <w:lang w:eastAsia="zh-CN"/>
        </w:rPr>
        <w:t>磋商报价表</w:t>
      </w:r>
      <w:r>
        <w:rPr>
          <w:rFonts w:hint="eastAsia" w:ascii="宋体" w:hAnsi="宋体" w:eastAsia="宋体" w:cs="宋体"/>
          <w:b w:val="0"/>
          <w:i w:val="0"/>
          <w:caps w:val="0"/>
          <w:color w:val="auto"/>
          <w:spacing w:val="0"/>
          <w:w w:val="100"/>
          <w:sz w:val="24"/>
          <w:highlight w:val="none"/>
        </w:rPr>
        <w:t>（报价表）为准；</w:t>
      </w:r>
    </w:p>
    <w:p w14:paraId="68D2E2D0">
      <w:pPr>
        <w:pageBreakBefore w:val="0"/>
        <w:widowControl w:val="0"/>
        <w:shd w:val="clear"/>
        <w:kinsoku/>
        <w:wordWrap/>
        <w:overflowPunct/>
        <w:topLinePunct w:val="0"/>
        <w:bidi w:val="0"/>
        <w:snapToGrid w:val="0"/>
        <w:spacing w:before="0" w:beforeAutospacing="0" w:after="0" w:afterAutospacing="0" w:line="420" w:lineRule="exac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　　   （二）大写金额和小写金额不一致的，以大写金额为准；</w:t>
      </w:r>
    </w:p>
    <w:p w14:paraId="75D50473">
      <w:pPr>
        <w:pageBreakBefore w:val="0"/>
        <w:widowControl w:val="0"/>
        <w:shd w:val="clear"/>
        <w:kinsoku/>
        <w:wordWrap/>
        <w:overflowPunct/>
        <w:topLinePunct w:val="0"/>
        <w:bidi w:val="0"/>
        <w:snapToGrid w:val="0"/>
        <w:spacing w:before="0" w:beforeAutospacing="0" w:after="0" w:afterAutospacing="0" w:line="420" w:lineRule="exact"/>
        <w:ind w:hangingChars="42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　   　（三）单价金额小数点或者百分比有明显错位的，以</w:t>
      </w:r>
      <w:r>
        <w:rPr>
          <w:rFonts w:hint="eastAsia" w:ascii="宋体" w:hAnsi="宋体" w:eastAsia="宋体" w:cs="宋体"/>
          <w:b w:val="0"/>
          <w:i w:val="0"/>
          <w:caps w:val="0"/>
          <w:color w:val="auto"/>
          <w:spacing w:val="0"/>
          <w:w w:val="100"/>
          <w:sz w:val="24"/>
          <w:highlight w:val="none"/>
          <w:lang w:eastAsia="zh-CN"/>
        </w:rPr>
        <w:t>磋商报价表</w:t>
      </w:r>
      <w:r>
        <w:rPr>
          <w:rFonts w:hint="eastAsia" w:ascii="宋体" w:hAnsi="宋体" w:eastAsia="宋体" w:cs="宋体"/>
          <w:b w:val="0"/>
          <w:i w:val="0"/>
          <w:caps w:val="0"/>
          <w:color w:val="auto"/>
          <w:spacing w:val="0"/>
          <w:w w:val="100"/>
          <w:sz w:val="24"/>
          <w:highlight w:val="none"/>
        </w:rPr>
        <w:t>的总价为准，并修改单价；</w:t>
      </w:r>
    </w:p>
    <w:p w14:paraId="42956CF2">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　   　（四）总价金额与按单价汇总金额不一致的，以单价金额计算结果为准。</w:t>
      </w:r>
    </w:p>
    <w:p w14:paraId="1DFD1088">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　　    同时出现两种以上不一致的，按照前款规定的顺序修正。修正后的报价按照第20.2条的规定经供应商确认后产生约束力，供应商不确认的，其磋商将被认定为</w:t>
      </w:r>
      <w:r>
        <w:rPr>
          <w:rFonts w:hint="eastAsia" w:ascii="宋体" w:hAnsi="宋体" w:eastAsia="宋体" w:cs="宋体"/>
          <w:b/>
          <w:bCs/>
          <w:i w:val="0"/>
          <w:caps w:val="0"/>
          <w:color w:val="auto"/>
          <w:spacing w:val="0"/>
          <w:w w:val="100"/>
          <w:sz w:val="24"/>
          <w:highlight w:val="none"/>
        </w:rPr>
        <w:t>磋商无效</w:t>
      </w:r>
      <w:r>
        <w:rPr>
          <w:rFonts w:hint="eastAsia" w:ascii="宋体" w:hAnsi="宋体" w:eastAsia="宋体" w:cs="宋体"/>
          <w:b w:val="0"/>
          <w:i w:val="0"/>
          <w:caps w:val="0"/>
          <w:color w:val="auto"/>
          <w:spacing w:val="0"/>
          <w:w w:val="100"/>
          <w:sz w:val="24"/>
          <w:highlight w:val="none"/>
        </w:rPr>
        <w:t>。</w:t>
      </w:r>
    </w:p>
    <w:p w14:paraId="4ED68BB7">
      <w:pPr>
        <w:shd w:val="clear"/>
        <w:snapToGrid w:val="0"/>
        <w:spacing w:before="0" w:beforeAutospacing="0" w:after="0" w:afterAutospacing="0" w:line="240" w:lineRule="atLeast"/>
        <w:ind w:left="735" w:leftChars="350" w:firstLine="120" w:firstLineChars="5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对不同文字文本响应文件的解释发生异议的，以中文文本为准。</w:t>
      </w:r>
    </w:p>
    <w:p w14:paraId="42EB6322">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20.</w:t>
      </w:r>
      <w:r>
        <w:rPr>
          <w:rFonts w:hint="eastAsia" w:ascii="宋体" w:hAnsi="宋体" w:cs="宋体"/>
          <w:b w:val="0"/>
          <w:i w:val="0"/>
          <w:caps w:val="0"/>
          <w:color w:val="auto"/>
          <w:spacing w:val="0"/>
          <w:w w:val="100"/>
          <w:sz w:val="24"/>
          <w:highlight w:val="none"/>
          <w:lang w:val="en-US" w:eastAsia="zh-CN"/>
        </w:rPr>
        <w:t>4</w:t>
      </w:r>
      <w:r>
        <w:rPr>
          <w:rFonts w:hint="eastAsia" w:ascii="宋体" w:hAnsi="宋体" w:eastAsia="宋体" w:cs="宋体"/>
          <w:b w:val="0"/>
          <w:i w:val="0"/>
          <w:caps w:val="0"/>
          <w:color w:val="auto"/>
          <w:spacing w:val="0"/>
          <w:w w:val="100"/>
          <w:sz w:val="24"/>
          <w:highlight w:val="none"/>
        </w:rPr>
        <w:t xml:space="preserve">   供应商所投产品如被列入财政部与国家主管部门颁发的节能产品目录或环境标志产品目录或无线局域网产品目录，应提供相关证明，在</w:t>
      </w:r>
      <w:r>
        <w:rPr>
          <w:rFonts w:hint="eastAsia" w:ascii="宋体" w:hAnsi="宋体" w:eastAsia="宋体" w:cs="宋体"/>
          <w:b w:val="0"/>
          <w:i w:val="0"/>
          <w:caps w:val="0"/>
          <w:color w:val="auto"/>
          <w:spacing w:val="0"/>
          <w:w w:val="100"/>
          <w:sz w:val="24"/>
          <w:highlight w:val="none"/>
          <w:lang w:eastAsia="zh-CN"/>
        </w:rPr>
        <w:t>评审</w:t>
      </w:r>
      <w:r>
        <w:rPr>
          <w:rFonts w:hint="eastAsia" w:ascii="宋体" w:hAnsi="宋体" w:eastAsia="宋体" w:cs="宋体"/>
          <w:b w:val="0"/>
          <w:i w:val="0"/>
          <w:caps w:val="0"/>
          <w:color w:val="auto"/>
          <w:spacing w:val="0"/>
          <w:w w:val="100"/>
          <w:sz w:val="24"/>
          <w:highlight w:val="none"/>
        </w:rPr>
        <w:t>时予以优先采购，具体优先采购办法见第六章</w:t>
      </w:r>
      <w:r>
        <w:rPr>
          <w:rFonts w:hint="eastAsia" w:ascii="宋体" w:hAnsi="宋体" w:eastAsia="宋体" w:cs="宋体"/>
          <w:b w:val="0"/>
          <w:i w:val="0"/>
          <w:caps w:val="0"/>
          <w:color w:val="auto"/>
          <w:spacing w:val="0"/>
          <w:w w:val="100"/>
          <w:sz w:val="24"/>
          <w:highlight w:val="none"/>
          <w:lang w:eastAsia="zh-CN"/>
        </w:rPr>
        <w:t>评审方法</w:t>
      </w:r>
      <w:r>
        <w:rPr>
          <w:rFonts w:hint="eastAsia" w:ascii="宋体" w:hAnsi="宋体" w:eastAsia="宋体" w:cs="宋体"/>
          <w:b w:val="0"/>
          <w:i w:val="0"/>
          <w:caps w:val="0"/>
          <w:color w:val="auto"/>
          <w:spacing w:val="0"/>
          <w:w w:val="100"/>
          <w:sz w:val="24"/>
          <w:highlight w:val="none"/>
        </w:rPr>
        <w:t>和标准。</w:t>
      </w:r>
    </w:p>
    <w:p w14:paraId="35F3D109">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 xml:space="preserve">        如采购人所采购产品为政府强制采购的节能产品，供应商所投产品的品牌及型号必须为清单中有效期内产品并提供证明文件，否则其磋商将被认定为</w:t>
      </w:r>
      <w:r>
        <w:rPr>
          <w:rFonts w:hint="eastAsia" w:ascii="宋体" w:hAnsi="宋体" w:eastAsia="宋体" w:cs="宋体"/>
          <w:b/>
          <w:bCs/>
          <w:i w:val="0"/>
          <w:caps w:val="0"/>
          <w:color w:val="auto"/>
          <w:spacing w:val="0"/>
          <w:w w:val="100"/>
          <w:sz w:val="24"/>
          <w:highlight w:val="none"/>
        </w:rPr>
        <w:t>磋商无效</w:t>
      </w:r>
      <w:r>
        <w:rPr>
          <w:rFonts w:hint="eastAsia" w:ascii="宋体" w:hAnsi="宋体" w:eastAsia="宋体" w:cs="宋体"/>
          <w:b w:val="0"/>
          <w:i w:val="0"/>
          <w:caps w:val="0"/>
          <w:color w:val="auto"/>
          <w:spacing w:val="0"/>
          <w:w w:val="100"/>
          <w:sz w:val="24"/>
          <w:highlight w:val="none"/>
        </w:rPr>
        <w:t>。</w:t>
      </w:r>
    </w:p>
    <w:p w14:paraId="6F86AF4C">
      <w:pPr>
        <w:pStyle w:val="4"/>
        <w:shd w:val="clear"/>
        <w:snapToGrid w:val="0"/>
        <w:spacing w:before="0" w:beforeAutospacing="0" w:after="0" w:afterAutospacing="0" w:line="240" w:lineRule="atLeast"/>
        <w:jc w:val="left"/>
        <w:textAlignment w:val="baseline"/>
        <w:rPr>
          <w:rFonts w:hint="eastAsia" w:ascii="宋体" w:hAnsi="宋体" w:eastAsia="宋体" w:cs="宋体"/>
          <w:b/>
          <w:i w:val="0"/>
          <w:caps w:val="0"/>
          <w:color w:val="auto"/>
          <w:spacing w:val="0"/>
          <w:w w:val="100"/>
          <w:sz w:val="24"/>
          <w:highlight w:val="none"/>
          <w:u w:val="single" w:color="000000"/>
        </w:rPr>
      </w:pPr>
      <w:bookmarkStart w:id="297" w:name="_Toc30430"/>
      <w:bookmarkStart w:id="298" w:name="_Toc6695"/>
      <w:bookmarkStart w:id="299" w:name="_Toc1939"/>
      <w:bookmarkStart w:id="300" w:name="_Toc27164"/>
      <w:bookmarkStart w:id="301" w:name="_Toc4817"/>
      <w:bookmarkStart w:id="302" w:name="_Toc9469"/>
      <w:bookmarkStart w:id="303" w:name="_Toc22254"/>
      <w:bookmarkStart w:id="304" w:name="_Toc28934"/>
      <w:bookmarkStart w:id="305" w:name="_Toc6364"/>
      <w:bookmarkStart w:id="306" w:name="_Toc515647782"/>
      <w:r>
        <w:rPr>
          <w:rFonts w:hint="eastAsia" w:ascii="宋体" w:hAnsi="宋体" w:eastAsia="宋体" w:cs="宋体"/>
          <w:b/>
          <w:i w:val="0"/>
          <w:caps w:val="0"/>
          <w:color w:val="auto"/>
          <w:spacing w:val="0"/>
          <w:w w:val="100"/>
          <w:sz w:val="24"/>
          <w:highlight w:val="none"/>
          <w:u w:val="single" w:color="000000"/>
        </w:rPr>
        <w:t>21.磋商偏离</w:t>
      </w:r>
      <w:bookmarkEnd w:id="297"/>
      <w:bookmarkEnd w:id="298"/>
      <w:bookmarkEnd w:id="299"/>
      <w:bookmarkEnd w:id="300"/>
      <w:bookmarkEnd w:id="301"/>
      <w:bookmarkEnd w:id="302"/>
      <w:bookmarkEnd w:id="303"/>
      <w:bookmarkEnd w:id="304"/>
      <w:bookmarkEnd w:id="305"/>
      <w:bookmarkEnd w:id="306"/>
    </w:p>
    <w:p w14:paraId="48AEB260">
      <w:pPr>
        <w:shd w:val="clear"/>
        <w:snapToGrid w:val="0"/>
        <w:spacing w:before="0" w:beforeAutospacing="0" w:after="0" w:afterAutospacing="0" w:line="240" w:lineRule="atLeast"/>
        <w:ind w:left="848" w:leftChars="99" w:hangingChars="267"/>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 xml:space="preserve">     磋商小组可以接受响应文件中不构成实质性偏离的不正规或不一致。</w:t>
      </w:r>
    </w:p>
    <w:p w14:paraId="218A6536">
      <w:pPr>
        <w:pStyle w:val="4"/>
        <w:shd w:val="clear"/>
        <w:snapToGrid w:val="0"/>
        <w:spacing w:before="0" w:beforeAutospacing="0" w:after="0" w:afterAutospacing="0" w:line="240" w:lineRule="atLeast"/>
        <w:jc w:val="left"/>
        <w:textAlignment w:val="baseline"/>
        <w:rPr>
          <w:rFonts w:hint="eastAsia" w:ascii="宋体" w:hAnsi="宋体" w:eastAsia="宋体" w:cs="宋体"/>
          <w:b/>
          <w:i w:val="0"/>
          <w:caps w:val="0"/>
          <w:color w:val="auto"/>
          <w:spacing w:val="0"/>
          <w:w w:val="100"/>
          <w:sz w:val="24"/>
          <w:highlight w:val="none"/>
          <w:u w:val="single" w:color="000000"/>
        </w:rPr>
      </w:pPr>
      <w:bookmarkStart w:id="307" w:name="_Toc515647783"/>
      <w:bookmarkStart w:id="308" w:name="_Toc27546"/>
      <w:bookmarkStart w:id="309" w:name="_Toc6092"/>
      <w:bookmarkStart w:id="310" w:name="_Toc31191"/>
      <w:bookmarkStart w:id="311" w:name="_Toc2275"/>
      <w:bookmarkStart w:id="312" w:name="_Toc4950"/>
      <w:bookmarkStart w:id="313" w:name="_Toc108"/>
      <w:bookmarkStart w:id="314" w:name="_Toc31451"/>
      <w:bookmarkStart w:id="315" w:name="_Toc13775"/>
      <w:bookmarkStart w:id="316" w:name="_Toc14291"/>
      <w:bookmarkStart w:id="317" w:name="_Toc23480"/>
      <w:r>
        <w:rPr>
          <w:rFonts w:hint="eastAsia" w:ascii="宋体" w:hAnsi="宋体" w:eastAsia="宋体" w:cs="宋体"/>
          <w:b/>
          <w:i w:val="0"/>
          <w:caps w:val="0"/>
          <w:color w:val="auto"/>
          <w:spacing w:val="0"/>
          <w:w w:val="100"/>
          <w:sz w:val="24"/>
          <w:highlight w:val="none"/>
          <w:u w:val="single" w:color="000000"/>
        </w:rPr>
        <w:t>22.</w:t>
      </w:r>
      <w:bookmarkEnd w:id="307"/>
      <w:r>
        <w:rPr>
          <w:rFonts w:hint="eastAsia" w:ascii="宋体" w:hAnsi="宋体" w:eastAsia="宋体" w:cs="宋体"/>
          <w:b/>
          <w:i w:val="0"/>
          <w:caps w:val="0"/>
          <w:color w:val="auto"/>
          <w:spacing w:val="0"/>
          <w:w w:val="100"/>
          <w:sz w:val="24"/>
          <w:highlight w:val="none"/>
          <w:u w:val="single" w:color="000000"/>
        </w:rPr>
        <w:t>磋商无效</w:t>
      </w:r>
      <w:bookmarkEnd w:id="308"/>
      <w:bookmarkEnd w:id="309"/>
      <w:bookmarkEnd w:id="310"/>
      <w:bookmarkEnd w:id="311"/>
      <w:bookmarkEnd w:id="312"/>
      <w:bookmarkEnd w:id="313"/>
      <w:bookmarkEnd w:id="314"/>
      <w:bookmarkEnd w:id="315"/>
      <w:bookmarkEnd w:id="316"/>
      <w:bookmarkEnd w:id="317"/>
    </w:p>
    <w:p w14:paraId="1492A94F">
      <w:pPr>
        <w:shd w:val="clear"/>
        <w:snapToGrid w:val="0"/>
        <w:spacing w:before="0" w:beforeAutospacing="0" w:after="0" w:afterAutospacing="0" w:line="240" w:lineRule="atLeast"/>
        <w:ind w:left="852" w:leftChars="-23"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22.1   在比较与评价之前，根据本须知的规定，磋商小组要审查每份响应文件是否实质上响应了磋商文件的要求。实质上响应的磋商应该是与磋商文件要求的全部条款、条件和规格相符，没有重大偏离的磋商。对关键条款的偏离，将被认定为</w:t>
      </w:r>
      <w:r>
        <w:rPr>
          <w:rFonts w:hint="eastAsia" w:ascii="宋体" w:hAnsi="宋体" w:eastAsia="宋体" w:cs="宋体"/>
          <w:b/>
          <w:bCs/>
          <w:i w:val="0"/>
          <w:caps w:val="0"/>
          <w:color w:val="auto"/>
          <w:spacing w:val="0"/>
          <w:w w:val="100"/>
          <w:sz w:val="24"/>
          <w:highlight w:val="none"/>
        </w:rPr>
        <w:t>磋商无效</w:t>
      </w:r>
      <w:r>
        <w:rPr>
          <w:rFonts w:hint="eastAsia" w:ascii="宋体" w:hAnsi="宋体" w:eastAsia="宋体" w:cs="宋体"/>
          <w:b w:val="0"/>
          <w:i w:val="0"/>
          <w:caps w:val="0"/>
          <w:color w:val="auto"/>
          <w:spacing w:val="0"/>
          <w:w w:val="100"/>
          <w:sz w:val="24"/>
          <w:highlight w:val="none"/>
        </w:rPr>
        <w:t>。供应商不得通过修正或撤销不符合要求的偏离，从而使其磋商成为实质上响应的磋商。</w:t>
      </w:r>
    </w:p>
    <w:p w14:paraId="2B4E71B7">
      <w:pPr>
        <w:shd w:val="clear"/>
        <w:snapToGrid w:val="0"/>
        <w:spacing w:before="0" w:beforeAutospacing="0" w:after="0" w:afterAutospacing="0" w:line="240" w:lineRule="atLeast"/>
        <w:ind w:left="792" w:leftChars="377"/>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磋商小组决定磋商的响应性只根据磋商文件要求、响应文件内容及财政主管部门指定相关信息发布媒体。</w:t>
      </w:r>
    </w:p>
    <w:p w14:paraId="2B4250A2">
      <w:pPr>
        <w:shd w:val="clear"/>
        <w:snapToGrid w:val="0"/>
        <w:spacing w:before="0" w:beforeAutospacing="0" w:after="0" w:afterAutospacing="0" w:line="240" w:lineRule="atLeast"/>
        <w:ind w:hangingChars="375"/>
        <w:jc w:val="both"/>
        <w:textAlignment w:val="baseline"/>
        <w:rPr>
          <w:rFonts w:hint="eastAsia" w:ascii="宋体" w:hAnsi="宋体" w:eastAsia="宋体" w:cs="宋体"/>
          <w:b/>
          <w:bCs/>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22.2</w:t>
      </w: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bCs/>
          <w:i w:val="0"/>
          <w:caps w:val="0"/>
          <w:color w:val="auto"/>
          <w:spacing w:val="0"/>
          <w:w w:val="100"/>
          <w:sz w:val="24"/>
          <w:highlight w:val="none"/>
        </w:rPr>
        <w:t>如发现下列情况之一的，其磋商将被认定为磋商无效：（以下情形应当在磋商文件中规定，并以醒目的方式标明）</w:t>
      </w:r>
    </w:p>
    <w:p w14:paraId="58AD7B7F">
      <w:pPr>
        <w:numPr>
          <w:ilvl w:val="0"/>
          <w:numId w:val="5"/>
        </w:numPr>
        <w:shd w:val="clear"/>
        <w:snapToGrid w:val="0"/>
        <w:spacing w:before="0" w:beforeAutospacing="0" w:after="0" w:afterAutospacing="0" w:line="240" w:lineRule="atLeast"/>
        <w:ind w:left="1081" w:leftChars="429" w:hanging="180"/>
        <w:jc w:val="both"/>
        <w:textAlignment w:val="baseline"/>
        <w:rPr>
          <w:rFonts w:hint="eastAsia" w:ascii="宋体" w:hAnsi="宋体" w:eastAsia="宋体" w:cs="宋体"/>
          <w:b/>
          <w:bCs/>
          <w:i w:val="0"/>
          <w:caps w:val="0"/>
          <w:color w:val="auto"/>
          <w:spacing w:val="0"/>
          <w:w w:val="100"/>
          <w:sz w:val="24"/>
          <w:highlight w:val="none"/>
        </w:rPr>
      </w:pPr>
      <w:r>
        <w:rPr>
          <w:rFonts w:hint="eastAsia" w:ascii="宋体" w:hAnsi="宋体" w:eastAsia="宋体" w:cs="宋体"/>
          <w:b/>
          <w:bCs/>
          <w:i w:val="0"/>
          <w:caps w:val="0"/>
          <w:color w:val="auto"/>
          <w:spacing w:val="0"/>
          <w:w w:val="100"/>
          <w:sz w:val="24"/>
          <w:highlight w:val="none"/>
        </w:rPr>
        <w:t>未按磋商文件规定的形式和金额提交磋商保证金的；</w:t>
      </w:r>
    </w:p>
    <w:p w14:paraId="3E723CD9">
      <w:pPr>
        <w:numPr>
          <w:ilvl w:val="0"/>
          <w:numId w:val="5"/>
        </w:numPr>
        <w:shd w:val="clear"/>
        <w:snapToGrid w:val="0"/>
        <w:spacing w:before="0" w:beforeAutospacing="0" w:after="0" w:afterAutospacing="0" w:line="240" w:lineRule="atLeast"/>
        <w:ind w:left="1081" w:leftChars="429" w:hanging="180"/>
        <w:jc w:val="both"/>
        <w:textAlignment w:val="baseline"/>
        <w:rPr>
          <w:rFonts w:hint="eastAsia" w:ascii="宋体" w:hAnsi="宋体" w:eastAsia="宋体" w:cs="宋体"/>
          <w:b/>
          <w:bCs/>
          <w:i w:val="0"/>
          <w:caps w:val="0"/>
          <w:color w:val="auto"/>
          <w:spacing w:val="0"/>
          <w:w w:val="100"/>
          <w:sz w:val="24"/>
          <w:highlight w:val="none"/>
        </w:rPr>
      </w:pPr>
      <w:r>
        <w:rPr>
          <w:rFonts w:hint="eastAsia" w:ascii="宋体" w:hAnsi="宋体" w:eastAsia="宋体" w:cs="宋体"/>
          <w:b/>
          <w:bCs/>
          <w:i w:val="0"/>
          <w:caps w:val="0"/>
          <w:color w:val="auto"/>
          <w:spacing w:val="0"/>
          <w:w w:val="100"/>
          <w:sz w:val="24"/>
          <w:highlight w:val="none"/>
        </w:rPr>
        <w:t>未按照磋商文件规定要求签署、盖章的；</w:t>
      </w:r>
    </w:p>
    <w:p w14:paraId="4D83B077">
      <w:pPr>
        <w:numPr>
          <w:ilvl w:val="0"/>
          <w:numId w:val="5"/>
        </w:numPr>
        <w:shd w:val="clear"/>
        <w:snapToGrid w:val="0"/>
        <w:spacing w:before="0" w:beforeAutospacing="0" w:after="0" w:afterAutospacing="0" w:line="240" w:lineRule="atLeast"/>
        <w:ind w:left="1081" w:leftChars="429" w:hanging="180"/>
        <w:jc w:val="both"/>
        <w:textAlignment w:val="baseline"/>
        <w:rPr>
          <w:rFonts w:hint="eastAsia" w:ascii="宋体" w:hAnsi="宋体" w:eastAsia="宋体" w:cs="宋体"/>
          <w:b/>
          <w:bCs/>
          <w:i w:val="0"/>
          <w:caps w:val="0"/>
          <w:color w:val="auto"/>
          <w:spacing w:val="0"/>
          <w:w w:val="100"/>
          <w:sz w:val="24"/>
          <w:highlight w:val="none"/>
        </w:rPr>
      </w:pPr>
      <w:r>
        <w:rPr>
          <w:rFonts w:hint="eastAsia" w:ascii="宋体" w:hAnsi="宋体" w:eastAsia="宋体" w:cs="宋体"/>
          <w:b/>
          <w:bCs/>
          <w:i w:val="0"/>
          <w:caps w:val="0"/>
          <w:color w:val="auto"/>
          <w:spacing w:val="0"/>
          <w:w w:val="100"/>
          <w:sz w:val="24"/>
          <w:highlight w:val="none"/>
        </w:rPr>
        <w:t>未满足磋商文件中技术条款的实质性要求；</w:t>
      </w:r>
    </w:p>
    <w:p w14:paraId="7343B8FE">
      <w:pPr>
        <w:numPr>
          <w:ilvl w:val="0"/>
          <w:numId w:val="5"/>
        </w:numPr>
        <w:shd w:val="clear"/>
        <w:snapToGrid w:val="0"/>
        <w:spacing w:before="0" w:beforeAutospacing="0" w:after="0" w:afterAutospacing="0" w:line="240" w:lineRule="atLeast"/>
        <w:ind w:left="1081" w:leftChars="429" w:hanging="180"/>
        <w:jc w:val="both"/>
        <w:textAlignment w:val="baseline"/>
        <w:rPr>
          <w:rFonts w:hint="eastAsia" w:ascii="宋体" w:hAnsi="宋体" w:eastAsia="宋体" w:cs="宋体"/>
          <w:b/>
          <w:bCs/>
          <w:i w:val="0"/>
          <w:caps w:val="0"/>
          <w:color w:val="auto"/>
          <w:spacing w:val="0"/>
          <w:w w:val="100"/>
          <w:sz w:val="24"/>
          <w:highlight w:val="none"/>
        </w:rPr>
      </w:pPr>
      <w:r>
        <w:rPr>
          <w:rFonts w:hint="eastAsia" w:ascii="宋体" w:hAnsi="宋体" w:eastAsia="宋体" w:cs="宋体"/>
          <w:b/>
          <w:bCs/>
          <w:i w:val="0"/>
          <w:caps w:val="0"/>
          <w:color w:val="auto"/>
          <w:spacing w:val="0"/>
          <w:w w:val="100"/>
          <w:sz w:val="24"/>
          <w:highlight w:val="none"/>
        </w:rPr>
        <w:t>与其他供应商串通磋商，或者与招标人串通磋商；</w:t>
      </w:r>
    </w:p>
    <w:p w14:paraId="14CE2E36">
      <w:pPr>
        <w:numPr>
          <w:ilvl w:val="0"/>
          <w:numId w:val="5"/>
        </w:numPr>
        <w:shd w:val="clear"/>
        <w:snapToGrid w:val="0"/>
        <w:spacing w:before="0" w:beforeAutospacing="0" w:after="0" w:afterAutospacing="0" w:line="240" w:lineRule="atLeast"/>
        <w:ind w:left="1081" w:leftChars="429" w:hanging="180"/>
        <w:jc w:val="both"/>
        <w:textAlignment w:val="baseline"/>
        <w:rPr>
          <w:rFonts w:hint="eastAsia" w:ascii="宋体" w:hAnsi="宋体" w:eastAsia="宋体" w:cs="宋体"/>
          <w:b/>
          <w:bCs/>
          <w:i w:val="0"/>
          <w:caps w:val="0"/>
          <w:color w:val="auto"/>
          <w:spacing w:val="0"/>
          <w:w w:val="100"/>
          <w:sz w:val="24"/>
          <w:highlight w:val="none"/>
        </w:rPr>
      </w:pPr>
      <w:r>
        <w:rPr>
          <w:rFonts w:hint="eastAsia" w:ascii="宋体" w:hAnsi="宋体" w:eastAsia="宋体" w:cs="宋体"/>
          <w:b/>
          <w:bCs/>
          <w:i w:val="0"/>
          <w:caps w:val="0"/>
          <w:color w:val="auto"/>
          <w:spacing w:val="0"/>
          <w:w w:val="100"/>
          <w:sz w:val="24"/>
          <w:highlight w:val="none"/>
        </w:rPr>
        <w:t>属于磋商文件规定的其他磋商无效情形；</w:t>
      </w:r>
    </w:p>
    <w:p w14:paraId="2DF359CF">
      <w:pPr>
        <w:numPr>
          <w:ilvl w:val="0"/>
          <w:numId w:val="5"/>
        </w:numPr>
        <w:shd w:val="clear"/>
        <w:snapToGrid w:val="0"/>
        <w:spacing w:before="0" w:beforeAutospacing="0" w:after="0" w:afterAutospacing="0" w:line="240" w:lineRule="atLeast"/>
        <w:ind w:left="1081" w:leftChars="429" w:hanging="180"/>
        <w:jc w:val="both"/>
        <w:textAlignment w:val="baseline"/>
        <w:rPr>
          <w:rFonts w:hint="eastAsia" w:ascii="宋体" w:hAnsi="宋体" w:eastAsia="宋体" w:cs="宋体"/>
          <w:b/>
          <w:bCs/>
          <w:i w:val="0"/>
          <w:caps w:val="0"/>
          <w:color w:val="auto"/>
          <w:spacing w:val="0"/>
          <w:w w:val="100"/>
          <w:sz w:val="24"/>
          <w:highlight w:val="none"/>
        </w:rPr>
      </w:pPr>
      <w:r>
        <w:rPr>
          <w:rFonts w:hint="eastAsia" w:ascii="宋体" w:hAnsi="宋体" w:eastAsia="宋体" w:cs="宋体"/>
          <w:b/>
          <w:bCs/>
          <w:i w:val="0"/>
          <w:caps w:val="0"/>
          <w:color w:val="auto"/>
          <w:spacing w:val="0"/>
          <w:w w:val="100"/>
          <w:sz w:val="24"/>
          <w:highlight w:val="none"/>
        </w:rPr>
        <w:t>磋商小组认为供应商的报价明显低于其他通过符合性检查供应商的报价，有可能影响履约的，且供应商未按照规定证明其报价合理性的；</w:t>
      </w:r>
    </w:p>
    <w:p w14:paraId="38AD0BD4">
      <w:pPr>
        <w:numPr>
          <w:ilvl w:val="0"/>
          <w:numId w:val="5"/>
        </w:numPr>
        <w:shd w:val="clear"/>
        <w:snapToGrid w:val="0"/>
        <w:spacing w:before="0" w:beforeAutospacing="0" w:after="0" w:afterAutospacing="0" w:line="240" w:lineRule="atLeast"/>
        <w:ind w:left="1081" w:leftChars="429" w:hanging="180"/>
        <w:jc w:val="both"/>
        <w:textAlignment w:val="baseline"/>
        <w:rPr>
          <w:rFonts w:hint="eastAsia" w:ascii="宋体" w:hAnsi="宋体" w:eastAsia="宋体" w:cs="宋体"/>
          <w:b/>
          <w:bCs/>
          <w:i w:val="0"/>
          <w:caps w:val="0"/>
          <w:color w:val="auto"/>
          <w:spacing w:val="0"/>
          <w:w w:val="100"/>
          <w:sz w:val="24"/>
          <w:highlight w:val="none"/>
        </w:rPr>
      </w:pPr>
      <w:r>
        <w:rPr>
          <w:rFonts w:hint="eastAsia" w:ascii="宋体" w:hAnsi="宋体" w:eastAsia="宋体" w:cs="宋体"/>
          <w:b/>
          <w:bCs/>
          <w:i w:val="0"/>
          <w:caps w:val="0"/>
          <w:color w:val="auto"/>
          <w:spacing w:val="0"/>
          <w:w w:val="100"/>
          <w:sz w:val="24"/>
          <w:highlight w:val="none"/>
        </w:rPr>
        <w:t>响应文件含有采购人不能接受的附加条件的；</w:t>
      </w:r>
    </w:p>
    <w:p w14:paraId="42454866">
      <w:pPr>
        <w:numPr>
          <w:ilvl w:val="0"/>
          <w:numId w:val="5"/>
        </w:numPr>
        <w:shd w:val="clear"/>
        <w:tabs>
          <w:tab w:val="left" w:pos="0"/>
        </w:tabs>
        <w:snapToGrid w:val="0"/>
        <w:spacing w:before="0" w:beforeAutospacing="0" w:after="0" w:afterAutospacing="0" w:line="240" w:lineRule="atLeast"/>
        <w:ind w:left="1081" w:leftChars="429" w:hanging="180"/>
        <w:jc w:val="both"/>
        <w:textAlignment w:val="baseline"/>
        <w:rPr>
          <w:rFonts w:hint="eastAsia" w:ascii="宋体" w:hAnsi="宋体" w:eastAsia="宋体" w:cs="宋体"/>
          <w:b/>
          <w:bCs/>
          <w:i w:val="0"/>
          <w:caps w:val="0"/>
          <w:color w:val="auto"/>
          <w:spacing w:val="0"/>
          <w:w w:val="100"/>
          <w:sz w:val="24"/>
          <w:highlight w:val="none"/>
        </w:rPr>
      </w:pPr>
      <w:r>
        <w:rPr>
          <w:rFonts w:hint="eastAsia" w:ascii="宋体" w:hAnsi="宋体" w:eastAsia="宋体" w:cs="宋体"/>
          <w:b/>
          <w:bCs/>
          <w:i w:val="0"/>
          <w:caps w:val="0"/>
          <w:color w:val="auto"/>
          <w:spacing w:val="0"/>
          <w:w w:val="100"/>
          <w:sz w:val="24"/>
          <w:highlight w:val="none"/>
        </w:rPr>
        <w:t>不符合法规和磋商文件中规定的其他实质性要求的。</w:t>
      </w:r>
    </w:p>
    <w:p w14:paraId="577E4E3E">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22.3  有下列情形之一的，属于恶意串通，对供应商依照政府采购法第七十七条第一款的规定追究法律责任，对采购人、采购代理机构及其工作人员依照政府采购法第七十二条的规定追究法律责任：</w:t>
      </w:r>
    </w:p>
    <w:p w14:paraId="182EBC04">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　　  </w:t>
      </w:r>
      <w:r>
        <w:rPr>
          <w:rFonts w:hint="eastAsia" w:ascii="宋体" w:hAnsi="宋体" w:eastAsia="宋体" w:cs="宋体"/>
          <w:b w:val="0"/>
          <w:i w:val="0"/>
          <w:caps w:val="0"/>
          <w:color w:val="auto"/>
          <w:spacing w:val="0"/>
          <w:w w:val="100"/>
          <w:sz w:val="24"/>
          <w:highlight w:val="none"/>
          <w:lang w:eastAsia="zh-CN"/>
        </w:rPr>
        <w:t>（</w:t>
      </w:r>
      <w:r>
        <w:rPr>
          <w:rFonts w:hint="eastAsia" w:ascii="宋体" w:hAnsi="宋体" w:eastAsia="宋体" w:cs="宋体"/>
          <w:b w:val="0"/>
          <w:i w:val="0"/>
          <w:caps w:val="0"/>
          <w:color w:val="auto"/>
          <w:spacing w:val="0"/>
          <w:w w:val="100"/>
          <w:sz w:val="24"/>
          <w:highlight w:val="none"/>
          <w:lang w:val="en-US" w:eastAsia="zh-CN"/>
        </w:rPr>
        <w:t>1</w:t>
      </w:r>
      <w:r>
        <w:rPr>
          <w:rFonts w:hint="eastAsia" w:ascii="宋体" w:hAnsi="宋体" w:eastAsia="宋体" w:cs="宋体"/>
          <w:b w:val="0"/>
          <w:i w:val="0"/>
          <w:caps w:val="0"/>
          <w:color w:val="auto"/>
          <w:spacing w:val="0"/>
          <w:w w:val="100"/>
          <w:sz w:val="24"/>
          <w:highlight w:val="none"/>
          <w:lang w:eastAsia="zh-CN"/>
        </w:rPr>
        <w:t>）</w:t>
      </w:r>
      <w:r>
        <w:rPr>
          <w:rFonts w:hint="eastAsia" w:ascii="宋体" w:hAnsi="宋体" w:eastAsia="宋体" w:cs="宋体"/>
          <w:b w:val="0"/>
          <w:i w:val="0"/>
          <w:caps w:val="0"/>
          <w:color w:val="auto"/>
          <w:spacing w:val="0"/>
          <w:w w:val="100"/>
          <w:sz w:val="24"/>
          <w:highlight w:val="none"/>
        </w:rPr>
        <w:t>供应商直接或者间接从采购人或者采购代理机构处获得其他供应商的相关情况并修改其</w:t>
      </w:r>
      <w:r>
        <w:rPr>
          <w:rFonts w:hint="eastAsia" w:ascii="宋体" w:hAnsi="宋体" w:eastAsia="宋体" w:cs="宋体"/>
          <w:b w:val="0"/>
          <w:i w:val="0"/>
          <w:caps w:val="0"/>
          <w:color w:val="auto"/>
          <w:spacing w:val="0"/>
          <w:w w:val="100"/>
          <w:sz w:val="24"/>
          <w:highlight w:val="none"/>
          <w:lang w:eastAsia="zh-CN"/>
        </w:rPr>
        <w:t>响应文件</w:t>
      </w:r>
      <w:r>
        <w:rPr>
          <w:rFonts w:hint="eastAsia" w:ascii="宋体" w:hAnsi="宋体" w:eastAsia="宋体" w:cs="宋体"/>
          <w:b w:val="0"/>
          <w:i w:val="0"/>
          <w:caps w:val="0"/>
          <w:color w:val="auto"/>
          <w:spacing w:val="0"/>
          <w:w w:val="100"/>
          <w:sz w:val="24"/>
          <w:highlight w:val="none"/>
        </w:rPr>
        <w:t>或者响应文件；</w:t>
      </w:r>
    </w:p>
    <w:p w14:paraId="09E7143C">
      <w:pPr>
        <w:shd w:val="clear"/>
        <w:snapToGrid w:val="0"/>
        <w:spacing w:before="0" w:beforeAutospacing="0" w:after="0" w:afterAutospacing="0" w:line="240" w:lineRule="atLeast"/>
        <w:ind w:left="898" w:leftChars="342" w:hanging="180" w:hangingChars="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（2）供应商按照采购人或者采购代理机构的授意撤换、修改</w:t>
      </w:r>
      <w:r>
        <w:rPr>
          <w:rFonts w:hint="eastAsia" w:ascii="宋体" w:hAnsi="宋体" w:eastAsia="宋体" w:cs="宋体"/>
          <w:b w:val="0"/>
          <w:i w:val="0"/>
          <w:caps w:val="0"/>
          <w:color w:val="auto"/>
          <w:spacing w:val="0"/>
          <w:w w:val="100"/>
          <w:sz w:val="24"/>
          <w:highlight w:val="none"/>
          <w:lang w:eastAsia="zh-CN"/>
        </w:rPr>
        <w:t>响应文件</w:t>
      </w:r>
      <w:r>
        <w:rPr>
          <w:rFonts w:hint="eastAsia" w:ascii="宋体" w:hAnsi="宋体" w:eastAsia="宋体" w:cs="宋体"/>
          <w:b w:val="0"/>
          <w:i w:val="0"/>
          <w:caps w:val="0"/>
          <w:color w:val="auto"/>
          <w:spacing w:val="0"/>
          <w:w w:val="100"/>
          <w:sz w:val="24"/>
          <w:highlight w:val="none"/>
        </w:rPr>
        <w:t>或者响应文件；</w:t>
      </w:r>
    </w:p>
    <w:p w14:paraId="6566049B">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　　 （3）供应商之间协商报价、技术方案等</w:t>
      </w:r>
      <w:r>
        <w:rPr>
          <w:rFonts w:hint="eastAsia" w:ascii="宋体" w:hAnsi="宋体" w:eastAsia="宋体" w:cs="宋体"/>
          <w:b w:val="0"/>
          <w:i w:val="0"/>
          <w:caps w:val="0"/>
          <w:color w:val="auto"/>
          <w:spacing w:val="0"/>
          <w:w w:val="100"/>
          <w:sz w:val="24"/>
          <w:highlight w:val="none"/>
          <w:lang w:eastAsia="zh-CN"/>
        </w:rPr>
        <w:t>响应文件</w:t>
      </w:r>
      <w:r>
        <w:rPr>
          <w:rFonts w:hint="eastAsia" w:ascii="宋体" w:hAnsi="宋体" w:eastAsia="宋体" w:cs="宋体"/>
          <w:b w:val="0"/>
          <w:i w:val="0"/>
          <w:caps w:val="0"/>
          <w:color w:val="auto"/>
          <w:spacing w:val="0"/>
          <w:w w:val="100"/>
          <w:sz w:val="24"/>
          <w:highlight w:val="none"/>
        </w:rPr>
        <w:t>或者响应文件的实质性内容；</w:t>
      </w:r>
    </w:p>
    <w:p w14:paraId="1E5AE030">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　　 （4）属于同一集团、协会、商会等组织成员的供应商按照该组织要求协同参加政府采购活动；</w:t>
      </w:r>
    </w:p>
    <w:p w14:paraId="4617E004">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　　 （5）供应商之间事先约定由某一特定供应商</w:t>
      </w:r>
      <w:r>
        <w:rPr>
          <w:rFonts w:hint="eastAsia" w:ascii="宋体" w:hAnsi="宋体" w:eastAsia="宋体" w:cs="宋体"/>
          <w:b w:val="0"/>
          <w:i w:val="0"/>
          <w:caps w:val="0"/>
          <w:color w:val="auto"/>
          <w:spacing w:val="0"/>
          <w:w w:val="100"/>
          <w:sz w:val="24"/>
          <w:highlight w:val="none"/>
          <w:lang w:eastAsia="zh-CN"/>
        </w:rPr>
        <w:t>成交</w:t>
      </w:r>
      <w:r>
        <w:rPr>
          <w:rFonts w:hint="eastAsia" w:ascii="宋体" w:hAnsi="宋体" w:eastAsia="宋体" w:cs="宋体"/>
          <w:b w:val="0"/>
          <w:i w:val="0"/>
          <w:caps w:val="0"/>
          <w:color w:val="auto"/>
          <w:spacing w:val="0"/>
          <w:w w:val="100"/>
          <w:sz w:val="24"/>
          <w:highlight w:val="none"/>
        </w:rPr>
        <w:t>、成交；</w:t>
      </w:r>
    </w:p>
    <w:p w14:paraId="6B94D5B2">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　　 （6）供应商之间商定部分供应商放弃参加政府采购活动或者放弃</w:t>
      </w:r>
      <w:r>
        <w:rPr>
          <w:rFonts w:hint="eastAsia" w:ascii="宋体" w:hAnsi="宋体" w:eastAsia="宋体" w:cs="宋体"/>
          <w:b w:val="0"/>
          <w:i w:val="0"/>
          <w:caps w:val="0"/>
          <w:color w:val="auto"/>
          <w:spacing w:val="0"/>
          <w:w w:val="100"/>
          <w:sz w:val="24"/>
          <w:highlight w:val="none"/>
          <w:lang w:eastAsia="zh-CN"/>
        </w:rPr>
        <w:t>成交</w:t>
      </w:r>
      <w:r>
        <w:rPr>
          <w:rFonts w:hint="eastAsia" w:ascii="宋体" w:hAnsi="宋体" w:eastAsia="宋体" w:cs="宋体"/>
          <w:b w:val="0"/>
          <w:i w:val="0"/>
          <w:caps w:val="0"/>
          <w:color w:val="auto"/>
          <w:spacing w:val="0"/>
          <w:w w:val="100"/>
          <w:sz w:val="24"/>
          <w:highlight w:val="none"/>
        </w:rPr>
        <w:t>、成交；</w:t>
      </w:r>
    </w:p>
    <w:p w14:paraId="00653932">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　　 （7）供应商与采购人或者采购代理机构之间、供应商相互之间，为谋求特定供应商</w:t>
      </w:r>
      <w:r>
        <w:rPr>
          <w:rFonts w:hint="eastAsia" w:ascii="宋体" w:hAnsi="宋体" w:eastAsia="宋体" w:cs="宋体"/>
          <w:b w:val="0"/>
          <w:i w:val="0"/>
          <w:caps w:val="0"/>
          <w:color w:val="auto"/>
          <w:spacing w:val="0"/>
          <w:w w:val="100"/>
          <w:sz w:val="24"/>
          <w:highlight w:val="none"/>
          <w:lang w:eastAsia="zh-CN"/>
        </w:rPr>
        <w:t>成交</w:t>
      </w:r>
      <w:r>
        <w:rPr>
          <w:rFonts w:hint="eastAsia" w:ascii="宋体" w:hAnsi="宋体" w:eastAsia="宋体" w:cs="宋体"/>
          <w:b w:val="0"/>
          <w:i w:val="0"/>
          <w:caps w:val="0"/>
          <w:color w:val="auto"/>
          <w:spacing w:val="0"/>
          <w:w w:val="100"/>
          <w:sz w:val="24"/>
          <w:highlight w:val="none"/>
        </w:rPr>
        <w:t>、成交或者排斥其他供应商的其他串通行为。</w:t>
      </w:r>
    </w:p>
    <w:p w14:paraId="30FFAE6B">
      <w:pPr>
        <w:pStyle w:val="4"/>
        <w:shd w:val="clear"/>
        <w:snapToGrid w:val="0"/>
        <w:spacing w:before="0" w:beforeAutospacing="0" w:after="0" w:afterAutospacing="0" w:line="240" w:lineRule="atLeast"/>
        <w:jc w:val="left"/>
        <w:textAlignment w:val="baseline"/>
        <w:rPr>
          <w:rFonts w:hint="eastAsia" w:ascii="宋体" w:hAnsi="宋体" w:eastAsia="宋体" w:cs="宋体"/>
          <w:b/>
          <w:i w:val="0"/>
          <w:caps w:val="0"/>
          <w:color w:val="auto"/>
          <w:spacing w:val="0"/>
          <w:w w:val="100"/>
          <w:sz w:val="24"/>
          <w:highlight w:val="none"/>
          <w:u w:val="single" w:color="000000"/>
        </w:rPr>
      </w:pPr>
      <w:bookmarkStart w:id="318" w:name="_Toc22941"/>
      <w:bookmarkStart w:id="319" w:name="_Toc5075"/>
      <w:bookmarkStart w:id="320" w:name="_Toc26269"/>
      <w:bookmarkStart w:id="321" w:name="_Toc21841"/>
      <w:bookmarkStart w:id="322" w:name="_Toc18636"/>
      <w:bookmarkStart w:id="323" w:name="_Toc13652"/>
      <w:bookmarkStart w:id="324" w:name="_Toc3834"/>
      <w:bookmarkStart w:id="325" w:name="_Toc30567"/>
      <w:bookmarkStart w:id="326" w:name="_Toc515647784"/>
      <w:bookmarkStart w:id="327" w:name="_Toc22903"/>
      <w:bookmarkStart w:id="328" w:name="_Toc28827"/>
      <w:r>
        <w:rPr>
          <w:rFonts w:hint="eastAsia" w:ascii="宋体" w:hAnsi="宋体" w:eastAsia="宋体" w:cs="宋体"/>
          <w:b/>
          <w:i w:val="0"/>
          <w:caps w:val="0"/>
          <w:color w:val="auto"/>
          <w:spacing w:val="0"/>
          <w:w w:val="100"/>
          <w:sz w:val="24"/>
          <w:highlight w:val="none"/>
          <w:u w:val="single" w:color="000000"/>
        </w:rPr>
        <w:t>23.</w:t>
      </w:r>
      <w:bookmarkEnd w:id="296"/>
      <w:r>
        <w:rPr>
          <w:rFonts w:hint="eastAsia" w:ascii="宋体" w:hAnsi="宋体" w:eastAsia="宋体" w:cs="宋体"/>
          <w:b/>
          <w:i w:val="0"/>
          <w:caps w:val="0"/>
          <w:color w:val="auto"/>
          <w:spacing w:val="0"/>
          <w:w w:val="100"/>
          <w:sz w:val="24"/>
          <w:highlight w:val="none"/>
          <w:u w:val="single" w:color="000000"/>
        </w:rPr>
        <w:t>比较与评价</w:t>
      </w:r>
      <w:bookmarkEnd w:id="318"/>
      <w:bookmarkEnd w:id="319"/>
      <w:bookmarkEnd w:id="320"/>
      <w:bookmarkEnd w:id="321"/>
      <w:bookmarkEnd w:id="322"/>
      <w:bookmarkEnd w:id="323"/>
      <w:bookmarkEnd w:id="324"/>
      <w:bookmarkEnd w:id="325"/>
      <w:bookmarkEnd w:id="326"/>
      <w:bookmarkEnd w:id="327"/>
      <w:bookmarkEnd w:id="328"/>
    </w:p>
    <w:p w14:paraId="172390E8">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23.1</w:t>
      </w: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val="0"/>
          <w:i w:val="0"/>
          <w:caps w:val="0"/>
          <w:color w:val="auto"/>
          <w:spacing w:val="0"/>
          <w:w w:val="100"/>
          <w:sz w:val="24"/>
          <w:highlight w:val="none"/>
        </w:rPr>
        <w:t>经符合性审查合格的响应文件，磋商小组将根据磋商文件确定的</w:t>
      </w:r>
      <w:r>
        <w:rPr>
          <w:rFonts w:hint="eastAsia" w:ascii="宋体" w:hAnsi="宋体" w:eastAsia="宋体" w:cs="宋体"/>
          <w:b w:val="0"/>
          <w:i w:val="0"/>
          <w:caps w:val="0"/>
          <w:color w:val="auto"/>
          <w:spacing w:val="0"/>
          <w:w w:val="100"/>
          <w:sz w:val="24"/>
          <w:highlight w:val="none"/>
          <w:lang w:eastAsia="zh-CN"/>
        </w:rPr>
        <w:t>评审方法</w:t>
      </w:r>
      <w:r>
        <w:rPr>
          <w:rFonts w:hint="eastAsia" w:ascii="宋体" w:hAnsi="宋体" w:eastAsia="宋体" w:cs="宋体"/>
          <w:b w:val="0"/>
          <w:i w:val="0"/>
          <w:caps w:val="0"/>
          <w:color w:val="auto"/>
          <w:spacing w:val="0"/>
          <w:w w:val="100"/>
          <w:sz w:val="24"/>
          <w:highlight w:val="none"/>
        </w:rPr>
        <w:t>和标准，对其技术部分和商务部分作进一步的比较和评价。</w:t>
      </w:r>
    </w:p>
    <w:p w14:paraId="5E480F85">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 xml:space="preserve">23.2  </w:t>
      </w: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val="0"/>
          <w:i w:val="0"/>
          <w:caps w:val="0"/>
          <w:color w:val="auto"/>
          <w:spacing w:val="0"/>
          <w:w w:val="100"/>
          <w:sz w:val="24"/>
          <w:highlight w:val="none"/>
          <w:lang w:eastAsia="zh-CN"/>
        </w:rPr>
        <w:t>评审</w:t>
      </w:r>
      <w:r>
        <w:rPr>
          <w:rFonts w:hint="eastAsia" w:ascii="宋体" w:hAnsi="宋体" w:eastAsia="宋体" w:cs="宋体"/>
          <w:b w:val="0"/>
          <w:i w:val="0"/>
          <w:caps w:val="0"/>
          <w:color w:val="auto"/>
          <w:spacing w:val="0"/>
          <w:w w:val="100"/>
          <w:sz w:val="24"/>
          <w:highlight w:val="none"/>
        </w:rPr>
        <w:t>严格按照磋商文件的要求和条件进行。根据实际情况，在</w:t>
      </w:r>
      <w:r>
        <w:rPr>
          <w:rFonts w:hint="eastAsia" w:ascii="宋体" w:hAnsi="宋体" w:eastAsia="宋体" w:cs="宋体"/>
          <w:b w:val="0"/>
          <w:i w:val="0"/>
          <w:caps w:val="0"/>
          <w:color w:val="auto"/>
          <w:spacing w:val="0"/>
          <w:w w:val="100"/>
          <w:sz w:val="24"/>
          <w:highlight w:val="none"/>
          <w:u w:val="single" w:color="000000"/>
        </w:rPr>
        <w:t>供应商须知资料表</w:t>
      </w:r>
      <w:r>
        <w:rPr>
          <w:rFonts w:hint="eastAsia" w:ascii="宋体" w:hAnsi="宋体" w:eastAsia="宋体" w:cs="宋体"/>
          <w:b w:val="0"/>
          <w:i w:val="0"/>
          <w:caps w:val="0"/>
          <w:color w:val="auto"/>
          <w:spacing w:val="0"/>
          <w:w w:val="100"/>
          <w:sz w:val="24"/>
          <w:highlight w:val="none"/>
        </w:rPr>
        <w:t>中规定采用下列一种</w:t>
      </w:r>
      <w:r>
        <w:rPr>
          <w:rFonts w:hint="eastAsia" w:ascii="宋体" w:hAnsi="宋体" w:eastAsia="宋体" w:cs="宋体"/>
          <w:b w:val="0"/>
          <w:i w:val="0"/>
          <w:caps w:val="0"/>
          <w:color w:val="auto"/>
          <w:spacing w:val="0"/>
          <w:w w:val="100"/>
          <w:sz w:val="24"/>
          <w:highlight w:val="none"/>
          <w:lang w:eastAsia="zh-CN"/>
        </w:rPr>
        <w:t>评审方法</w:t>
      </w:r>
      <w:r>
        <w:rPr>
          <w:rFonts w:hint="eastAsia" w:ascii="宋体" w:hAnsi="宋体" w:eastAsia="宋体" w:cs="宋体"/>
          <w:b w:val="0"/>
          <w:i w:val="0"/>
          <w:caps w:val="0"/>
          <w:color w:val="auto"/>
          <w:spacing w:val="0"/>
          <w:w w:val="100"/>
          <w:sz w:val="24"/>
          <w:highlight w:val="none"/>
        </w:rPr>
        <w:t>，详细</w:t>
      </w:r>
      <w:r>
        <w:rPr>
          <w:rFonts w:hint="eastAsia" w:ascii="宋体" w:hAnsi="宋体" w:eastAsia="宋体" w:cs="宋体"/>
          <w:b w:val="0"/>
          <w:i w:val="0"/>
          <w:caps w:val="0"/>
          <w:color w:val="auto"/>
          <w:spacing w:val="0"/>
          <w:w w:val="100"/>
          <w:sz w:val="24"/>
          <w:highlight w:val="none"/>
          <w:lang w:eastAsia="zh-CN"/>
        </w:rPr>
        <w:t>评审标准</w:t>
      </w:r>
      <w:r>
        <w:rPr>
          <w:rFonts w:hint="eastAsia" w:ascii="宋体" w:hAnsi="宋体" w:eastAsia="宋体" w:cs="宋体"/>
          <w:b w:val="0"/>
          <w:i w:val="0"/>
          <w:caps w:val="0"/>
          <w:color w:val="auto"/>
          <w:spacing w:val="0"/>
          <w:w w:val="100"/>
          <w:sz w:val="24"/>
          <w:highlight w:val="none"/>
        </w:rPr>
        <w:t>见磋商文件</w:t>
      </w:r>
      <w:r>
        <w:rPr>
          <w:rFonts w:hint="eastAsia" w:ascii="宋体" w:hAnsi="宋体" w:eastAsia="宋体" w:cs="宋体"/>
          <w:b/>
          <w:i w:val="0"/>
          <w:caps w:val="0"/>
          <w:color w:val="auto"/>
          <w:spacing w:val="0"/>
          <w:w w:val="100"/>
          <w:sz w:val="24"/>
          <w:highlight w:val="none"/>
        </w:rPr>
        <w:t>第六章：</w:t>
      </w:r>
    </w:p>
    <w:p w14:paraId="7252F075">
      <w:pPr>
        <w:pStyle w:val="11"/>
        <w:shd w:val="clear"/>
        <w:spacing w:line="340" w:lineRule="exact"/>
        <w:ind w:left="900" w:hanging="900" w:hangingChars="375"/>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 xml:space="preserve"> 综合评分法，是指响应文件满足磋商文件全部实质性要求，且按照评审因素的量化指标评审得分最高的供应商为成交候选人的</w:t>
      </w:r>
      <w:r>
        <w:rPr>
          <w:rFonts w:hint="eastAsia" w:ascii="宋体" w:hAnsi="宋体" w:eastAsia="宋体" w:cs="宋体"/>
          <w:b w:val="0"/>
          <w:i w:val="0"/>
          <w:caps w:val="0"/>
          <w:color w:val="auto"/>
          <w:spacing w:val="0"/>
          <w:w w:val="100"/>
          <w:sz w:val="24"/>
          <w:highlight w:val="none"/>
          <w:lang w:eastAsia="zh-CN"/>
        </w:rPr>
        <w:t>评审方法</w:t>
      </w:r>
      <w:r>
        <w:rPr>
          <w:rFonts w:hint="eastAsia" w:ascii="宋体" w:hAnsi="宋体" w:eastAsia="宋体" w:cs="宋体"/>
          <w:b w:val="0"/>
          <w:i w:val="0"/>
          <w:caps w:val="0"/>
          <w:color w:val="auto"/>
          <w:spacing w:val="0"/>
          <w:w w:val="100"/>
          <w:sz w:val="24"/>
          <w:highlight w:val="none"/>
        </w:rPr>
        <w:t>。</w:t>
      </w:r>
    </w:p>
    <w:p w14:paraId="3964D378">
      <w:pPr>
        <w:pStyle w:val="11"/>
        <w:shd w:val="clear"/>
        <w:spacing w:line="340" w:lineRule="exact"/>
        <w:ind w:left="900" w:hanging="900" w:hangingChars="375"/>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23.3   </w:t>
      </w:r>
      <w:r>
        <w:rPr>
          <w:rFonts w:hint="eastAsia" w:ascii="宋体" w:hAnsi="宋体" w:eastAsia="宋体" w:cs="宋体"/>
          <w:b/>
          <w:bCs/>
          <w:color w:val="auto"/>
          <w:sz w:val="24"/>
          <w:szCs w:val="24"/>
          <w:highlight w:val="none"/>
        </w:rPr>
        <w:t>本项目专门面向中小企业采购，根据《政府采购促进中小企业发展管理办法》（财库[2020]46号）、《财政部 司法部关于政府采购支持监狱企业发展有关问题的通知》（财库〔2014〕68号）和《三部门联合发布关于促进残疾人就业政府采购政策的通知》（财库〔2017〕141号）及《关于进一步加大政府采购支持中小企业力度的通知》（财库〔2022〕19号）的规定，对满足价格扣除条件的小微、微型企业且在响应文件中提交了《中小企业声明函》、《残疾人福利性单位声明函》或省级以上监狱管理局、戒毒管理局（含新疆生产建设兵团）出具的属于监狱企业的证明文件的供应商，其报价做10%扣除</w:t>
      </w:r>
      <w:r>
        <w:rPr>
          <w:rFonts w:hint="eastAsia" w:hAnsi="宋体" w:cs="宋体"/>
          <w:b/>
          <w:bCs/>
          <w:color w:val="auto"/>
          <w:sz w:val="24"/>
          <w:szCs w:val="24"/>
          <w:highlight w:val="none"/>
          <w:lang w:val="en-US" w:eastAsia="zh-CN"/>
        </w:rPr>
        <w:t>后参与评审。对于同时属于小微企业、监狱企业或残疾人福利性单位的，不重复进行投标报价扣除</w:t>
      </w:r>
      <w:r>
        <w:rPr>
          <w:rFonts w:hint="eastAsia" w:ascii="宋体" w:hAnsi="宋体" w:eastAsia="宋体" w:cs="宋体"/>
          <w:b/>
          <w:bCs/>
          <w:color w:val="auto"/>
          <w:sz w:val="24"/>
          <w:szCs w:val="24"/>
          <w:highlight w:val="none"/>
        </w:rPr>
        <w:t>。</w:t>
      </w:r>
    </w:p>
    <w:p w14:paraId="7519B473">
      <w:pPr>
        <w:pStyle w:val="4"/>
        <w:shd w:val="clear"/>
        <w:spacing w:before="0" w:after="0" w:line="340" w:lineRule="exact"/>
        <w:rPr>
          <w:rFonts w:hint="eastAsia" w:ascii="宋体" w:hAnsi="宋体" w:eastAsia="宋体" w:cs="宋体"/>
          <w:color w:val="auto"/>
          <w:sz w:val="24"/>
          <w:szCs w:val="24"/>
          <w:highlight w:val="none"/>
          <w:u w:val="none"/>
        </w:rPr>
      </w:pPr>
      <w:bookmarkStart w:id="329" w:name="_Toc520356168"/>
      <w:bookmarkStart w:id="330" w:name="_Toc31084"/>
      <w:bookmarkStart w:id="331" w:name="_Toc27067"/>
      <w:bookmarkStart w:id="332" w:name="_Toc19218"/>
      <w:bookmarkStart w:id="333" w:name="_Toc26402"/>
      <w:r>
        <w:rPr>
          <w:rFonts w:hint="eastAsia" w:ascii="宋体" w:hAnsi="宋体" w:eastAsia="宋体" w:cs="宋体"/>
          <w:color w:val="auto"/>
          <w:sz w:val="24"/>
          <w:szCs w:val="24"/>
          <w:highlight w:val="none"/>
          <w:u w:val="none"/>
        </w:rPr>
        <w:t>24</w:t>
      </w:r>
      <w:bookmarkEnd w:id="329"/>
      <w:r>
        <w:rPr>
          <w:rFonts w:hint="eastAsia" w:ascii="宋体" w:hAnsi="宋体" w:eastAsia="宋体" w:cs="宋体"/>
          <w:color w:val="auto"/>
          <w:sz w:val="24"/>
          <w:szCs w:val="24"/>
          <w:highlight w:val="none"/>
          <w:u w:val="none"/>
        </w:rPr>
        <w:t>.废标</w:t>
      </w:r>
      <w:bookmarkEnd w:id="330"/>
      <w:bookmarkEnd w:id="331"/>
      <w:bookmarkEnd w:id="332"/>
      <w:bookmarkEnd w:id="333"/>
    </w:p>
    <w:p w14:paraId="15173ECB">
      <w:pPr>
        <w:shd w:val="clear"/>
        <w:spacing w:line="340" w:lineRule="exact"/>
        <w:ind w:left="898" w:leftChars="399" w:hanging="60" w:hangingChars="25"/>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出现下列情形之一，将导致项目废标：</w:t>
      </w:r>
      <w:r>
        <w:rPr>
          <w:rFonts w:hint="eastAsia" w:ascii="宋体" w:hAnsi="宋体" w:eastAsia="宋体" w:cs="宋体"/>
          <w:color w:val="auto"/>
          <w:sz w:val="24"/>
          <w:szCs w:val="24"/>
          <w:highlight w:val="none"/>
        </w:rPr>
        <w:t xml:space="preserve"> </w:t>
      </w:r>
    </w:p>
    <w:p w14:paraId="38812620">
      <w:pPr>
        <w:shd w:val="clear"/>
        <w:spacing w:line="340" w:lineRule="exact"/>
        <w:ind w:left="900" w:hanging="900" w:hangingChars="375"/>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b/>
          <w:bCs/>
          <w:color w:val="auto"/>
          <w:sz w:val="24"/>
          <w:szCs w:val="24"/>
          <w:highlight w:val="none"/>
        </w:rPr>
        <w:t>（1）符合专业条件的供应商或者对</w:t>
      </w:r>
      <w:r>
        <w:rPr>
          <w:rFonts w:hint="eastAsia" w:ascii="宋体" w:hAnsi="宋体" w:eastAsia="宋体" w:cs="宋体"/>
          <w:b/>
          <w:bCs/>
          <w:color w:val="auto"/>
          <w:sz w:val="24"/>
          <w:szCs w:val="24"/>
          <w:highlight w:val="none"/>
          <w:lang w:eastAsia="zh-CN"/>
        </w:rPr>
        <w:t>磋商文件</w:t>
      </w:r>
      <w:r>
        <w:rPr>
          <w:rFonts w:hint="eastAsia" w:ascii="宋体" w:hAnsi="宋体" w:eastAsia="宋体" w:cs="宋体"/>
          <w:b/>
          <w:bCs/>
          <w:color w:val="auto"/>
          <w:sz w:val="24"/>
          <w:szCs w:val="24"/>
          <w:highlight w:val="none"/>
        </w:rPr>
        <w:t>做实质性响应的供应商不足三家；</w:t>
      </w:r>
    </w:p>
    <w:p w14:paraId="03EF8AC4">
      <w:pPr>
        <w:shd w:val="clear"/>
        <w:spacing w:line="340" w:lineRule="exact"/>
        <w:ind w:left="900" w:hanging="904" w:hangingChars="37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t>（2）出现影响采购公正的违法、违规行为的；</w:t>
      </w:r>
    </w:p>
    <w:p w14:paraId="71241DF8">
      <w:pPr>
        <w:shd w:val="clear"/>
        <w:spacing w:line="340" w:lineRule="exact"/>
        <w:ind w:firstLine="843" w:firstLineChars="3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的报价均超过了采购预算，采购人不能支付的；</w:t>
      </w:r>
    </w:p>
    <w:p w14:paraId="1D66F7D6">
      <w:pPr>
        <w:shd w:val="clear"/>
        <w:spacing w:line="340" w:lineRule="exact"/>
        <w:ind w:firstLine="843" w:firstLineChars="35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（4）因重大变故，采购任务取消的。  </w:t>
      </w:r>
      <w:r>
        <w:rPr>
          <w:rFonts w:hint="eastAsia" w:ascii="宋体" w:hAnsi="宋体" w:eastAsia="宋体" w:cs="宋体"/>
          <w:color w:val="auto"/>
          <w:sz w:val="24"/>
          <w:szCs w:val="24"/>
          <w:highlight w:val="none"/>
        </w:rPr>
        <w:t xml:space="preserve"> </w:t>
      </w:r>
    </w:p>
    <w:p w14:paraId="765CA4F0">
      <w:pPr>
        <w:pStyle w:val="4"/>
        <w:shd w:val="clear"/>
        <w:spacing w:before="0" w:after="0" w:line="340" w:lineRule="exact"/>
        <w:rPr>
          <w:rFonts w:hint="eastAsia" w:ascii="宋体" w:hAnsi="宋体" w:eastAsia="宋体" w:cs="宋体"/>
          <w:color w:val="auto"/>
          <w:sz w:val="24"/>
          <w:szCs w:val="24"/>
          <w:highlight w:val="none"/>
          <w:u w:val="none"/>
        </w:rPr>
      </w:pPr>
      <w:bookmarkStart w:id="334" w:name="_Toc21697"/>
      <w:bookmarkStart w:id="335" w:name="_Toc23725"/>
      <w:bookmarkStart w:id="336" w:name="_Toc10657"/>
      <w:r>
        <w:rPr>
          <w:rFonts w:hint="eastAsia" w:ascii="宋体" w:hAnsi="宋体" w:eastAsia="宋体" w:cs="宋体"/>
          <w:color w:val="auto"/>
          <w:sz w:val="24"/>
          <w:szCs w:val="24"/>
          <w:highlight w:val="none"/>
          <w:u w:val="none"/>
        </w:rPr>
        <w:t>25.保密原则</w:t>
      </w:r>
      <w:bookmarkEnd w:id="334"/>
      <w:bookmarkEnd w:id="335"/>
      <w:bookmarkEnd w:id="336"/>
    </w:p>
    <w:p w14:paraId="15A793BA">
      <w:pPr>
        <w:shd w:val="clear"/>
        <w:spacing w:line="34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将在严格保密的情况下进行。</w:t>
      </w:r>
    </w:p>
    <w:p w14:paraId="60B23A9F">
      <w:pPr>
        <w:shd w:val="clear"/>
        <w:spacing w:line="34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政府采购评审专家应当遵守评审工作纪律，不得泄露评审文件、评审情况和评审中获悉的商业秘密。</w:t>
      </w:r>
    </w:p>
    <w:p w14:paraId="5A3DCF2D">
      <w:pPr>
        <w:shd w:val="clear"/>
        <w:spacing w:line="340" w:lineRule="exact"/>
        <w:ind w:left="1080" w:leftChars="257" w:hanging="540"/>
        <w:rPr>
          <w:rFonts w:hint="eastAsia" w:ascii="宋体" w:hAnsi="宋体" w:eastAsia="宋体" w:cs="宋体"/>
          <w:color w:val="auto"/>
          <w:sz w:val="24"/>
          <w:szCs w:val="24"/>
          <w:highlight w:val="none"/>
        </w:rPr>
      </w:pPr>
    </w:p>
    <w:p w14:paraId="4FBAC1A4">
      <w:pPr>
        <w:pStyle w:val="3"/>
        <w:shd w:val="clear"/>
        <w:spacing w:before="0" w:line="340" w:lineRule="exact"/>
        <w:ind w:left="1080" w:leftChars="257" w:hanging="540"/>
        <w:rPr>
          <w:rFonts w:hint="eastAsia" w:ascii="宋体" w:hAnsi="宋体" w:eastAsia="宋体" w:cs="宋体"/>
          <w:color w:val="auto"/>
          <w:sz w:val="24"/>
          <w:szCs w:val="24"/>
          <w:highlight w:val="none"/>
        </w:rPr>
      </w:pPr>
      <w:bookmarkStart w:id="337" w:name="_Toc15411"/>
      <w:bookmarkStart w:id="338" w:name="_Toc31410"/>
      <w:bookmarkStart w:id="339" w:name="_Toc23096"/>
      <w:bookmarkStart w:id="340" w:name="_Toc1491"/>
      <w:bookmarkStart w:id="341" w:name="_Toc26583"/>
      <w:r>
        <w:rPr>
          <w:rFonts w:hint="eastAsia" w:ascii="宋体" w:hAnsi="宋体" w:eastAsia="宋体" w:cs="宋体"/>
          <w:color w:val="auto"/>
          <w:sz w:val="24"/>
          <w:szCs w:val="24"/>
          <w:highlight w:val="none"/>
        </w:rPr>
        <w:t>六   确定</w:t>
      </w:r>
      <w:bookmarkEnd w:id="337"/>
      <w:bookmarkEnd w:id="338"/>
      <w:bookmarkEnd w:id="339"/>
      <w:bookmarkEnd w:id="340"/>
      <w:r>
        <w:rPr>
          <w:rFonts w:hint="eastAsia" w:ascii="宋体" w:hAnsi="宋体" w:eastAsia="宋体" w:cs="宋体"/>
          <w:color w:val="auto"/>
          <w:sz w:val="24"/>
          <w:szCs w:val="24"/>
          <w:highlight w:val="none"/>
          <w:lang w:eastAsia="zh-CN"/>
        </w:rPr>
        <w:t>成交</w:t>
      </w:r>
      <w:bookmarkEnd w:id="341"/>
    </w:p>
    <w:p w14:paraId="54DF6138">
      <w:pPr>
        <w:pStyle w:val="4"/>
        <w:pageBreakBefore w:val="0"/>
        <w:widowControl w:val="0"/>
        <w:shd w:val="clear"/>
        <w:kinsoku/>
        <w:wordWrap/>
        <w:overflowPunct/>
        <w:topLinePunct w:val="0"/>
        <w:bidi w:val="0"/>
        <w:snapToGrid w:val="0"/>
        <w:spacing w:before="0" w:beforeAutospacing="0" w:after="0" w:afterAutospacing="0" w:line="460" w:lineRule="exact"/>
        <w:jc w:val="left"/>
        <w:textAlignment w:val="baseline"/>
        <w:rPr>
          <w:rFonts w:hint="eastAsia" w:ascii="宋体" w:hAnsi="宋体" w:eastAsia="宋体" w:cs="宋体"/>
          <w:b/>
          <w:i w:val="0"/>
          <w:caps w:val="0"/>
          <w:color w:val="auto"/>
          <w:spacing w:val="0"/>
          <w:w w:val="100"/>
          <w:sz w:val="24"/>
          <w:highlight w:val="none"/>
          <w:u w:val="single" w:color="000000"/>
        </w:rPr>
      </w:pPr>
      <w:bookmarkStart w:id="342" w:name="_Toc7632"/>
      <w:bookmarkStart w:id="343" w:name="_Toc8936"/>
      <w:bookmarkStart w:id="344" w:name="_Toc520356170"/>
      <w:bookmarkStart w:id="345" w:name="_Toc7555"/>
      <w:bookmarkStart w:id="346" w:name="_Toc15848"/>
      <w:bookmarkStart w:id="347" w:name="_Toc23617"/>
      <w:bookmarkStart w:id="348" w:name="_Toc20156"/>
      <w:bookmarkStart w:id="349" w:name="_Toc10858"/>
      <w:bookmarkStart w:id="350" w:name="_Toc515647788"/>
      <w:bookmarkStart w:id="351" w:name="_Toc20726"/>
      <w:bookmarkStart w:id="352" w:name="_Toc4774"/>
      <w:bookmarkStart w:id="353" w:name="_Ref467307010"/>
      <w:bookmarkStart w:id="354" w:name="_Toc23762"/>
      <w:r>
        <w:rPr>
          <w:rFonts w:hint="eastAsia" w:ascii="宋体" w:hAnsi="宋体" w:eastAsia="宋体" w:cs="宋体"/>
          <w:b/>
          <w:i w:val="0"/>
          <w:caps w:val="0"/>
          <w:color w:val="auto"/>
          <w:spacing w:val="0"/>
          <w:w w:val="100"/>
          <w:sz w:val="24"/>
          <w:highlight w:val="none"/>
          <w:u w:val="single" w:color="000000"/>
        </w:rPr>
        <w:t>26.成交候选人的确定原则及标准</w:t>
      </w:r>
      <w:bookmarkEnd w:id="342"/>
      <w:bookmarkEnd w:id="343"/>
      <w:bookmarkEnd w:id="344"/>
      <w:bookmarkEnd w:id="345"/>
      <w:bookmarkEnd w:id="346"/>
      <w:bookmarkEnd w:id="347"/>
      <w:bookmarkEnd w:id="348"/>
      <w:bookmarkEnd w:id="349"/>
      <w:bookmarkEnd w:id="350"/>
      <w:bookmarkEnd w:id="351"/>
      <w:bookmarkEnd w:id="352"/>
      <w:bookmarkEnd w:id="353"/>
      <w:bookmarkEnd w:id="354"/>
    </w:p>
    <w:p w14:paraId="43DEF46E">
      <w:pPr>
        <w:pageBreakBefore w:val="0"/>
        <w:widowControl w:val="0"/>
        <w:shd w:val="clear"/>
        <w:kinsoku/>
        <w:wordWrap/>
        <w:overflowPunct/>
        <w:topLinePunct w:val="0"/>
        <w:bidi w:val="0"/>
        <w:snapToGrid w:val="0"/>
        <w:spacing w:before="0" w:beforeAutospacing="0" w:after="0" w:afterAutospacing="0" w:line="460" w:lineRule="exact"/>
        <w:ind w:left="901"/>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对实质上响应</w:t>
      </w:r>
      <w:r>
        <w:rPr>
          <w:rFonts w:hint="eastAsia" w:ascii="宋体" w:hAnsi="宋体" w:eastAsia="宋体" w:cs="宋体"/>
          <w:b w:val="0"/>
          <w:i w:val="0"/>
          <w:caps w:val="0"/>
          <w:color w:val="auto"/>
          <w:spacing w:val="0"/>
          <w:w w:val="100"/>
          <w:sz w:val="24"/>
          <w:highlight w:val="none"/>
          <w:lang w:eastAsia="zh-CN"/>
        </w:rPr>
        <w:t>磋商文件</w:t>
      </w:r>
      <w:r>
        <w:rPr>
          <w:rFonts w:hint="eastAsia" w:ascii="宋体" w:hAnsi="宋体" w:eastAsia="宋体" w:cs="宋体"/>
          <w:b w:val="0"/>
          <w:i w:val="0"/>
          <w:caps w:val="0"/>
          <w:color w:val="auto"/>
          <w:spacing w:val="0"/>
          <w:w w:val="100"/>
          <w:sz w:val="24"/>
          <w:highlight w:val="none"/>
        </w:rPr>
        <w:t>的供应商按下列方法进行排序，确定投标候选人：</w:t>
      </w:r>
    </w:p>
    <w:p w14:paraId="70C91132">
      <w:pPr>
        <w:pageBreakBefore w:val="0"/>
        <w:widowControl w:val="0"/>
        <w:shd w:val="clear"/>
        <w:kinsoku/>
        <w:wordWrap/>
        <w:overflowPunct/>
        <w:topLinePunct w:val="0"/>
        <w:bidi w:val="0"/>
        <w:snapToGrid w:val="0"/>
        <w:spacing w:before="0" w:beforeAutospacing="0" w:after="0" w:afterAutospacing="0" w:line="460" w:lineRule="exact"/>
        <w:ind w:left="901"/>
        <w:jc w:val="both"/>
        <w:textAlignment w:val="baseline"/>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w w:val="100"/>
          <w:sz w:val="24"/>
          <w:highlight w:val="none"/>
        </w:rPr>
        <w:t>采用综合评分法的，</w:t>
      </w:r>
      <w:r>
        <w:rPr>
          <w:rFonts w:hint="eastAsia" w:ascii="宋体" w:hAnsi="宋体" w:eastAsia="宋体" w:cs="宋体"/>
          <w:b w:val="0"/>
          <w:i w:val="0"/>
          <w:caps w:val="0"/>
          <w:color w:val="auto"/>
          <w:spacing w:val="0"/>
          <w:w w:val="100"/>
          <w:sz w:val="24"/>
          <w:highlight w:val="none"/>
          <w:lang w:eastAsia="zh-CN"/>
        </w:rPr>
        <w:t>评审</w:t>
      </w:r>
      <w:r>
        <w:rPr>
          <w:rFonts w:hint="eastAsia" w:ascii="宋体" w:hAnsi="宋体" w:eastAsia="宋体" w:cs="宋体"/>
          <w:b w:val="0"/>
          <w:i w:val="0"/>
          <w:caps w:val="0"/>
          <w:color w:val="auto"/>
          <w:spacing w:val="0"/>
          <w:w w:val="100"/>
          <w:sz w:val="24"/>
          <w:highlight w:val="none"/>
        </w:rPr>
        <w:t>结果按评审后得分由高到低顺序排列。得分相同的，按修正和扣除后的投标报价由低到高顺序排列。得分与投标报价均相同的处理方式详见</w:t>
      </w:r>
      <w:r>
        <w:rPr>
          <w:rFonts w:hint="eastAsia" w:ascii="宋体" w:hAnsi="宋体" w:eastAsia="宋体" w:cs="宋体"/>
          <w:b w:val="0"/>
          <w:i w:val="0"/>
          <w:caps w:val="0"/>
          <w:color w:val="auto"/>
          <w:spacing w:val="0"/>
          <w:w w:val="100"/>
          <w:sz w:val="24"/>
          <w:highlight w:val="none"/>
          <w:lang w:eastAsia="zh-CN"/>
        </w:rPr>
        <w:t>磋商文件</w:t>
      </w:r>
      <w:r>
        <w:rPr>
          <w:rFonts w:hint="eastAsia" w:ascii="宋体" w:hAnsi="宋体" w:eastAsia="宋体" w:cs="宋体"/>
          <w:b w:val="0"/>
          <w:i w:val="0"/>
          <w:caps w:val="0"/>
          <w:color w:val="auto"/>
          <w:spacing w:val="0"/>
          <w:w w:val="100"/>
          <w:sz w:val="24"/>
          <w:highlight w:val="none"/>
        </w:rPr>
        <w:t>第6章。</w:t>
      </w:r>
    </w:p>
    <w:p w14:paraId="08F05625">
      <w:pPr>
        <w:pStyle w:val="4"/>
        <w:pageBreakBefore w:val="0"/>
        <w:widowControl w:val="0"/>
        <w:shd w:val="clear"/>
        <w:tabs>
          <w:tab w:val="left" w:pos="900"/>
        </w:tabs>
        <w:kinsoku/>
        <w:wordWrap/>
        <w:overflowPunct/>
        <w:topLinePunct w:val="0"/>
        <w:bidi w:val="0"/>
        <w:snapToGrid w:val="0"/>
        <w:spacing w:before="0" w:beforeAutospacing="0" w:after="0" w:afterAutospacing="0" w:line="460" w:lineRule="exact"/>
        <w:jc w:val="left"/>
        <w:textAlignment w:val="baseline"/>
        <w:rPr>
          <w:rFonts w:hint="eastAsia" w:ascii="宋体" w:hAnsi="宋体" w:eastAsia="宋体" w:cs="宋体"/>
          <w:b/>
          <w:i w:val="0"/>
          <w:caps w:val="0"/>
          <w:color w:val="auto"/>
          <w:spacing w:val="0"/>
          <w:w w:val="100"/>
          <w:sz w:val="24"/>
          <w:highlight w:val="none"/>
          <w:u w:val="single" w:color="000000"/>
        </w:rPr>
      </w:pPr>
      <w:bookmarkStart w:id="355" w:name="_Toc17933"/>
      <w:bookmarkStart w:id="356" w:name="_Toc9653"/>
      <w:bookmarkStart w:id="357" w:name="_Toc23951"/>
      <w:bookmarkStart w:id="358" w:name="_Toc14558"/>
      <w:bookmarkStart w:id="359" w:name="_Toc922"/>
      <w:bookmarkStart w:id="360" w:name="_Toc1644"/>
      <w:bookmarkStart w:id="361" w:name="_Toc18340"/>
      <w:bookmarkStart w:id="362" w:name="_Toc3720"/>
      <w:bookmarkStart w:id="363" w:name="_Toc16846"/>
      <w:bookmarkStart w:id="364" w:name="_Toc17164"/>
      <w:bookmarkStart w:id="365" w:name="_Toc515647799"/>
      <w:bookmarkStart w:id="366" w:name="_Toc9538"/>
      <w:bookmarkStart w:id="367" w:name="_Toc350"/>
      <w:bookmarkStart w:id="368" w:name="_Toc22796"/>
      <w:bookmarkStart w:id="369" w:name="_Toc16186"/>
      <w:bookmarkStart w:id="370" w:name="_Toc18045"/>
      <w:bookmarkStart w:id="371" w:name="_Toc21748"/>
      <w:bookmarkStart w:id="372" w:name="_Toc26168"/>
      <w:r>
        <w:rPr>
          <w:rFonts w:hint="eastAsia" w:ascii="宋体" w:hAnsi="宋体" w:eastAsia="宋体" w:cs="宋体"/>
          <w:b/>
          <w:i w:val="0"/>
          <w:caps w:val="0"/>
          <w:color w:val="auto"/>
          <w:spacing w:val="0"/>
          <w:w w:val="100"/>
          <w:sz w:val="24"/>
          <w:highlight w:val="none"/>
          <w:u w:val="single" w:color="000000"/>
        </w:rPr>
        <w:t>27.确定成交候选人和</w:t>
      </w:r>
      <w:bookmarkEnd w:id="355"/>
      <w:bookmarkEnd w:id="356"/>
      <w:bookmarkEnd w:id="357"/>
      <w:r>
        <w:rPr>
          <w:rFonts w:hint="eastAsia" w:ascii="宋体" w:hAnsi="宋体" w:eastAsia="宋体" w:cs="宋体"/>
          <w:b/>
          <w:i w:val="0"/>
          <w:caps w:val="0"/>
          <w:color w:val="auto"/>
          <w:spacing w:val="0"/>
          <w:w w:val="100"/>
          <w:sz w:val="24"/>
          <w:highlight w:val="none"/>
          <w:u w:val="single" w:color="000000"/>
        </w:rPr>
        <w:t>成交人</w:t>
      </w:r>
      <w:bookmarkEnd w:id="358"/>
      <w:bookmarkEnd w:id="359"/>
      <w:bookmarkEnd w:id="360"/>
      <w:bookmarkEnd w:id="361"/>
      <w:bookmarkEnd w:id="362"/>
      <w:bookmarkEnd w:id="363"/>
      <w:bookmarkEnd w:id="364"/>
    </w:p>
    <w:p w14:paraId="608EFA07">
      <w:pPr>
        <w:pageBreakBefore w:val="0"/>
        <w:widowControl w:val="0"/>
        <w:shd w:val="clear"/>
        <w:kinsoku/>
        <w:wordWrap/>
        <w:overflowPunct/>
        <w:topLinePunct w:val="0"/>
        <w:bidi w:val="0"/>
        <w:snapToGrid w:val="0"/>
        <w:spacing w:before="0" w:beforeAutospacing="0" w:after="0" w:afterAutospacing="0" w:line="460" w:lineRule="exac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val="0"/>
          <w:i w:val="0"/>
          <w:caps w:val="0"/>
          <w:color w:val="auto"/>
          <w:spacing w:val="0"/>
          <w:w w:val="100"/>
          <w:sz w:val="24"/>
          <w:highlight w:val="none"/>
        </w:rPr>
        <w:t>磋商小组将根据</w:t>
      </w:r>
      <w:r>
        <w:rPr>
          <w:rFonts w:hint="eastAsia" w:ascii="宋体" w:hAnsi="宋体" w:eastAsia="宋体" w:cs="宋体"/>
          <w:b w:val="0"/>
          <w:i w:val="0"/>
          <w:caps w:val="0"/>
          <w:color w:val="auto"/>
          <w:spacing w:val="0"/>
          <w:w w:val="100"/>
          <w:sz w:val="24"/>
          <w:highlight w:val="none"/>
          <w:lang w:eastAsia="zh-CN"/>
        </w:rPr>
        <w:t>评审标准</w:t>
      </w:r>
      <w:r>
        <w:rPr>
          <w:rFonts w:hint="eastAsia" w:ascii="宋体" w:hAnsi="宋体" w:eastAsia="宋体" w:cs="宋体"/>
          <w:b w:val="0"/>
          <w:i w:val="0"/>
          <w:caps w:val="0"/>
          <w:color w:val="auto"/>
          <w:spacing w:val="0"/>
          <w:w w:val="100"/>
          <w:sz w:val="24"/>
          <w:highlight w:val="none"/>
        </w:rPr>
        <w:t>，按</w:t>
      </w:r>
      <w:r>
        <w:rPr>
          <w:rFonts w:hint="eastAsia" w:ascii="宋体" w:hAnsi="宋体" w:eastAsia="宋体" w:cs="宋体"/>
          <w:b w:val="0"/>
          <w:i w:val="0"/>
          <w:caps w:val="0"/>
          <w:color w:val="auto"/>
          <w:spacing w:val="0"/>
          <w:w w:val="100"/>
          <w:sz w:val="24"/>
          <w:highlight w:val="none"/>
          <w:u w:val="single" w:color="000000"/>
        </w:rPr>
        <w:t>供应商须知资料表中</w:t>
      </w:r>
      <w:r>
        <w:rPr>
          <w:rFonts w:hint="eastAsia" w:ascii="宋体" w:hAnsi="宋体" w:eastAsia="宋体" w:cs="宋体"/>
          <w:b w:val="0"/>
          <w:i w:val="0"/>
          <w:caps w:val="0"/>
          <w:color w:val="auto"/>
          <w:spacing w:val="0"/>
          <w:w w:val="100"/>
          <w:sz w:val="24"/>
          <w:highlight w:val="none"/>
        </w:rPr>
        <w:t>规定数量推荐成交候选人；或根据采购人的委托，直接确定成交人。</w:t>
      </w:r>
    </w:p>
    <w:p w14:paraId="511081F4">
      <w:pPr>
        <w:pStyle w:val="4"/>
        <w:pageBreakBefore w:val="0"/>
        <w:widowControl w:val="0"/>
        <w:shd w:val="clear"/>
        <w:tabs>
          <w:tab w:val="left" w:pos="900"/>
        </w:tabs>
        <w:kinsoku/>
        <w:wordWrap/>
        <w:overflowPunct/>
        <w:topLinePunct w:val="0"/>
        <w:bidi w:val="0"/>
        <w:snapToGrid w:val="0"/>
        <w:spacing w:before="0" w:beforeAutospacing="0" w:after="0" w:afterAutospacing="0" w:line="460" w:lineRule="exact"/>
        <w:jc w:val="left"/>
        <w:textAlignment w:val="baseline"/>
        <w:rPr>
          <w:rFonts w:hint="eastAsia" w:ascii="宋体" w:hAnsi="宋体" w:eastAsia="宋体" w:cs="宋体"/>
          <w:b/>
          <w:i w:val="0"/>
          <w:caps w:val="0"/>
          <w:color w:val="auto"/>
          <w:spacing w:val="0"/>
          <w:w w:val="100"/>
          <w:sz w:val="24"/>
          <w:highlight w:val="none"/>
          <w:u w:val="single" w:color="000000"/>
        </w:rPr>
      </w:pPr>
      <w:bookmarkStart w:id="373" w:name="_Ref467306874"/>
      <w:bookmarkStart w:id="374" w:name="_Toc520356173"/>
      <w:bookmarkStart w:id="375" w:name="_Toc8389"/>
      <w:bookmarkStart w:id="376" w:name="_Toc24602"/>
      <w:bookmarkStart w:id="377" w:name="_Toc20633"/>
      <w:bookmarkStart w:id="378" w:name="_Toc7729"/>
      <w:bookmarkStart w:id="379" w:name="_Toc12652"/>
      <w:bookmarkStart w:id="380" w:name="_Toc515647790"/>
      <w:bookmarkStart w:id="381" w:name="_Toc249"/>
      <w:bookmarkStart w:id="382" w:name="_Toc2091"/>
      <w:bookmarkStart w:id="383" w:name="_Toc30689"/>
      <w:bookmarkStart w:id="384" w:name="_Toc28562"/>
      <w:bookmarkStart w:id="385" w:name="_Toc23033"/>
      <w:r>
        <w:rPr>
          <w:rFonts w:hint="eastAsia" w:ascii="宋体" w:hAnsi="宋体" w:eastAsia="宋体" w:cs="宋体"/>
          <w:b/>
          <w:i w:val="0"/>
          <w:caps w:val="0"/>
          <w:color w:val="auto"/>
          <w:spacing w:val="0"/>
          <w:w w:val="100"/>
          <w:sz w:val="24"/>
          <w:highlight w:val="none"/>
          <w:u w:val="single" w:color="000000"/>
        </w:rPr>
        <w:t>28.</w:t>
      </w:r>
      <w:bookmarkEnd w:id="373"/>
      <w:bookmarkEnd w:id="374"/>
      <w:r>
        <w:rPr>
          <w:rFonts w:hint="eastAsia" w:ascii="宋体" w:hAnsi="宋体" w:eastAsia="宋体" w:cs="宋体"/>
          <w:b/>
          <w:i w:val="0"/>
          <w:caps w:val="0"/>
          <w:color w:val="auto"/>
          <w:spacing w:val="0"/>
          <w:w w:val="100"/>
          <w:sz w:val="24"/>
          <w:highlight w:val="none"/>
          <w:u w:val="single" w:color="000000"/>
        </w:rPr>
        <w:t>采购任务取消</w:t>
      </w:r>
      <w:bookmarkEnd w:id="375"/>
      <w:bookmarkEnd w:id="376"/>
      <w:bookmarkEnd w:id="377"/>
      <w:bookmarkEnd w:id="378"/>
      <w:bookmarkEnd w:id="379"/>
      <w:bookmarkEnd w:id="380"/>
      <w:bookmarkEnd w:id="381"/>
      <w:bookmarkEnd w:id="382"/>
      <w:bookmarkEnd w:id="383"/>
      <w:bookmarkEnd w:id="384"/>
      <w:bookmarkEnd w:id="385"/>
    </w:p>
    <w:p w14:paraId="1A373C4E">
      <w:pPr>
        <w:pageBreakBefore w:val="0"/>
        <w:widowControl w:val="0"/>
        <w:shd w:val="clear"/>
        <w:kinsoku/>
        <w:wordWrap/>
        <w:overflowPunct/>
        <w:topLinePunct w:val="0"/>
        <w:bidi w:val="0"/>
        <w:snapToGrid w:val="0"/>
        <w:spacing w:before="0" w:beforeAutospacing="0" w:after="0" w:afterAutospacing="0" w:line="460" w:lineRule="exac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val="0"/>
          <w:i w:val="0"/>
          <w:caps w:val="0"/>
          <w:color w:val="auto"/>
          <w:spacing w:val="0"/>
          <w:w w:val="100"/>
          <w:sz w:val="24"/>
          <w:highlight w:val="none"/>
        </w:rPr>
        <w:t>因重大变故采购任务取消时，采购人有权拒绝任何供应商成交，且对受影响的供应商不承担任何责任。</w:t>
      </w:r>
      <w:bookmarkStart w:id="386" w:name="_Toc520356174"/>
    </w:p>
    <w:p w14:paraId="39AB8A3D">
      <w:pPr>
        <w:pStyle w:val="4"/>
        <w:pageBreakBefore w:val="0"/>
        <w:widowControl w:val="0"/>
        <w:shd w:val="clear"/>
        <w:kinsoku/>
        <w:wordWrap/>
        <w:overflowPunct/>
        <w:topLinePunct w:val="0"/>
        <w:bidi w:val="0"/>
        <w:snapToGrid w:val="0"/>
        <w:spacing w:before="0" w:beforeAutospacing="0" w:after="0" w:afterAutospacing="0" w:line="460" w:lineRule="exact"/>
        <w:jc w:val="left"/>
        <w:textAlignment w:val="baseline"/>
        <w:rPr>
          <w:rFonts w:hint="eastAsia" w:ascii="宋体" w:hAnsi="宋体" w:eastAsia="宋体" w:cs="宋体"/>
          <w:b/>
          <w:i w:val="0"/>
          <w:caps w:val="0"/>
          <w:color w:val="auto"/>
          <w:spacing w:val="0"/>
          <w:w w:val="100"/>
          <w:sz w:val="24"/>
          <w:highlight w:val="none"/>
          <w:u w:val="single" w:color="000000"/>
        </w:rPr>
      </w:pPr>
      <w:bookmarkStart w:id="387" w:name="_Toc15270"/>
      <w:bookmarkStart w:id="388" w:name="_Toc30170"/>
      <w:bookmarkStart w:id="389" w:name="_Toc515647791"/>
      <w:bookmarkStart w:id="390" w:name="_Toc29249"/>
      <w:bookmarkStart w:id="391" w:name="_Toc29022"/>
      <w:bookmarkStart w:id="392" w:name="_Toc7938"/>
      <w:bookmarkStart w:id="393" w:name="_Toc25680"/>
      <w:bookmarkStart w:id="394" w:name="_Toc26091"/>
      <w:bookmarkStart w:id="395" w:name="_Toc31099"/>
      <w:bookmarkStart w:id="396" w:name="_Toc6223"/>
      <w:r>
        <w:rPr>
          <w:rFonts w:hint="eastAsia" w:ascii="宋体" w:hAnsi="宋体" w:eastAsia="宋体" w:cs="宋体"/>
          <w:b/>
          <w:i w:val="0"/>
          <w:caps w:val="0"/>
          <w:color w:val="auto"/>
          <w:spacing w:val="0"/>
          <w:w w:val="100"/>
          <w:sz w:val="24"/>
          <w:highlight w:val="none"/>
          <w:u w:val="single" w:color="000000"/>
        </w:rPr>
        <w:t>29.</w:t>
      </w:r>
      <w:bookmarkEnd w:id="386"/>
      <w:r>
        <w:rPr>
          <w:rFonts w:hint="eastAsia" w:ascii="宋体" w:hAnsi="宋体" w:eastAsia="宋体" w:cs="宋体"/>
          <w:b/>
          <w:i w:val="0"/>
          <w:caps w:val="0"/>
          <w:color w:val="auto"/>
          <w:spacing w:val="0"/>
          <w:w w:val="100"/>
          <w:sz w:val="24"/>
          <w:highlight w:val="none"/>
          <w:u w:val="single" w:color="000000"/>
        </w:rPr>
        <w:t>成交通知书和招标结果通知书</w:t>
      </w:r>
      <w:bookmarkEnd w:id="387"/>
      <w:bookmarkEnd w:id="388"/>
      <w:bookmarkEnd w:id="389"/>
      <w:bookmarkEnd w:id="390"/>
      <w:bookmarkEnd w:id="391"/>
      <w:bookmarkEnd w:id="392"/>
      <w:bookmarkEnd w:id="393"/>
      <w:bookmarkEnd w:id="394"/>
      <w:bookmarkEnd w:id="395"/>
      <w:bookmarkEnd w:id="396"/>
    </w:p>
    <w:p w14:paraId="548B2382">
      <w:pPr>
        <w:pageBreakBefore w:val="0"/>
        <w:widowControl w:val="0"/>
        <w:shd w:val="clear"/>
        <w:kinsoku/>
        <w:wordWrap/>
        <w:overflowPunct/>
        <w:topLinePunct w:val="0"/>
        <w:bidi w:val="0"/>
        <w:snapToGrid w:val="0"/>
        <w:spacing w:before="0" w:beforeAutospacing="0" w:after="0" w:afterAutospacing="0" w:line="460" w:lineRule="exac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29.1</w:t>
      </w: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val="0"/>
          <w:i w:val="0"/>
          <w:caps w:val="0"/>
          <w:color w:val="auto"/>
          <w:spacing w:val="0"/>
          <w:w w:val="100"/>
          <w:sz w:val="24"/>
          <w:highlight w:val="none"/>
        </w:rPr>
        <w:t>在磋商有效期内，成交人确定后，采购人或者采购代理机构发布成交公告，同时以书面形式向成交人发出成交通知书。</w:t>
      </w:r>
    </w:p>
    <w:p w14:paraId="7C467644">
      <w:pPr>
        <w:pageBreakBefore w:val="0"/>
        <w:widowControl w:val="0"/>
        <w:shd w:val="clear"/>
        <w:kinsoku/>
        <w:wordWrap/>
        <w:overflowPunct/>
        <w:topLinePunct w:val="0"/>
        <w:bidi w:val="0"/>
        <w:snapToGrid w:val="0"/>
        <w:spacing w:before="0" w:beforeAutospacing="0" w:after="0" w:afterAutospacing="0" w:line="460" w:lineRule="exac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29.2</w:t>
      </w: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val="0"/>
          <w:i w:val="0"/>
          <w:caps w:val="0"/>
          <w:color w:val="auto"/>
          <w:spacing w:val="0"/>
          <w:w w:val="100"/>
          <w:sz w:val="24"/>
          <w:highlight w:val="none"/>
        </w:rPr>
        <w:t>成交通知书是合同的组成部分。</w:t>
      </w:r>
    </w:p>
    <w:p w14:paraId="762D3E02">
      <w:pPr>
        <w:pageBreakBefore w:val="0"/>
        <w:widowControl w:val="0"/>
        <w:shd w:val="clear"/>
        <w:kinsoku/>
        <w:wordWrap/>
        <w:overflowPunct/>
        <w:topLinePunct w:val="0"/>
        <w:bidi w:val="0"/>
        <w:snapToGrid w:val="0"/>
        <w:spacing w:before="0" w:beforeAutospacing="0" w:after="0" w:afterAutospacing="0" w:line="460" w:lineRule="exac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29.3    招标结果通知书和成交通知书同时发出。招标结果通知书中将告知未通过资格审查的供应商未通过的原因；采用综合评分法评审的，还将告知未成交人本人的评审得分和排序。</w:t>
      </w:r>
    </w:p>
    <w:p w14:paraId="288B71F1">
      <w:pPr>
        <w:pStyle w:val="4"/>
        <w:pageBreakBefore w:val="0"/>
        <w:widowControl w:val="0"/>
        <w:shd w:val="clear"/>
        <w:kinsoku/>
        <w:wordWrap/>
        <w:overflowPunct/>
        <w:topLinePunct w:val="0"/>
        <w:bidi w:val="0"/>
        <w:snapToGrid w:val="0"/>
        <w:spacing w:before="0" w:beforeAutospacing="0" w:after="0" w:afterAutospacing="0" w:line="460" w:lineRule="exact"/>
        <w:jc w:val="left"/>
        <w:textAlignment w:val="baseline"/>
        <w:rPr>
          <w:rFonts w:hint="eastAsia" w:ascii="宋体" w:hAnsi="宋体" w:eastAsia="宋体" w:cs="宋体"/>
          <w:b/>
          <w:i w:val="0"/>
          <w:caps w:val="0"/>
          <w:color w:val="auto"/>
          <w:spacing w:val="0"/>
          <w:w w:val="100"/>
          <w:sz w:val="24"/>
          <w:highlight w:val="none"/>
          <w:u w:val="single" w:color="auto"/>
        </w:rPr>
      </w:pPr>
      <w:bookmarkStart w:id="397" w:name="_Toc515647792"/>
      <w:bookmarkStart w:id="398" w:name="_Toc21500"/>
      <w:bookmarkStart w:id="399" w:name="_Ref467306978"/>
      <w:bookmarkStart w:id="400" w:name="_Toc7779"/>
      <w:bookmarkStart w:id="401" w:name="_Toc1076"/>
      <w:bookmarkStart w:id="402" w:name="_Toc19431"/>
      <w:bookmarkStart w:id="403" w:name="_Toc520356175"/>
      <w:bookmarkStart w:id="404" w:name="_Toc11296"/>
      <w:bookmarkStart w:id="405" w:name="_Toc15063"/>
      <w:bookmarkStart w:id="406" w:name="_Toc790"/>
      <w:bookmarkStart w:id="407" w:name="_Ref467306377"/>
      <w:bookmarkStart w:id="408" w:name="_Toc25628"/>
      <w:bookmarkStart w:id="409" w:name="_Ref467307204"/>
      <w:bookmarkStart w:id="410" w:name="_Ref467307062"/>
      <w:bookmarkStart w:id="411" w:name="_Toc22868"/>
      <w:bookmarkStart w:id="412" w:name="_Toc307"/>
      <w:r>
        <w:rPr>
          <w:rFonts w:hint="eastAsia" w:ascii="宋体" w:hAnsi="宋体" w:eastAsia="宋体" w:cs="宋体"/>
          <w:b/>
          <w:i w:val="0"/>
          <w:caps w:val="0"/>
          <w:color w:val="auto"/>
          <w:spacing w:val="0"/>
          <w:w w:val="100"/>
          <w:sz w:val="24"/>
          <w:highlight w:val="none"/>
          <w:u w:val="single" w:color="auto"/>
        </w:rPr>
        <w:t>30.签订合同</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6D4A0056">
      <w:pPr>
        <w:pageBreakBefore w:val="0"/>
        <w:widowControl w:val="0"/>
        <w:shd w:val="clear"/>
        <w:kinsoku/>
        <w:wordWrap/>
        <w:overflowPunct/>
        <w:topLinePunct w:val="0"/>
        <w:bidi w:val="0"/>
        <w:snapToGrid w:val="0"/>
        <w:spacing w:before="0" w:beforeAutospacing="0" w:after="0" w:afterAutospacing="0" w:line="460" w:lineRule="exac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30.1</w:t>
      </w: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val="0"/>
          <w:i w:val="0"/>
          <w:caps w:val="0"/>
          <w:color w:val="auto"/>
          <w:spacing w:val="0"/>
          <w:w w:val="100"/>
          <w:sz w:val="24"/>
          <w:highlight w:val="none"/>
        </w:rPr>
        <w:t>成交人应当自发出成交通知书之日起30日内，与采购人签订合同。</w:t>
      </w:r>
    </w:p>
    <w:p w14:paraId="6BD02534">
      <w:pPr>
        <w:pageBreakBefore w:val="0"/>
        <w:widowControl w:val="0"/>
        <w:shd w:val="clear"/>
        <w:kinsoku/>
        <w:wordWrap/>
        <w:overflowPunct/>
        <w:topLinePunct w:val="0"/>
        <w:bidi w:val="0"/>
        <w:snapToGrid w:val="0"/>
        <w:spacing w:before="0" w:beforeAutospacing="0" w:after="0" w:afterAutospacing="0" w:line="460" w:lineRule="exac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30.2</w:t>
      </w:r>
      <w:r>
        <w:rPr>
          <w:rFonts w:hint="eastAsia" w:ascii="宋体" w:hAnsi="宋体" w:eastAsia="宋体" w:cs="宋体"/>
          <w:b w:val="0"/>
          <w:i w:val="0"/>
          <w:caps w:val="0"/>
          <w:color w:val="auto"/>
          <w:spacing w:val="0"/>
          <w:w w:val="100"/>
          <w:sz w:val="24"/>
          <w:highlight w:val="none"/>
        </w:rPr>
        <w:tab/>
      </w:r>
      <w:bookmarkStart w:id="413" w:name="_Toc520356176"/>
      <w:bookmarkStart w:id="414" w:name="_Ref467306425"/>
      <w:bookmarkStart w:id="415" w:name="_Ref467307090"/>
      <w:r>
        <w:rPr>
          <w:rFonts w:hint="eastAsia" w:ascii="宋体" w:hAnsi="宋体" w:eastAsia="宋体" w:cs="宋体"/>
          <w:b w:val="0"/>
          <w:i w:val="0"/>
          <w:caps w:val="0"/>
          <w:color w:val="auto"/>
          <w:spacing w:val="0"/>
          <w:w w:val="100"/>
          <w:sz w:val="24"/>
          <w:highlight w:val="none"/>
        </w:rPr>
        <w:t>磋商文件、成交人的响应文件及其澄清文件等，均为签订合同的依据。</w:t>
      </w:r>
    </w:p>
    <w:p w14:paraId="17F954CA">
      <w:pPr>
        <w:pageBreakBefore w:val="0"/>
        <w:widowControl w:val="0"/>
        <w:shd w:val="clear"/>
        <w:kinsoku/>
        <w:wordWrap/>
        <w:overflowPunct/>
        <w:topLinePunct w:val="0"/>
        <w:bidi w:val="0"/>
        <w:snapToGrid w:val="0"/>
        <w:spacing w:before="0" w:beforeAutospacing="0" w:after="0" w:afterAutospacing="0" w:line="460" w:lineRule="exac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30.3   成交人拒绝与采购人签订合同的，采购人可以按照评审报告推荐的成交</w:t>
      </w:r>
    </w:p>
    <w:p w14:paraId="71EE9F75">
      <w:pPr>
        <w:pageBreakBefore w:val="0"/>
        <w:widowControl w:val="0"/>
        <w:shd w:val="clear"/>
        <w:kinsoku/>
        <w:wordWrap/>
        <w:overflowPunct/>
        <w:topLinePunct w:val="0"/>
        <w:bidi w:val="0"/>
        <w:snapToGrid w:val="0"/>
        <w:spacing w:before="0" w:beforeAutospacing="0" w:after="0" w:afterAutospacing="0" w:line="440" w:lineRule="exact"/>
        <w:ind w:left="958" w:leftChars="456" w:firstLine="60" w:firstLineChars="2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候选人名单排序，确定下一成交候选人为成交人，也可以重新开展政府采购活动。</w:t>
      </w:r>
    </w:p>
    <w:p w14:paraId="371B7866">
      <w:pPr>
        <w:pageBreakBefore w:val="0"/>
        <w:widowControl w:val="0"/>
        <w:shd w:val="clear"/>
        <w:kinsoku/>
        <w:wordWrap/>
        <w:overflowPunct/>
        <w:topLinePunct w:val="0"/>
        <w:bidi w:val="0"/>
        <w:snapToGrid w:val="0"/>
        <w:spacing w:before="0" w:beforeAutospacing="0" w:after="0" w:afterAutospacing="0" w:line="440" w:lineRule="exact"/>
        <w:ind w:hangingChars="375"/>
        <w:jc w:val="both"/>
        <w:textAlignment w:val="baseline"/>
        <w:rPr>
          <w:rFonts w:hint="eastAsia" w:ascii="宋体" w:hAnsi="宋体" w:eastAsia="宋体" w:cs="宋体"/>
          <w:b w:val="0"/>
          <w:i w:val="0"/>
          <w:caps w:val="0"/>
          <w:color w:val="auto"/>
          <w:spacing w:val="0"/>
          <w:w w:val="100"/>
          <w:sz w:val="24"/>
          <w:highlight w:val="none"/>
          <w:u w:val="none" w:color="auto"/>
        </w:rPr>
      </w:pPr>
      <w:r>
        <w:rPr>
          <w:rFonts w:hint="eastAsia" w:ascii="宋体" w:hAnsi="宋体" w:eastAsia="宋体" w:cs="宋体"/>
          <w:b w:val="0"/>
          <w:i w:val="0"/>
          <w:caps w:val="0"/>
          <w:color w:val="auto"/>
          <w:spacing w:val="0"/>
          <w:w w:val="100"/>
          <w:sz w:val="24"/>
          <w:highlight w:val="none"/>
        </w:rPr>
        <w:t>30.4   当出现法规规定的</w:t>
      </w:r>
      <w:r>
        <w:rPr>
          <w:rFonts w:hint="eastAsia" w:ascii="宋体" w:hAnsi="宋体" w:eastAsia="宋体" w:cs="宋体"/>
          <w:b/>
          <w:i w:val="0"/>
          <w:caps w:val="0"/>
          <w:color w:val="auto"/>
          <w:spacing w:val="0"/>
          <w:w w:val="100"/>
          <w:sz w:val="24"/>
          <w:highlight w:val="none"/>
        </w:rPr>
        <w:t>成交无效或成交结果无效</w:t>
      </w:r>
      <w:r>
        <w:rPr>
          <w:rFonts w:hint="eastAsia" w:ascii="宋体" w:hAnsi="宋体" w:eastAsia="宋体" w:cs="宋体"/>
          <w:b w:val="0"/>
          <w:i w:val="0"/>
          <w:caps w:val="0"/>
          <w:color w:val="auto"/>
          <w:spacing w:val="0"/>
          <w:w w:val="100"/>
          <w:sz w:val="24"/>
          <w:highlight w:val="none"/>
        </w:rPr>
        <w:t>情形时，采购人可与排名下</w:t>
      </w:r>
      <w:r>
        <w:rPr>
          <w:rFonts w:hint="eastAsia" w:ascii="宋体" w:hAnsi="宋体" w:eastAsia="宋体" w:cs="宋体"/>
          <w:b w:val="0"/>
          <w:i w:val="0"/>
          <w:caps w:val="0"/>
          <w:color w:val="auto"/>
          <w:spacing w:val="0"/>
          <w:w w:val="100"/>
          <w:sz w:val="24"/>
          <w:highlight w:val="none"/>
          <w:u w:val="none" w:color="auto"/>
        </w:rPr>
        <w:t>一位的成交候选人另行签订合同，或依法重新开展采购活动。</w:t>
      </w:r>
    </w:p>
    <w:p w14:paraId="32DD7B87">
      <w:pPr>
        <w:pStyle w:val="4"/>
        <w:shd w:val="clear"/>
        <w:snapToGrid w:val="0"/>
        <w:spacing w:before="0" w:beforeAutospacing="0" w:after="0" w:afterAutospacing="0" w:line="240" w:lineRule="atLeast"/>
        <w:jc w:val="left"/>
        <w:textAlignment w:val="baseline"/>
        <w:rPr>
          <w:rFonts w:hint="eastAsia" w:ascii="宋体" w:hAnsi="宋体" w:eastAsia="宋体" w:cs="宋体"/>
          <w:b/>
          <w:i w:val="0"/>
          <w:caps w:val="0"/>
          <w:color w:val="auto"/>
          <w:spacing w:val="0"/>
          <w:w w:val="100"/>
          <w:sz w:val="24"/>
          <w:highlight w:val="none"/>
          <w:u w:val="single" w:color="auto"/>
        </w:rPr>
      </w:pPr>
      <w:bookmarkStart w:id="416" w:name="_Toc8404"/>
      <w:bookmarkStart w:id="417" w:name="_Toc10911"/>
      <w:bookmarkStart w:id="418" w:name="_Toc1963"/>
      <w:bookmarkStart w:id="419" w:name="_Toc515647793"/>
      <w:bookmarkStart w:id="420" w:name="_Toc15573"/>
      <w:bookmarkStart w:id="421" w:name="_Toc6921"/>
      <w:bookmarkStart w:id="422" w:name="_Toc14080"/>
      <w:bookmarkStart w:id="423" w:name="_Toc32532"/>
      <w:bookmarkStart w:id="424" w:name="_Toc22555"/>
      <w:bookmarkStart w:id="425" w:name="_Toc14839"/>
      <w:bookmarkStart w:id="426" w:name="_Toc24808"/>
      <w:r>
        <w:rPr>
          <w:rFonts w:hint="eastAsia" w:ascii="宋体" w:hAnsi="宋体" w:eastAsia="宋体" w:cs="宋体"/>
          <w:b/>
          <w:i w:val="0"/>
          <w:caps w:val="0"/>
          <w:color w:val="auto"/>
          <w:spacing w:val="0"/>
          <w:w w:val="100"/>
          <w:sz w:val="24"/>
          <w:highlight w:val="none"/>
          <w:u w:val="single" w:color="auto"/>
        </w:rPr>
        <w:t>31.履约保证金</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667521B0">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u w:val="none" w:color="auto"/>
        </w:rPr>
        <w:t>31.1</w:t>
      </w:r>
      <w:r>
        <w:rPr>
          <w:rFonts w:hint="eastAsia" w:ascii="宋体" w:hAnsi="宋体" w:eastAsia="宋体" w:cs="宋体"/>
          <w:b w:val="0"/>
          <w:i w:val="0"/>
          <w:caps w:val="0"/>
          <w:color w:val="auto"/>
          <w:spacing w:val="0"/>
          <w:w w:val="100"/>
          <w:sz w:val="24"/>
          <w:highlight w:val="none"/>
          <w:u w:val="none" w:color="auto"/>
        </w:rPr>
        <w:tab/>
      </w:r>
      <w:r>
        <w:rPr>
          <w:rFonts w:hint="eastAsia" w:ascii="宋体" w:hAnsi="宋体" w:eastAsia="宋体" w:cs="宋体"/>
          <w:b w:val="0"/>
          <w:i w:val="0"/>
          <w:caps w:val="0"/>
          <w:color w:val="auto"/>
          <w:spacing w:val="0"/>
          <w:w w:val="100"/>
          <w:sz w:val="24"/>
          <w:highlight w:val="none"/>
          <w:u w:val="none" w:color="auto"/>
        </w:rPr>
        <w:t>成交人应按照供应商须知资料表规</w:t>
      </w:r>
      <w:r>
        <w:rPr>
          <w:rFonts w:hint="eastAsia" w:ascii="宋体" w:hAnsi="宋体" w:eastAsia="宋体" w:cs="宋体"/>
          <w:b w:val="0"/>
          <w:i w:val="0"/>
          <w:caps w:val="0"/>
          <w:color w:val="auto"/>
          <w:spacing w:val="0"/>
          <w:w w:val="100"/>
          <w:sz w:val="24"/>
          <w:highlight w:val="none"/>
        </w:rPr>
        <w:t>定向采购人缴纳履约保证金（如采用保函形式，格式见本章附件1）。</w:t>
      </w:r>
    </w:p>
    <w:p w14:paraId="03FC8196">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31.2</w:t>
      </w: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val="0"/>
          <w:i w:val="0"/>
          <w:caps w:val="0"/>
          <w:color w:val="auto"/>
          <w:spacing w:val="0"/>
          <w:w w:val="100"/>
          <w:sz w:val="24"/>
          <w:highlight w:val="none"/>
        </w:rPr>
        <w:t>政府采购利用担保试点范围内的项目，除31.1规定的情形外，成交人也可以按照财政部门的规定，向采购人提供合格的履约担保函（格式见本章附件2）。</w:t>
      </w:r>
    </w:p>
    <w:p w14:paraId="6BFF37D3">
      <w:pPr>
        <w:shd w:val="clear"/>
        <w:snapToGrid w:val="0"/>
        <w:spacing w:before="0" w:beforeAutospacing="0" w:after="0" w:afterAutospacing="0" w:line="240" w:lineRule="atLeast"/>
        <w:jc w:val="left"/>
        <w:textAlignment w:val="baseline"/>
        <w:outlineLvl w:val="9"/>
        <w:rPr>
          <w:rFonts w:hint="eastAsia" w:ascii="宋体" w:hAnsi="宋体" w:eastAsia="宋体" w:cs="宋体"/>
          <w:b w:val="0"/>
          <w:bCs/>
          <w:i w:val="0"/>
          <w:caps w:val="0"/>
          <w:color w:val="auto"/>
          <w:spacing w:val="0"/>
          <w:w w:val="100"/>
          <w:sz w:val="24"/>
          <w:highlight w:val="none"/>
          <w:u w:val="single" w:color="000000"/>
        </w:rPr>
      </w:pPr>
      <w:bookmarkStart w:id="427" w:name="_Toc7088"/>
      <w:bookmarkStart w:id="428" w:name="_Toc13783"/>
      <w:bookmarkStart w:id="429" w:name="_Toc1888"/>
      <w:bookmarkStart w:id="430" w:name="_Toc14350"/>
      <w:bookmarkStart w:id="431" w:name="_Toc5352"/>
      <w:bookmarkStart w:id="432" w:name="_Toc32107"/>
      <w:r>
        <w:rPr>
          <w:rFonts w:hint="eastAsia" w:ascii="宋体" w:hAnsi="宋体" w:eastAsia="宋体" w:cs="宋体"/>
          <w:b w:val="0"/>
          <w:i w:val="0"/>
          <w:caps w:val="0"/>
          <w:color w:val="auto"/>
          <w:spacing w:val="0"/>
          <w:w w:val="100"/>
          <w:sz w:val="24"/>
          <w:highlight w:val="none"/>
          <w:u w:val="none"/>
        </w:rPr>
        <w:t xml:space="preserve">31.3   </w:t>
      </w:r>
      <w:r>
        <w:rPr>
          <w:rFonts w:hint="eastAsia" w:ascii="宋体" w:hAnsi="宋体" w:eastAsia="宋体" w:cs="宋体"/>
          <w:b w:val="0"/>
          <w:i w:val="0"/>
          <w:caps w:val="0"/>
          <w:color w:val="auto"/>
          <w:spacing w:val="0"/>
          <w:w w:val="100"/>
          <w:sz w:val="24"/>
          <w:highlight w:val="none"/>
          <w:u w:val="none" w:color="auto"/>
        </w:rPr>
        <w:t>如果成交人没有按照上述履约保证金的规定执行，将视为放弃成交资格，成交人的磋商保证金将不予退还。在此情况下，采购人可确定下一候选</w:t>
      </w:r>
      <w:r>
        <w:rPr>
          <w:rFonts w:hint="eastAsia" w:ascii="宋体" w:hAnsi="宋体" w:eastAsia="宋体" w:cs="宋体"/>
          <w:b w:val="0"/>
          <w:bCs/>
          <w:i w:val="0"/>
          <w:caps w:val="0"/>
          <w:color w:val="auto"/>
          <w:spacing w:val="0"/>
          <w:w w:val="100"/>
          <w:sz w:val="24"/>
          <w:highlight w:val="none"/>
          <w:u w:val="none" w:color="auto"/>
        </w:rPr>
        <w:t>人为成交人，也可以重新开展采购活动。</w:t>
      </w:r>
      <w:bookmarkEnd w:id="427"/>
      <w:bookmarkEnd w:id="428"/>
      <w:bookmarkEnd w:id="429"/>
      <w:bookmarkEnd w:id="430"/>
      <w:bookmarkEnd w:id="431"/>
      <w:bookmarkEnd w:id="432"/>
    </w:p>
    <w:p w14:paraId="38D83945">
      <w:pPr>
        <w:pStyle w:val="4"/>
        <w:shd w:val="clear"/>
        <w:snapToGrid w:val="0"/>
        <w:spacing w:before="0" w:beforeAutospacing="0" w:after="0" w:afterAutospacing="0" w:line="240" w:lineRule="atLeast"/>
        <w:jc w:val="left"/>
        <w:textAlignment w:val="baseline"/>
        <w:rPr>
          <w:rFonts w:hint="eastAsia" w:ascii="宋体" w:hAnsi="宋体" w:eastAsia="宋体" w:cs="宋体"/>
          <w:b/>
          <w:i w:val="0"/>
          <w:caps w:val="0"/>
          <w:color w:val="auto"/>
          <w:spacing w:val="0"/>
          <w:w w:val="100"/>
          <w:sz w:val="24"/>
          <w:highlight w:val="none"/>
          <w:u w:val="single" w:color="auto"/>
        </w:rPr>
      </w:pPr>
      <w:bookmarkStart w:id="433" w:name="_Toc10734"/>
      <w:bookmarkStart w:id="434" w:name="_Toc29652"/>
      <w:bookmarkStart w:id="435" w:name="_Toc515647794"/>
      <w:bookmarkStart w:id="436" w:name="_Toc31215"/>
      <w:bookmarkStart w:id="437" w:name="_Toc29408"/>
      <w:bookmarkStart w:id="438" w:name="_Toc23392"/>
      <w:bookmarkStart w:id="439" w:name="_Toc3090"/>
      <w:bookmarkStart w:id="440" w:name="_Toc27934"/>
      <w:bookmarkStart w:id="441" w:name="_Toc16384"/>
      <w:bookmarkStart w:id="442" w:name="_Toc20197"/>
      <w:bookmarkStart w:id="443" w:name="_Toc7508"/>
      <w:r>
        <w:rPr>
          <w:rFonts w:hint="eastAsia" w:ascii="宋体" w:hAnsi="宋体" w:eastAsia="宋体" w:cs="宋体"/>
          <w:b/>
          <w:i w:val="0"/>
          <w:caps w:val="0"/>
          <w:color w:val="auto"/>
          <w:spacing w:val="0"/>
          <w:w w:val="100"/>
          <w:sz w:val="24"/>
          <w:highlight w:val="none"/>
          <w:u w:val="single" w:color="auto"/>
        </w:rPr>
        <w:t>32.成交</w:t>
      </w:r>
      <w:r>
        <w:rPr>
          <w:rFonts w:hint="eastAsia" w:ascii="宋体" w:hAnsi="宋体" w:eastAsia="宋体" w:cs="宋体"/>
          <w:b/>
          <w:i w:val="0"/>
          <w:caps w:val="0"/>
          <w:color w:val="auto"/>
          <w:spacing w:val="0"/>
          <w:w w:val="100"/>
          <w:sz w:val="24"/>
          <w:highlight w:val="none"/>
          <w:u w:val="single" w:color="auto"/>
          <w:lang w:val="en-US" w:eastAsia="zh-CN"/>
        </w:rPr>
        <w:t>服务</w:t>
      </w:r>
      <w:r>
        <w:rPr>
          <w:rFonts w:hint="eastAsia" w:ascii="宋体" w:hAnsi="宋体" w:eastAsia="宋体" w:cs="宋体"/>
          <w:b/>
          <w:i w:val="0"/>
          <w:caps w:val="0"/>
          <w:color w:val="auto"/>
          <w:spacing w:val="0"/>
          <w:w w:val="100"/>
          <w:sz w:val="24"/>
          <w:highlight w:val="none"/>
          <w:u w:val="single" w:color="auto"/>
        </w:rPr>
        <w:t>费</w:t>
      </w:r>
      <w:bookmarkEnd w:id="433"/>
      <w:bookmarkEnd w:id="434"/>
      <w:bookmarkEnd w:id="435"/>
      <w:bookmarkEnd w:id="436"/>
      <w:bookmarkEnd w:id="437"/>
      <w:bookmarkEnd w:id="438"/>
      <w:bookmarkEnd w:id="439"/>
      <w:bookmarkEnd w:id="440"/>
      <w:bookmarkEnd w:id="441"/>
      <w:bookmarkEnd w:id="442"/>
      <w:bookmarkEnd w:id="443"/>
    </w:p>
    <w:p w14:paraId="556080BF">
      <w:pPr>
        <w:shd w:val="clear"/>
        <w:snapToGrid w:val="0"/>
        <w:spacing w:before="0" w:beforeAutospacing="0" w:after="0" w:afterAutospacing="0" w:line="240" w:lineRule="atLeast"/>
        <w:jc w:val="left"/>
        <w:textAlignment w:val="baseline"/>
        <w:outlineLvl w:val="9"/>
        <w:rPr>
          <w:rFonts w:hint="eastAsia" w:ascii="宋体" w:hAnsi="宋体" w:eastAsia="宋体" w:cs="宋体"/>
          <w:b w:val="0"/>
          <w:bCs/>
          <w:i w:val="0"/>
          <w:caps w:val="0"/>
          <w:color w:val="auto"/>
          <w:spacing w:val="0"/>
          <w:w w:val="100"/>
          <w:sz w:val="24"/>
          <w:highlight w:val="none"/>
          <w:u w:val="none" w:color="auto"/>
        </w:rPr>
      </w:pPr>
      <w:r>
        <w:rPr>
          <w:rFonts w:hint="eastAsia" w:ascii="宋体" w:hAnsi="宋体" w:eastAsia="宋体" w:cs="宋体"/>
          <w:b w:val="0"/>
          <w:bCs/>
          <w:i w:val="0"/>
          <w:caps w:val="0"/>
          <w:color w:val="auto"/>
          <w:spacing w:val="0"/>
          <w:w w:val="100"/>
          <w:sz w:val="24"/>
          <w:highlight w:val="none"/>
          <w:u w:val="none" w:color="auto"/>
          <w:lang w:val="en-US" w:eastAsia="zh-CN"/>
        </w:rPr>
        <w:t xml:space="preserve">  </w:t>
      </w:r>
      <w:r>
        <w:rPr>
          <w:rFonts w:hint="eastAsia" w:ascii="宋体" w:hAnsi="宋体" w:eastAsia="宋体" w:cs="宋体"/>
          <w:b w:val="0"/>
          <w:bCs/>
          <w:i w:val="0"/>
          <w:caps w:val="0"/>
          <w:color w:val="auto"/>
          <w:spacing w:val="0"/>
          <w:w w:val="100"/>
          <w:sz w:val="24"/>
          <w:highlight w:val="none"/>
          <w:u w:val="none" w:color="auto"/>
        </w:rPr>
        <w:t xml:space="preserve"> </w:t>
      </w:r>
      <w:bookmarkStart w:id="444" w:name="_Toc30285"/>
      <w:bookmarkStart w:id="445" w:name="_Toc23886"/>
      <w:bookmarkStart w:id="446" w:name="_Toc6649"/>
      <w:bookmarkStart w:id="447" w:name="_Toc30095"/>
      <w:bookmarkStart w:id="448" w:name="_Toc3808"/>
      <w:bookmarkStart w:id="449" w:name="_Toc31147"/>
      <w:r>
        <w:rPr>
          <w:rFonts w:hint="eastAsia" w:ascii="宋体" w:hAnsi="宋体" w:eastAsia="宋体" w:cs="宋体"/>
          <w:b w:val="0"/>
          <w:bCs/>
          <w:i w:val="0"/>
          <w:caps w:val="0"/>
          <w:color w:val="auto"/>
          <w:spacing w:val="0"/>
          <w:w w:val="100"/>
          <w:sz w:val="24"/>
          <w:highlight w:val="none"/>
          <w:u w:val="none" w:color="auto"/>
        </w:rPr>
        <w:t>成交人须按照磋商须知资料表规定，向采购代理机构支付成交</w:t>
      </w:r>
      <w:r>
        <w:rPr>
          <w:rFonts w:hint="eastAsia" w:ascii="宋体" w:hAnsi="宋体" w:eastAsia="宋体" w:cs="宋体"/>
          <w:b w:val="0"/>
          <w:bCs/>
          <w:i w:val="0"/>
          <w:caps w:val="0"/>
          <w:color w:val="auto"/>
          <w:spacing w:val="0"/>
          <w:w w:val="100"/>
          <w:sz w:val="24"/>
          <w:highlight w:val="none"/>
          <w:u w:val="none" w:color="auto"/>
          <w:lang w:val="en-US" w:eastAsia="zh-CN"/>
        </w:rPr>
        <w:t>服务</w:t>
      </w:r>
      <w:r>
        <w:rPr>
          <w:rFonts w:hint="eastAsia" w:ascii="宋体" w:hAnsi="宋体" w:eastAsia="宋体" w:cs="宋体"/>
          <w:b w:val="0"/>
          <w:bCs/>
          <w:i w:val="0"/>
          <w:caps w:val="0"/>
          <w:color w:val="auto"/>
          <w:spacing w:val="0"/>
          <w:w w:val="100"/>
          <w:sz w:val="24"/>
          <w:highlight w:val="none"/>
          <w:u w:val="none" w:color="auto"/>
        </w:rPr>
        <w:t>费。</w:t>
      </w:r>
      <w:bookmarkEnd w:id="444"/>
      <w:bookmarkEnd w:id="445"/>
      <w:bookmarkEnd w:id="446"/>
      <w:bookmarkEnd w:id="447"/>
      <w:bookmarkEnd w:id="448"/>
      <w:bookmarkEnd w:id="449"/>
    </w:p>
    <w:p w14:paraId="7600EBE6">
      <w:pPr>
        <w:pStyle w:val="4"/>
        <w:shd w:val="clear"/>
        <w:snapToGrid w:val="0"/>
        <w:spacing w:before="0" w:beforeAutospacing="0" w:after="0" w:afterAutospacing="0" w:line="240" w:lineRule="atLeast"/>
        <w:jc w:val="left"/>
        <w:textAlignment w:val="baseline"/>
        <w:rPr>
          <w:rFonts w:hint="eastAsia" w:ascii="宋体" w:hAnsi="宋体" w:eastAsia="宋体" w:cs="宋体"/>
          <w:b/>
          <w:i w:val="0"/>
          <w:caps w:val="0"/>
          <w:color w:val="auto"/>
          <w:spacing w:val="0"/>
          <w:w w:val="100"/>
          <w:sz w:val="24"/>
          <w:highlight w:val="none"/>
          <w:u w:val="single" w:color="auto"/>
        </w:rPr>
      </w:pPr>
      <w:bookmarkStart w:id="450" w:name="_Toc7049"/>
      <w:bookmarkStart w:id="451" w:name="_Toc515647795"/>
      <w:bookmarkStart w:id="452" w:name="_Toc26134"/>
      <w:bookmarkStart w:id="453" w:name="_Toc6923"/>
      <w:bookmarkStart w:id="454" w:name="_Toc5403"/>
      <w:bookmarkStart w:id="455" w:name="_Toc3666"/>
      <w:bookmarkStart w:id="456" w:name="_Toc16461"/>
      <w:bookmarkStart w:id="457" w:name="_Toc32437"/>
      <w:bookmarkStart w:id="458" w:name="_Toc28128"/>
      <w:bookmarkStart w:id="459" w:name="_Toc31549"/>
      <w:bookmarkStart w:id="460" w:name="_Toc1343"/>
      <w:r>
        <w:rPr>
          <w:rFonts w:hint="eastAsia" w:ascii="宋体" w:hAnsi="宋体" w:eastAsia="宋体" w:cs="宋体"/>
          <w:b/>
          <w:i w:val="0"/>
          <w:caps w:val="0"/>
          <w:color w:val="auto"/>
          <w:spacing w:val="0"/>
          <w:w w:val="100"/>
          <w:sz w:val="24"/>
          <w:highlight w:val="none"/>
          <w:u w:val="single" w:color="auto"/>
        </w:rPr>
        <w:t>33.政府采购信用担保</w:t>
      </w:r>
      <w:bookmarkEnd w:id="450"/>
      <w:bookmarkEnd w:id="451"/>
      <w:bookmarkEnd w:id="452"/>
      <w:bookmarkEnd w:id="453"/>
      <w:bookmarkEnd w:id="454"/>
      <w:bookmarkEnd w:id="455"/>
      <w:bookmarkEnd w:id="456"/>
      <w:bookmarkEnd w:id="457"/>
      <w:bookmarkEnd w:id="458"/>
      <w:bookmarkEnd w:id="459"/>
      <w:bookmarkEnd w:id="460"/>
    </w:p>
    <w:p w14:paraId="787E1240">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33.1   本项目是否属于信用担保试点范围见供应商须知资料表。</w:t>
      </w:r>
    </w:p>
    <w:p w14:paraId="32B4347C">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33.2   如属于政府采购信用担保试点范围内，中小型企业供应商可以自由按照财政部门的规定，采用磋商担保、履约担保和融资担保。</w:t>
      </w:r>
    </w:p>
    <w:p w14:paraId="53D2C9C4">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33.2.1 供应商递交的磋商担保函和履约担保函应符合本磋商文件的规定。</w:t>
      </w:r>
    </w:p>
    <w:p w14:paraId="5D1098F8">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33.2.2 成交人可以采取融资担保的形式为政府采购项目履约进行融资。</w:t>
      </w:r>
    </w:p>
    <w:p w14:paraId="169B8883">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33.2.3 合格的政府采购专业信用担保机构名单见供应商须知资料表。</w:t>
      </w:r>
    </w:p>
    <w:p w14:paraId="01CD42E5">
      <w:pPr>
        <w:pStyle w:val="4"/>
        <w:shd w:val="clear"/>
        <w:snapToGrid w:val="0"/>
        <w:spacing w:before="0" w:beforeAutospacing="0" w:after="0" w:afterAutospacing="0" w:line="240" w:lineRule="atLeast"/>
        <w:jc w:val="left"/>
        <w:textAlignment w:val="baseline"/>
        <w:rPr>
          <w:rFonts w:hint="eastAsia" w:ascii="宋体" w:hAnsi="宋体" w:eastAsia="宋体" w:cs="宋体"/>
          <w:b/>
          <w:i w:val="0"/>
          <w:caps w:val="0"/>
          <w:color w:val="auto"/>
          <w:spacing w:val="0"/>
          <w:w w:val="100"/>
          <w:sz w:val="24"/>
          <w:highlight w:val="none"/>
          <w:u w:val="single" w:color="000000"/>
        </w:rPr>
      </w:pPr>
      <w:bookmarkStart w:id="461" w:name="_Toc23999"/>
      <w:bookmarkStart w:id="462" w:name="_Toc15545"/>
      <w:bookmarkStart w:id="463" w:name="_Toc16394"/>
      <w:bookmarkStart w:id="464" w:name="_Toc515647796"/>
      <w:bookmarkStart w:id="465" w:name="_Toc7391"/>
      <w:bookmarkStart w:id="466" w:name="_Toc2133"/>
      <w:bookmarkStart w:id="467" w:name="_Toc15842"/>
      <w:bookmarkStart w:id="468" w:name="_Toc26887"/>
      <w:bookmarkStart w:id="469" w:name="_Toc28874"/>
      <w:bookmarkStart w:id="470" w:name="_Toc7616"/>
      <w:r>
        <w:rPr>
          <w:rFonts w:hint="eastAsia" w:ascii="宋体" w:hAnsi="宋体" w:eastAsia="宋体" w:cs="宋体"/>
          <w:b/>
          <w:i w:val="0"/>
          <w:caps w:val="0"/>
          <w:color w:val="auto"/>
          <w:spacing w:val="0"/>
          <w:w w:val="100"/>
          <w:sz w:val="24"/>
          <w:highlight w:val="none"/>
          <w:u w:val="single" w:color="000000"/>
        </w:rPr>
        <w:t>34.廉洁自律规定</w:t>
      </w:r>
      <w:bookmarkEnd w:id="461"/>
      <w:bookmarkEnd w:id="462"/>
      <w:bookmarkEnd w:id="463"/>
      <w:bookmarkEnd w:id="464"/>
      <w:bookmarkEnd w:id="465"/>
      <w:bookmarkEnd w:id="466"/>
      <w:bookmarkEnd w:id="467"/>
      <w:bookmarkEnd w:id="468"/>
      <w:bookmarkEnd w:id="469"/>
      <w:bookmarkEnd w:id="470"/>
    </w:p>
    <w:p w14:paraId="3DE15BF9">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34.1   采购代理机构工作人员不得以不正当手段获取政府采购代理业务，不得与采购人、供应商恶意串通操纵政府采购活动。</w:t>
      </w:r>
    </w:p>
    <w:p w14:paraId="1D70073B">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34.2   采购代理机构工作人员不得接受采购人或者供应商组织的宴请、旅游、娱乐，不得收受礼品、现金、有价证券等，不得向采购人或者供应商报销应当由个人承担的费用。</w:t>
      </w:r>
    </w:p>
    <w:p w14:paraId="2ABD812C">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34.3   为强化采购代理机构内部监督机制，供应商可按</w:t>
      </w:r>
      <w:r>
        <w:rPr>
          <w:rFonts w:hint="eastAsia" w:ascii="宋体" w:hAnsi="宋体" w:eastAsia="宋体" w:cs="宋体"/>
          <w:b w:val="0"/>
          <w:i w:val="0"/>
          <w:caps w:val="0"/>
          <w:color w:val="auto"/>
          <w:spacing w:val="0"/>
          <w:w w:val="100"/>
          <w:sz w:val="24"/>
          <w:highlight w:val="none"/>
          <w:u w:val="single" w:color="000000"/>
        </w:rPr>
        <w:t>供应商须知资料表中的</w:t>
      </w:r>
      <w:r>
        <w:rPr>
          <w:rFonts w:hint="eastAsia" w:ascii="宋体" w:hAnsi="宋体" w:eastAsia="宋体" w:cs="宋体"/>
          <w:b w:val="0"/>
          <w:i w:val="0"/>
          <w:caps w:val="0"/>
          <w:color w:val="auto"/>
          <w:spacing w:val="0"/>
          <w:w w:val="100"/>
          <w:sz w:val="24"/>
          <w:highlight w:val="none"/>
        </w:rPr>
        <w:t>监督电话和邮箱，反映采购代理机构的廉洁自律等问题。</w:t>
      </w:r>
    </w:p>
    <w:p w14:paraId="195291B5">
      <w:pPr>
        <w:pStyle w:val="4"/>
        <w:shd w:val="clear"/>
        <w:snapToGrid w:val="0"/>
        <w:spacing w:before="0" w:beforeAutospacing="0" w:after="0" w:afterAutospacing="0" w:line="240" w:lineRule="atLeast"/>
        <w:jc w:val="left"/>
        <w:textAlignment w:val="baseline"/>
        <w:rPr>
          <w:rFonts w:hint="eastAsia" w:ascii="宋体" w:hAnsi="宋体" w:eastAsia="宋体" w:cs="宋体"/>
          <w:b/>
          <w:i w:val="0"/>
          <w:caps w:val="0"/>
          <w:color w:val="auto"/>
          <w:spacing w:val="0"/>
          <w:w w:val="100"/>
          <w:sz w:val="24"/>
          <w:highlight w:val="none"/>
          <w:u w:val="single" w:color="000000"/>
        </w:rPr>
      </w:pPr>
      <w:bookmarkStart w:id="471" w:name="_Toc19883"/>
      <w:bookmarkStart w:id="472" w:name="_Toc9179"/>
      <w:bookmarkStart w:id="473" w:name="_Toc25480"/>
      <w:bookmarkStart w:id="474" w:name="_Toc25440"/>
      <w:bookmarkStart w:id="475" w:name="_Toc17910"/>
      <w:bookmarkStart w:id="476" w:name="_Toc24873"/>
      <w:bookmarkStart w:id="477" w:name="_Toc11586"/>
      <w:bookmarkStart w:id="478" w:name="_Toc1011"/>
      <w:bookmarkStart w:id="479" w:name="_Toc3386"/>
      <w:bookmarkStart w:id="480" w:name="_Toc515647797"/>
      <w:r>
        <w:rPr>
          <w:rFonts w:hint="eastAsia" w:ascii="宋体" w:hAnsi="宋体" w:eastAsia="宋体" w:cs="宋体"/>
          <w:b/>
          <w:i w:val="0"/>
          <w:caps w:val="0"/>
          <w:color w:val="auto"/>
          <w:spacing w:val="0"/>
          <w:w w:val="100"/>
          <w:sz w:val="24"/>
          <w:highlight w:val="none"/>
          <w:u w:val="single" w:color="000000"/>
        </w:rPr>
        <w:t>35.人员回避</w:t>
      </w:r>
      <w:bookmarkEnd w:id="471"/>
      <w:bookmarkEnd w:id="472"/>
      <w:bookmarkEnd w:id="473"/>
      <w:bookmarkEnd w:id="474"/>
      <w:bookmarkEnd w:id="475"/>
      <w:bookmarkEnd w:id="476"/>
      <w:bookmarkEnd w:id="477"/>
      <w:bookmarkEnd w:id="478"/>
      <w:bookmarkEnd w:id="479"/>
      <w:bookmarkEnd w:id="480"/>
    </w:p>
    <w:p w14:paraId="03DC4CF1">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 xml:space="preserve">       供应商认为采购人员及其相关人员有法律法规所列与其他供应商有利害关系的，可以向采购人或采购代理机构书面提出回避申请，并说明理由。</w:t>
      </w:r>
    </w:p>
    <w:p w14:paraId="4DF7AB5D">
      <w:pPr>
        <w:pStyle w:val="4"/>
        <w:shd w:val="clear"/>
        <w:snapToGrid w:val="0"/>
        <w:spacing w:before="0" w:beforeAutospacing="0" w:after="0" w:afterAutospacing="0" w:line="240" w:lineRule="atLeast"/>
        <w:jc w:val="left"/>
        <w:textAlignment w:val="baseline"/>
        <w:rPr>
          <w:rFonts w:hint="eastAsia" w:ascii="宋体" w:hAnsi="宋体" w:eastAsia="宋体" w:cs="宋体"/>
          <w:b/>
          <w:i w:val="0"/>
          <w:caps w:val="0"/>
          <w:color w:val="auto"/>
          <w:spacing w:val="0"/>
          <w:w w:val="100"/>
          <w:sz w:val="24"/>
          <w:highlight w:val="none"/>
          <w:u w:val="single" w:color="000000"/>
        </w:rPr>
      </w:pPr>
      <w:bookmarkStart w:id="481" w:name="_Toc25393"/>
      <w:bookmarkStart w:id="482" w:name="_Toc24595"/>
      <w:bookmarkStart w:id="483" w:name="_Toc25962"/>
      <w:bookmarkStart w:id="484" w:name="_Toc7453"/>
      <w:bookmarkStart w:id="485" w:name="_Toc24801"/>
      <w:bookmarkStart w:id="486" w:name="_Toc15825"/>
      <w:bookmarkStart w:id="487" w:name="_Toc1148"/>
      <w:bookmarkStart w:id="488" w:name="_Toc515647798"/>
      <w:bookmarkStart w:id="489" w:name="_Toc11115"/>
      <w:bookmarkStart w:id="490" w:name="_Toc23729"/>
      <w:bookmarkStart w:id="491" w:name="_Toc30280"/>
      <w:r>
        <w:rPr>
          <w:rFonts w:hint="eastAsia" w:ascii="宋体" w:hAnsi="宋体" w:eastAsia="宋体" w:cs="宋体"/>
          <w:b/>
          <w:i w:val="0"/>
          <w:caps w:val="0"/>
          <w:color w:val="auto"/>
          <w:spacing w:val="0"/>
          <w:w w:val="100"/>
          <w:sz w:val="24"/>
          <w:highlight w:val="none"/>
          <w:u w:val="single" w:color="000000"/>
        </w:rPr>
        <w:t>36.质疑与接收</w:t>
      </w:r>
      <w:bookmarkEnd w:id="481"/>
      <w:bookmarkEnd w:id="482"/>
      <w:bookmarkEnd w:id="483"/>
      <w:bookmarkEnd w:id="484"/>
      <w:bookmarkEnd w:id="485"/>
      <w:bookmarkEnd w:id="486"/>
      <w:bookmarkEnd w:id="487"/>
      <w:bookmarkEnd w:id="488"/>
      <w:bookmarkEnd w:id="489"/>
      <w:bookmarkEnd w:id="490"/>
      <w:bookmarkEnd w:id="491"/>
    </w:p>
    <w:p w14:paraId="1AE0817C">
      <w:pPr>
        <w:shd w:val="clear"/>
        <w:snapToGrid w:val="0"/>
        <w:spacing w:before="0" w:beforeAutospacing="0" w:after="0" w:afterAutospacing="0" w:line="240" w:lineRule="atLeast"/>
        <w:ind w:left="851" w:leftChars="68" w:hangingChars="29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36.1  供应商认为磋商文件、招标过程和成交结果使自己的权益受到损害的，可以根据《中华人民共和国政府采购法》、《中华人民共和国政府采购法实施条例》和《政府采购质疑和投诉办法》的有关规定，依法向采购人或其委托的采购代理机构提出质疑。</w:t>
      </w:r>
    </w:p>
    <w:p w14:paraId="2DBDD51B">
      <w:pPr>
        <w:shd w:val="clear"/>
        <w:snapToGrid w:val="0"/>
        <w:spacing w:before="0" w:beforeAutospacing="0" w:after="0" w:afterAutospacing="0" w:line="240" w:lineRule="atLeast"/>
        <w:ind w:left="851" w:leftChars="68" w:hangingChars="29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14:paraId="49C7B9F8">
      <w:pPr>
        <w:shd w:val="clear"/>
        <w:snapToGrid w:val="0"/>
        <w:spacing w:before="0" w:beforeAutospacing="0" w:after="0" w:afterAutospacing="0" w:line="240" w:lineRule="atLeast"/>
        <w:ind w:left="851" w:leftChars="405" w:hanging="1"/>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超出法定质疑期的、重复提出的、分次提出的或内容、形式不符合《政府采购质疑和投诉办法》的，质疑供应商将依法承担不利后果。</w:t>
      </w:r>
    </w:p>
    <w:p w14:paraId="26DD922F">
      <w:pPr>
        <w:shd w:val="clear"/>
        <w:snapToGrid w:val="0"/>
        <w:spacing w:before="0" w:beforeAutospacing="0" w:after="0" w:afterAutospacing="0" w:line="240" w:lineRule="atLeast"/>
        <w:ind w:left="720" w:hanging="720" w:hangingChars="30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36.3  采购代理机构质疑函接收部门、联系电话和通讯地址, 见</w:t>
      </w:r>
      <w:r>
        <w:rPr>
          <w:rFonts w:hint="eastAsia" w:ascii="宋体" w:hAnsi="宋体" w:eastAsia="宋体" w:cs="宋体"/>
          <w:b w:val="0"/>
          <w:i w:val="0"/>
          <w:caps w:val="0"/>
          <w:color w:val="auto"/>
          <w:spacing w:val="0"/>
          <w:w w:val="100"/>
          <w:sz w:val="24"/>
          <w:highlight w:val="none"/>
          <w:u w:val="single" w:color="000000"/>
        </w:rPr>
        <w:t>供应商须知资料表。</w:t>
      </w:r>
    </w:p>
    <w:p w14:paraId="294BD6C1">
      <w:pPr>
        <w:shd w:val="clear"/>
        <w:snapToGrid w:val="0"/>
        <w:spacing w:before="0" w:beforeAutospacing="0" w:after="0" w:afterAutospacing="0" w:line="400" w:lineRule="exact"/>
        <w:ind w:hangingChars="3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35.4   质疑的提出</w:t>
      </w:r>
    </w:p>
    <w:p w14:paraId="7528CB82">
      <w:pPr>
        <w:shd w:val="clear"/>
        <w:snapToGrid w:val="0"/>
        <w:spacing w:before="0" w:beforeAutospacing="0" w:after="0" w:afterAutospacing="0" w:line="400" w:lineRule="exact"/>
        <w:ind w:hangingChars="3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35.5   本采购文件中所称质疑及答复，是指参加本次采购活动的供应商对政府采购活动中的采购文件、采购过程和成交结果向采购方提出质疑，采购方答复质疑的行为。</w:t>
      </w:r>
    </w:p>
    <w:p w14:paraId="559119F8">
      <w:pPr>
        <w:shd w:val="clear"/>
        <w:snapToGrid w:val="0"/>
        <w:spacing w:before="0" w:beforeAutospacing="0" w:after="0" w:afterAutospacing="0" w:line="400" w:lineRule="exact"/>
        <w:ind w:hangingChars="3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35.6   供应商认为采购文件、采购过程和成交结果使自己的权益受到损害的，可以在知道或者应知其权益受到损害之日起7个工作日内，以书面形式向采购方提出质疑。供应商应知其权益受到损害之日，是指：</w:t>
      </w:r>
    </w:p>
    <w:p w14:paraId="79E48BE6">
      <w:pPr>
        <w:shd w:val="clear"/>
        <w:snapToGrid w:val="0"/>
        <w:spacing w:before="0" w:beforeAutospacing="0" w:after="0" w:afterAutospacing="0" w:line="400" w:lineRule="exact"/>
        <w:ind w:left="898" w:leftChars="342" w:hangingChars="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（一）对可以质疑的采购文件提出质疑的，为收到采购文件之日或者采购文件公告期限届满之日；</w:t>
      </w:r>
    </w:p>
    <w:p w14:paraId="1A2CF6A0">
      <w:pPr>
        <w:shd w:val="clear"/>
        <w:snapToGrid w:val="0"/>
        <w:spacing w:before="0" w:beforeAutospacing="0" w:after="0" w:afterAutospacing="0" w:line="400" w:lineRule="exact"/>
        <w:ind w:left="898" w:leftChars="342" w:hangingChars="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（二）对采购过程提出质疑的，为各采购程序环节结束之日；</w:t>
      </w:r>
    </w:p>
    <w:p w14:paraId="4F251E2A">
      <w:pPr>
        <w:shd w:val="clear"/>
        <w:snapToGrid w:val="0"/>
        <w:spacing w:before="0" w:beforeAutospacing="0" w:after="0" w:afterAutospacing="0" w:line="400" w:lineRule="exact"/>
        <w:ind w:firstLine="720" w:firstLineChars="300"/>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（三）对成交结果提出质疑的，为成交结果公告期限届满之日。</w:t>
      </w:r>
    </w:p>
    <w:p w14:paraId="6FBFFCB5">
      <w:pPr>
        <w:shd w:val="clear"/>
        <w:snapToGrid w:val="0"/>
        <w:spacing w:before="0" w:beforeAutospacing="0" w:after="0" w:afterAutospacing="0" w:line="400" w:lineRule="exact"/>
        <w:ind w:hangingChars="3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35.7   对可以质疑的采购文件提出质疑的，质疑人为参与本项目的报价方或潜在报价方。可质疑的文件为采购公告以及采购文件（包括属于其组成部分的澄清、修改、补充文件和评审标准、合同文本等）。</w:t>
      </w:r>
    </w:p>
    <w:p w14:paraId="24638615">
      <w:pPr>
        <w:shd w:val="clear"/>
        <w:snapToGrid w:val="0"/>
        <w:spacing w:before="0" w:beforeAutospacing="0" w:after="0" w:afterAutospacing="0" w:line="400" w:lineRule="exact"/>
        <w:ind w:hangingChars="3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35.8   对采购过程和成交结果提出质疑的，质疑人为直接参与本项目的报价方。采购过程,即从采购项目信息公告发布起到成交结果公告止，包括采购文件的发出、提交响应文件、响应文件开启、评审等各个采购程序环节。</w:t>
      </w:r>
    </w:p>
    <w:p w14:paraId="47ED3954">
      <w:pPr>
        <w:shd w:val="clear"/>
        <w:snapToGrid w:val="0"/>
        <w:spacing w:before="0" w:beforeAutospacing="0" w:after="0" w:afterAutospacing="0" w:line="400" w:lineRule="exact"/>
        <w:ind w:hangingChars="3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35.9   提出质疑应当符合下列条件：</w:t>
      </w:r>
    </w:p>
    <w:p w14:paraId="5C418F03">
      <w:pPr>
        <w:shd w:val="clear"/>
        <w:snapToGrid w:val="0"/>
        <w:spacing w:before="0" w:beforeAutospacing="0" w:after="0" w:afterAutospacing="0" w:line="400" w:lineRule="exact"/>
        <w:ind w:left="898" w:leftChars="342" w:hangingChars="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（一）质疑主体应当符合有关规定；</w:t>
      </w:r>
    </w:p>
    <w:p w14:paraId="421503AA">
      <w:pPr>
        <w:shd w:val="clear"/>
        <w:snapToGrid w:val="0"/>
        <w:spacing w:before="0" w:beforeAutospacing="0" w:after="0" w:afterAutospacing="0" w:line="400" w:lineRule="exact"/>
        <w:ind w:left="898" w:leftChars="342" w:hangingChars="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（二）在质疑法定期限内提出；</w:t>
      </w:r>
    </w:p>
    <w:p w14:paraId="549BCB02">
      <w:pPr>
        <w:shd w:val="clear"/>
        <w:snapToGrid w:val="0"/>
        <w:spacing w:before="0" w:beforeAutospacing="0" w:after="0" w:afterAutospacing="0" w:line="400" w:lineRule="exact"/>
        <w:ind w:left="898" w:leftChars="342" w:hangingChars="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（三）属于可以提出质疑的政府采购事项受理范围和本项目采购人的管辖权范围；</w:t>
      </w:r>
    </w:p>
    <w:p w14:paraId="0C9D5383">
      <w:pPr>
        <w:shd w:val="clear"/>
        <w:snapToGrid w:val="0"/>
        <w:spacing w:before="0" w:beforeAutospacing="0" w:after="0" w:afterAutospacing="0" w:line="400" w:lineRule="exact"/>
        <w:ind w:left="898" w:leftChars="342" w:hangingChars="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（四）政府采购法律、法规、规章规定的其他条件。</w:t>
      </w:r>
    </w:p>
    <w:p w14:paraId="3CC85749">
      <w:pPr>
        <w:shd w:val="clear"/>
        <w:snapToGrid w:val="0"/>
        <w:spacing w:before="0" w:beforeAutospacing="0" w:after="0" w:afterAutospacing="0" w:line="400" w:lineRule="exact"/>
        <w:ind w:hangingChars="3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35.10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32C27E2A">
      <w:pPr>
        <w:shd w:val="clear"/>
        <w:snapToGrid w:val="0"/>
        <w:spacing w:before="0" w:beforeAutospacing="0" w:after="0" w:afterAutospacing="0" w:line="400" w:lineRule="exact"/>
        <w:ind w:hangingChars="3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35.11  质疑人所提供的证明材料应当具有真实性、合法性以及与质疑事项的关联性和证明力，否则不能作为认定该质疑事项成立的依据。</w:t>
      </w:r>
    </w:p>
    <w:p w14:paraId="09A32765">
      <w:pPr>
        <w:shd w:val="clear"/>
        <w:snapToGrid w:val="0"/>
        <w:spacing w:before="0" w:beforeAutospacing="0" w:after="0" w:afterAutospacing="0" w:line="400" w:lineRule="exact"/>
        <w:ind w:hangingChars="3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35.12  质疑人提出质疑时应当提交质疑函。质疑函包括下列内容：</w:t>
      </w:r>
    </w:p>
    <w:p w14:paraId="019CA4F0">
      <w:pPr>
        <w:shd w:val="clear"/>
        <w:snapToGrid w:val="0"/>
        <w:spacing w:before="0" w:beforeAutospacing="0" w:after="0" w:afterAutospacing="0" w:line="400" w:lineRule="exact"/>
        <w:ind w:left="898" w:leftChars="342" w:hangingChars="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（一）提出质疑的质疑人的名称、地址、邮编、联系人及联系电话等；</w:t>
      </w:r>
    </w:p>
    <w:p w14:paraId="4FA1C310">
      <w:pPr>
        <w:shd w:val="clear"/>
        <w:snapToGrid w:val="0"/>
        <w:spacing w:before="0" w:beforeAutospacing="0" w:after="0" w:afterAutospacing="0" w:line="400" w:lineRule="exact"/>
        <w:ind w:left="898" w:leftChars="342" w:hangingChars="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（二）质疑项目的名称、编号；</w:t>
      </w:r>
    </w:p>
    <w:p w14:paraId="6CCBB05D">
      <w:pPr>
        <w:shd w:val="clear"/>
        <w:snapToGrid w:val="0"/>
        <w:spacing w:before="0" w:beforeAutospacing="0" w:after="0" w:afterAutospacing="0" w:line="400" w:lineRule="exact"/>
        <w:ind w:left="898" w:leftChars="342" w:hangingChars="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（三）质疑事项；</w:t>
      </w:r>
    </w:p>
    <w:p w14:paraId="5C285690">
      <w:pPr>
        <w:shd w:val="clear"/>
        <w:snapToGrid w:val="0"/>
        <w:spacing w:before="0" w:beforeAutospacing="0" w:after="0" w:afterAutospacing="0" w:line="400" w:lineRule="exact"/>
        <w:ind w:left="898" w:leftChars="342" w:hangingChars="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（四）事实依据和证明材料；</w:t>
      </w:r>
    </w:p>
    <w:p w14:paraId="73DD67EF">
      <w:pPr>
        <w:shd w:val="clear"/>
        <w:snapToGrid w:val="0"/>
        <w:spacing w:before="0" w:beforeAutospacing="0" w:after="0" w:afterAutospacing="0" w:line="400" w:lineRule="exact"/>
        <w:ind w:left="898" w:leftChars="342" w:hangingChars="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（五）法律依据；</w:t>
      </w:r>
    </w:p>
    <w:p w14:paraId="2F783A18">
      <w:pPr>
        <w:shd w:val="clear"/>
        <w:snapToGrid w:val="0"/>
        <w:spacing w:before="0" w:beforeAutospacing="0" w:after="0" w:afterAutospacing="0" w:line="400" w:lineRule="exact"/>
        <w:ind w:left="898" w:leftChars="342" w:hangingChars="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（六）提出质疑的日期。</w:t>
      </w:r>
    </w:p>
    <w:p w14:paraId="2ABF628A">
      <w:pPr>
        <w:shd w:val="clear"/>
        <w:snapToGrid w:val="0"/>
        <w:spacing w:before="0" w:beforeAutospacing="0" w:after="0" w:afterAutospacing="0" w:line="400" w:lineRule="exact"/>
        <w:ind w:left="958" w:leftChars="456" w:firstLine="60" w:firstLineChars="2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质疑函采用实名制。质疑人为自然人的应当由本人签字，并附有效身份证明文件；质疑人为</w:t>
      </w:r>
      <w:r>
        <w:rPr>
          <w:rFonts w:hint="eastAsia" w:ascii="宋体" w:hAnsi="宋体" w:eastAsia="宋体" w:cs="宋体"/>
          <w:b w:val="0"/>
          <w:i w:val="0"/>
          <w:caps w:val="0"/>
          <w:color w:val="auto"/>
          <w:spacing w:val="0"/>
          <w:w w:val="100"/>
          <w:sz w:val="24"/>
          <w:highlight w:val="none"/>
          <w:lang w:eastAsia="zh-CN"/>
        </w:rPr>
        <w:t>法定代表人</w:t>
      </w:r>
      <w:r>
        <w:rPr>
          <w:rFonts w:hint="eastAsia" w:ascii="宋体" w:hAnsi="宋体" w:eastAsia="宋体" w:cs="宋体"/>
          <w:b w:val="0"/>
          <w:i w:val="0"/>
          <w:caps w:val="0"/>
          <w:color w:val="auto"/>
          <w:spacing w:val="0"/>
          <w:w w:val="100"/>
          <w:sz w:val="24"/>
          <w:highlight w:val="none"/>
        </w:rPr>
        <w:t>或者非</w:t>
      </w:r>
      <w:r>
        <w:rPr>
          <w:rFonts w:hint="eastAsia" w:ascii="宋体" w:hAnsi="宋体" w:eastAsia="宋体" w:cs="宋体"/>
          <w:b w:val="0"/>
          <w:i w:val="0"/>
          <w:caps w:val="0"/>
          <w:color w:val="auto"/>
          <w:spacing w:val="0"/>
          <w:w w:val="100"/>
          <w:sz w:val="24"/>
          <w:highlight w:val="none"/>
          <w:lang w:eastAsia="zh-CN"/>
        </w:rPr>
        <w:t>法定代表人</w:t>
      </w:r>
      <w:r>
        <w:rPr>
          <w:rFonts w:hint="eastAsia" w:ascii="宋体" w:hAnsi="宋体" w:eastAsia="宋体" w:cs="宋体"/>
          <w:b w:val="0"/>
          <w:i w:val="0"/>
          <w:caps w:val="0"/>
          <w:color w:val="auto"/>
          <w:spacing w:val="0"/>
          <w:w w:val="100"/>
          <w:sz w:val="24"/>
          <w:highlight w:val="none"/>
        </w:rPr>
        <w:t>组织的应当由法定代表人或者负责人签字并加盖公章，并附有效身份证明文件。</w:t>
      </w:r>
    </w:p>
    <w:p w14:paraId="7AC7A264">
      <w:pPr>
        <w:shd w:val="clear"/>
        <w:snapToGrid w:val="0"/>
        <w:spacing w:before="0" w:beforeAutospacing="0" w:after="0" w:afterAutospacing="0" w:line="400" w:lineRule="exact"/>
        <w:ind w:hangingChars="3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35.13  质疑人可以委托代理人进行质疑。代理人应当提交授权委托书。授权委托书应当载明委托代理的具体权限、期限和相关事项。</w:t>
      </w:r>
    </w:p>
    <w:p w14:paraId="172E4A73">
      <w:pPr>
        <w:shd w:val="clear"/>
        <w:snapToGrid w:val="0"/>
        <w:spacing w:before="0" w:beforeAutospacing="0" w:after="0" w:afterAutospacing="0" w:line="400" w:lineRule="exact"/>
        <w:ind w:hangingChars="3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35.14  质疑的审查和受理</w:t>
      </w:r>
    </w:p>
    <w:p w14:paraId="59BE2E37">
      <w:pPr>
        <w:shd w:val="clear"/>
        <w:snapToGrid w:val="0"/>
        <w:spacing w:before="0" w:beforeAutospacing="0" w:after="0" w:afterAutospacing="0" w:line="400" w:lineRule="exact"/>
        <w:ind w:left="840" w:leftChars="400"/>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采购方在收到质疑函后应当及时审查是否符合质疑受理条件，对符合质疑受理条件的，及时予以受理。</w:t>
      </w:r>
    </w:p>
    <w:p w14:paraId="48779397">
      <w:pPr>
        <w:shd w:val="clear"/>
        <w:snapToGrid w:val="0"/>
        <w:spacing w:before="0" w:beforeAutospacing="0" w:after="0" w:afterAutospacing="0" w:line="400" w:lineRule="exact"/>
        <w:ind w:hangingChars="3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35.15  对不符合质疑受理条件的，分别按照下列不同情形予以处理：</w:t>
      </w:r>
    </w:p>
    <w:p w14:paraId="30EBF22A">
      <w:pPr>
        <w:shd w:val="clear"/>
        <w:snapToGrid w:val="0"/>
        <w:spacing w:before="0" w:beforeAutospacing="0" w:after="0" w:afterAutospacing="0" w:line="400" w:lineRule="exact"/>
        <w:ind w:left="898" w:leftChars="342" w:hangingChars="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（一）质疑函内容不符合规定的，告知质疑人进行修改并重新提出质疑。修改后质疑事项仍不具体、不明确或者最终递交质疑函的时间超过质疑法定期限的，不予受理；</w:t>
      </w:r>
    </w:p>
    <w:p w14:paraId="1DA44983">
      <w:pPr>
        <w:shd w:val="clear"/>
        <w:snapToGrid w:val="0"/>
        <w:spacing w:before="0" w:beforeAutospacing="0" w:after="0" w:afterAutospacing="0" w:line="400" w:lineRule="exact"/>
        <w:ind w:left="898" w:leftChars="342" w:hangingChars="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（二）质疑主体不符合有关规定的，告知质疑人不予受理；</w:t>
      </w:r>
    </w:p>
    <w:p w14:paraId="19D63B8C">
      <w:pPr>
        <w:shd w:val="clear"/>
        <w:snapToGrid w:val="0"/>
        <w:spacing w:before="0" w:beforeAutospacing="0" w:after="0" w:afterAutospacing="0" w:line="400" w:lineRule="exact"/>
        <w:ind w:left="898" w:leftChars="342" w:hangingChars="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（三）超过质疑法定期限提出质疑的，告知质疑人不予受理；</w:t>
      </w:r>
    </w:p>
    <w:p w14:paraId="03B927D0">
      <w:pPr>
        <w:shd w:val="clear"/>
        <w:snapToGrid w:val="0"/>
        <w:spacing w:before="0" w:beforeAutospacing="0" w:after="0" w:afterAutospacing="0" w:line="400" w:lineRule="exact"/>
        <w:ind w:left="898" w:leftChars="342" w:hangingChars="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（四）对不属于可以提出质疑的政府采购事项提出质疑的，告知质疑人不予受理；</w:t>
      </w:r>
    </w:p>
    <w:p w14:paraId="4C714E17">
      <w:pPr>
        <w:shd w:val="clear"/>
        <w:snapToGrid w:val="0"/>
        <w:spacing w:before="0" w:beforeAutospacing="0" w:after="0" w:afterAutospacing="0" w:line="400" w:lineRule="exact"/>
        <w:ind w:left="898" w:leftChars="342" w:hangingChars="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（五）质疑不属于本项目采购方管辖的，告知质疑人向有管辖权的采购人提出质疑；</w:t>
      </w:r>
    </w:p>
    <w:p w14:paraId="3F1A0BDC">
      <w:pPr>
        <w:shd w:val="clear"/>
        <w:snapToGrid w:val="0"/>
        <w:spacing w:before="0" w:beforeAutospacing="0" w:after="0" w:afterAutospacing="0" w:line="400" w:lineRule="exact"/>
        <w:ind w:left="898" w:leftChars="342" w:hangingChars="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（六）质疑不符合其他条件的，告知质疑人不予受理。</w:t>
      </w:r>
    </w:p>
    <w:p w14:paraId="797CBCF7">
      <w:pPr>
        <w:shd w:val="clear"/>
        <w:snapToGrid w:val="0"/>
        <w:spacing w:before="0" w:beforeAutospacing="0" w:after="0" w:afterAutospacing="0" w:line="400" w:lineRule="exact"/>
        <w:ind w:hangingChars="3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35.16  质疑的处理和答复</w:t>
      </w:r>
    </w:p>
    <w:p w14:paraId="61E3FE68">
      <w:pPr>
        <w:shd w:val="clear"/>
        <w:snapToGrid w:val="0"/>
        <w:spacing w:before="0" w:beforeAutospacing="0" w:after="0" w:afterAutospacing="0" w:line="400" w:lineRule="exact"/>
        <w:ind w:hangingChars="3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35.17  采购方受理质疑后，将及时把质疑函发送给被质疑人，并要求其在一定限期内提交书面答复，同时提供有关证据、依据和相关材料。</w:t>
      </w:r>
    </w:p>
    <w:p w14:paraId="1DE57A3F">
      <w:pPr>
        <w:shd w:val="clear"/>
        <w:snapToGrid w:val="0"/>
        <w:spacing w:before="0" w:beforeAutospacing="0" w:after="0" w:afterAutospacing="0" w:line="400" w:lineRule="exact"/>
        <w:ind w:hangingChars="3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35.18  对于质疑事项中涉及的问题较多、情况比较复杂的，为了全面查清事实、取得充分的证据，采购方认为有必要时，可以进行调查取证或者组织质证。</w:t>
      </w:r>
    </w:p>
    <w:p w14:paraId="6FC05779">
      <w:pPr>
        <w:shd w:val="clear"/>
        <w:snapToGrid w:val="0"/>
        <w:spacing w:before="0" w:beforeAutospacing="0" w:after="0" w:afterAutospacing="0" w:line="400" w:lineRule="exact"/>
        <w:ind w:hangingChars="3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35.19  对评审过程、成交结果提出质疑的，采购方可以组织原</w:t>
      </w:r>
      <w:r>
        <w:rPr>
          <w:rFonts w:hint="eastAsia" w:ascii="宋体" w:hAnsi="宋体" w:eastAsia="宋体" w:cs="宋体"/>
          <w:b w:val="0"/>
          <w:i w:val="0"/>
          <w:caps w:val="0"/>
          <w:color w:val="auto"/>
          <w:spacing w:val="0"/>
          <w:w w:val="100"/>
          <w:sz w:val="24"/>
          <w:highlight w:val="none"/>
          <w:lang w:eastAsia="zh-CN"/>
        </w:rPr>
        <w:t>磋商小组</w:t>
      </w:r>
      <w:r>
        <w:rPr>
          <w:rFonts w:hint="eastAsia" w:ascii="宋体" w:hAnsi="宋体" w:eastAsia="宋体" w:cs="宋体"/>
          <w:b w:val="0"/>
          <w:i w:val="0"/>
          <w:caps w:val="0"/>
          <w:color w:val="auto"/>
          <w:spacing w:val="0"/>
          <w:w w:val="100"/>
          <w:sz w:val="24"/>
          <w:highlight w:val="none"/>
        </w:rPr>
        <w:t>协助答复质疑。</w:t>
      </w:r>
    </w:p>
    <w:p w14:paraId="4CCC23FF">
      <w:pPr>
        <w:shd w:val="clear"/>
        <w:snapToGrid w:val="0"/>
        <w:spacing w:before="0" w:beforeAutospacing="0" w:after="0" w:afterAutospacing="0" w:line="400" w:lineRule="exact"/>
        <w:ind w:hangingChars="3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35.20  质疑处理过程中，质疑人书面申请撤回质疑的，将终止质疑处理程序。</w:t>
      </w:r>
    </w:p>
    <w:p w14:paraId="4B6BCBCA">
      <w:pPr>
        <w:shd w:val="clear"/>
        <w:snapToGrid w:val="0"/>
        <w:spacing w:before="0" w:beforeAutospacing="0" w:after="0" w:afterAutospacing="0" w:line="400" w:lineRule="exact"/>
        <w:ind w:hangingChars="3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35.21  质疑人拒绝配合采购方依法对质疑进行调查处理的，采购方将按质疑人自动撤回质疑处理；被质疑人拒绝配合采购方依法对质疑进行调查处理的，采购方将视同其认可质疑事项。</w:t>
      </w:r>
    </w:p>
    <w:p w14:paraId="56C0AB1E">
      <w:pPr>
        <w:shd w:val="clear"/>
        <w:snapToGrid w:val="0"/>
        <w:spacing w:before="0" w:beforeAutospacing="0" w:after="0" w:afterAutospacing="0" w:line="400" w:lineRule="exact"/>
        <w:ind w:hangingChars="3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35.22  质疑人拒绝配合采购方依法对质疑进行调查处理的，采购方将按质疑人自动撤回质疑处理；被质疑人拒绝配合采购方依法对质疑进行调查处理的，采购方将视同其认可质疑事项。</w:t>
      </w:r>
    </w:p>
    <w:p w14:paraId="0EB42340">
      <w:pPr>
        <w:shd w:val="clear"/>
        <w:snapToGrid w:val="0"/>
        <w:spacing w:before="0" w:beforeAutospacing="0" w:after="0" w:afterAutospacing="0" w:line="400" w:lineRule="exact"/>
        <w:ind w:hangingChars="3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35.23  采购方将在正式受理质疑后7个工作日内作出答复。</w:t>
      </w:r>
    </w:p>
    <w:p w14:paraId="7036B3FF">
      <w:pPr>
        <w:pStyle w:val="32"/>
        <w:shd w:val="clear"/>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35.24  质疑答复应当包括下列内容：</w:t>
      </w:r>
    </w:p>
    <w:p w14:paraId="12867732">
      <w:pPr>
        <w:pStyle w:val="32"/>
        <w:shd w:val="clear"/>
        <w:snapToGrid w:val="0"/>
        <w:spacing w:before="0" w:beforeAutospacing="0" w:after="0" w:afterAutospacing="0" w:line="400" w:lineRule="exact"/>
        <w:ind w:left="840" w:leftChars="40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（一）质疑人的姓名或者名称；</w:t>
      </w:r>
    </w:p>
    <w:p w14:paraId="58160520">
      <w:pPr>
        <w:pStyle w:val="32"/>
        <w:shd w:val="clear"/>
        <w:snapToGrid w:val="0"/>
        <w:spacing w:before="0" w:beforeAutospacing="0" w:after="0" w:afterAutospacing="0" w:line="400" w:lineRule="exact"/>
        <w:ind w:left="840" w:leftChars="40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（二）收到质疑函的日期、质疑项目名称及编号；</w:t>
      </w:r>
    </w:p>
    <w:p w14:paraId="0EA2424B">
      <w:pPr>
        <w:pStyle w:val="32"/>
        <w:shd w:val="clear"/>
        <w:snapToGrid w:val="0"/>
        <w:spacing w:before="0" w:beforeAutospacing="0" w:after="0" w:afterAutospacing="0" w:line="400" w:lineRule="exact"/>
        <w:ind w:left="840" w:leftChars="40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（三）质疑事项、质疑答复的具体内容、事实依据和法律依据；</w:t>
      </w:r>
    </w:p>
    <w:p w14:paraId="7B80787F">
      <w:pPr>
        <w:pStyle w:val="32"/>
        <w:shd w:val="clear"/>
        <w:snapToGrid w:val="0"/>
        <w:spacing w:before="0" w:beforeAutospacing="0" w:after="0" w:afterAutospacing="0" w:line="400" w:lineRule="exact"/>
        <w:ind w:left="840" w:leftChars="40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（四）告知质疑供应商依法投诉的权利；</w:t>
      </w:r>
    </w:p>
    <w:p w14:paraId="40DFD2EB">
      <w:pPr>
        <w:pStyle w:val="32"/>
        <w:shd w:val="clear"/>
        <w:snapToGrid w:val="0"/>
        <w:spacing w:before="0" w:beforeAutospacing="0" w:after="0" w:afterAutospacing="0" w:line="400" w:lineRule="exact"/>
        <w:ind w:left="840" w:leftChars="40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（五）质疑答复人名称；</w:t>
      </w:r>
    </w:p>
    <w:p w14:paraId="09F53370">
      <w:pPr>
        <w:pStyle w:val="32"/>
        <w:shd w:val="clear"/>
        <w:snapToGrid w:val="0"/>
        <w:spacing w:before="0" w:beforeAutospacing="0" w:after="0" w:afterAutospacing="0" w:line="400" w:lineRule="exact"/>
        <w:ind w:left="840" w:leftChars="40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（六）答复质疑的日期。</w:t>
      </w:r>
    </w:p>
    <w:p w14:paraId="63F5C6E4">
      <w:pPr>
        <w:shd w:val="clear"/>
        <w:snapToGrid w:val="0"/>
        <w:spacing w:before="0" w:beforeAutospacing="0" w:after="0" w:afterAutospacing="0" w:line="400" w:lineRule="exact"/>
        <w:jc w:val="both"/>
        <w:textAlignment w:val="baseline"/>
        <w:rPr>
          <w:rFonts w:hint="eastAsia" w:ascii="宋体" w:hAnsi="宋体" w:eastAsia="宋体" w:cs="宋体"/>
          <w:b/>
          <w:bCs/>
          <w:i w:val="0"/>
          <w:caps w:val="0"/>
          <w:color w:val="auto"/>
          <w:spacing w:val="0"/>
          <w:w w:val="100"/>
          <w:sz w:val="24"/>
          <w:highlight w:val="none"/>
        </w:rPr>
      </w:pPr>
      <w:bookmarkStart w:id="492" w:name="_Toc24577"/>
      <w:bookmarkStart w:id="493" w:name="_Toc14949"/>
    </w:p>
    <w:p w14:paraId="0FE9EC78">
      <w:pPr>
        <w:shd w:val="clear"/>
        <w:snapToGrid w:val="0"/>
        <w:spacing w:before="0" w:beforeAutospacing="0" w:after="0" w:afterAutospacing="0" w:line="400" w:lineRule="exact"/>
        <w:jc w:val="both"/>
        <w:textAlignment w:val="baseline"/>
        <w:rPr>
          <w:rFonts w:hint="eastAsia" w:ascii="宋体" w:hAnsi="宋体" w:eastAsia="宋体" w:cs="宋体"/>
          <w:b/>
          <w:bCs/>
          <w:i w:val="0"/>
          <w:caps w:val="0"/>
          <w:color w:val="auto"/>
          <w:spacing w:val="0"/>
          <w:w w:val="100"/>
          <w:sz w:val="24"/>
          <w:highlight w:val="none"/>
        </w:rPr>
      </w:pPr>
    </w:p>
    <w:p w14:paraId="6DC7985C">
      <w:pPr>
        <w:shd w:val="clear"/>
        <w:snapToGrid w:val="0"/>
        <w:spacing w:before="0" w:beforeAutospacing="0" w:after="0" w:afterAutospacing="0" w:line="400" w:lineRule="exact"/>
        <w:jc w:val="both"/>
        <w:textAlignment w:val="baseline"/>
        <w:rPr>
          <w:rFonts w:hint="eastAsia" w:ascii="宋体" w:hAnsi="宋体" w:eastAsia="宋体" w:cs="宋体"/>
          <w:b/>
          <w:bCs/>
          <w:i w:val="0"/>
          <w:caps w:val="0"/>
          <w:color w:val="auto"/>
          <w:spacing w:val="0"/>
          <w:w w:val="100"/>
          <w:sz w:val="24"/>
          <w:highlight w:val="none"/>
        </w:rPr>
      </w:pPr>
    </w:p>
    <w:p w14:paraId="665A46F0">
      <w:pPr>
        <w:shd w:val="clear"/>
        <w:snapToGrid w:val="0"/>
        <w:spacing w:before="0" w:beforeAutospacing="0" w:after="0" w:afterAutospacing="0" w:line="400" w:lineRule="exact"/>
        <w:jc w:val="both"/>
        <w:textAlignment w:val="baseline"/>
        <w:rPr>
          <w:rFonts w:hint="eastAsia" w:ascii="宋体" w:hAnsi="宋体" w:eastAsia="宋体" w:cs="宋体"/>
          <w:b/>
          <w:bCs/>
          <w:i w:val="0"/>
          <w:caps w:val="0"/>
          <w:color w:val="auto"/>
          <w:spacing w:val="0"/>
          <w:w w:val="100"/>
          <w:sz w:val="24"/>
          <w:highlight w:val="none"/>
        </w:rPr>
      </w:pPr>
    </w:p>
    <w:p w14:paraId="39FA86E6">
      <w:pPr>
        <w:rPr>
          <w:rFonts w:hint="eastAsia" w:ascii="宋体" w:hAnsi="宋体" w:eastAsia="宋体" w:cs="宋体"/>
          <w:b/>
          <w:bCs/>
          <w:i w:val="0"/>
          <w:caps w:val="0"/>
          <w:color w:val="auto"/>
          <w:spacing w:val="0"/>
          <w:w w:val="100"/>
          <w:sz w:val="24"/>
          <w:highlight w:val="none"/>
        </w:rPr>
      </w:pPr>
      <w:r>
        <w:rPr>
          <w:rFonts w:hint="eastAsia" w:ascii="宋体" w:hAnsi="宋体" w:eastAsia="宋体" w:cs="宋体"/>
          <w:b/>
          <w:bCs/>
          <w:i w:val="0"/>
          <w:caps w:val="0"/>
          <w:color w:val="auto"/>
          <w:spacing w:val="0"/>
          <w:w w:val="100"/>
          <w:sz w:val="24"/>
          <w:highlight w:val="none"/>
        </w:rPr>
        <w:br w:type="page"/>
      </w:r>
    </w:p>
    <w:p w14:paraId="1DBE783A">
      <w:pPr>
        <w:shd w:val="clear"/>
        <w:snapToGrid w:val="0"/>
        <w:spacing w:before="0" w:beforeAutospacing="0" w:after="0" w:afterAutospacing="0" w:line="400" w:lineRule="exact"/>
        <w:jc w:val="both"/>
        <w:textAlignment w:val="baseline"/>
        <w:rPr>
          <w:rFonts w:hint="eastAsia" w:ascii="宋体" w:hAnsi="宋体" w:eastAsia="宋体" w:cs="宋体"/>
          <w:b/>
          <w:bCs/>
          <w:i w:val="0"/>
          <w:caps w:val="0"/>
          <w:color w:val="auto"/>
          <w:spacing w:val="0"/>
          <w:w w:val="100"/>
          <w:sz w:val="24"/>
          <w:highlight w:val="none"/>
        </w:rPr>
      </w:pPr>
      <w:r>
        <w:rPr>
          <w:rFonts w:hint="eastAsia" w:ascii="宋体" w:hAnsi="宋体" w:eastAsia="宋体" w:cs="宋体"/>
          <w:b/>
          <w:bCs/>
          <w:i w:val="0"/>
          <w:caps w:val="0"/>
          <w:color w:val="auto"/>
          <w:spacing w:val="0"/>
          <w:w w:val="100"/>
          <w:sz w:val="24"/>
          <w:highlight w:val="none"/>
        </w:rPr>
        <w:t>质疑函范本</w:t>
      </w:r>
      <w:bookmarkEnd w:id="492"/>
      <w:bookmarkEnd w:id="493"/>
    </w:p>
    <w:p w14:paraId="1AD11F84">
      <w:pPr>
        <w:shd w:val="clear"/>
        <w:snapToGrid w:val="0"/>
        <w:spacing w:before="312" w:beforeAutospacing="0" w:after="0" w:afterAutospacing="0" w:line="400" w:lineRule="exact"/>
        <w:jc w:val="both"/>
        <w:textAlignment w:val="baseline"/>
        <w:rPr>
          <w:rFonts w:hint="eastAsia" w:ascii="宋体" w:hAnsi="宋体" w:eastAsia="宋体" w:cs="宋体"/>
          <w:b w:val="0"/>
          <w:bCs/>
          <w:i w:val="0"/>
          <w:caps w:val="0"/>
          <w:color w:val="auto"/>
          <w:spacing w:val="0"/>
          <w:w w:val="100"/>
          <w:sz w:val="24"/>
          <w:highlight w:val="none"/>
        </w:rPr>
      </w:pPr>
      <w:r>
        <w:rPr>
          <w:rFonts w:hint="eastAsia" w:ascii="宋体" w:hAnsi="宋体" w:eastAsia="宋体" w:cs="宋体"/>
          <w:b w:val="0"/>
          <w:bCs/>
          <w:i w:val="0"/>
          <w:caps w:val="0"/>
          <w:color w:val="auto"/>
          <w:spacing w:val="0"/>
          <w:w w:val="100"/>
          <w:sz w:val="24"/>
          <w:highlight w:val="none"/>
        </w:rPr>
        <w:t>一、质疑供应商基本信息</w:t>
      </w:r>
    </w:p>
    <w:p w14:paraId="137E2CE1">
      <w:pPr>
        <w:shd w:val="clear"/>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u w:val="dotted" w:color="000000"/>
        </w:rPr>
      </w:pPr>
      <w:r>
        <w:rPr>
          <w:rFonts w:hint="eastAsia" w:ascii="宋体" w:hAnsi="宋体" w:eastAsia="宋体" w:cs="宋体"/>
          <w:b w:val="0"/>
          <w:i w:val="0"/>
          <w:caps w:val="0"/>
          <w:color w:val="auto"/>
          <w:spacing w:val="0"/>
          <w:w w:val="100"/>
          <w:sz w:val="24"/>
          <w:highlight w:val="none"/>
        </w:rPr>
        <w:t>质疑供应商：</w:t>
      </w:r>
      <w:r>
        <w:rPr>
          <w:rFonts w:hint="eastAsia" w:ascii="宋体" w:hAnsi="宋体" w:eastAsia="宋体" w:cs="宋体"/>
          <w:b w:val="0"/>
          <w:i w:val="0"/>
          <w:caps w:val="0"/>
          <w:color w:val="auto"/>
          <w:spacing w:val="0"/>
          <w:w w:val="100"/>
          <w:sz w:val="24"/>
          <w:highlight w:val="none"/>
          <w:u w:val="dotted" w:color="000000"/>
        </w:rPr>
        <w:t xml:space="preserve">                                        </w:t>
      </w:r>
    </w:p>
    <w:p w14:paraId="70272146">
      <w:pPr>
        <w:shd w:val="clear"/>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地址：</w:t>
      </w:r>
      <w:r>
        <w:rPr>
          <w:rFonts w:hint="eastAsia" w:ascii="宋体" w:hAnsi="宋体" w:eastAsia="宋体" w:cs="宋体"/>
          <w:b w:val="0"/>
          <w:i w:val="0"/>
          <w:caps w:val="0"/>
          <w:color w:val="auto"/>
          <w:spacing w:val="0"/>
          <w:w w:val="100"/>
          <w:sz w:val="24"/>
          <w:highlight w:val="none"/>
          <w:u w:val="dotted" w:color="000000"/>
        </w:rPr>
        <w:t xml:space="preserve">                          </w:t>
      </w:r>
      <w:r>
        <w:rPr>
          <w:rFonts w:hint="eastAsia" w:ascii="宋体" w:hAnsi="宋体" w:eastAsia="宋体" w:cs="宋体"/>
          <w:b w:val="0"/>
          <w:i w:val="0"/>
          <w:caps w:val="0"/>
          <w:color w:val="auto"/>
          <w:spacing w:val="0"/>
          <w:w w:val="100"/>
          <w:sz w:val="24"/>
          <w:highlight w:val="none"/>
        </w:rPr>
        <w:t>邮编：</w:t>
      </w:r>
      <w:r>
        <w:rPr>
          <w:rFonts w:hint="eastAsia" w:ascii="宋体" w:hAnsi="宋体" w:eastAsia="宋体" w:cs="宋体"/>
          <w:b w:val="0"/>
          <w:i w:val="0"/>
          <w:caps w:val="0"/>
          <w:color w:val="auto"/>
          <w:spacing w:val="0"/>
          <w:w w:val="100"/>
          <w:sz w:val="24"/>
          <w:highlight w:val="none"/>
          <w:u w:val="dotted" w:color="000000"/>
        </w:rPr>
        <w:t xml:space="preserve">                                                   </w:t>
      </w:r>
    </w:p>
    <w:p w14:paraId="0C464F38">
      <w:pPr>
        <w:shd w:val="clear"/>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联系人：</w:t>
      </w:r>
      <w:r>
        <w:rPr>
          <w:rFonts w:hint="eastAsia" w:ascii="宋体" w:hAnsi="宋体" w:eastAsia="宋体" w:cs="宋体"/>
          <w:b w:val="0"/>
          <w:i w:val="0"/>
          <w:caps w:val="0"/>
          <w:color w:val="auto"/>
          <w:spacing w:val="0"/>
          <w:w w:val="100"/>
          <w:sz w:val="24"/>
          <w:highlight w:val="none"/>
          <w:u w:val="dotted" w:color="000000"/>
        </w:rPr>
        <w:t xml:space="preserve">                      </w:t>
      </w:r>
      <w:r>
        <w:rPr>
          <w:rFonts w:hint="eastAsia" w:ascii="宋体" w:hAnsi="宋体" w:eastAsia="宋体" w:cs="宋体"/>
          <w:b w:val="0"/>
          <w:i w:val="0"/>
          <w:caps w:val="0"/>
          <w:color w:val="auto"/>
          <w:spacing w:val="0"/>
          <w:w w:val="100"/>
          <w:sz w:val="24"/>
          <w:highlight w:val="none"/>
        </w:rPr>
        <w:t>联系电话：</w:t>
      </w:r>
      <w:r>
        <w:rPr>
          <w:rFonts w:hint="eastAsia" w:ascii="宋体" w:hAnsi="宋体" w:eastAsia="宋体" w:cs="宋体"/>
          <w:b w:val="0"/>
          <w:i w:val="0"/>
          <w:caps w:val="0"/>
          <w:color w:val="auto"/>
          <w:spacing w:val="0"/>
          <w:w w:val="100"/>
          <w:sz w:val="24"/>
          <w:highlight w:val="none"/>
          <w:u w:val="dotted" w:color="000000"/>
        </w:rPr>
        <w:t xml:space="preserve">                              </w:t>
      </w:r>
    </w:p>
    <w:p w14:paraId="3750B4D7">
      <w:pPr>
        <w:shd w:val="clear"/>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u w:val="dotted" w:color="000000"/>
        </w:rPr>
      </w:pPr>
      <w:r>
        <w:rPr>
          <w:rFonts w:hint="eastAsia" w:ascii="宋体" w:hAnsi="宋体" w:eastAsia="宋体" w:cs="宋体"/>
          <w:b w:val="0"/>
          <w:i w:val="0"/>
          <w:caps w:val="0"/>
          <w:color w:val="auto"/>
          <w:spacing w:val="0"/>
          <w:w w:val="100"/>
          <w:sz w:val="24"/>
          <w:highlight w:val="none"/>
        </w:rPr>
        <w:t>授权代表：</w:t>
      </w:r>
      <w:r>
        <w:rPr>
          <w:rFonts w:hint="eastAsia" w:ascii="宋体" w:hAnsi="宋体" w:eastAsia="宋体" w:cs="宋体"/>
          <w:b w:val="0"/>
          <w:i w:val="0"/>
          <w:caps w:val="0"/>
          <w:color w:val="auto"/>
          <w:spacing w:val="0"/>
          <w:w w:val="100"/>
          <w:sz w:val="24"/>
          <w:highlight w:val="none"/>
          <w:u w:val="dotted" w:color="000000"/>
        </w:rPr>
        <w:t xml:space="preserve">                                          </w:t>
      </w:r>
    </w:p>
    <w:p w14:paraId="63EFD9EB">
      <w:pPr>
        <w:shd w:val="clear"/>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联系电话：</w:t>
      </w:r>
      <w:r>
        <w:rPr>
          <w:rFonts w:hint="eastAsia" w:ascii="宋体" w:hAnsi="宋体" w:eastAsia="宋体" w:cs="宋体"/>
          <w:b w:val="0"/>
          <w:i w:val="0"/>
          <w:caps w:val="0"/>
          <w:color w:val="auto"/>
          <w:spacing w:val="0"/>
          <w:w w:val="100"/>
          <w:sz w:val="24"/>
          <w:highlight w:val="none"/>
          <w:u w:val="dotted" w:color="000000"/>
        </w:rPr>
        <w:t xml:space="preserve">                                           </w:t>
      </w:r>
      <w:r>
        <w:rPr>
          <w:rFonts w:hint="eastAsia" w:ascii="宋体" w:hAnsi="宋体" w:eastAsia="宋体" w:cs="宋体"/>
          <w:b w:val="0"/>
          <w:i w:val="0"/>
          <w:caps w:val="0"/>
          <w:color w:val="auto"/>
          <w:spacing w:val="0"/>
          <w:w w:val="100"/>
          <w:sz w:val="24"/>
          <w:highlight w:val="none"/>
        </w:rPr>
        <w:t xml:space="preserve"> </w:t>
      </w:r>
    </w:p>
    <w:p w14:paraId="3C131442">
      <w:pPr>
        <w:shd w:val="clear"/>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 xml:space="preserve">地址： </w:t>
      </w:r>
      <w:r>
        <w:rPr>
          <w:rFonts w:hint="eastAsia" w:ascii="宋体" w:hAnsi="宋体" w:eastAsia="宋体" w:cs="宋体"/>
          <w:b w:val="0"/>
          <w:i w:val="0"/>
          <w:caps w:val="0"/>
          <w:color w:val="auto"/>
          <w:spacing w:val="0"/>
          <w:w w:val="100"/>
          <w:sz w:val="24"/>
          <w:highlight w:val="none"/>
          <w:u w:val="dotted" w:color="000000"/>
        </w:rPr>
        <w:t xml:space="preserve">                        </w:t>
      </w:r>
      <w:r>
        <w:rPr>
          <w:rFonts w:hint="eastAsia" w:ascii="宋体" w:hAnsi="宋体" w:eastAsia="宋体" w:cs="宋体"/>
          <w:b w:val="0"/>
          <w:i w:val="0"/>
          <w:caps w:val="0"/>
          <w:color w:val="auto"/>
          <w:spacing w:val="0"/>
          <w:w w:val="100"/>
          <w:sz w:val="24"/>
          <w:highlight w:val="none"/>
        </w:rPr>
        <w:t>邮编：</w:t>
      </w:r>
      <w:r>
        <w:rPr>
          <w:rFonts w:hint="eastAsia" w:ascii="宋体" w:hAnsi="宋体" w:eastAsia="宋体" w:cs="宋体"/>
          <w:b w:val="0"/>
          <w:i w:val="0"/>
          <w:caps w:val="0"/>
          <w:color w:val="auto"/>
          <w:spacing w:val="0"/>
          <w:w w:val="100"/>
          <w:sz w:val="24"/>
          <w:highlight w:val="none"/>
          <w:u w:val="dotted" w:color="000000"/>
        </w:rPr>
        <w:t xml:space="preserve">                                                </w:t>
      </w:r>
    </w:p>
    <w:p w14:paraId="421A7D2E">
      <w:pPr>
        <w:shd w:val="clear"/>
        <w:snapToGrid w:val="0"/>
        <w:spacing w:before="312" w:beforeAutospacing="0" w:after="0" w:afterAutospacing="0" w:line="400" w:lineRule="exact"/>
        <w:jc w:val="both"/>
        <w:textAlignment w:val="baseline"/>
        <w:rPr>
          <w:rFonts w:hint="eastAsia" w:ascii="宋体" w:hAnsi="宋体" w:eastAsia="宋体" w:cs="宋体"/>
          <w:b w:val="0"/>
          <w:bCs/>
          <w:i w:val="0"/>
          <w:caps w:val="0"/>
          <w:color w:val="auto"/>
          <w:spacing w:val="0"/>
          <w:w w:val="100"/>
          <w:sz w:val="24"/>
          <w:highlight w:val="none"/>
        </w:rPr>
      </w:pPr>
      <w:r>
        <w:rPr>
          <w:rFonts w:hint="eastAsia" w:ascii="宋体" w:hAnsi="宋体" w:eastAsia="宋体" w:cs="宋体"/>
          <w:b w:val="0"/>
          <w:bCs/>
          <w:i w:val="0"/>
          <w:caps w:val="0"/>
          <w:color w:val="auto"/>
          <w:spacing w:val="0"/>
          <w:w w:val="100"/>
          <w:sz w:val="24"/>
          <w:highlight w:val="none"/>
        </w:rPr>
        <w:t>二、质疑项目基本情况</w:t>
      </w:r>
    </w:p>
    <w:p w14:paraId="3E7DAB22">
      <w:pPr>
        <w:shd w:val="clear"/>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质疑项目的名称：</w:t>
      </w:r>
      <w:r>
        <w:rPr>
          <w:rFonts w:hint="eastAsia" w:ascii="宋体" w:hAnsi="宋体" w:eastAsia="宋体" w:cs="宋体"/>
          <w:b w:val="0"/>
          <w:i w:val="0"/>
          <w:caps w:val="0"/>
          <w:color w:val="auto"/>
          <w:spacing w:val="0"/>
          <w:w w:val="100"/>
          <w:sz w:val="24"/>
          <w:highlight w:val="none"/>
          <w:u w:val="dotted" w:color="000000"/>
        </w:rPr>
        <w:t xml:space="preserve">                                      </w:t>
      </w:r>
    </w:p>
    <w:p w14:paraId="7E181AE0">
      <w:pPr>
        <w:shd w:val="clear"/>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质疑项目的编号：</w:t>
      </w:r>
      <w:r>
        <w:rPr>
          <w:rFonts w:hint="eastAsia" w:ascii="宋体" w:hAnsi="宋体" w:eastAsia="宋体" w:cs="宋体"/>
          <w:b w:val="0"/>
          <w:i w:val="0"/>
          <w:caps w:val="0"/>
          <w:color w:val="auto"/>
          <w:spacing w:val="0"/>
          <w:w w:val="100"/>
          <w:sz w:val="24"/>
          <w:highlight w:val="none"/>
          <w:u w:val="dotted" w:color="000000"/>
        </w:rPr>
        <w:t xml:space="preserve">               </w:t>
      </w:r>
      <w:r>
        <w:rPr>
          <w:rFonts w:hint="eastAsia" w:ascii="宋体" w:hAnsi="宋体" w:eastAsia="宋体" w:cs="宋体"/>
          <w:b w:val="0"/>
          <w:i w:val="0"/>
          <w:caps w:val="0"/>
          <w:color w:val="auto"/>
          <w:spacing w:val="0"/>
          <w:w w:val="100"/>
          <w:sz w:val="24"/>
          <w:highlight w:val="none"/>
        </w:rPr>
        <w:t>包号：</w:t>
      </w:r>
      <w:r>
        <w:rPr>
          <w:rFonts w:hint="eastAsia" w:ascii="宋体" w:hAnsi="宋体" w:eastAsia="宋体" w:cs="宋体"/>
          <w:b w:val="0"/>
          <w:i w:val="0"/>
          <w:caps w:val="0"/>
          <w:color w:val="auto"/>
          <w:spacing w:val="0"/>
          <w:w w:val="100"/>
          <w:sz w:val="24"/>
          <w:highlight w:val="none"/>
          <w:u w:val="dotted" w:color="000000"/>
        </w:rPr>
        <w:t xml:space="preserve">                 </w:t>
      </w:r>
    </w:p>
    <w:p w14:paraId="2975E0BB">
      <w:pPr>
        <w:shd w:val="clear"/>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u w:val="dotted" w:color="000000"/>
        </w:rPr>
      </w:pPr>
      <w:r>
        <w:rPr>
          <w:rFonts w:hint="eastAsia" w:ascii="宋体" w:hAnsi="宋体" w:eastAsia="宋体" w:cs="宋体"/>
          <w:b w:val="0"/>
          <w:i w:val="0"/>
          <w:caps w:val="0"/>
          <w:color w:val="auto"/>
          <w:spacing w:val="0"/>
          <w:w w:val="100"/>
          <w:sz w:val="24"/>
          <w:highlight w:val="none"/>
        </w:rPr>
        <w:t>采购人名称：</w:t>
      </w:r>
      <w:r>
        <w:rPr>
          <w:rFonts w:hint="eastAsia" w:ascii="宋体" w:hAnsi="宋体" w:eastAsia="宋体" w:cs="宋体"/>
          <w:b w:val="0"/>
          <w:i w:val="0"/>
          <w:caps w:val="0"/>
          <w:color w:val="auto"/>
          <w:spacing w:val="0"/>
          <w:w w:val="100"/>
          <w:sz w:val="24"/>
          <w:highlight w:val="none"/>
          <w:u w:val="dotted" w:color="000000"/>
        </w:rPr>
        <w:t xml:space="preserve">                                         </w:t>
      </w:r>
    </w:p>
    <w:p w14:paraId="25F531E2">
      <w:pPr>
        <w:shd w:val="clear"/>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采购文件获取日期：</w:t>
      </w:r>
      <w:r>
        <w:rPr>
          <w:rFonts w:hint="eastAsia" w:ascii="宋体" w:hAnsi="宋体" w:eastAsia="宋体" w:cs="宋体"/>
          <w:b w:val="0"/>
          <w:i w:val="0"/>
          <w:caps w:val="0"/>
          <w:color w:val="auto"/>
          <w:spacing w:val="0"/>
          <w:w w:val="100"/>
          <w:sz w:val="24"/>
          <w:highlight w:val="none"/>
          <w:u w:val="dotted" w:color="000000"/>
        </w:rPr>
        <w:t xml:space="preserve">                                           </w:t>
      </w:r>
    </w:p>
    <w:p w14:paraId="18027489">
      <w:pPr>
        <w:shd w:val="clear"/>
        <w:snapToGrid w:val="0"/>
        <w:spacing w:before="312" w:beforeAutospacing="0" w:after="0" w:afterAutospacing="0" w:line="400" w:lineRule="exact"/>
        <w:jc w:val="both"/>
        <w:textAlignment w:val="baseline"/>
        <w:rPr>
          <w:rFonts w:hint="eastAsia" w:ascii="宋体" w:hAnsi="宋体" w:eastAsia="宋体" w:cs="宋体"/>
          <w:b w:val="0"/>
          <w:bCs/>
          <w:i w:val="0"/>
          <w:caps w:val="0"/>
          <w:color w:val="auto"/>
          <w:spacing w:val="0"/>
          <w:w w:val="100"/>
          <w:sz w:val="24"/>
          <w:highlight w:val="none"/>
        </w:rPr>
      </w:pPr>
      <w:r>
        <w:rPr>
          <w:rFonts w:hint="eastAsia" w:ascii="宋体" w:hAnsi="宋体" w:eastAsia="宋体" w:cs="宋体"/>
          <w:b w:val="0"/>
          <w:bCs/>
          <w:i w:val="0"/>
          <w:caps w:val="0"/>
          <w:color w:val="auto"/>
          <w:spacing w:val="0"/>
          <w:w w:val="100"/>
          <w:sz w:val="24"/>
          <w:highlight w:val="none"/>
        </w:rPr>
        <w:t>三、质疑事项具体内容</w:t>
      </w:r>
    </w:p>
    <w:p w14:paraId="367A2E17">
      <w:pPr>
        <w:shd w:val="clear"/>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u w:val="dotted" w:color="000000"/>
        </w:rPr>
      </w:pPr>
      <w:r>
        <w:rPr>
          <w:rFonts w:hint="eastAsia" w:ascii="宋体" w:hAnsi="宋体" w:eastAsia="宋体" w:cs="宋体"/>
          <w:b w:val="0"/>
          <w:i w:val="0"/>
          <w:caps w:val="0"/>
          <w:color w:val="auto"/>
          <w:spacing w:val="0"/>
          <w:w w:val="100"/>
          <w:sz w:val="24"/>
          <w:highlight w:val="none"/>
        </w:rPr>
        <w:t>质疑事项1：</w:t>
      </w:r>
      <w:r>
        <w:rPr>
          <w:rFonts w:hint="eastAsia" w:ascii="宋体" w:hAnsi="宋体" w:eastAsia="宋体" w:cs="宋体"/>
          <w:b w:val="0"/>
          <w:i w:val="0"/>
          <w:caps w:val="0"/>
          <w:color w:val="auto"/>
          <w:spacing w:val="0"/>
          <w:w w:val="100"/>
          <w:sz w:val="24"/>
          <w:highlight w:val="none"/>
          <w:u w:val="dotted" w:color="000000"/>
        </w:rPr>
        <w:t xml:space="preserve">                                         </w:t>
      </w:r>
    </w:p>
    <w:p w14:paraId="0A2A16C3">
      <w:pPr>
        <w:shd w:val="clear"/>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u w:val="dotted" w:color="000000"/>
        </w:rPr>
      </w:pPr>
      <w:r>
        <w:rPr>
          <w:rFonts w:hint="eastAsia" w:ascii="宋体" w:hAnsi="宋体" w:eastAsia="宋体" w:cs="宋体"/>
          <w:b w:val="0"/>
          <w:i w:val="0"/>
          <w:caps w:val="0"/>
          <w:color w:val="auto"/>
          <w:spacing w:val="0"/>
          <w:w w:val="100"/>
          <w:sz w:val="24"/>
          <w:highlight w:val="none"/>
        </w:rPr>
        <w:t>事实依据：</w:t>
      </w:r>
      <w:r>
        <w:rPr>
          <w:rFonts w:hint="eastAsia" w:ascii="宋体" w:hAnsi="宋体" w:eastAsia="宋体" w:cs="宋体"/>
          <w:b w:val="0"/>
          <w:i w:val="0"/>
          <w:caps w:val="0"/>
          <w:color w:val="auto"/>
          <w:spacing w:val="0"/>
          <w:w w:val="100"/>
          <w:sz w:val="24"/>
          <w:highlight w:val="none"/>
          <w:u w:val="dotted" w:color="000000"/>
        </w:rPr>
        <w:t xml:space="preserve">                                          </w:t>
      </w:r>
    </w:p>
    <w:p w14:paraId="20A4F579">
      <w:pPr>
        <w:shd w:val="clear"/>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u w:val="dotted" w:color="000000"/>
        </w:rPr>
        <w:t xml:space="preserve">                                                       </w:t>
      </w:r>
    </w:p>
    <w:p w14:paraId="4CF1B24B">
      <w:pPr>
        <w:shd w:val="clear"/>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u w:val="dotted" w:color="000000"/>
        </w:rPr>
      </w:pPr>
      <w:r>
        <w:rPr>
          <w:rFonts w:hint="eastAsia" w:ascii="宋体" w:hAnsi="宋体" w:eastAsia="宋体" w:cs="宋体"/>
          <w:b w:val="0"/>
          <w:i w:val="0"/>
          <w:caps w:val="0"/>
          <w:color w:val="auto"/>
          <w:spacing w:val="0"/>
          <w:w w:val="100"/>
          <w:sz w:val="24"/>
          <w:highlight w:val="none"/>
        </w:rPr>
        <w:t>法律依据：</w:t>
      </w:r>
      <w:r>
        <w:rPr>
          <w:rFonts w:hint="eastAsia" w:ascii="宋体" w:hAnsi="宋体" w:eastAsia="宋体" w:cs="宋体"/>
          <w:b w:val="0"/>
          <w:i w:val="0"/>
          <w:caps w:val="0"/>
          <w:color w:val="auto"/>
          <w:spacing w:val="0"/>
          <w:w w:val="100"/>
          <w:sz w:val="24"/>
          <w:highlight w:val="none"/>
          <w:u w:val="dotted" w:color="000000"/>
        </w:rPr>
        <w:t xml:space="preserve">                                          </w:t>
      </w:r>
    </w:p>
    <w:p w14:paraId="7E3C60F7">
      <w:pPr>
        <w:shd w:val="clear"/>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u w:val="dotted" w:color="000000"/>
        </w:rPr>
      </w:pPr>
      <w:r>
        <w:rPr>
          <w:rFonts w:hint="eastAsia" w:ascii="宋体" w:hAnsi="宋体" w:eastAsia="宋体" w:cs="宋体"/>
          <w:b w:val="0"/>
          <w:i w:val="0"/>
          <w:caps w:val="0"/>
          <w:color w:val="auto"/>
          <w:spacing w:val="0"/>
          <w:w w:val="100"/>
          <w:sz w:val="24"/>
          <w:highlight w:val="none"/>
          <w:u w:val="dotted" w:color="000000"/>
        </w:rPr>
        <w:t xml:space="preserve">                                                     </w:t>
      </w:r>
    </w:p>
    <w:p w14:paraId="4762ED36">
      <w:pPr>
        <w:shd w:val="clear"/>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u w:val="dotted" w:color="000000"/>
        </w:rPr>
      </w:pPr>
      <w:r>
        <w:rPr>
          <w:rFonts w:hint="eastAsia" w:ascii="宋体" w:hAnsi="宋体" w:eastAsia="宋体" w:cs="宋体"/>
          <w:b w:val="0"/>
          <w:i w:val="0"/>
          <w:caps w:val="0"/>
          <w:color w:val="auto"/>
          <w:spacing w:val="0"/>
          <w:w w:val="100"/>
          <w:sz w:val="24"/>
          <w:highlight w:val="none"/>
        </w:rPr>
        <w:t>质疑事项2</w:t>
      </w:r>
    </w:p>
    <w:p w14:paraId="5048C305">
      <w:pPr>
        <w:shd w:val="clear"/>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w:t>
      </w:r>
    </w:p>
    <w:p w14:paraId="7FC2A402">
      <w:pPr>
        <w:shd w:val="clear"/>
        <w:snapToGrid w:val="0"/>
        <w:spacing w:before="312" w:beforeAutospacing="0" w:after="0" w:afterAutospacing="0" w:line="400" w:lineRule="exact"/>
        <w:jc w:val="both"/>
        <w:textAlignment w:val="baseline"/>
        <w:rPr>
          <w:rFonts w:hint="eastAsia" w:ascii="宋体" w:hAnsi="宋体" w:eastAsia="宋体" w:cs="宋体"/>
          <w:b w:val="0"/>
          <w:bCs/>
          <w:i w:val="0"/>
          <w:caps w:val="0"/>
          <w:color w:val="auto"/>
          <w:spacing w:val="0"/>
          <w:w w:val="100"/>
          <w:sz w:val="24"/>
          <w:highlight w:val="none"/>
        </w:rPr>
      </w:pPr>
      <w:r>
        <w:rPr>
          <w:rFonts w:hint="eastAsia" w:ascii="宋体" w:hAnsi="宋体" w:eastAsia="宋体" w:cs="宋体"/>
          <w:b w:val="0"/>
          <w:bCs/>
          <w:i w:val="0"/>
          <w:caps w:val="0"/>
          <w:color w:val="auto"/>
          <w:spacing w:val="0"/>
          <w:w w:val="100"/>
          <w:sz w:val="24"/>
          <w:highlight w:val="none"/>
        </w:rPr>
        <w:t>四、与质疑事项相关的质疑请求</w:t>
      </w:r>
    </w:p>
    <w:p w14:paraId="47AF70F5">
      <w:pPr>
        <w:shd w:val="clear"/>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u w:val="dotted" w:color="000000"/>
        </w:rPr>
      </w:pPr>
      <w:r>
        <w:rPr>
          <w:rFonts w:hint="eastAsia" w:ascii="宋体" w:hAnsi="宋体" w:eastAsia="宋体" w:cs="宋体"/>
          <w:b w:val="0"/>
          <w:i w:val="0"/>
          <w:caps w:val="0"/>
          <w:color w:val="auto"/>
          <w:spacing w:val="0"/>
          <w:w w:val="100"/>
          <w:sz w:val="24"/>
          <w:highlight w:val="none"/>
        </w:rPr>
        <w:t>请求：</w:t>
      </w:r>
      <w:r>
        <w:rPr>
          <w:rFonts w:hint="eastAsia" w:ascii="宋体" w:hAnsi="宋体" w:eastAsia="宋体" w:cs="宋体"/>
          <w:b w:val="0"/>
          <w:i w:val="0"/>
          <w:caps w:val="0"/>
          <w:color w:val="auto"/>
          <w:spacing w:val="0"/>
          <w:w w:val="100"/>
          <w:sz w:val="24"/>
          <w:highlight w:val="none"/>
          <w:u w:val="dotted" w:color="000000"/>
        </w:rPr>
        <w:t xml:space="preserve">                                               </w:t>
      </w:r>
    </w:p>
    <w:p w14:paraId="5E8D5A97">
      <w:pPr>
        <w:shd w:val="clear"/>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 xml:space="preserve">签字(签章)：                   公章：                      </w:t>
      </w:r>
    </w:p>
    <w:p w14:paraId="2307FD60">
      <w:pPr>
        <w:shd w:val="clear"/>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 xml:space="preserve">日期：    </w:t>
      </w:r>
    </w:p>
    <w:p w14:paraId="60C32547">
      <w:pPr>
        <w:shd w:val="clear"/>
        <w:snapToGrid w:val="0"/>
        <w:spacing w:before="0" w:beforeAutospacing="0" w:after="0" w:afterAutospacing="0" w:line="400" w:lineRule="exact"/>
        <w:jc w:val="both"/>
        <w:textAlignment w:val="baseline"/>
        <w:rPr>
          <w:rFonts w:hint="eastAsia" w:ascii="宋体" w:hAnsi="宋体" w:eastAsia="宋体" w:cs="宋体"/>
          <w:b/>
          <w:i w:val="0"/>
          <w:caps w:val="0"/>
          <w:color w:val="auto"/>
          <w:spacing w:val="0"/>
          <w:w w:val="100"/>
          <w:sz w:val="24"/>
          <w:highlight w:val="none"/>
        </w:rPr>
      </w:pPr>
    </w:p>
    <w:p w14:paraId="53A060E4">
      <w:pPr>
        <w:rPr>
          <w:rFonts w:hint="eastAsia" w:ascii="宋体" w:hAnsi="宋体" w:eastAsia="宋体" w:cs="宋体"/>
          <w:b/>
          <w:i w:val="0"/>
          <w:caps w:val="0"/>
          <w:color w:val="auto"/>
          <w:spacing w:val="0"/>
          <w:w w:val="100"/>
          <w:sz w:val="24"/>
          <w:highlight w:val="none"/>
        </w:rPr>
      </w:pPr>
      <w:r>
        <w:rPr>
          <w:rFonts w:hint="eastAsia" w:ascii="宋体" w:hAnsi="宋体" w:eastAsia="宋体" w:cs="宋体"/>
          <w:b/>
          <w:i w:val="0"/>
          <w:caps w:val="0"/>
          <w:color w:val="auto"/>
          <w:spacing w:val="0"/>
          <w:w w:val="100"/>
          <w:sz w:val="24"/>
          <w:highlight w:val="none"/>
        </w:rPr>
        <w:br w:type="page"/>
      </w:r>
    </w:p>
    <w:p w14:paraId="1EB09461">
      <w:pPr>
        <w:shd w:val="clear"/>
        <w:snapToGrid w:val="0"/>
        <w:spacing w:before="0" w:beforeAutospacing="0" w:after="0" w:afterAutospacing="0" w:line="400" w:lineRule="exact"/>
        <w:jc w:val="both"/>
        <w:textAlignment w:val="baseline"/>
        <w:rPr>
          <w:rFonts w:hint="eastAsia" w:ascii="宋体" w:hAnsi="宋体" w:eastAsia="宋体" w:cs="宋体"/>
          <w:b/>
          <w:i w:val="0"/>
          <w:caps w:val="0"/>
          <w:color w:val="auto"/>
          <w:spacing w:val="0"/>
          <w:w w:val="100"/>
          <w:sz w:val="24"/>
          <w:highlight w:val="none"/>
        </w:rPr>
      </w:pPr>
      <w:r>
        <w:rPr>
          <w:rFonts w:hint="eastAsia" w:ascii="宋体" w:hAnsi="宋体" w:eastAsia="宋体" w:cs="宋体"/>
          <w:b/>
          <w:i w:val="0"/>
          <w:caps w:val="0"/>
          <w:color w:val="auto"/>
          <w:spacing w:val="0"/>
          <w:w w:val="100"/>
          <w:sz w:val="24"/>
          <w:highlight w:val="none"/>
        </w:rPr>
        <w:t>质疑函制作说明：</w:t>
      </w:r>
    </w:p>
    <w:p w14:paraId="05499030">
      <w:pPr>
        <w:widowControl/>
        <w:shd w:val="clear"/>
        <w:snapToGrid w:val="0"/>
        <w:spacing w:before="0" w:beforeAutospacing="0" w:after="0" w:afterAutospacing="0" w:line="400" w:lineRule="exact"/>
        <w:ind w:firstLine="480" w:firstLineChars="200"/>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1.供应商提出质疑时，应提交质疑函和必要的证明材料。</w:t>
      </w:r>
    </w:p>
    <w:p w14:paraId="6C6F65C0">
      <w:pPr>
        <w:widowControl/>
        <w:shd w:val="clear"/>
        <w:snapToGrid w:val="0"/>
        <w:spacing w:before="0" w:beforeAutospacing="0" w:after="0" w:afterAutospacing="0" w:line="400" w:lineRule="exact"/>
        <w:ind w:firstLine="480" w:firstLineChars="200"/>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2.质疑供应商若委托代理人进行质疑的，质疑函应按要求列明“授权代表”的有关内容，并在附件中提交由质疑</w:t>
      </w:r>
      <w:r>
        <w:rPr>
          <w:rFonts w:hint="eastAsia" w:ascii="宋体" w:hAnsi="宋体" w:eastAsia="宋体" w:cs="宋体"/>
          <w:b w:val="0"/>
          <w:i w:val="0"/>
          <w:caps w:val="0"/>
          <w:color w:val="auto"/>
          <w:spacing w:val="0"/>
          <w:w w:val="100"/>
          <w:kern w:val="0"/>
          <w:sz w:val="24"/>
          <w:highlight w:val="none"/>
        </w:rPr>
        <w:t>供应商签署的授权委托书。授权委托书应载明代理人的姓名或者名称、代理事项、具体权限、期限和相关事项。</w:t>
      </w:r>
    </w:p>
    <w:p w14:paraId="15A4056F">
      <w:pPr>
        <w:widowControl/>
        <w:shd w:val="clear"/>
        <w:snapToGrid w:val="0"/>
        <w:spacing w:before="0" w:beforeAutospacing="0" w:after="0" w:afterAutospacing="0" w:line="400" w:lineRule="exact"/>
        <w:ind w:firstLine="480" w:firstLineChars="200"/>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3.质疑供应商若对项目的某一分包进行质疑，质疑函中应列明具体分包号。</w:t>
      </w:r>
    </w:p>
    <w:p w14:paraId="47B2ECC1">
      <w:pPr>
        <w:widowControl/>
        <w:shd w:val="clear"/>
        <w:snapToGrid w:val="0"/>
        <w:spacing w:before="0" w:beforeAutospacing="0" w:after="0" w:afterAutospacing="0" w:line="400" w:lineRule="exact"/>
        <w:ind w:firstLine="480" w:firstLineChars="200"/>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4.质疑函的质疑事项应具体、明确，并有必要的事实依据和法律依据。</w:t>
      </w:r>
    </w:p>
    <w:p w14:paraId="34F0BCA5">
      <w:pPr>
        <w:widowControl/>
        <w:shd w:val="clear"/>
        <w:snapToGrid w:val="0"/>
        <w:spacing w:before="0" w:beforeAutospacing="0" w:after="0" w:afterAutospacing="0" w:line="400" w:lineRule="exact"/>
        <w:ind w:firstLine="480" w:firstLineChars="200"/>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5.质疑函的质疑请求应与质疑事项相关。</w:t>
      </w:r>
    </w:p>
    <w:p w14:paraId="29FCBC77">
      <w:pPr>
        <w:widowControl/>
        <w:shd w:val="clear"/>
        <w:snapToGrid w:val="0"/>
        <w:spacing w:before="0" w:beforeAutospacing="0" w:after="0" w:afterAutospacing="0" w:line="400" w:lineRule="exact"/>
        <w:ind w:firstLine="480" w:firstLineChars="200"/>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6.质疑供应商为自然人的，质疑函应由本人签字；质疑供应商为</w:t>
      </w:r>
      <w:r>
        <w:rPr>
          <w:rFonts w:hint="eastAsia" w:ascii="宋体" w:hAnsi="宋体" w:eastAsia="宋体" w:cs="宋体"/>
          <w:b w:val="0"/>
          <w:i w:val="0"/>
          <w:caps w:val="0"/>
          <w:color w:val="auto"/>
          <w:spacing w:val="0"/>
          <w:w w:val="100"/>
          <w:sz w:val="24"/>
          <w:highlight w:val="none"/>
          <w:lang w:eastAsia="zh-CN"/>
        </w:rPr>
        <w:t>法定代表人</w:t>
      </w:r>
      <w:r>
        <w:rPr>
          <w:rFonts w:hint="eastAsia" w:ascii="宋体" w:hAnsi="宋体" w:eastAsia="宋体" w:cs="宋体"/>
          <w:b w:val="0"/>
          <w:i w:val="0"/>
          <w:caps w:val="0"/>
          <w:color w:val="auto"/>
          <w:spacing w:val="0"/>
          <w:w w:val="100"/>
          <w:sz w:val="24"/>
          <w:highlight w:val="none"/>
        </w:rPr>
        <w:t>或者其他组织的，质疑函应由法定代表人、主要负责人，或者其授权代表签字或者盖章，并加盖公章。</w:t>
      </w:r>
    </w:p>
    <w:p w14:paraId="5D834F5A">
      <w:pPr>
        <w:spacing w:before="0" w:line="240" w:lineRule="atLeast"/>
        <w:jc w:val="both"/>
        <w:outlineLvl w:val="9"/>
        <w:rPr>
          <w:rFonts w:hint="eastAsia" w:ascii="宋体" w:hAnsi="宋体" w:eastAsia="宋体" w:cs="宋体"/>
          <w:color w:val="auto"/>
          <w:sz w:val="24"/>
          <w:szCs w:val="24"/>
          <w:highlight w:val="none"/>
        </w:rPr>
      </w:pPr>
    </w:p>
    <w:p w14:paraId="110D57FA">
      <w:pPr>
        <w:rPr>
          <w:rFonts w:hint="eastAsia" w:ascii="宋体" w:hAnsi="宋体" w:eastAsia="宋体" w:cs="宋体"/>
          <w:color w:val="auto"/>
          <w:sz w:val="24"/>
          <w:szCs w:val="24"/>
          <w:highlight w:val="none"/>
        </w:rPr>
      </w:pPr>
    </w:p>
    <w:bookmarkEnd w:id="365"/>
    <w:bookmarkEnd w:id="366"/>
    <w:bookmarkEnd w:id="367"/>
    <w:bookmarkEnd w:id="368"/>
    <w:bookmarkEnd w:id="369"/>
    <w:bookmarkEnd w:id="370"/>
    <w:bookmarkEnd w:id="371"/>
    <w:bookmarkEnd w:id="372"/>
    <w:p w14:paraId="1995D42E">
      <w:pPr>
        <w:tabs>
          <w:tab w:val="left" w:pos="0"/>
        </w:tabs>
        <w:spacing w:before="0" w:after="0" w:line="240" w:lineRule="atLeast"/>
        <w:jc w:val="center"/>
        <w:outlineLvl w:val="9"/>
        <w:rPr>
          <w:rFonts w:hint="eastAsia" w:ascii="宋体" w:hAnsi="宋体" w:eastAsia="宋体" w:cs="宋体"/>
          <w:color w:val="auto"/>
          <w:highlight w:val="none"/>
        </w:rPr>
      </w:pPr>
      <w:bookmarkStart w:id="494" w:name="_Toc728"/>
      <w:bookmarkStart w:id="495" w:name="_Toc702"/>
      <w:bookmarkStart w:id="496" w:name="_Toc216582812"/>
      <w:bookmarkStart w:id="497" w:name="_Toc515647802"/>
      <w:bookmarkStart w:id="498" w:name="_Toc29770"/>
    </w:p>
    <w:p w14:paraId="620F1FC9">
      <w:pPr>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494"/>
    <w:bookmarkEnd w:id="495"/>
    <w:bookmarkEnd w:id="496"/>
    <w:bookmarkEnd w:id="497"/>
    <w:bookmarkEnd w:id="498"/>
    <w:p w14:paraId="3E3CCF39">
      <w:pPr>
        <w:pStyle w:val="2"/>
        <w:shd w:val="clear"/>
        <w:snapToGrid w:val="0"/>
        <w:spacing w:before="0" w:beforeAutospacing="0" w:after="0" w:afterAutospacing="0" w:line="240" w:lineRule="atLeast"/>
        <w:jc w:val="center"/>
        <w:textAlignment w:val="baseline"/>
        <w:rPr>
          <w:rFonts w:hint="eastAsia" w:ascii="宋体" w:hAnsi="宋体" w:eastAsia="宋体" w:cs="宋体"/>
          <w:b/>
          <w:i w:val="0"/>
          <w:caps w:val="0"/>
          <w:color w:val="auto"/>
          <w:spacing w:val="0"/>
          <w:w w:val="100"/>
          <w:sz w:val="24"/>
          <w:highlight w:val="none"/>
        </w:rPr>
      </w:pPr>
      <w:bookmarkStart w:id="499" w:name="_Toc25242"/>
      <w:r>
        <w:rPr>
          <w:rFonts w:hint="eastAsia" w:ascii="宋体" w:hAnsi="宋体" w:eastAsia="宋体" w:cs="宋体"/>
          <w:b/>
          <w:i w:val="0"/>
          <w:caps w:val="0"/>
          <w:color w:val="auto"/>
          <w:spacing w:val="0"/>
          <w:w w:val="100"/>
          <w:sz w:val="24"/>
          <w:szCs w:val="24"/>
          <w:highlight w:val="none"/>
        </w:rPr>
        <w:t>第2章 响应文件格式</w:t>
      </w:r>
      <w:bookmarkEnd w:id="499"/>
    </w:p>
    <w:p w14:paraId="5EDFD726">
      <w:pPr>
        <w:pStyle w:val="3"/>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i w:val="0"/>
          <w:caps w:val="0"/>
          <w:color w:val="auto"/>
          <w:spacing w:val="0"/>
          <w:w w:val="100"/>
          <w:sz w:val="24"/>
          <w:highlight w:val="none"/>
        </w:rPr>
      </w:pPr>
      <w:bookmarkStart w:id="500" w:name="_Toc26489"/>
      <w:bookmarkStart w:id="501" w:name="_Toc18974"/>
      <w:bookmarkStart w:id="502" w:name="_Toc3315"/>
      <w:bookmarkStart w:id="503" w:name="_Toc21920"/>
      <w:bookmarkStart w:id="504" w:name="_Toc19961"/>
      <w:bookmarkStart w:id="505" w:name="_Toc18694"/>
      <w:bookmarkStart w:id="506" w:name="_Toc10335"/>
      <w:bookmarkStart w:id="507" w:name="_Toc515647803"/>
      <w:r>
        <w:rPr>
          <w:rFonts w:hint="eastAsia" w:ascii="宋体" w:hAnsi="宋体" w:eastAsia="宋体" w:cs="宋体"/>
          <w:b/>
          <w:i w:val="0"/>
          <w:caps w:val="0"/>
          <w:color w:val="auto"/>
          <w:spacing w:val="0"/>
          <w:w w:val="100"/>
          <w:sz w:val="24"/>
          <w:szCs w:val="24"/>
          <w:highlight w:val="none"/>
        </w:rPr>
        <w:t>第一部分 磋商开启一览表及资格证明文件</w:t>
      </w:r>
      <w:bookmarkEnd w:id="500"/>
      <w:bookmarkEnd w:id="501"/>
      <w:bookmarkEnd w:id="502"/>
      <w:bookmarkEnd w:id="503"/>
      <w:bookmarkEnd w:id="504"/>
      <w:bookmarkEnd w:id="505"/>
      <w:bookmarkEnd w:id="506"/>
      <w:bookmarkEnd w:id="507"/>
    </w:p>
    <w:p w14:paraId="7CC194B5">
      <w:pPr>
        <w:widowControl/>
        <w:snapToGrid w:val="0"/>
        <w:spacing w:line="360" w:lineRule="exact"/>
        <w:ind w:firstLine="480" w:firstLineChars="200"/>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磋商</w:t>
      </w:r>
      <w:r>
        <w:rPr>
          <w:rFonts w:hint="eastAsia" w:hAnsi="宋体" w:cs="宋体"/>
          <w:color w:val="auto"/>
          <w:sz w:val="24"/>
          <w:szCs w:val="24"/>
          <w:highlight w:val="none"/>
          <w:lang w:val="en-US" w:eastAsia="zh-CN"/>
        </w:rPr>
        <w:t>报价</w:t>
      </w:r>
      <w:r>
        <w:rPr>
          <w:rFonts w:hint="eastAsia" w:ascii="宋体" w:hAnsi="宋体" w:eastAsia="宋体" w:cs="宋体"/>
          <w:color w:val="auto"/>
          <w:sz w:val="24"/>
          <w:szCs w:val="24"/>
          <w:highlight w:val="none"/>
          <w:lang w:eastAsia="zh-CN"/>
        </w:rPr>
        <w:t>一览表；</w:t>
      </w:r>
    </w:p>
    <w:p w14:paraId="79E716B2">
      <w:pPr>
        <w:widowControl/>
        <w:snapToGrid w:val="0"/>
        <w:spacing w:line="360" w:lineRule="exact"/>
        <w:ind w:firstLine="480" w:firstLineChars="200"/>
        <w:jc w:val="left"/>
        <w:textAlignment w:val="baseline"/>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w:t>
      </w:r>
      <w:r>
        <w:rPr>
          <w:rFonts w:hint="eastAsia" w:ascii="宋体" w:hAnsi="宋体" w:cs="宋体"/>
          <w:color w:val="auto"/>
          <w:kern w:val="2"/>
          <w:sz w:val="24"/>
          <w:szCs w:val="24"/>
          <w:highlight w:val="none"/>
          <w:lang w:val="en-US" w:eastAsia="zh-CN" w:bidi="ar-SA"/>
        </w:rPr>
        <w:t>具有有效的独立法定代表人营业执照；</w:t>
      </w:r>
    </w:p>
    <w:p w14:paraId="1DE6A0CE">
      <w:pPr>
        <w:widowControl/>
        <w:snapToGrid w:val="0"/>
        <w:spacing w:line="360" w:lineRule="exact"/>
        <w:ind w:firstLine="480" w:firstLineChars="200"/>
        <w:jc w:val="left"/>
        <w:textAlignment w:val="baseline"/>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3.法定代表人需提供法定代表人身份证明扫描件加盖公章，被授权委托人需提供法人授权委托书扫描件加盖公章、法人身份证复印件及被授权委托人身份证扫描件加盖公章，被授权委托人必须是本单位正式员工；</w:t>
      </w:r>
    </w:p>
    <w:p w14:paraId="3FC48446">
      <w:pPr>
        <w:widowControl/>
        <w:snapToGrid w:val="0"/>
        <w:spacing w:line="360" w:lineRule="exact"/>
        <w:ind w:firstLine="480" w:firstLineChars="200"/>
        <w:jc w:val="left"/>
        <w:textAlignment w:val="baseline"/>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4.近两年任意一年的财务审计报告，包括资产负债表、现金流量表、利润表等（新成立公司需提供银行资信证明）；</w:t>
      </w:r>
    </w:p>
    <w:p w14:paraId="05365045">
      <w:pPr>
        <w:widowControl/>
        <w:snapToGrid w:val="0"/>
        <w:spacing w:line="360" w:lineRule="exact"/>
        <w:ind w:firstLine="480" w:firstLineChars="200"/>
        <w:jc w:val="left"/>
        <w:textAlignment w:val="baseline"/>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5.提供本单位缴纳的近六个月内任意一个月社保缴纳证明及明细；</w:t>
      </w:r>
    </w:p>
    <w:p w14:paraId="12D1B275">
      <w:pPr>
        <w:widowControl/>
        <w:snapToGrid w:val="0"/>
        <w:spacing w:line="360" w:lineRule="exact"/>
        <w:ind w:firstLine="480" w:firstLineChars="200"/>
        <w:jc w:val="left"/>
        <w:textAlignment w:val="baseline"/>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6.提供税务部门出具的近六个月任意一个月的完税证明；</w:t>
      </w:r>
    </w:p>
    <w:p w14:paraId="4342AB7A">
      <w:pPr>
        <w:widowControl/>
        <w:snapToGrid w:val="0"/>
        <w:spacing w:line="360" w:lineRule="exact"/>
        <w:ind w:firstLine="480" w:firstLineChars="200"/>
        <w:jc w:val="left"/>
        <w:textAlignment w:val="baseline"/>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7.供应商须具备[公路工程施工总承包叁级]（含）以上资质，且具有效的安全生产许可证；项目负责人须具备公路工程专业二级（含）以上注册建造师执业资格, 具备有效的安全生产考核合格证书，近 3 个月有效的社保证明，且未担任其他在施建设项目的项目负责人；</w:t>
      </w:r>
    </w:p>
    <w:p w14:paraId="2DA57864">
      <w:pPr>
        <w:keepNext w:val="0"/>
        <w:keepLines w:val="0"/>
        <w:pageBreakBefore w:val="0"/>
        <w:widowControl/>
        <w:kinsoku/>
        <w:wordWrap w:val="0"/>
        <w:overflowPunct/>
        <w:topLinePunct w:val="0"/>
        <w:autoSpaceDE/>
        <w:autoSpaceDN/>
        <w:bidi w:val="0"/>
        <w:adjustRightInd/>
        <w:snapToGrid w:val="0"/>
        <w:spacing w:line="360" w:lineRule="exact"/>
        <w:ind w:firstLine="480" w:firstLineChars="200"/>
        <w:jc w:val="left"/>
        <w:textAlignment w:val="baseline"/>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8.供应商在“信用中国 ”网站（www.creditchina.gov.cn）中查询“严重失信、经营异常”；“中国政府采购网”网站（http://www.ccgp.gov.cn/search/cr/）中查询“严重违法失信行为”；“国家企业信用信息公示系统”（http://www.gsxt.gov.cn）中查询“严重违法失信名单、经营异常名录”，尚在处罚期内的将拒绝其参加本次招标活动（请各供应商提供以上网站完整查询结果，并加盖本单位公章）；</w:t>
      </w:r>
    </w:p>
    <w:p w14:paraId="3145914E">
      <w:pPr>
        <w:widowControl/>
        <w:snapToGrid w:val="0"/>
        <w:spacing w:line="360" w:lineRule="exact"/>
        <w:ind w:firstLine="480" w:firstLineChars="200"/>
        <w:jc w:val="left"/>
        <w:textAlignment w:val="baseline"/>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9.参与政府采购活动前3年内未被列入失信、重大税收违法案件、财政部门禁止参加政府采购活动的承诺书；</w:t>
      </w:r>
    </w:p>
    <w:p w14:paraId="732441B3">
      <w:pPr>
        <w:widowControl/>
        <w:snapToGrid w:val="0"/>
        <w:spacing w:line="360" w:lineRule="exact"/>
        <w:ind w:firstLine="480" w:firstLineChars="200"/>
        <w:jc w:val="left"/>
        <w:textAlignment w:val="baseline"/>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10.提供针对本次项目《反商业贿赂承诺书》。</w:t>
      </w:r>
    </w:p>
    <w:p w14:paraId="3C1072EB">
      <w:pPr>
        <w:widowControl/>
        <w:snapToGrid w:val="0"/>
        <w:spacing w:line="360" w:lineRule="exact"/>
        <w:ind w:firstLine="480" w:firstLineChars="200"/>
        <w:jc w:val="left"/>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11.</w:t>
      </w:r>
      <w:r>
        <w:rPr>
          <w:rFonts w:hint="eastAsia" w:ascii="宋体" w:hAnsi="宋体" w:eastAsia="宋体" w:cs="宋体"/>
          <w:color w:val="auto"/>
          <w:kern w:val="2"/>
          <w:sz w:val="24"/>
          <w:szCs w:val="24"/>
          <w:highlight w:val="none"/>
          <w:lang w:val="en-US" w:eastAsia="zh-CN" w:bidi="ar-SA"/>
        </w:rPr>
        <w:t>缴纳磋商保证金有效凭证。</w:t>
      </w:r>
    </w:p>
    <w:p w14:paraId="0C7E6952">
      <w:pPr>
        <w:pStyle w:val="6"/>
        <w:rPr>
          <w:rFonts w:hint="default" w:eastAsia="宋体"/>
          <w:lang w:val="en-US" w:eastAsia="zh-CN"/>
        </w:rPr>
      </w:pPr>
      <w:r>
        <w:rPr>
          <w:rFonts w:hint="eastAsia" w:ascii="宋体" w:hAnsi="宋体" w:eastAsia="宋体" w:cs="宋体"/>
          <w:color w:val="auto"/>
          <w:sz w:val="24"/>
          <w:szCs w:val="24"/>
          <w:highlight w:val="none"/>
          <w:lang w:val="en-US" w:eastAsia="zh-CN"/>
        </w:rPr>
        <w:t>1</w:t>
      </w: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hAnsi="宋体" w:cs="宋体"/>
          <w:color w:val="auto"/>
          <w:sz w:val="24"/>
          <w:szCs w:val="24"/>
          <w:highlight w:val="none"/>
          <w:lang w:val="en-US" w:eastAsia="zh-CN"/>
        </w:rPr>
        <w:t>招标文件要求</w:t>
      </w:r>
      <w:r>
        <w:rPr>
          <w:rFonts w:hint="eastAsia" w:ascii="宋体" w:hAnsi="宋体" w:eastAsia="宋体" w:cs="宋体"/>
          <w:color w:val="auto"/>
          <w:sz w:val="24"/>
          <w:szCs w:val="24"/>
          <w:highlight w:val="none"/>
        </w:rPr>
        <w:t>其他资格证明材料</w:t>
      </w:r>
      <w:r>
        <w:rPr>
          <w:rFonts w:hint="eastAsia" w:ascii="宋体" w:hAnsi="宋体" w:eastAsia="宋体" w:cs="宋体"/>
          <w:color w:val="auto"/>
          <w:sz w:val="24"/>
          <w:szCs w:val="24"/>
          <w:highlight w:val="none"/>
          <w:lang w:eastAsia="zh-CN"/>
        </w:rPr>
        <w:t>及供应商</w:t>
      </w:r>
      <w:r>
        <w:rPr>
          <w:rFonts w:hint="eastAsia" w:ascii="宋体" w:hAnsi="宋体" w:eastAsia="宋体" w:cs="宋体"/>
          <w:color w:val="auto"/>
          <w:sz w:val="24"/>
          <w:szCs w:val="24"/>
          <w:highlight w:val="none"/>
        </w:rPr>
        <w:t>可提供有利于投标的其他资格证明材料。</w:t>
      </w:r>
    </w:p>
    <w:p w14:paraId="49BCDB93">
      <w:pPr>
        <w:keepNext w:val="0"/>
        <w:keepLines w:val="0"/>
        <w:pageBreakBefore w:val="0"/>
        <w:widowControl w:val="0"/>
        <w:shd w:val="clear"/>
        <w:kinsoku/>
        <w:wordWrap/>
        <w:overflowPunct/>
        <w:topLinePunct w:val="0"/>
        <w:autoSpaceDE/>
        <w:autoSpaceDN/>
        <w:bidi w:val="0"/>
        <w:adjustRightInd/>
        <w:snapToGrid/>
        <w:spacing w:line="360" w:lineRule="exact"/>
        <w:ind w:firstLine="480" w:firstLineChars="200"/>
        <w:textAlignment w:val="auto"/>
        <w:rPr>
          <w:rFonts w:hint="eastAsia"/>
          <w:highlight w:val="none"/>
        </w:rPr>
      </w:pPr>
      <w:r>
        <w:rPr>
          <w:rFonts w:hint="eastAsia" w:ascii="宋体" w:hAnsi="宋体" w:eastAsia="宋体" w:cs="宋体"/>
          <w:color w:val="auto"/>
          <w:kern w:val="2"/>
          <w:sz w:val="24"/>
          <w:szCs w:val="24"/>
          <w:highlight w:val="none"/>
          <w:lang w:val="en-US" w:eastAsia="zh-CN" w:bidi="ar-SA"/>
        </w:rPr>
        <w:t>注：1、“提供税务部门出具的近六个月任意一个月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供应商注意！</w:t>
      </w:r>
    </w:p>
    <w:p w14:paraId="5BFCEEAA">
      <w:pPr>
        <w:pStyle w:val="16"/>
        <w:rPr>
          <w:rFonts w:hint="eastAsia"/>
          <w:highlight w:val="none"/>
        </w:rPr>
      </w:pPr>
    </w:p>
    <w:p w14:paraId="7E5211CC">
      <w:pPr>
        <w:rPr>
          <w:rFonts w:hint="eastAsia" w:ascii="宋体" w:hAnsi="宋体" w:eastAsia="宋体" w:cs="宋体"/>
          <w:b/>
          <w:color w:val="auto"/>
          <w:sz w:val="24"/>
          <w:szCs w:val="24"/>
          <w:highlight w:val="none"/>
          <w:lang w:eastAsia="zh-CN"/>
        </w:rPr>
      </w:pPr>
      <w:bookmarkStart w:id="508" w:name="_Hlt520356241"/>
      <w:bookmarkEnd w:id="508"/>
      <w:bookmarkStart w:id="509" w:name="_Toc8471"/>
      <w:bookmarkStart w:id="510" w:name="_Toc494296984"/>
      <w:bookmarkStart w:id="511" w:name="_Toc520356217"/>
      <w:bookmarkStart w:id="512" w:name="_Toc216582813"/>
      <w:bookmarkStart w:id="513" w:name="_Toc480942349"/>
      <w:bookmarkStart w:id="514" w:name="_Ref467988698"/>
    </w:p>
    <w:p w14:paraId="00098DCA">
      <w:pPr>
        <w:rPr>
          <w:rFonts w:hint="eastAsia" w:ascii="宋体" w:hAnsi="宋体" w:eastAsia="宋体" w:cs="宋体"/>
          <w:b/>
          <w:color w:val="auto"/>
          <w:sz w:val="24"/>
          <w:szCs w:val="24"/>
          <w:highlight w:val="none"/>
          <w:lang w:eastAsia="zh-CN"/>
        </w:rPr>
      </w:pPr>
    </w:p>
    <w:p w14:paraId="56C8D21E">
      <w:pPr>
        <w:rPr>
          <w:rFonts w:hint="eastAsia" w:ascii="宋体" w:hAnsi="宋体" w:eastAsia="宋体" w:cs="宋体"/>
          <w:b/>
          <w:color w:val="auto"/>
          <w:sz w:val="24"/>
          <w:szCs w:val="24"/>
          <w:highlight w:val="none"/>
          <w:lang w:eastAsia="zh-CN"/>
        </w:rPr>
      </w:pPr>
    </w:p>
    <w:p w14:paraId="2A861105">
      <w:pPr>
        <w:rPr>
          <w:rFonts w:hint="eastAsia" w:ascii="宋体" w:hAnsi="宋体" w:eastAsia="宋体" w:cs="宋体"/>
          <w:b/>
          <w:color w:val="auto"/>
          <w:sz w:val="24"/>
          <w:szCs w:val="24"/>
          <w:highlight w:val="none"/>
          <w:lang w:eastAsia="zh-CN"/>
        </w:rPr>
      </w:pPr>
    </w:p>
    <w:p w14:paraId="5F1C8CCC">
      <w:pPr>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br w:type="page"/>
      </w:r>
    </w:p>
    <w:p w14:paraId="353CD321">
      <w:pPr>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lang w:eastAsia="zh-CN"/>
        </w:rPr>
        <w:t>磋商</w:t>
      </w:r>
      <w:r>
        <w:rPr>
          <w:rFonts w:hint="eastAsia" w:ascii="宋体" w:hAnsi="宋体" w:cs="宋体"/>
          <w:b/>
          <w:color w:val="auto"/>
          <w:sz w:val="24"/>
          <w:szCs w:val="24"/>
          <w:highlight w:val="none"/>
          <w:lang w:val="en-US" w:eastAsia="zh-CN"/>
        </w:rPr>
        <w:t>报价</w:t>
      </w:r>
      <w:r>
        <w:rPr>
          <w:rFonts w:hint="eastAsia" w:ascii="宋体" w:hAnsi="宋体" w:eastAsia="宋体" w:cs="宋体"/>
          <w:b/>
          <w:color w:val="auto"/>
          <w:sz w:val="24"/>
          <w:szCs w:val="24"/>
          <w:highlight w:val="none"/>
          <w:lang w:eastAsia="zh-CN"/>
        </w:rPr>
        <w:t>一览表</w:t>
      </w:r>
      <w:bookmarkEnd w:id="509"/>
    </w:p>
    <w:p w14:paraId="6576A24C">
      <w:pPr>
        <w:bidi w:val="0"/>
        <w:jc w:val="center"/>
        <w:rPr>
          <w:rFonts w:hint="eastAsia" w:ascii="宋体" w:hAnsi="宋体" w:eastAsia="宋体" w:cs="宋体"/>
          <w:b/>
          <w:bCs/>
          <w:sz w:val="24"/>
          <w:szCs w:val="32"/>
          <w:highlight w:val="none"/>
          <w:lang w:val="en-US" w:eastAsia="zh-CN"/>
        </w:rPr>
      </w:pPr>
    </w:p>
    <w:p w14:paraId="4C41BFAB">
      <w:pPr>
        <w:bidi w:val="0"/>
        <w:jc w:val="center"/>
        <w:rPr>
          <w:rFonts w:hint="eastAsia" w:ascii="宋体" w:hAnsi="宋体" w:eastAsia="宋体" w:cs="宋体"/>
          <w:b/>
          <w:bCs/>
          <w:sz w:val="24"/>
          <w:szCs w:val="32"/>
          <w:highlight w:val="none"/>
          <w:lang w:val="en-US" w:eastAsia="zh-CN"/>
        </w:rPr>
      </w:pPr>
      <w:r>
        <w:rPr>
          <w:rFonts w:hint="eastAsia" w:ascii="宋体" w:hAnsi="宋体" w:eastAsia="宋体" w:cs="宋体"/>
          <w:b/>
          <w:bCs/>
          <w:sz w:val="24"/>
          <w:szCs w:val="32"/>
          <w:highlight w:val="none"/>
          <w:lang w:val="en-US" w:eastAsia="zh-CN"/>
        </w:rPr>
        <w:t>磋商</w:t>
      </w:r>
      <w:r>
        <w:rPr>
          <w:rFonts w:hint="eastAsia" w:ascii="宋体" w:hAnsi="宋体" w:cs="宋体"/>
          <w:b/>
          <w:bCs/>
          <w:sz w:val="24"/>
          <w:szCs w:val="32"/>
          <w:highlight w:val="none"/>
          <w:lang w:val="en-US" w:eastAsia="zh-CN"/>
        </w:rPr>
        <w:t>报价</w:t>
      </w:r>
      <w:r>
        <w:rPr>
          <w:rFonts w:hint="eastAsia" w:ascii="宋体" w:hAnsi="宋体" w:eastAsia="宋体" w:cs="宋体"/>
          <w:b/>
          <w:bCs/>
          <w:sz w:val="24"/>
          <w:szCs w:val="32"/>
          <w:highlight w:val="none"/>
          <w:lang w:val="en-US" w:eastAsia="zh-CN"/>
        </w:rPr>
        <w:t>一览表</w:t>
      </w:r>
    </w:p>
    <w:p w14:paraId="47C30628">
      <w:pPr>
        <w:pStyle w:val="6"/>
        <w:tabs>
          <w:tab w:val="left" w:pos="5580"/>
        </w:tabs>
        <w:spacing w:line="240" w:lineRule="atLeast"/>
        <w:ind w:left="1080" w:leftChars="257" w:hanging="540"/>
        <w:outlineLvl w:val="9"/>
        <w:rPr>
          <w:rFonts w:hint="eastAsia" w:ascii="宋体" w:hAnsi="宋体" w:eastAsia="宋体" w:cs="宋体"/>
          <w:color w:val="auto"/>
          <w:sz w:val="24"/>
          <w:szCs w:val="24"/>
          <w:highlight w:val="none"/>
        </w:rPr>
      </w:pPr>
    </w:p>
    <w:p w14:paraId="1B1850B7">
      <w:pPr>
        <w:tabs>
          <w:tab w:val="left" w:pos="1800"/>
          <w:tab w:val="left" w:pos="5580"/>
        </w:tabs>
        <w:spacing w:line="240" w:lineRule="atLeast"/>
        <w:ind w:right="-867" w:rightChars="-4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r>
        <w:rPr>
          <w:rFonts w:hint="eastAsia" w:ascii="宋体" w:hAnsi="宋体" w:eastAsia="宋体" w:cs="宋体"/>
          <w:color w:val="auto"/>
          <w:sz w:val="24"/>
          <w:szCs w:val="24"/>
          <w:highlight w:val="none"/>
          <w:lang w:eastAsia="zh-CN"/>
        </w:rPr>
        <w:t>项目编号</w:t>
      </w:r>
      <w:r>
        <w:rPr>
          <w:rFonts w:hint="eastAsia" w:ascii="宋体" w:hAnsi="宋体" w:eastAsia="宋体" w:cs="宋体"/>
          <w:color w:val="auto"/>
          <w:sz w:val="24"/>
          <w:szCs w:val="24"/>
          <w:highlight w:val="none"/>
        </w:rPr>
        <w:t xml:space="preserve">：                 </w:t>
      </w:r>
    </w:p>
    <w:p w14:paraId="2F32A2E8">
      <w:pPr>
        <w:tabs>
          <w:tab w:val="left" w:pos="1800"/>
          <w:tab w:val="left" w:pos="5580"/>
        </w:tabs>
        <w:spacing w:line="240" w:lineRule="atLeast"/>
        <w:ind w:right="-867" w:rightChars="-413"/>
        <w:rPr>
          <w:rFonts w:hint="eastAsia" w:ascii="宋体" w:hAnsi="宋体" w:eastAsia="宋体" w:cs="宋体"/>
          <w:color w:val="auto"/>
          <w:sz w:val="24"/>
          <w:szCs w:val="24"/>
          <w:highlight w:val="none"/>
        </w:rPr>
      </w:pPr>
    </w:p>
    <w:p w14:paraId="5A770DC9">
      <w:pPr>
        <w:tabs>
          <w:tab w:val="left" w:pos="1800"/>
          <w:tab w:val="left" w:pos="5580"/>
        </w:tabs>
        <w:spacing w:line="240" w:lineRule="atLeast"/>
        <w:ind w:right="-867" w:rightChars="-4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 xml:space="preserve">单位：人民币  </w:t>
      </w:r>
      <w:r>
        <w:rPr>
          <w:rFonts w:hint="eastAsia" w:ascii="宋体" w:hAnsi="宋体" w:eastAsia="宋体" w:cs="宋体"/>
          <w:b/>
          <w:color w:val="auto"/>
          <w:sz w:val="24"/>
          <w:szCs w:val="24"/>
          <w:highlight w:val="none"/>
        </w:rPr>
        <w:t xml:space="preserve">元                 </w:t>
      </w:r>
      <w:r>
        <w:rPr>
          <w:rFonts w:hint="eastAsia" w:ascii="宋体" w:hAnsi="宋体" w:eastAsia="宋体" w:cs="宋体"/>
          <w:color w:val="auto"/>
          <w:sz w:val="24"/>
          <w:szCs w:val="24"/>
          <w:highlight w:val="none"/>
        </w:rPr>
        <w:t xml:space="preserve">      </w:t>
      </w:r>
    </w:p>
    <w:tbl>
      <w:tblPr>
        <w:tblStyle w:val="24"/>
        <w:tblW w:w="8349" w:type="dxa"/>
        <w:tblInd w:w="0" w:type="dxa"/>
        <w:tblLayout w:type="fixed"/>
        <w:tblCellMar>
          <w:top w:w="0" w:type="dxa"/>
          <w:left w:w="0" w:type="dxa"/>
          <w:bottom w:w="0" w:type="dxa"/>
          <w:right w:w="0" w:type="dxa"/>
        </w:tblCellMar>
      </w:tblPr>
      <w:tblGrid>
        <w:gridCol w:w="1551"/>
        <w:gridCol w:w="1367"/>
        <w:gridCol w:w="1273"/>
        <w:gridCol w:w="1299"/>
        <w:gridCol w:w="1527"/>
        <w:gridCol w:w="1332"/>
      </w:tblGrid>
      <w:tr w14:paraId="733F7794">
        <w:tblPrEx>
          <w:tblCellMar>
            <w:top w:w="0" w:type="dxa"/>
            <w:left w:w="0" w:type="dxa"/>
            <w:bottom w:w="0" w:type="dxa"/>
            <w:right w:w="0" w:type="dxa"/>
          </w:tblCellMar>
        </w:tblPrEx>
        <w:trPr>
          <w:trHeight w:val="631" w:hRule="atLeast"/>
        </w:trPr>
        <w:tc>
          <w:tcPr>
            <w:tcW w:w="1551" w:type="dxa"/>
            <w:tcBorders>
              <w:top w:val="single" w:color="auto" w:sz="4" w:space="0"/>
              <w:left w:val="single" w:color="auto" w:sz="4" w:space="0"/>
              <w:bottom w:val="single" w:color="auto" w:sz="8" w:space="0"/>
              <w:right w:val="single" w:color="auto" w:sz="4" w:space="0"/>
            </w:tcBorders>
            <w:vAlign w:val="center"/>
          </w:tcPr>
          <w:p w14:paraId="3F46D122">
            <w:pPr>
              <w:tabs>
                <w:tab w:val="left" w:pos="5580"/>
              </w:tabs>
              <w:spacing w:line="240" w:lineRule="atLeast"/>
              <w:ind w:right="-199"/>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val="en-US" w:eastAsia="zh-CN"/>
              </w:rPr>
              <w:t>名称</w:t>
            </w:r>
          </w:p>
        </w:tc>
        <w:tc>
          <w:tcPr>
            <w:tcW w:w="1367" w:type="dxa"/>
            <w:tcBorders>
              <w:top w:val="single" w:color="auto" w:sz="4" w:space="0"/>
              <w:left w:val="single" w:color="auto" w:sz="8" w:space="0"/>
              <w:bottom w:val="single" w:color="auto" w:sz="8" w:space="0"/>
              <w:right w:val="single" w:color="auto" w:sz="4" w:space="0"/>
            </w:tcBorders>
            <w:vAlign w:val="center"/>
          </w:tcPr>
          <w:p w14:paraId="23D3ED8E">
            <w:pPr>
              <w:tabs>
                <w:tab w:val="left" w:pos="5580"/>
              </w:tabs>
              <w:spacing w:line="240" w:lineRule="atLeas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w:t>
            </w:r>
            <w:r>
              <w:rPr>
                <w:rFonts w:hint="eastAsia" w:ascii="宋体" w:hAnsi="宋体" w:cs="宋体"/>
                <w:color w:val="auto"/>
                <w:sz w:val="24"/>
                <w:szCs w:val="24"/>
                <w:highlight w:val="none"/>
                <w:lang w:val="en-US" w:eastAsia="zh-CN"/>
              </w:rPr>
              <w:t>报</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元</w:t>
            </w:r>
            <w:r>
              <w:rPr>
                <w:rFonts w:hint="eastAsia" w:ascii="宋体" w:hAnsi="宋体" w:cs="宋体"/>
                <w:color w:val="auto"/>
                <w:sz w:val="24"/>
                <w:szCs w:val="24"/>
                <w:highlight w:val="none"/>
                <w:lang w:eastAsia="zh-CN"/>
              </w:rPr>
              <w:t>）</w:t>
            </w:r>
          </w:p>
        </w:tc>
        <w:tc>
          <w:tcPr>
            <w:tcW w:w="1273" w:type="dxa"/>
            <w:tcBorders>
              <w:top w:val="single" w:color="auto" w:sz="8" w:space="0"/>
              <w:left w:val="nil"/>
              <w:bottom w:val="single" w:color="auto" w:sz="8" w:space="0"/>
              <w:right w:val="single" w:color="auto" w:sz="4" w:space="0"/>
            </w:tcBorders>
            <w:vAlign w:val="center"/>
          </w:tcPr>
          <w:p w14:paraId="10533775">
            <w:pPr>
              <w:tabs>
                <w:tab w:val="left" w:pos="5580"/>
              </w:tabs>
              <w:spacing w:line="240" w:lineRule="atLeas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磋商保证金</w:t>
            </w:r>
          </w:p>
        </w:tc>
        <w:tc>
          <w:tcPr>
            <w:tcW w:w="1299" w:type="dxa"/>
            <w:tcBorders>
              <w:top w:val="single" w:color="auto" w:sz="8" w:space="0"/>
              <w:left w:val="nil"/>
              <w:bottom w:val="single" w:color="auto" w:sz="8" w:space="0"/>
              <w:right w:val="single" w:color="auto" w:sz="4" w:space="0"/>
            </w:tcBorders>
            <w:vAlign w:val="center"/>
          </w:tcPr>
          <w:p w14:paraId="0BAE2068">
            <w:pPr>
              <w:tabs>
                <w:tab w:val="left" w:pos="5580"/>
              </w:tabs>
              <w:spacing w:line="240" w:lineRule="atLeas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履约期限</w:t>
            </w:r>
          </w:p>
        </w:tc>
        <w:tc>
          <w:tcPr>
            <w:tcW w:w="1527" w:type="dxa"/>
            <w:tcBorders>
              <w:top w:val="single" w:color="auto" w:sz="8" w:space="0"/>
              <w:left w:val="nil"/>
              <w:bottom w:val="single" w:color="auto" w:sz="8" w:space="0"/>
              <w:right w:val="single" w:color="auto" w:sz="4" w:space="0"/>
            </w:tcBorders>
            <w:vAlign w:val="center"/>
          </w:tcPr>
          <w:p w14:paraId="40CCEE5F">
            <w:pPr>
              <w:tabs>
                <w:tab w:val="left" w:pos="5580"/>
              </w:tabs>
              <w:spacing w:line="240" w:lineRule="atLeas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履约</w:t>
            </w:r>
            <w:r>
              <w:rPr>
                <w:rFonts w:hint="eastAsia" w:ascii="宋体" w:hAnsi="宋体" w:eastAsia="宋体" w:cs="宋体"/>
                <w:color w:val="auto"/>
                <w:sz w:val="24"/>
                <w:szCs w:val="24"/>
                <w:highlight w:val="none"/>
                <w:lang w:eastAsia="zh-CN"/>
              </w:rPr>
              <w:t>地点</w:t>
            </w:r>
          </w:p>
        </w:tc>
        <w:tc>
          <w:tcPr>
            <w:tcW w:w="1332" w:type="dxa"/>
            <w:tcBorders>
              <w:top w:val="single" w:color="auto" w:sz="8" w:space="0"/>
              <w:left w:val="nil"/>
              <w:bottom w:val="single" w:color="auto" w:sz="8" w:space="0"/>
              <w:right w:val="single" w:color="auto" w:sz="4" w:space="0"/>
            </w:tcBorders>
            <w:vAlign w:val="center"/>
          </w:tcPr>
          <w:p w14:paraId="6847FAEA">
            <w:pPr>
              <w:tabs>
                <w:tab w:val="left" w:pos="5580"/>
              </w:tabs>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14:paraId="41BFA25A">
        <w:tblPrEx>
          <w:tblCellMar>
            <w:top w:w="0" w:type="dxa"/>
            <w:left w:w="0" w:type="dxa"/>
            <w:bottom w:w="0" w:type="dxa"/>
            <w:right w:w="0" w:type="dxa"/>
          </w:tblCellMar>
        </w:tblPrEx>
        <w:trPr>
          <w:cantSplit/>
          <w:trHeight w:val="1545" w:hRule="atLeast"/>
        </w:trPr>
        <w:tc>
          <w:tcPr>
            <w:tcW w:w="1551" w:type="dxa"/>
            <w:tcBorders>
              <w:top w:val="single" w:color="auto" w:sz="8" w:space="0"/>
              <w:left w:val="single" w:color="auto" w:sz="4" w:space="0"/>
              <w:bottom w:val="single" w:color="auto" w:sz="4" w:space="0"/>
              <w:right w:val="single" w:color="auto" w:sz="4" w:space="0"/>
            </w:tcBorders>
            <w:vAlign w:val="center"/>
          </w:tcPr>
          <w:p w14:paraId="43B00983">
            <w:pPr>
              <w:tabs>
                <w:tab w:val="left" w:pos="5580"/>
              </w:tabs>
              <w:spacing w:line="240" w:lineRule="atLeast"/>
              <w:ind w:left="1080" w:leftChars="257" w:hanging="540"/>
              <w:jc w:val="center"/>
              <w:rPr>
                <w:rFonts w:hint="eastAsia" w:ascii="宋体" w:hAnsi="宋体" w:eastAsia="宋体" w:cs="宋体"/>
                <w:color w:val="auto"/>
                <w:sz w:val="24"/>
                <w:szCs w:val="24"/>
                <w:highlight w:val="none"/>
              </w:rPr>
            </w:pPr>
          </w:p>
        </w:tc>
        <w:tc>
          <w:tcPr>
            <w:tcW w:w="1367" w:type="dxa"/>
            <w:tcBorders>
              <w:top w:val="single" w:color="auto" w:sz="8" w:space="0"/>
              <w:left w:val="single" w:color="auto" w:sz="8" w:space="0"/>
              <w:bottom w:val="single" w:color="auto" w:sz="4" w:space="0"/>
              <w:right w:val="single" w:color="auto" w:sz="4" w:space="0"/>
            </w:tcBorders>
            <w:vAlign w:val="center"/>
          </w:tcPr>
          <w:p w14:paraId="0BFD61C4">
            <w:pPr>
              <w:tabs>
                <w:tab w:val="left" w:pos="5580"/>
              </w:tabs>
              <w:spacing w:line="24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p>
          <w:p w14:paraId="4B88FF55">
            <w:pPr>
              <w:tabs>
                <w:tab w:val="left" w:pos="5580"/>
              </w:tabs>
              <w:spacing w:line="24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p>
        </w:tc>
        <w:tc>
          <w:tcPr>
            <w:tcW w:w="1273" w:type="dxa"/>
            <w:tcBorders>
              <w:top w:val="single" w:color="auto" w:sz="8" w:space="0"/>
              <w:left w:val="nil"/>
              <w:bottom w:val="single" w:color="auto" w:sz="4" w:space="0"/>
              <w:right w:val="single" w:color="auto" w:sz="4" w:space="0"/>
            </w:tcBorders>
            <w:vAlign w:val="center"/>
          </w:tcPr>
          <w:p w14:paraId="3CAAD58A">
            <w:pPr>
              <w:tabs>
                <w:tab w:val="left" w:pos="5580"/>
              </w:tabs>
              <w:spacing w:line="240" w:lineRule="atLeast"/>
              <w:ind w:left="1080" w:leftChars="257" w:hanging="540"/>
              <w:jc w:val="center"/>
              <w:rPr>
                <w:rFonts w:hint="eastAsia" w:ascii="宋体" w:hAnsi="宋体" w:eastAsia="宋体" w:cs="宋体"/>
                <w:color w:val="auto"/>
                <w:sz w:val="24"/>
                <w:szCs w:val="24"/>
                <w:highlight w:val="none"/>
              </w:rPr>
            </w:pPr>
          </w:p>
        </w:tc>
        <w:tc>
          <w:tcPr>
            <w:tcW w:w="1299" w:type="dxa"/>
            <w:tcBorders>
              <w:top w:val="single" w:color="auto" w:sz="8" w:space="0"/>
              <w:left w:val="nil"/>
              <w:bottom w:val="single" w:color="auto" w:sz="4" w:space="0"/>
              <w:right w:val="single" w:color="auto" w:sz="4" w:space="0"/>
            </w:tcBorders>
            <w:vAlign w:val="center"/>
          </w:tcPr>
          <w:p w14:paraId="68DBDFBC">
            <w:pPr>
              <w:tabs>
                <w:tab w:val="left" w:pos="5580"/>
              </w:tabs>
              <w:spacing w:line="240" w:lineRule="atLeast"/>
              <w:jc w:val="center"/>
              <w:rPr>
                <w:rFonts w:hint="eastAsia" w:ascii="宋体" w:hAnsi="宋体" w:eastAsia="宋体" w:cs="宋体"/>
                <w:color w:val="auto"/>
                <w:sz w:val="24"/>
                <w:szCs w:val="24"/>
                <w:highlight w:val="none"/>
              </w:rPr>
            </w:pPr>
          </w:p>
        </w:tc>
        <w:tc>
          <w:tcPr>
            <w:tcW w:w="1527" w:type="dxa"/>
            <w:tcBorders>
              <w:top w:val="single" w:color="auto" w:sz="8" w:space="0"/>
              <w:left w:val="nil"/>
              <w:bottom w:val="single" w:color="auto" w:sz="4" w:space="0"/>
              <w:right w:val="single" w:color="auto" w:sz="4" w:space="0"/>
            </w:tcBorders>
            <w:vAlign w:val="center"/>
          </w:tcPr>
          <w:p w14:paraId="4102F789">
            <w:pPr>
              <w:tabs>
                <w:tab w:val="left" w:pos="5580"/>
              </w:tabs>
              <w:spacing w:line="240" w:lineRule="atLeast"/>
              <w:jc w:val="center"/>
              <w:rPr>
                <w:rFonts w:hint="eastAsia" w:ascii="宋体" w:hAnsi="宋体" w:eastAsia="宋体" w:cs="宋体"/>
                <w:color w:val="auto"/>
                <w:sz w:val="24"/>
                <w:szCs w:val="24"/>
                <w:highlight w:val="none"/>
              </w:rPr>
            </w:pPr>
          </w:p>
        </w:tc>
        <w:tc>
          <w:tcPr>
            <w:tcW w:w="1332" w:type="dxa"/>
            <w:tcBorders>
              <w:top w:val="single" w:color="auto" w:sz="8" w:space="0"/>
              <w:left w:val="nil"/>
              <w:bottom w:val="single" w:color="auto" w:sz="4" w:space="0"/>
              <w:right w:val="single" w:color="auto" w:sz="4" w:space="0"/>
            </w:tcBorders>
            <w:vAlign w:val="center"/>
          </w:tcPr>
          <w:p w14:paraId="3986A076">
            <w:pPr>
              <w:tabs>
                <w:tab w:val="left" w:pos="5580"/>
              </w:tabs>
              <w:spacing w:line="240" w:lineRule="atLeast"/>
              <w:jc w:val="center"/>
              <w:rPr>
                <w:rFonts w:hint="eastAsia" w:ascii="宋体" w:hAnsi="宋体" w:eastAsia="宋体" w:cs="宋体"/>
                <w:color w:val="auto"/>
                <w:sz w:val="24"/>
                <w:szCs w:val="24"/>
                <w:highlight w:val="none"/>
              </w:rPr>
            </w:pPr>
          </w:p>
        </w:tc>
      </w:tr>
    </w:tbl>
    <w:p w14:paraId="4AC247CC">
      <w:pPr>
        <w:pStyle w:val="11"/>
        <w:tabs>
          <w:tab w:val="left" w:pos="5580"/>
        </w:tabs>
        <w:spacing w:line="240" w:lineRule="atLeast"/>
        <w:ind w:left="1080" w:leftChars="257" w:hanging="540"/>
        <w:rPr>
          <w:rFonts w:hint="eastAsia" w:ascii="宋体" w:hAnsi="宋体" w:eastAsia="宋体" w:cs="宋体"/>
          <w:color w:val="auto"/>
          <w:sz w:val="24"/>
          <w:szCs w:val="24"/>
          <w:highlight w:val="none"/>
        </w:rPr>
      </w:pPr>
    </w:p>
    <w:p w14:paraId="01A552D7">
      <w:pPr>
        <w:pStyle w:val="11"/>
        <w:tabs>
          <w:tab w:val="left" w:pos="5580"/>
        </w:tabs>
        <w:spacing w:line="240" w:lineRule="atLeast"/>
        <w:ind w:left="1080" w:leftChars="257" w:hanging="540"/>
        <w:rPr>
          <w:rFonts w:hint="eastAsia" w:ascii="宋体" w:hAnsi="宋体" w:eastAsia="宋体" w:cs="宋体"/>
          <w:color w:val="auto"/>
          <w:sz w:val="24"/>
          <w:szCs w:val="24"/>
          <w:highlight w:val="none"/>
          <w:u w:val="single"/>
        </w:rPr>
      </w:pPr>
    </w:p>
    <w:p w14:paraId="31F3AA67">
      <w:pPr>
        <w:pStyle w:val="11"/>
        <w:shd w:val="clear"/>
        <w:tabs>
          <w:tab w:val="left" w:pos="5580"/>
        </w:tabs>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供应商名称（公章）：</w:t>
      </w:r>
      <w:r>
        <w:rPr>
          <w:rFonts w:hint="eastAsia" w:ascii="宋体" w:hAnsi="宋体" w:eastAsia="宋体" w:cs="宋体"/>
          <w:b w:val="0"/>
          <w:i w:val="0"/>
          <w:caps w:val="0"/>
          <w:color w:val="auto"/>
          <w:spacing w:val="0"/>
          <w:w w:val="100"/>
          <w:sz w:val="24"/>
          <w:szCs w:val="24"/>
          <w:highlight w:val="none"/>
          <w:u w:val="single" w:color="000000"/>
        </w:rPr>
        <w:t xml:space="preserve">                       </w:t>
      </w:r>
    </w:p>
    <w:p w14:paraId="69E0F8FC">
      <w:pPr>
        <w:pStyle w:val="11"/>
        <w:shd w:val="clear"/>
        <w:tabs>
          <w:tab w:val="left" w:pos="5580"/>
        </w:tabs>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u w:val="single" w:color="000000"/>
        </w:rPr>
      </w:pPr>
      <w:r>
        <w:rPr>
          <w:rFonts w:hint="eastAsia" w:ascii="宋体" w:hAnsi="宋体" w:eastAsia="宋体" w:cs="宋体"/>
          <w:b w:val="0"/>
          <w:i w:val="0"/>
          <w:caps w:val="0"/>
          <w:color w:val="auto"/>
          <w:spacing w:val="0"/>
          <w:w w:val="100"/>
          <w:sz w:val="24"/>
          <w:szCs w:val="24"/>
          <w:highlight w:val="none"/>
        </w:rPr>
        <w:t>法定代表人或委托代理(签字</w:t>
      </w:r>
      <w:r>
        <w:rPr>
          <w:rFonts w:hint="eastAsia" w:hAnsi="宋体" w:cs="宋体"/>
          <w:b w:val="0"/>
          <w:i w:val="0"/>
          <w:caps w:val="0"/>
          <w:color w:val="auto"/>
          <w:spacing w:val="0"/>
          <w:w w:val="100"/>
          <w:sz w:val="24"/>
          <w:szCs w:val="24"/>
          <w:highlight w:val="none"/>
          <w:lang w:val="en-US" w:eastAsia="zh-CN"/>
        </w:rPr>
        <w:t>或盖章</w:t>
      </w:r>
      <w:r>
        <w:rPr>
          <w:rFonts w:hint="eastAsia" w:ascii="宋体" w:hAnsi="宋体" w:eastAsia="宋体" w:cs="宋体"/>
          <w:b w:val="0"/>
          <w:i w:val="0"/>
          <w:caps w:val="0"/>
          <w:color w:val="auto"/>
          <w:spacing w:val="0"/>
          <w:w w:val="100"/>
          <w:sz w:val="24"/>
          <w:szCs w:val="24"/>
          <w:highlight w:val="none"/>
        </w:rPr>
        <w:t>):</w:t>
      </w:r>
      <w:r>
        <w:rPr>
          <w:rFonts w:hint="eastAsia" w:ascii="宋体" w:hAnsi="宋体" w:eastAsia="宋体" w:cs="宋体"/>
          <w:b w:val="0"/>
          <w:i w:val="0"/>
          <w:caps w:val="0"/>
          <w:color w:val="auto"/>
          <w:spacing w:val="0"/>
          <w:w w:val="100"/>
          <w:sz w:val="24"/>
          <w:szCs w:val="24"/>
          <w:highlight w:val="none"/>
          <w:u w:val="single" w:color="000000"/>
        </w:rPr>
        <w:tab/>
      </w:r>
    </w:p>
    <w:p w14:paraId="4B4DAF1F">
      <w:pPr>
        <w:pStyle w:val="11"/>
        <w:shd w:val="clear"/>
        <w:tabs>
          <w:tab w:val="left" w:pos="5580"/>
        </w:tabs>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p w14:paraId="43B092D5">
      <w:pPr>
        <w:pStyle w:val="6"/>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注: 1、此表应按供应商须知的规定填写。</w:t>
      </w:r>
    </w:p>
    <w:p w14:paraId="762254CE">
      <w:pPr>
        <w:pStyle w:val="6"/>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2、此表中，投标总价应和投标分项报价表的总价相一致。</w:t>
      </w:r>
    </w:p>
    <w:p w14:paraId="0C8EFA8C">
      <w:pPr>
        <w:pStyle w:val="6"/>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rPr>
        <w:t>3、此报价包括施工工程量清单内的所有监理服务的全部费用。</w:t>
      </w:r>
    </w:p>
    <w:p w14:paraId="61A5A66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End w:id="510"/>
      <w:bookmarkStart w:id="515" w:name="_Toc31862"/>
    </w:p>
    <w:p w14:paraId="3A90420D">
      <w:pPr>
        <w:rPr>
          <w:rFonts w:hint="eastAsia" w:ascii="宋体" w:hAnsi="宋体" w:eastAsia="宋体" w:cs="宋体"/>
          <w:color w:val="auto"/>
          <w:sz w:val="24"/>
          <w:szCs w:val="24"/>
          <w:highlight w:val="none"/>
        </w:rPr>
      </w:pPr>
    </w:p>
    <w:bookmarkEnd w:id="515"/>
    <w:p w14:paraId="2807AECA">
      <w:pPr>
        <w:rPr>
          <w:rFonts w:hint="eastAsia" w:ascii="宋体" w:hAnsi="宋体" w:eastAsia="宋体" w:cs="宋体"/>
          <w:b/>
          <w:color w:val="auto"/>
          <w:kern w:val="0"/>
          <w:sz w:val="24"/>
          <w:szCs w:val="24"/>
          <w:highlight w:val="none"/>
          <w:lang w:val="en-US" w:eastAsia="zh-CN" w:bidi="ar-SA"/>
        </w:rPr>
      </w:pPr>
      <w:bookmarkStart w:id="516" w:name="_Toc8331"/>
      <w:bookmarkStart w:id="517" w:name="_Toc26792"/>
      <w:bookmarkStart w:id="518" w:name="_Toc21574"/>
      <w:r>
        <w:rPr>
          <w:rFonts w:hint="eastAsia" w:ascii="宋体" w:hAnsi="宋体" w:eastAsia="宋体" w:cs="宋体"/>
          <w:b/>
          <w:color w:val="auto"/>
          <w:kern w:val="0"/>
          <w:sz w:val="24"/>
          <w:szCs w:val="24"/>
          <w:highlight w:val="none"/>
          <w:lang w:val="en-US" w:eastAsia="zh-CN" w:bidi="ar-SA"/>
        </w:rPr>
        <w:br w:type="page"/>
      </w:r>
    </w:p>
    <w:p w14:paraId="3571110D">
      <w:pPr>
        <w:keepNext w:val="0"/>
        <w:keepLines w:val="0"/>
        <w:widowControl/>
        <w:suppressLineNumbers w:val="0"/>
        <w:jc w:val="center"/>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最终报价一览表</w:t>
      </w:r>
    </w:p>
    <w:p w14:paraId="4B514FD8">
      <w:pPr>
        <w:keepNext w:val="0"/>
        <w:keepLines w:val="0"/>
        <w:widowControl/>
        <w:suppressLineNumbers w:val="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项目名称： </w:t>
      </w:r>
    </w:p>
    <w:p w14:paraId="71D876F5">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p>
    <w:p w14:paraId="4D914244">
      <w:pPr>
        <w:keepNext w:val="0"/>
        <w:keepLines w:val="0"/>
        <w:widowControl/>
        <w:suppressLineNumbers w:val="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项目编号： </w:t>
      </w:r>
    </w:p>
    <w:p w14:paraId="41AE8016">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p>
    <w:p w14:paraId="02013F03">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报价单位：元</w:t>
      </w:r>
    </w:p>
    <w:p w14:paraId="2E42D0CD">
      <w:pPr>
        <w:pStyle w:val="23"/>
        <w:rPr>
          <w:rFonts w:hint="eastAsia"/>
          <w:highlight w:val="none"/>
          <w:lang w:val="en-US" w:eastAsia="zh-CN"/>
        </w:rPr>
      </w:pPr>
    </w:p>
    <w:tbl>
      <w:tblPr>
        <w:tblStyle w:val="25"/>
        <w:tblW w:w="8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6903"/>
      </w:tblGrid>
      <w:tr w14:paraId="36645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736" w:type="dxa"/>
            <w:vAlign w:val="center"/>
          </w:tcPr>
          <w:p w14:paraId="17B5552C">
            <w:pPr>
              <w:keepNext w:val="0"/>
              <w:keepLines w:val="0"/>
              <w:widowControl/>
              <w:suppressLineNumbers w:val="0"/>
              <w:jc w:val="center"/>
              <w:rPr>
                <w:rFonts w:hint="eastAsia" w:ascii="宋体" w:hAnsi="宋体" w:eastAsia="宋体" w:cs="宋体"/>
                <w:highlight w:val="none"/>
                <w:vertAlign w:val="baseline"/>
              </w:rPr>
            </w:pPr>
            <w:r>
              <w:rPr>
                <w:rFonts w:hint="eastAsia" w:ascii="宋体" w:hAnsi="宋体" w:eastAsia="宋体" w:cs="宋体"/>
                <w:color w:val="000000"/>
                <w:kern w:val="0"/>
                <w:sz w:val="24"/>
                <w:szCs w:val="24"/>
                <w:highlight w:val="none"/>
                <w:lang w:val="en-US" w:eastAsia="zh-CN" w:bidi="ar"/>
              </w:rPr>
              <w:t>项目名称</w:t>
            </w:r>
          </w:p>
        </w:tc>
        <w:tc>
          <w:tcPr>
            <w:tcW w:w="6903" w:type="dxa"/>
            <w:vAlign w:val="center"/>
          </w:tcPr>
          <w:p w14:paraId="31637610">
            <w:pPr>
              <w:pStyle w:val="23"/>
              <w:jc w:val="both"/>
              <w:rPr>
                <w:rFonts w:hint="eastAsia" w:ascii="宋体" w:hAnsi="宋体" w:eastAsia="宋体" w:cs="宋体"/>
                <w:highlight w:val="none"/>
                <w:vertAlign w:val="baseline"/>
              </w:rPr>
            </w:pPr>
          </w:p>
        </w:tc>
      </w:tr>
      <w:tr w14:paraId="630EA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736" w:type="dxa"/>
            <w:vAlign w:val="center"/>
          </w:tcPr>
          <w:p w14:paraId="4BB24A30">
            <w:pPr>
              <w:keepNext w:val="0"/>
              <w:keepLines w:val="0"/>
              <w:widowControl/>
              <w:suppressLineNumbers w:val="0"/>
              <w:jc w:val="center"/>
              <w:rPr>
                <w:rFonts w:hint="eastAsia" w:ascii="宋体" w:hAnsi="宋体" w:eastAsia="宋体" w:cs="宋体"/>
                <w:highlight w:val="none"/>
                <w:vertAlign w:val="baseline"/>
              </w:rPr>
            </w:pPr>
            <w:r>
              <w:rPr>
                <w:rFonts w:hint="eastAsia" w:ascii="宋体" w:hAnsi="宋体" w:eastAsia="宋体" w:cs="宋体"/>
                <w:color w:val="000000"/>
                <w:kern w:val="0"/>
                <w:sz w:val="24"/>
                <w:szCs w:val="24"/>
                <w:highlight w:val="none"/>
                <w:lang w:val="en-US" w:eastAsia="zh-CN" w:bidi="ar"/>
              </w:rPr>
              <w:t>项目编号</w:t>
            </w:r>
          </w:p>
        </w:tc>
        <w:tc>
          <w:tcPr>
            <w:tcW w:w="6903" w:type="dxa"/>
            <w:vAlign w:val="center"/>
          </w:tcPr>
          <w:p w14:paraId="711EEB5C">
            <w:pPr>
              <w:pStyle w:val="23"/>
              <w:jc w:val="both"/>
              <w:rPr>
                <w:rFonts w:hint="eastAsia" w:ascii="宋体" w:hAnsi="宋体" w:eastAsia="宋体" w:cs="宋体"/>
                <w:highlight w:val="none"/>
                <w:vertAlign w:val="baseline"/>
              </w:rPr>
            </w:pPr>
          </w:p>
        </w:tc>
      </w:tr>
      <w:tr w14:paraId="44C5D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1736" w:type="dxa"/>
            <w:vAlign w:val="center"/>
          </w:tcPr>
          <w:p w14:paraId="2D31048E">
            <w:pPr>
              <w:keepNext w:val="0"/>
              <w:keepLines w:val="0"/>
              <w:widowControl/>
              <w:suppressLineNumbers w:val="0"/>
              <w:jc w:val="center"/>
              <w:rPr>
                <w:rFonts w:hint="eastAsia" w:ascii="宋体" w:hAnsi="宋体" w:eastAsia="宋体" w:cs="宋体"/>
                <w:highlight w:val="none"/>
                <w:vertAlign w:val="baseline"/>
              </w:rPr>
            </w:pPr>
            <w:r>
              <w:rPr>
                <w:rFonts w:hint="eastAsia" w:ascii="宋体" w:hAnsi="宋体" w:eastAsia="宋体" w:cs="宋体"/>
                <w:color w:val="000000"/>
                <w:kern w:val="0"/>
                <w:sz w:val="24"/>
                <w:szCs w:val="24"/>
                <w:highlight w:val="none"/>
                <w:lang w:val="en-US" w:eastAsia="zh-CN" w:bidi="ar"/>
              </w:rPr>
              <w:t>最终报价</w:t>
            </w:r>
          </w:p>
        </w:tc>
        <w:tc>
          <w:tcPr>
            <w:tcW w:w="6903" w:type="dxa"/>
            <w:vAlign w:val="center"/>
          </w:tcPr>
          <w:p w14:paraId="79F0122E">
            <w:pPr>
              <w:keepNext w:val="0"/>
              <w:keepLines w:val="0"/>
              <w:widowControl/>
              <w:suppressLineNumbers w:val="0"/>
              <w:jc w:val="both"/>
              <w:rPr>
                <w:rFonts w:hint="default" w:ascii="宋体" w:hAnsi="宋体" w:eastAsia="宋体" w:cs="宋体"/>
                <w:highlight w:val="none"/>
                <w:lang w:val="en-US"/>
              </w:rPr>
            </w:pPr>
            <w:r>
              <w:rPr>
                <w:rFonts w:hint="eastAsia" w:ascii="宋体" w:hAnsi="宋体" w:eastAsia="宋体" w:cs="宋体"/>
                <w:color w:val="000000"/>
                <w:kern w:val="0"/>
                <w:sz w:val="24"/>
                <w:szCs w:val="24"/>
                <w:highlight w:val="none"/>
                <w:lang w:val="en-US" w:eastAsia="zh-CN" w:bidi="ar"/>
              </w:rPr>
              <w:t xml:space="preserve">小写：   </w:t>
            </w:r>
            <w:r>
              <w:rPr>
                <w:rFonts w:hint="eastAsia" w:ascii="宋体" w:hAnsi="宋体" w:cs="宋体"/>
                <w:color w:val="000000"/>
                <w:kern w:val="0"/>
                <w:sz w:val="24"/>
                <w:szCs w:val="24"/>
                <w:highlight w:val="none"/>
                <w:lang w:val="en-US" w:eastAsia="zh-CN" w:bidi="ar"/>
              </w:rPr>
              <w:t xml:space="preserve">    </w:t>
            </w:r>
            <w:r>
              <w:rPr>
                <w:rFonts w:hint="eastAsia" w:ascii="宋体" w:hAnsi="宋体" w:eastAsia="宋体" w:cs="宋体"/>
                <w:color w:val="000000"/>
                <w:kern w:val="0"/>
                <w:sz w:val="24"/>
                <w:szCs w:val="24"/>
                <w:highlight w:val="none"/>
                <w:lang w:val="en-US" w:eastAsia="zh-CN" w:bidi="ar"/>
              </w:rPr>
              <w:t>元</w:t>
            </w:r>
          </w:p>
          <w:p w14:paraId="236C62BB">
            <w:pPr>
              <w:keepNext w:val="0"/>
              <w:keepLines w:val="0"/>
              <w:widowControl/>
              <w:suppressLineNumbers w:val="0"/>
              <w:jc w:val="both"/>
              <w:rPr>
                <w:rFonts w:hint="eastAsia" w:ascii="宋体" w:hAnsi="宋体" w:eastAsia="宋体" w:cs="宋体"/>
                <w:color w:val="000000"/>
                <w:kern w:val="0"/>
                <w:sz w:val="24"/>
                <w:szCs w:val="24"/>
                <w:highlight w:val="none"/>
                <w:lang w:val="en-US" w:eastAsia="zh-CN" w:bidi="ar"/>
              </w:rPr>
            </w:pPr>
          </w:p>
          <w:p w14:paraId="174AE6EE">
            <w:pPr>
              <w:keepNext w:val="0"/>
              <w:keepLines w:val="0"/>
              <w:widowControl/>
              <w:suppressLineNumbers w:val="0"/>
              <w:jc w:val="both"/>
              <w:rPr>
                <w:rFonts w:hint="default" w:ascii="宋体" w:hAnsi="宋体" w:eastAsia="宋体" w:cs="宋体"/>
                <w:highlight w:val="none"/>
                <w:vertAlign w:val="baseline"/>
                <w:lang w:val="en-US"/>
              </w:rPr>
            </w:pPr>
            <w:r>
              <w:rPr>
                <w:rFonts w:hint="eastAsia" w:ascii="宋体" w:hAnsi="宋体" w:eastAsia="宋体" w:cs="宋体"/>
                <w:color w:val="000000"/>
                <w:kern w:val="0"/>
                <w:sz w:val="24"/>
                <w:szCs w:val="24"/>
                <w:highlight w:val="none"/>
                <w:lang w:val="en-US" w:eastAsia="zh-CN" w:bidi="ar"/>
              </w:rPr>
              <w:t>大写</w:t>
            </w:r>
            <w:r>
              <w:rPr>
                <w:rFonts w:hint="eastAsia" w:ascii="宋体" w:hAnsi="宋体" w:cs="宋体"/>
                <w:color w:val="000000"/>
                <w:kern w:val="0"/>
                <w:sz w:val="24"/>
                <w:szCs w:val="24"/>
                <w:highlight w:val="none"/>
                <w:lang w:val="en-US" w:eastAsia="zh-CN" w:bidi="ar"/>
              </w:rPr>
              <w:t>（人民币）</w:t>
            </w:r>
            <w:r>
              <w:rPr>
                <w:rFonts w:hint="eastAsia" w:ascii="宋体" w:hAnsi="宋体" w:eastAsia="宋体" w:cs="宋体"/>
                <w:color w:val="000000"/>
                <w:kern w:val="0"/>
                <w:sz w:val="24"/>
                <w:szCs w:val="24"/>
                <w:highlight w:val="none"/>
                <w:lang w:val="en-US" w:eastAsia="zh-CN" w:bidi="ar"/>
              </w:rPr>
              <w:t>：</w:t>
            </w:r>
          </w:p>
        </w:tc>
      </w:tr>
      <w:tr w14:paraId="3F0C7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736" w:type="dxa"/>
            <w:vAlign w:val="center"/>
          </w:tcPr>
          <w:p w14:paraId="718C2027">
            <w:pPr>
              <w:keepNext w:val="0"/>
              <w:keepLines w:val="0"/>
              <w:widowControl/>
              <w:suppressLineNumbers w:val="0"/>
              <w:jc w:val="center"/>
              <w:rPr>
                <w:rFonts w:hint="eastAsia" w:ascii="宋体" w:hAnsi="宋体" w:eastAsia="宋体" w:cs="宋体"/>
                <w:highlight w:val="none"/>
                <w:vertAlign w:val="baseline"/>
              </w:rPr>
            </w:pPr>
            <w:r>
              <w:rPr>
                <w:rFonts w:hint="eastAsia" w:ascii="宋体" w:hAnsi="宋体" w:eastAsia="宋体" w:cs="宋体"/>
                <w:color w:val="000000"/>
                <w:kern w:val="0"/>
                <w:sz w:val="24"/>
                <w:szCs w:val="24"/>
                <w:highlight w:val="none"/>
                <w:lang w:val="en-US" w:eastAsia="zh-CN" w:bidi="ar"/>
              </w:rPr>
              <w:t>磋商有效期</w:t>
            </w:r>
          </w:p>
        </w:tc>
        <w:tc>
          <w:tcPr>
            <w:tcW w:w="6903" w:type="dxa"/>
            <w:vAlign w:val="center"/>
          </w:tcPr>
          <w:p w14:paraId="648507C4">
            <w:pPr>
              <w:pStyle w:val="23"/>
              <w:jc w:val="both"/>
              <w:rPr>
                <w:rFonts w:hint="eastAsia" w:ascii="宋体" w:hAnsi="宋体" w:eastAsia="宋体" w:cs="宋体"/>
                <w:highlight w:val="none"/>
                <w:vertAlign w:val="baseline"/>
              </w:rPr>
            </w:pPr>
          </w:p>
        </w:tc>
      </w:tr>
      <w:tr w14:paraId="25717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736" w:type="dxa"/>
            <w:vAlign w:val="center"/>
          </w:tcPr>
          <w:p w14:paraId="4A23E171">
            <w:pPr>
              <w:keepNext w:val="0"/>
              <w:keepLines w:val="0"/>
              <w:widowControl/>
              <w:suppressLineNumbers w:val="0"/>
              <w:jc w:val="center"/>
              <w:rPr>
                <w:rFonts w:hint="eastAsia" w:ascii="宋体" w:hAnsi="宋体" w:eastAsia="宋体" w:cs="宋体"/>
                <w:highlight w:val="none"/>
                <w:vertAlign w:val="baseline"/>
              </w:rPr>
            </w:pPr>
            <w:r>
              <w:rPr>
                <w:rFonts w:hint="eastAsia" w:ascii="宋体" w:hAnsi="宋体" w:eastAsia="宋体" w:cs="宋体"/>
                <w:color w:val="000000"/>
                <w:kern w:val="0"/>
                <w:sz w:val="24"/>
                <w:szCs w:val="24"/>
                <w:highlight w:val="none"/>
                <w:lang w:val="en-US" w:eastAsia="zh-CN" w:bidi="ar"/>
              </w:rPr>
              <w:t>备注</w:t>
            </w:r>
          </w:p>
        </w:tc>
        <w:tc>
          <w:tcPr>
            <w:tcW w:w="6903" w:type="dxa"/>
            <w:vAlign w:val="center"/>
          </w:tcPr>
          <w:p w14:paraId="4EA93F98">
            <w:pPr>
              <w:pStyle w:val="23"/>
              <w:jc w:val="both"/>
              <w:rPr>
                <w:rFonts w:hint="eastAsia" w:ascii="宋体" w:hAnsi="宋体" w:eastAsia="宋体" w:cs="宋体"/>
                <w:highlight w:val="none"/>
                <w:vertAlign w:val="baseline"/>
              </w:rPr>
            </w:pPr>
          </w:p>
        </w:tc>
      </w:tr>
    </w:tbl>
    <w:p w14:paraId="37AAB2DF">
      <w:pPr>
        <w:pStyle w:val="23"/>
        <w:ind w:left="0" w:leftChars="0" w:firstLine="0" w:firstLineChars="0"/>
        <w:rPr>
          <w:rFonts w:hint="eastAsia"/>
          <w:highlight w:val="none"/>
        </w:rPr>
      </w:pPr>
    </w:p>
    <w:p w14:paraId="0DAC783A">
      <w:pPr>
        <w:pStyle w:val="11"/>
        <w:shd w:val="clear"/>
        <w:tabs>
          <w:tab w:val="left" w:pos="5580"/>
        </w:tabs>
        <w:snapToGrid w:val="0"/>
        <w:spacing w:before="0" w:beforeAutospacing="0" w:after="0" w:afterAutospacing="0" w:line="240" w:lineRule="atLeast"/>
        <w:jc w:val="both"/>
        <w:textAlignment w:val="baseline"/>
        <w:rPr>
          <w:rFonts w:hint="eastAsia" w:ascii="宋体" w:hAnsi="宋体" w:eastAsia="宋体" w:cs="宋体"/>
          <w:b w:val="0"/>
          <w:i w:val="0"/>
          <w:caps w:val="0"/>
          <w:color w:val="auto"/>
          <w:spacing w:val="0"/>
          <w:w w:val="100"/>
          <w:sz w:val="24"/>
          <w:szCs w:val="24"/>
          <w:highlight w:val="none"/>
        </w:rPr>
      </w:pPr>
    </w:p>
    <w:p w14:paraId="6F0DC662">
      <w:pPr>
        <w:pStyle w:val="11"/>
        <w:shd w:val="clear"/>
        <w:tabs>
          <w:tab w:val="left" w:pos="5580"/>
        </w:tabs>
        <w:snapToGrid w:val="0"/>
        <w:spacing w:before="0" w:beforeAutospacing="0" w:after="0" w:afterAutospacing="0" w:line="240" w:lineRule="atLeast"/>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供应商名称（公章）：</w:t>
      </w:r>
      <w:r>
        <w:rPr>
          <w:rFonts w:hint="eastAsia" w:ascii="宋体" w:hAnsi="宋体" w:eastAsia="宋体" w:cs="宋体"/>
          <w:b w:val="0"/>
          <w:i w:val="0"/>
          <w:caps w:val="0"/>
          <w:color w:val="auto"/>
          <w:spacing w:val="0"/>
          <w:w w:val="100"/>
          <w:sz w:val="24"/>
          <w:szCs w:val="24"/>
          <w:highlight w:val="none"/>
          <w:u w:val="single" w:color="000000"/>
        </w:rPr>
        <w:t xml:space="preserve">                       </w:t>
      </w:r>
    </w:p>
    <w:p w14:paraId="6232F86C">
      <w:pPr>
        <w:pStyle w:val="11"/>
        <w:shd w:val="clear"/>
        <w:tabs>
          <w:tab w:val="left" w:pos="5580"/>
        </w:tabs>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p w14:paraId="4BD03981">
      <w:pPr>
        <w:pStyle w:val="11"/>
        <w:shd w:val="clear"/>
        <w:tabs>
          <w:tab w:val="left" w:pos="5580"/>
        </w:tabs>
        <w:snapToGrid w:val="0"/>
        <w:spacing w:before="0" w:beforeAutospacing="0" w:after="0" w:afterAutospacing="0" w:line="240" w:lineRule="atLeast"/>
        <w:jc w:val="both"/>
        <w:textAlignment w:val="baseline"/>
        <w:rPr>
          <w:rFonts w:hint="eastAsia" w:ascii="宋体" w:hAnsi="宋体" w:eastAsia="宋体" w:cs="宋体"/>
          <w:b w:val="0"/>
          <w:i w:val="0"/>
          <w:caps w:val="0"/>
          <w:color w:val="auto"/>
          <w:spacing w:val="0"/>
          <w:w w:val="100"/>
          <w:sz w:val="24"/>
          <w:szCs w:val="24"/>
          <w:highlight w:val="none"/>
          <w:u w:val="single" w:color="000000"/>
        </w:rPr>
      </w:pPr>
      <w:r>
        <w:rPr>
          <w:rFonts w:hint="eastAsia" w:ascii="宋体" w:hAnsi="宋体" w:eastAsia="宋体" w:cs="宋体"/>
          <w:b w:val="0"/>
          <w:i w:val="0"/>
          <w:caps w:val="0"/>
          <w:color w:val="auto"/>
          <w:spacing w:val="0"/>
          <w:w w:val="100"/>
          <w:sz w:val="24"/>
          <w:szCs w:val="24"/>
          <w:highlight w:val="none"/>
        </w:rPr>
        <w:t>法定代表人或委托代理(签字</w:t>
      </w:r>
      <w:r>
        <w:rPr>
          <w:rFonts w:hint="eastAsia" w:hAnsi="宋体" w:cs="宋体"/>
          <w:b w:val="0"/>
          <w:i w:val="0"/>
          <w:caps w:val="0"/>
          <w:color w:val="auto"/>
          <w:spacing w:val="0"/>
          <w:w w:val="100"/>
          <w:sz w:val="24"/>
          <w:szCs w:val="24"/>
          <w:highlight w:val="none"/>
          <w:lang w:val="en-US" w:eastAsia="zh-CN"/>
        </w:rPr>
        <w:t>或盖章</w:t>
      </w:r>
      <w:r>
        <w:rPr>
          <w:rFonts w:hint="eastAsia" w:ascii="宋体" w:hAnsi="宋体" w:eastAsia="宋体" w:cs="宋体"/>
          <w:b w:val="0"/>
          <w:i w:val="0"/>
          <w:caps w:val="0"/>
          <w:color w:val="auto"/>
          <w:spacing w:val="0"/>
          <w:w w:val="100"/>
          <w:sz w:val="24"/>
          <w:szCs w:val="24"/>
          <w:highlight w:val="none"/>
        </w:rPr>
        <w:t>):</w:t>
      </w:r>
      <w:r>
        <w:rPr>
          <w:rFonts w:hint="eastAsia" w:ascii="宋体" w:hAnsi="宋体" w:eastAsia="宋体" w:cs="宋体"/>
          <w:b w:val="0"/>
          <w:i w:val="0"/>
          <w:caps w:val="0"/>
          <w:color w:val="auto"/>
          <w:spacing w:val="0"/>
          <w:w w:val="100"/>
          <w:sz w:val="24"/>
          <w:szCs w:val="24"/>
          <w:highlight w:val="none"/>
          <w:u w:val="single" w:color="000000"/>
        </w:rPr>
        <w:tab/>
      </w:r>
    </w:p>
    <w:p w14:paraId="4040C322">
      <w:pPr>
        <w:pStyle w:val="11"/>
        <w:shd w:val="clear"/>
        <w:tabs>
          <w:tab w:val="left" w:pos="5580"/>
        </w:tabs>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p w14:paraId="0568E2F3">
      <w:pP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注：1、由供应商依据磋商情况填写最终报价，二次报价须签章后上传至附件。</w:t>
      </w:r>
    </w:p>
    <w:p w14:paraId="79D25A46">
      <w:pP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2、磋商现场提交最终报价一览表时未加盖公章为无效报价。</w:t>
      </w:r>
    </w:p>
    <w:p w14:paraId="68EA5708">
      <w:pPr>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3、此表无需装订在响应文件中。</w:t>
      </w:r>
      <w:r>
        <w:rPr>
          <w:rFonts w:hint="eastAsia" w:ascii="宋体" w:hAnsi="宋体" w:eastAsia="宋体" w:cs="宋体"/>
          <w:b/>
          <w:color w:val="auto"/>
          <w:kern w:val="0"/>
          <w:sz w:val="24"/>
          <w:szCs w:val="24"/>
          <w:highlight w:val="none"/>
          <w:lang w:val="en-US" w:eastAsia="zh-CN" w:bidi="ar-SA"/>
        </w:rPr>
        <w:br w:type="page"/>
      </w:r>
    </w:p>
    <w:p w14:paraId="7FF3F469">
      <w:pPr>
        <w:pStyle w:val="23"/>
        <w:spacing w:line="400" w:lineRule="exact"/>
        <w:ind w:left="0" w:leftChars="0" w:firstLine="0" w:firstLineChars="0"/>
        <w:outlineLvl w:val="1"/>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2.</w:t>
      </w:r>
      <w:bookmarkEnd w:id="516"/>
      <w:bookmarkEnd w:id="517"/>
      <w:r>
        <w:rPr>
          <w:rFonts w:hint="eastAsia" w:ascii="宋体" w:hAnsi="宋体" w:eastAsia="宋体" w:cs="宋体"/>
          <w:b/>
          <w:color w:val="auto"/>
          <w:kern w:val="0"/>
          <w:sz w:val="24"/>
          <w:szCs w:val="24"/>
          <w:highlight w:val="none"/>
          <w:lang w:val="en-US" w:eastAsia="zh-CN" w:bidi="ar-SA"/>
        </w:rPr>
        <w:t>具有有效的独立法定代表人营业执照；</w:t>
      </w:r>
      <w:bookmarkEnd w:id="518"/>
    </w:p>
    <w:p w14:paraId="66B21D39">
      <w:pPr>
        <w:rPr>
          <w:rFonts w:hint="eastAsia" w:ascii="宋体" w:hAnsi="宋体" w:eastAsia="宋体" w:cs="宋体"/>
          <w:b/>
          <w:color w:val="auto"/>
          <w:kern w:val="0"/>
          <w:sz w:val="24"/>
          <w:szCs w:val="24"/>
          <w:highlight w:val="none"/>
          <w:lang w:val="en-US" w:eastAsia="zh-CN" w:bidi="ar-SA"/>
        </w:rPr>
      </w:pPr>
      <w:bookmarkStart w:id="519" w:name="_Toc12386"/>
      <w:bookmarkStart w:id="520" w:name="_Toc17228"/>
      <w:bookmarkStart w:id="521" w:name="_Toc10025"/>
    </w:p>
    <w:p w14:paraId="2A886FB6">
      <w:pPr>
        <w:rPr>
          <w:rFonts w:hint="eastAsia" w:ascii="宋体" w:hAnsi="宋体" w:eastAsia="宋体" w:cs="宋体"/>
          <w:b/>
          <w:color w:val="auto"/>
          <w:kern w:val="0"/>
          <w:sz w:val="24"/>
          <w:szCs w:val="24"/>
          <w:highlight w:val="none"/>
          <w:lang w:val="en-US" w:eastAsia="zh-CN" w:bidi="ar-SA"/>
        </w:rPr>
      </w:pPr>
    </w:p>
    <w:p w14:paraId="18A3628D">
      <w:pPr>
        <w:rPr>
          <w:rFonts w:hint="eastAsia" w:ascii="宋体" w:hAnsi="宋体" w:eastAsia="宋体" w:cs="宋体"/>
          <w:b/>
          <w:color w:val="auto"/>
          <w:kern w:val="0"/>
          <w:sz w:val="24"/>
          <w:szCs w:val="24"/>
          <w:highlight w:val="none"/>
          <w:lang w:val="en-US" w:eastAsia="zh-CN" w:bidi="ar-SA"/>
        </w:rPr>
      </w:pPr>
    </w:p>
    <w:p w14:paraId="19C42FC7">
      <w:pPr>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3.</w:t>
      </w:r>
      <w:bookmarkEnd w:id="519"/>
      <w:bookmarkEnd w:id="520"/>
      <w:bookmarkEnd w:id="521"/>
      <w:r>
        <w:rPr>
          <w:rFonts w:hint="eastAsia" w:ascii="宋体" w:hAnsi="宋体" w:eastAsia="宋体" w:cs="宋体"/>
          <w:b/>
          <w:color w:val="auto"/>
          <w:kern w:val="0"/>
          <w:sz w:val="24"/>
          <w:szCs w:val="24"/>
          <w:highlight w:val="none"/>
          <w:lang w:val="en-US" w:eastAsia="zh-CN" w:bidi="ar-SA"/>
        </w:rPr>
        <w:t>法定代表人资格证明及授权书、被授权人身份证；(法定代表人投标需提供法定代表人身份证)；</w:t>
      </w:r>
    </w:p>
    <w:p w14:paraId="17860808">
      <w:pPr>
        <w:adjustRightInd w:val="0"/>
        <w:snapToGrid w:val="0"/>
        <w:spacing w:before="240" w:beforeLines="100" w:after="240" w:afterLines="100"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（一）法定代表人身份证明</w:t>
      </w:r>
    </w:p>
    <w:p w14:paraId="18D5720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同志，现任我单位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职务，为法定代表人，特此证明。</w:t>
      </w:r>
    </w:p>
    <w:p w14:paraId="6E7B5608">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签发日期：                  单位：        </w:t>
      </w:r>
    </w:p>
    <w:p w14:paraId="3BB3CC51">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附：性别：            年龄：           身份证号码：</w:t>
      </w:r>
    </w:p>
    <w:p w14:paraId="42B00538">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14:paraId="2BD39C2A">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营业执照号码：              经济性质：</w:t>
      </w:r>
    </w:p>
    <w:p w14:paraId="1C60C13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7F92DCCD">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1、法定代表人为企业事业单位、国家机关、社会团体的主要行政负责人。</w:t>
      </w:r>
    </w:p>
    <w:p w14:paraId="16678B0F">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提供身份证正反面。</w:t>
      </w:r>
    </w:p>
    <w:p w14:paraId="3C67338E">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内容必须填写真实、清楚、涂改无效，不得转让。</w:t>
      </w:r>
    </w:p>
    <w:p w14:paraId="1CEE883D">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、将此证明书原件提交采购代理机构作为</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附件。</w:t>
      </w:r>
    </w:p>
    <w:p w14:paraId="7772CDB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(为避免废标，请</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务必提供本附件)</w:t>
      </w:r>
    </w:p>
    <w:p w14:paraId="101C180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10795</wp:posOffset>
                </wp:positionV>
                <wp:extent cx="2333625" cy="1584325"/>
                <wp:effectExtent l="4445" t="4445" r="5080" b="11430"/>
                <wp:wrapNone/>
                <wp:docPr id="14"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F778862">
                            <w:pPr>
                              <w:jc w:val="center"/>
                              <w:rPr>
                                <w:rFonts w:hAnsi="宋体"/>
                                <w:szCs w:val="21"/>
                              </w:rPr>
                            </w:pPr>
                          </w:p>
                          <w:p w14:paraId="2B90B388">
                            <w:pPr>
                              <w:jc w:val="center"/>
                              <w:rPr>
                                <w:rFonts w:hAnsi="宋体"/>
                                <w:szCs w:val="21"/>
                              </w:rPr>
                            </w:pPr>
                          </w:p>
                          <w:p w14:paraId="5F1DA141">
                            <w:pPr>
                              <w:jc w:val="center"/>
                              <w:rPr>
                                <w:rFonts w:hAnsi="宋体"/>
                                <w:szCs w:val="21"/>
                              </w:rPr>
                            </w:pPr>
                          </w:p>
                          <w:p w14:paraId="0708F318">
                            <w:pPr>
                              <w:jc w:val="center"/>
                              <w:rPr>
                                <w:szCs w:val="21"/>
                              </w:rPr>
                            </w:pPr>
                            <w:r>
                              <w:rPr>
                                <w:rFonts w:hint="eastAsia" w:hAnsi="宋体"/>
                                <w:szCs w:val="21"/>
                              </w:rPr>
                              <w:t>法定代表人身份证复印件</w:t>
                            </w:r>
                          </w:p>
                        </w:txbxContent>
                      </wps:txbx>
                      <wps:bodyPr wrap="square" upright="1"/>
                    </wps:wsp>
                  </a:graphicData>
                </a:graphic>
              </wp:anchor>
            </w:drawing>
          </mc:Choice>
          <mc:Fallback>
            <w:pict>
              <v:shape id="_x0000_s1026" o:spid="_x0000_s1026" o:spt="176" type="#_x0000_t176" style="position:absolute;left:0pt;margin-left:12.15pt;margin-top:0.85pt;height:124.75pt;width:183.75pt;z-index:251659264;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Vk69dYAAAAIAQAADwAAAAAAAAABACAAAAAiAAAAZHJzL2Rvd25y&#10;ZXYueG1sUEsBAhQAFAAAAAgAh07iQJu9VN85AgAAbgQAAA4AAAAAAAAAAQAgAAAAJQEAAGRycy9l&#10;Mm9Eb2MueG1sUEsFBgAAAAAGAAYAWQEAANAFAAAAAA==&#10;">
                <v:fill on="t" focussize="0,0"/>
                <v:stroke color="#000000" joinstyle="miter"/>
                <v:imagedata o:title=""/>
                <o:lock v:ext="edit" aspectratio="f"/>
                <v:textbox>
                  <w:txbxContent>
                    <w:p w14:paraId="6F778862">
                      <w:pPr>
                        <w:jc w:val="center"/>
                        <w:rPr>
                          <w:rFonts w:hAnsi="宋体"/>
                          <w:szCs w:val="21"/>
                        </w:rPr>
                      </w:pPr>
                    </w:p>
                    <w:p w14:paraId="2B90B388">
                      <w:pPr>
                        <w:jc w:val="center"/>
                        <w:rPr>
                          <w:rFonts w:hAnsi="宋体"/>
                          <w:szCs w:val="21"/>
                        </w:rPr>
                      </w:pPr>
                    </w:p>
                    <w:p w14:paraId="5F1DA141">
                      <w:pPr>
                        <w:jc w:val="center"/>
                        <w:rPr>
                          <w:rFonts w:hAnsi="宋体"/>
                          <w:szCs w:val="21"/>
                        </w:rPr>
                      </w:pPr>
                    </w:p>
                    <w:p w14:paraId="0708F318">
                      <w:pPr>
                        <w:jc w:val="center"/>
                        <w:rPr>
                          <w:szCs w:val="21"/>
                        </w:rPr>
                      </w:pPr>
                      <w:r>
                        <w:rPr>
                          <w:rFonts w:hint="eastAsia" w:hAnsi="宋体"/>
                          <w:szCs w:val="21"/>
                        </w:rPr>
                        <w:t>法定代表人身份证复印件</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2918460</wp:posOffset>
                </wp:positionH>
                <wp:positionV relativeFrom="paragraph">
                  <wp:posOffset>28575</wp:posOffset>
                </wp:positionV>
                <wp:extent cx="2609850" cy="1557020"/>
                <wp:effectExtent l="7620" t="7620" r="11430" b="16510"/>
                <wp:wrapNone/>
                <wp:docPr id="15" name="圆角矩形 15"/>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7388665B">
                            <w:pPr>
                              <w:jc w:val="center"/>
                              <w:rPr>
                                <w:rFonts w:hAnsi="宋体"/>
                                <w:szCs w:val="21"/>
                              </w:rPr>
                            </w:pPr>
                            <w:r>
                              <w:rPr>
                                <w:rFonts w:hint="eastAsia" w:hAnsi="宋体"/>
                                <w:szCs w:val="21"/>
                              </w:rPr>
                              <w:t xml:space="preserve">  </w:t>
                            </w:r>
                          </w:p>
                          <w:p w14:paraId="3D8C4EE9">
                            <w:pPr>
                              <w:jc w:val="center"/>
                              <w:rPr>
                                <w:rFonts w:hAnsi="宋体"/>
                                <w:szCs w:val="21"/>
                              </w:rPr>
                            </w:pPr>
                          </w:p>
                          <w:p w14:paraId="0FF90004">
                            <w:pPr>
                              <w:jc w:val="center"/>
                              <w:rPr>
                                <w:rFonts w:hAnsi="宋体"/>
                                <w:szCs w:val="21"/>
                              </w:rPr>
                            </w:pPr>
                          </w:p>
                          <w:p w14:paraId="2FE9786F">
                            <w:pPr>
                              <w:jc w:val="center"/>
                              <w:rPr>
                                <w:szCs w:val="21"/>
                              </w:rPr>
                            </w:pPr>
                            <w:r>
                              <w:rPr>
                                <w:rFonts w:hint="eastAsia" w:hAnsi="宋体"/>
                                <w:szCs w:val="21"/>
                              </w:rPr>
                              <w:t>法定代表人身份证复印件</w:t>
                            </w:r>
                          </w:p>
                          <w:p w14:paraId="67822CD5"/>
                          <w:p w14:paraId="38CD7FA5">
                            <w:pPr>
                              <w:pStyle w:val="6"/>
                            </w:pPr>
                          </w:p>
                          <w:p w14:paraId="39B1891E">
                            <w:pPr>
                              <w:pStyle w:val="6"/>
                            </w:pPr>
                          </w:p>
                          <w:p w14:paraId="05A13D35">
                            <w:pPr>
                              <w:pStyle w:val="6"/>
                            </w:pPr>
                          </w:p>
                          <w:p w14:paraId="2EACF585">
                            <w:pPr>
                              <w:pStyle w:val="6"/>
                            </w:pPr>
                          </w:p>
                        </w:txbxContent>
                      </wps:txbx>
                      <wps:bodyPr wrap="square" upright="1"/>
                    </wps:wsp>
                  </a:graphicData>
                </a:graphic>
              </wp:anchor>
            </w:drawing>
          </mc:Choice>
          <mc:Fallback>
            <w:pict>
              <v:roundrect id="_x0000_s1026" o:spid="_x0000_s1026" o:spt="2" style="position:absolute;left:0pt;margin-left:229.8pt;margin-top:2.25pt;height:122.6pt;width:205.5pt;z-index:251660288;mso-width-relative:page;mso-height-relative:page;" fillcolor="#FFFFFF" filled="t"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8vY1/aAAAACQEAAA8AAAAAAAAAAQAgAAAAIgAAAGRycy9kb3du&#10;cmV2LnhtbFBLAQIUABQAAAAIAIdO4kAI6kVeNgIAAHYEAAAOAAAAAAAAAAEAIAAAACkBAABkcnMv&#10;ZTJvRG9jLnhtbFBLBQYAAAAABgAGAFkBAADRBQAAAAA=&#10;">
                <v:fill on="t" focussize="0,0"/>
                <v:stroke weight="1.25pt" color="#808080" joinstyle="round"/>
                <v:imagedata o:title=""/>
                <o:lock v:ext="edit" aspectratio="f"/>
                <v:textbox>
                  <w:txbxContent>
                    <w:p w14:paraId="7388665B">
                      <w:pPr>
                        <w:jc w:val="center"/>
                        <w:rPr>
                          <w:rFonts w:hAnsi="宋体"/>
                          <w:szCs w:val="21"/>
                        </w:rPr>
                      </w:pPr>
                      <w:r>
                        <w:rPr>
                          <w:rFonts w:hint="eastAsia" w:hAnsi="宋体"/>
                          <w:szCs w:val="21"/>
                        </w:rPr>
                        <w:t xml:space="preserve">  </w:t>
                      </w:r>
                    </w:p>
                    <w:p w14:paraId="3D8C4EE9">
                      <w:pPr>
                        <w:jc w:val="center"/>
                        <w:rPr>
                          <w:rFonts w:hAnsi="宋体"/>
                          <w:szCs w:val="21"/>
                        </w:rPr>
                      </w:pPr>
                    </w:p>
                    <w:p w14:paraId="0FF90004">
                      <w:pPr>
                        <w:jc w:val="center"/>
                        <w:rPr>
                          <w:rFonts w:hAnsi="宋体"/>
                          <w:szCs w:val="21"/>
                        </w:rPr>
                      </w:pPr>
                    </w:p>
                    <w:p w14:paraId="2FE9786F">
                      <w:pPr>
                        <w:jc w:val="center"/>
                        <w:rPr>
                          <w:szCs w:val="21"/>
                        </w:rPr>
                      </w:pPr>
                      <w:r>
                        <w:rPr>
                          <w:rFonts w:hint="eastAsia" w:hAnsi="宋体"/>
                          <w:szCs w:val="21"/>
                        </w:rPr>
                        <w:t>法定代表人身份证复印件</w:t>
                      </w:r>
                    </w:p>
                    <w:p w14:paraId="67822CD5"/>
                    <w:p w14:paraId="38CD7FA5">
                      <w:pPr>
                        <w:pStyle w:val="6"/>
                      </w:pPr>
                    </w:p>
                    <w:p w14:paraId="39B1891E">
                      <w:pPr>
                        <w:pStyle w:val="6"/>
                      </w:pPr>
                    </w:p>
                    <w:p w14:paraId="05A13D35">
                      <w:pPr>
                        <w:pStyle w:val="6"/>
                      </w:pPr>
                    </w:p>
                    <w:p w14:paraId="2EACF585">
                      <w:pPr>
                        <w:pStyle w:val="6"/>
                      </w:pPr>
                    </w:p>
                  </w:txbxContent>
                </v:textbox>
              </v:roundrect>
            </w:pict>
          </mc:Fallback>
        </mc:AlternateContent>
      </w:r>
    </w:p>
    <w:p w14:paraId="08BCB1A1">
      <w:pPr>
        <w:spacing w:line="360" w:lineRule="auto"/>
        <w:rPr>
          <w:rFonts w:hint="eastAsia" w:ascii="宋体" w:hAnsi="宋体" w:eastAsia="宋体" w:cs="宋体"/>
          <w:color w:val="auto"/>
          <w:sz w:val="24"/>
          <w:szCs w:val="24"/>
          <w:highlight w:val="none"/>
        </w:rPr>
      </w:pPr>
    </w:p>
    <w:p w14:paraId="52B2CB5E">
      <w:pPr>
        <w:spacing w:line="360" w:lineRule="auto"/>
        <w:rPr>
          <w:rFonts w:hint="eastAsia" w:ascii="宋体" w:hAnsi="宋体" w:eastAsia="宋体" w:cs="宋体"/>
          <w:color w:val="auto"/>
          <w:sz w:val="24"/>
          <w:szCs w:val="24"/>
          <w:highlight w:val="none"/>
        </w:rPr>
      </w:pPr>
    </w:p>
    <w:p w14:paraId="66B5AA25">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eastAsia="宋体" w:cs="宋体"/>
          <w:color w:val="auto"/>
          <w:sz w:val="24"/>
          <w:szCs w:val="24"/>
          <w:highlight w:val="none"/>
        </w:rPr>
      </w:pPr>
    </w:p>
    <w:p w14:paraId="4D6A22A0">
      <w:pPr>
        <w:autoSpaceDE w:val="0"/>
        <w:autoSpaceDN w:val="0"/>
        <w:adjustRightInd w:val="0"/>
        <w:spacing w:line="360" w:lineRule="auto"/>
        <w:ind w:right="246"/>
        <w:rPr>
          <w:rFonts w:hint="eastAsia" w:ascii="宋体" w:hAnsi="宋体" w:eastAsia="宋体" w:cs="宋体"/>
          <w:color w:val="auto"/>
          <w:kern w:val="0"/>
          <w:sz w:val="24"/>
          <w:szCs w:val="24"/>
          <w:highlight w:val="none"/>
        </w:rPr>
      </w:pPr>
    </w:p>
    <w:p w14:paraId="0852DA2D">
      <w:pPr>
        <w:autoSpaceDE w:val="0"/>
        <w:autoSpaceDN w:val="0"/>
        <w:adjustRightInd w:val="0"/>
        <w:spacing w:line="360" w:lineRule="auto"/>
        <w:ind w:right="246"/>
        <w:rPr>
          <w:rFonts w:hint="eastAsia" w:ascii="宋体" w:hAnsi="宋体" w:eastAsia="宋体" w:cs="宋体"/>
          <w:color w:val="auto"/>
          <w:kern w:val="0"/>
          <w:sz w:val="24"/>
          <w:szCs w:val="24"/>
          <w:highlight w:val="none"/>
        </w:rPr>
      </w:pPr>
    </w:p>
    <w:p w14:paraId="50133226">
      <w:pPr>
        <w:autoSpaceDE w:val="0"/>
        <w:autoSpaceDN w:val="0"/>
        <w:adjustRightInd w:val="0"/>
        <w:spacing w:line="360" w:lineRule="auto"/>
        <w:ind w:right="246" w:firstLine="784" w:firstLineChars="327"/>
        <w:rPr>
          <w:rFonts w:hint="eastAsia" w:ascii="宋体" w:hAnsi="宋体" w:eastAsia="宋体" w:cs="宋体"/>
          <w:color w:val="auto"/>
          <w:kern w:val="0"/>
          <w:sz w:val="24"/>
          <w:szCs w:val="24"/>
          <w:highlight w:val="none"/>
        </w:rPr>
      </w:pPr>
    </w:p>
    <w:p w14:paraId="4EBD5C5D">
      <w:pPr>
        <w:autoSpaceDE w:val="0"/>
        <w:autoSpaceDN w:val="0"/>
        <w:adjustRightInd w:val="0"/>
        <w:spacing w:line="360" w:lineRule="auto"/>
        <w:ind w:right="246" w:firstLine="784" w:firstLineChars="327"/>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lang w:val="en-US" w:eastAsia="zh-CN"/>
        </w:rPr>
        <w:t>名称</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公</w:t>
      </w:r>
      <w:r>
        <w:rPr>
          <w:rFonts w:hint="eastAsia" w:ascii="宋体" w:hAnsi="宋体" w:eastAsia="宋体" w:cs="宋体"/>
          <w:color w:val="auto"/>
          <w:kern w:val="0"/>
          <w:sz w:val="24"/>
          <w:szCs w:val="24"/>
          <w:highlight w:val="none"/>
        </w:rPr>
        <w:t>章）：</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5F1C8250">
      <w:pPr>
        <w:adjustRightInd w:val="0"/>
        <w:snapToGrid w:val="0"/>
        <w:spacing w:line="360" w:lineRule="auto"/>
        <w:ind w:firstLine="784" w:firstLineChars="327"/>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法定代表人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签/章</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u w:val="single"/>
        </w:rPr>
        <w:t xml:space="preserve">                    </w:t>
      </w:r>
    </w:p>
    <w:p w14:paraId="7F36C551">
      <w:pPr>
        <w:adjustRightInd w:val="0"/>
        <w:snapToGrid w:val="0"/>
        <w:spacing w:line="360" w:lineRule="auto"/>
        <w:ind w:firstLine="784" w:firstLineChars="327"/>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bookmarkStart w:id="522" w:name="_Toc1083"/>
      <w:bookmarkStart w:id="523" w:name="_Toc22472"/>
      <w:bookmarkStart w:id="524" w:name="_Toc515647807"/>
    </w:p>
    <w:p w14:paraId="3B5B6DCB">
      <w:pPr>
        <w:spacing w:line="360" w:lineRule="auto"/>
        <w:rPr>
          <w:rFonts w:hint="eastAsia" w:ascii="宋体" w:hAnsi="宋体" w:eastAsia="宋体" w:cs="宋体"/>
          <w:b/>
          <w:bCs/>
          <w:color w:val="auto"/>
          <w:sz w:val="24"/>
          <w:szCs w:val="24"/>
          <w:highlight w:val="none"/>
        </w:rPr>
      </w:pPr>
    </w:p>
    <w:p w14:paraId="2752A18A">
      <w:pPr>
        <w:spacing w:line="360" w:lineRule="auto"/>
        <w:rPr>
          <w:rFonts w:hint="eastAsia" w:ascii="宋体" w:hAnsi="宋体" w:eastAsia="宋体" w:cs="宋体"/>
          <w:b/>
          <w:bCs/>
          <w:color w:val="auto"/>
          <w:sz w:val="24"/>
          <w:szCs w:val="24"/>
          <w:highlight w:val="none"/>
        </w:rPr>
      </w:pPr>
    </w:p>
    <w:p w14:paraId="4244EA38">
      <w:pPr>
        <w:spacing w:line="360" w:lineRule="auto"/>
        <w:jc w:val="center"/>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（二）法定代表人授权委托书</w:t>
      </w:r>
      <w:bookmarkEnd w:id="522"/>
      <w:bookmarkEnd w:id="523"/>
      <w:bookmarkEnd w:id="524"/>
    </w:p>
    <w:p w14:paraId="6602F9C8">
      <w:pPr>
        <w:pStyle w:val="11"/>
        <w:tabs>
          <w:tab w:val="left" w:pos="5580"/>
        </w:tabs>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w:t>
      </w:r>
      <w:r>
        <w:rPr>
          <w:rFonts w:hint="eastAsia" w:ascii="宋体" w:hAnsi="宋体" w:eastAsia="宋体" w:cs="宋体"/>
          <w:i w:val="0"/>
          <w:iCs w:val="0"/>
          <w:color w:val="auto"/>
          <w:sz w:val="24"/>
          <w:szCs w:val="24"/>
          <w:highlight w:val="none"/>
        </w:rPr>
        <w:t>授权书声明：注册于</w:t>
      </w:r>
      <w:r>
        <w:rPr>
          <w:rFonts w:hint="eastAsia" w:ascii="宋体" w:hAnsi="宋体" w:eastAsia="宋体" w:cs="宋体"/>
          <w:i w:val="0"/>
          <w:iCs w:val="0"/>
          <w:color w:val="auto"/>
          <w:sz w:val="24"/>
          <w:szCs w:val="24"/>
          <w:highlight w:val="none"/>
          <w:u w:val="single"/>
        </w:rPr>
        <w:t>（国家或地区的名称）</w:t>
      </w:r>
      <w:r>
        <w:rPr>
          <w:rFonts w:hint="eastAsia" w:ascii="宋体" w:hAnsi="宋体" w:eastAsia="宋体" w:cs="宋体"/>
          <w:i w:val="0"/>
          <w:iCs w:val="0"/>
          <w:color w:val="auto"/>
          <w:sz w:val="24"/>
          <w:szCs w:val="24"/>
          <w:highlight w:val="none"/>
        </w:rPr>
        <w:t>的（</w:t>
      </w:r>
      <w:r>
        <w:rPr>
          <w:rFonts w:hint="eastAsia" w:ascii="宋体" w:hAnsi="宋体" w:eastAsia="宋体" w:cs="宋体"/>
          <w:i w:val="0"/>
          <w:iCs w:val="0"/>
          <w:color w:val="auto"/>
          <w:sz w:val="24"/>
          <w:szCs w:val="24"/>
          <w:highlight w:val="none"/>
          <w:u w:val="single"/>
          <w:lang w:eastAsia="zh-CN"/>
        </w:rPr>
        <w:t>供应商</w:t>
      </w:r>
      <w:r>
        <w:rPr>
          <w:rFonts w:hint="eastAsia" w:ascii="宋体" w:hAnsi="宋体" w:eastAsia="宋体" w:cs="宋体"/>
          <w:i w:val="0"/>
          <w:iCs w:val="0"/>
          <w:color w:val="auto"/>
          <w:sz w:val="24"/>
          <w:szCs w:val="24"/>
          <w:highlight w:val="none"/>
        </w:rPr>
        <w:t>）的在下面签字的（</w:t>
      </w:r>
      <w:r>
        <w:rPr>
          <w:rFonts w:hint="eastAsia" w:ascii="宋体" w:hAnsi="宋体" w:eastAsia="宋体" w:cs="宋体"/>
          <w:i w:val="0"/>
          <w:iCs w:val="0"/>
          <w:color w:val="auto"/>
          <w:sz w:val="24"/>
          <w:szCs w:val="24"/>
          <w:highlight w:val="none"/>
          <w:u w:val="single"/>
          <w:lang w:eastAsia="zh-CN"/>
        </w:rPr>
        <w:t>法定代表人</w:t>
      </w:r>
      <w:r>
        <w:rPr>
          <w:rFonts w:hint="eastAsia" w:ascii="宋体" w:hAnsi="宋体" w:eastAsia="宋体" w:cs="宋体"/>
          <w:i w:val="0"/>
          <w:iCs w:val="0"/>
          <w:color w:val="auto"/>
          <w:sz w:val="24"/>
          <w:szCs w:val="24"/>
          <w:highlight w:val="none"/>
          <w:u w:val="single"/>
        </w:rPr>
        <w:t>姓名、职务</w:t>
      </w:r>
      <w:r>
        <w:rPr>
          <w:rFonts w:hint="eastAsia" w:ascii="宋体" w:hAnsi="宋体" w:eastAsia="宋体" w:cs="宋体"/>
          <w:i w:val="0"/>
          <w:iCs w:val="0"/>
          <w:color w:val="auto"/>
          <w:sz w:val="24"/>
          <w:szCs w:val="24"/>
          <w:highlight w:val="none"/>
        </w:rPr>
        <w:t>）代表我单位授权（</w:t>
      </w:r>
      <w:r>
        <w:rPr>
          <w:rFonts w:hint="eastAsia" w:ascii="宋体" w:hAnsi="宋体" w:eastAsia="宋体" w:cs="宋体"/>
          <w:i w:val="0"/>
          <w:iCs w:val="0"/>
          <w:color w:val="auto"/>
          <w:sz w:val="24"/>
          <w:szCs w:val="24"/>
          <w:highlight w:val="none"/>
          <w:u w:val="single"/>
        </w:rPr>
        <w:t>单位名称</w:t>
      </w:r>
      <w:r>
        <w:rPr>
          <w:rFonts w:hint="eastAsia" w:ascii="宋体" w:hAnsi="宋体" w:eastAsia="宋体" w:cs="宋体"/>
          <w:i w:val="0"/>
          <w:iCs w:val="0"/>
          <w:color w:val="auto"/>
          <w:sz w:val="24"/>
          <w:szCs w:val="24"/>
          <w:highlight w:val="none"/>
        </w:rPr>
        <w:t>）的在下面签字的（</w:t>
      </w:r>
      <w:r>
        <w:rPr>
          <w:rFonts w:hint="eastAsia" w:ascii="宋体" w:hAnsi="宋体" w:eastAsia="宋体" w:cs="宋体"/>
          <w:i w:val="0"/>
          <w:iCs w:val="0"/>
          <w:color w:val="auto"/>
          <w:sz w:val="24"/>
          <w:szCs w:val="24"/>
          <w:highlight w:val="none"/>
          <w:u w:val="single"/>
        </w:rPr>
        <w:t>被授权人的姓名、职务</w:t>
      </w:r>
      <w:r>
        <w:rPr>
          <w:rFonts w:hint="eastAsia" w:ascii="宋体" w:hAnsi="宋体" w:eastAsia="宋体" w:cs="宋体"/>
          <w:i w:val="0"/>
          <w:iCs w:val="0"/>
          <w:color w:val="auto"/>
          <w:sz w:val="24"/>
          <w:szCs w:val="24"/>
          <w:highlight w:val="none"/>
        </w:rPr>
        <w:t>）为我单位的合法代理人，就（</w:t>
      </w:r>
      <w:r>
        <w:rPr>
          <w:rFonts w:hint="eastAsia" w:ascii="宋体" w:hAnsi="宋体" w:eastAsia="宋体" w:cs="宋体"/>
          <w:i w:val="0"/>
          <w:iCs w:val="0"/>
          <w:color w:val="auto"/>
          <w:sz w:val="24"/>
          <w:szCs w:val="24"/>
          <w:highlight w:val="none"/>
          <w:u w:val="single"/>
        </w:rPr>
        <w:t>项目名称</w:t>
      </w:r>
      <w:r>
        <w:rPr>
          <w:rFonts w:hint="eastAsia" w:ascii="宋体" w:hAnsi="宋体" w:eastAsia="宋体" w:cs="宋体"/>
          <w:i w:val="0"/>
          <w:iCs w:val="0"/>
          <w:color w:val="auto"/>
          <w:sz w:val="24"/>
          <w:szCs w:val="24"/>
          <w:highlight w:val="none"/>
        </w:rPr>
        <w:t>）的投标，以我单位名义处理一切与之有关的事</w:t>
      </w:r>
      <w:r>
        <w:rPr>
          <w:rFonts w:hint="eastAsia" w:ascii="宋体" w:hAnsi="宋体" w:eastAsia="宋体" w:cs="宋体"/>
          <w:color w:val="auto"/>
          <w:sz w:val="24"/>
          <w:szCs w:val="24"/>
          <w:highlight w:val="none"/>
        </w:rPr>
        <w:t>务。</w:t>
      </w:r>
      <w:r>
        <w:rPr>
          <w:rFonts w:hint="eastAsia" w:ascii="宋体" w:hAnsi="宋体" w:eastAsia="宋体" w:cs="宋体"/>
          <w:color w:val="auto"/>
          <w:sz w:val="24"/>
          <w:szCs w:val="24"/>
          <w:highlight w:val="none"/>
        </w:rPr>
        <w:cr/>
      </w:r>
      <w:r>
        <w:rPr>
          <w:rFonts w:hint="eastAsia" w:ascii="宋体" w:hAnsi="宋体" w:eastAsia="宋体" w:cs="宋体"/>
          <w:color w:val="auto"/>
          <w:sz w:val="24"/>
          <w:szCs w:val="24"/>
          <w:highlight w:val="none"/>
        </w:rPr>
        <w:t>　　</w:t>
      </w:r>
    </w:p>
    <w:p w14:paraId="3B2C01A8">
      <w:pPr>
        <w:pStyle w:val="11"/>
        <w:tabs>
          <w:tab w:val="left" w:pos="5580"/>
        </w:tabs>
        <w:spacing w:line="360" w:lineRule="exact"/>
        <w:ind w:left="-540" w:leftChars="-257" w:firstLine="900" w:firstLine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日签字生效,特此声明。</w:t>
      </w:r>
    </w:p>
    <w:p w14:paraId="446E8A4B">
      <w:pPr>
        <w:pStyle w:val="11"/>
        <w:tabs>
          <w:tab w:val="left" w:pos="5580"/>
        </w:tabs>
        <w:spacing w:line="240" w:lineRule="atLeast"/>
        <w:ind w:left="-540" w:leftChars="-257" w:firstLine="900" w:firstLine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3039110</wp:posOffset>
                </wp:positionH>
                <wp:positionV relativeFrom="paragraph">
                  <wp:posOffset>167640</wp:posOffset>
                </wp:positionV>
                <wp:extent cx="2478405" cy="969010"/>
                <wp:effectExtent l="7620" t="7620" r="9525" b="13970"/>
                <wp:wrapNone/>
                <wp:docPr id="2" name="自选图形 5"/>
                <wp:cNvGraphicFramePr/>
                <a:graphic xmlns:a="http://schemas.openxmlformats.org/drawingml/2006/main">
                  <a:graphicData uri="http://schemas.microsoft.com/office/word/2010/wordprocessingShape">
                    <wps:wsp>
                      <wps:cNvSpPr/>
                      <wps:spPr>
                        <a:xfrm>
                          <a:off x="0" y="0"/>
                          <a:ext cx="2478405" cy="96901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579D2BAB">
                            <w:pPr>
                              <w:rPr>
                                <w:rFonts w:hAnsi="宋体"/>
                              </w:rPr>
                            </w:pPr>
                          </w:p>
                          <w:p w14:paraId="275520B0">
                            <w:pPr>
                              <w:rPr>
                                <w:rFonts w:hAnsi="宋体"/>
                              </w:rPr>
                            </w:pPr>
                          </w:p>
                          <w:p w14:paraId="7094F617">
                            <w:pPr>
                              <w:rPr>
                                <w:rFonts w:hAnsi="宋体"/>
                              </w:rPr>
                            </w:pPr>
                          </w:p>
                          <w:p w14:paraId="06CA5F93">
                            <w:pPr>
                              <w:jc w:val="center"/>
                            </w:pPr>
                            <w:r>
                              <w:rPr>
                                <w:rFonts w:hint="eastAsia" w:hAnsi="宋体"/>
                              </w:rPr>
                              <w:t>授权委托人身份证复印件</w:t>
                            </w:r>
                          </w:p>
                          <w:p w14:paraId="286AEBDC"/>
                        </w:txbxContent>
                      </wps:txbx>
                      <wps:bodyPr wrap="square" upright="1"/>
                    </wps:wsp>
                  </a:graphicData>
                </a:graphic>
              </wp:anchor>
            </w:drawing>
          </mc:Choice>
          <mc:Fallback>
            <w:pict>
              <v:roundrect id="自选图形 5" o:spid="_x0000_s1026" o:spt="2" style="position:absolute;left:0pt;margin-left:239.3pt;margin-top:13.2pt;height:76.3pt;width:195.15pt;z-index:251662336;mso-width-relative:page;mso-height-relative:page;" fillcolor="#FFFFFF" filled="t" stroked="t" coordsize="21600,21600" arcsize="0.166666666666667" o:gfxdata="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TBZ+42wAAAAoBAAAPAAAAAAAAAAEAIAAAACIAAABkcnMvZG93bnJldi54bWxQ&#10;SwECFAAUAAAACACHTuJAb5G58S0CAABlBAAADgAAAAAAAAABACAAAAAqAQAAZHJzL2Uyb0RvYy54&#10;bWxQSwUGAAAAAAYABgBZAQAAyQUAAAAA&#10;">
                <v:fill on="t" focussize="0,0"/>
                <v:stroke weight="1.25pt" color="#808080" joinstyle="round"/>
                <v:imagedata o:title=""/>
                <o:lock v:ext="edit" aspectratio="f"/>
                <v:textbox>
                  <w:txbxContent>
                    <w:p w14:paraId="579D2BAB">
                      <w:pPr>
                        <w:rPr>
                          <w:rFonts w:hAnsi="宋体"/>
                        </w:rPr>
                      </w:pPr>
                    </w:p>
                    <w:p w14:paraId="275520B0">
                      <w:pPr>
                        <w:rPr>
                          <w:rFonts w:hAnsi="宋体"/>
                        </w:rPr>
                      </w:pPr>
                    </w:p>
                    <w:p w14:paraId="7094F617">
                      <w:pPr>
                        <w:rPr>
                          <w:rFonts w:hAnsi="宋体"/>
                        </w:rPr>
                      </w:pPr>
                    </w:p>
                    <w:p w14:paraId="06CA5F93">
                      <w:pPr>
                        <w:jc w:val="center"/>
                      </w:pPr>
                      <w:r>
                        <w:rPr>
                          <w:rFonts w:hint="eastAsia" w:hAnsi="宋体"/>
                        </w:rPr>
                        <w:t>授权委托人身份证复印件</w:t>
                      </w:r>
                    </w:p>
                    <w:p w14:paraId="286AEBDC"/>
                  </w:txbxContent>
                </v:textbox>
              </v:roundrect>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135890</wp:posOffset>
                </wp:positionV>
                <wp:extent cx="2317750" cy="942340"/>
                <wp:effectExtent l="4445" t="4445" r="20955" b="5715"/>
                <wp:wrapNone/>
                <wp:docPr id="1" name="自选图形 6"/>
                <wp:cNvGraphicFramePr/>
                <a:graphic xmlns:a="http://schemas.openxmlformats.org/drawingml/2006/main">
                  <a:graphicData uri="http://schemas.microsoft.com/office/word/2010/wordprocessingShape">
                    <wps:wsp>
                      <wps:cNvSpPr/>
                      <wps:spPr>
                        <a:xfrm>
                          <a:off x="0" y="0"/>
                          <a:ext cx="2317750" cy="9423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BD60E76">
                            <w:pPr>
                              <w:jc w:val="center"/>
                              <w:rPr>
                                <w:rFonts w:hAnsi="宋体"/>
                              </w:rPr>
                            </w:pPr>
                          </w:p>
                          <w:p w14:paraId="2D568712">
                            <w:pPr>
                              <w:jc w:val="center"/>
                              <w:rPr>
                                <w:rFonts w:hAnsi="宋体"/>
                              </w:rPr>
                            </w:pPr>
                          </w:p>
                          <w:p w14:paraId="5D40AD32">
                            <w:pPr>
                              <w:jc w:val="center"/>
                              <w:rPr>
                                <w:rFonts w:hAnsi="宋体"/>
                              </w:rPr>
                            </w:pPr>
                          </w:p>
                          <w:p w14:paraId="66C721EB">
                            <w:pPr>
                              <w:jc w:val="center"/>
                            </w:pPr>
                            <w:r>
                              <w:rPr>
                                <w:rFonts w:hint="eastAsia" w:hAnsi="宋体"/>
                              </w:rPr>
                              <w:t>授权委托人身份证复印件</w:t>
                            </w:r>
                          </w:p>
                        </w:txbxContent>
                      </wps:txbx>
                      <wps:bodyPr wrap="square" upright="1"/>
                    </wps:wsp>
                  </a:graphicData>
                </a:graphic>
              </wp:anchor>
            </w:drawing>
          </mc:Choice>
          <mc:Fallback>
            <w:pict>
              <v:shape id="自选图形 6" o:spid="_x0000_s1026" o:spt="176" type="#_x0000_t176" style="position:absolute;left:0pt;margin-left:1.65pt;margin-top:10.7pt;height:74.2pt;width:182.5pt;z-index:251661312;mso-width-relative:page;mso-height-relative:page;" fillcolor="#FFFFFF" filled="t" stroked="t" coordsize="21600,21600" o:gfxdata="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v&#10;NoQO1gAAAAgBAAAPAAAAAAAAAAEAIAAAACIAAABkcnMvZG93bnJldi54bWxQSwECFAAUAAAACACH&#10;TuJA35fIIiYCAABSBAAADgAAAAAAAAABACAAAAAlAQAAZHJzL2Uyb0RvYy54bWxQSwUGAAAAAAYA&#10;BgBZAQAAvQUAAAAA&#10;">
                <v:fill on="t" focussize="0,0"/>
                <v:stroke color="#000000" joinstyle="miter"/>
                <v:imagedata o:title=""/>
                <o:lock v:ext="edit" aspectratio="f"/>
                <v:textbox>
                  <w:txbxContent>
                    <w:p w14:paraId="5BD60E76">
                      <w:pPr>
                        <w:jc w:val="center"/>
                        <w:rPr>
                          <w:rFonts w:hAnsi="宋体"/>
                        </w:rPr>
                      </w:pPr>
                    </w:p>
                    <w:p w14:paraId="2D568712">
                      <w:pPr>
                        <w:jc w:val="center"/>
                        <w:rPr>
                          <w:rFonts w:hAnsi="宋体"/>
                        </w:rPr>
                      </w:pPr>
                    </w:p>
                    <w:p w14:paraId="5D40AD32">
                      <w:pPr>
                        <w:jc w:val="center"/>
                        <w:rPr>
                          <w:rFonts w:hAnsi="宋体"/>
                        </w:rPr>
                      </w:pPr>
                    </w:p>
                    <w:p w14:paraId="66C721EB">
                      <w:pPr>
                        <w:jc w:val="center"/>
                      </w:pPr>
                      <w:r>
                        <w:rPr>
                          <w:rFonts w:hint="eastAsia" w:hAnsi="宋体"/>
                        </w:rPr>
                        <w:t>授权委托人身份证复印件</w:t>
                      </w:r>
                    </w:p>
                  </w:txbxContent>
                </v:textbox>
              </v:shape>
            </w:pict>
          </mc:Fallback>
        </mc:AlternateContent>
      </w:r>
    </w:p>
    <w:p w14:paraId="3CBBE80D">
      <w:pPr>
        <w:spacing w:line="360" w:lineRule="auto"/>
        <w:ind w:firstLine="240" w:firstLineChars="100"/>
        <w:rPr>
          <w:rFonts w:hint="eastAsia" w:ascii="宋体" w:hAnsi="宋体" w:eastAsia="宋体" w:cs="宋体"/>
          <w:color w:val="auto"/>
          <w:sz w:val="24"/>
          <w:szCs w:val="24"/>
          <w:highlight w:val="none"/>
        </w:rPr>
      </w:pPr>
    </w:p>
    <w:p w14:paraId="612C4519">
      <w:pPr>
        <w:spacing w:line="360" w:lineRule="auto"/>
        <w:ind w:firstLine="240" w:firstLineChars="100"/>
        <w:rPr>
          <w:rFonts w:hint="eastAsia" w:ascii="宋体" w:hAnsi="宋体" w:eastAsia="宋体" w:cs="宋体"/>
          <w:color w:val="auto"/>
          <w:sz w:val="24"/>
          <w:szCs w:val="24"/>
          <w:highlight w:val="none"/>
        </w:rPr>
      </w:pPr>
    </w:p>
    <w:p w14:paraId="101668A8">
      <w:pPr>
        <w:spacing w:line="360" w:lineRule="auto"/>
        <w:ind w:firstLine="240" w:firstLineChars="100"/>
        <w:rPr>
          <w:rFonts w:hint="eastAsia" w:ascii="宋体" w:hAnsi="宋体" w:eastAsia="宋体" w:cs="宋体"/>
          <w:color w:val="auto"/>
          <w:sz w:val="24"/>
          <w:szCs w:val="24"/>
          <w:highlight w:val="none"/>
        </w:rPr>
      </w:pPr>
    </w:p>
    <w:p w14:paraId="4A1343AF">
      <w:pPr>
        <w:spacing w:line="360" w:lineRule="auto"/>
        <w:ind w:firstLine="240" w:firstLineChars="100"/>
        <w:rPr>
          <w:rFonts w:hint="eastAsia" w:ascii="宋体" w:hAnsi="宋体" w:eastAsia="宋体" w:cs="宋体"/>
          <w:color w:val="auto"/>
          <w:sz w:val="24"/>
          <w:szCs w:val="24"/>
          <w:highlight w:val="none"/>
        </w:rPr>
      </w:pPr>
    </w:p>
    <w:p w14:paraId="0928D458">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3018155</wp:posOffset>
                </wp:positionH>
                <wp:positionV relativeFrom="paragraph">
                  <wp:posOffset>96520</wp:posOffset>
                </wp:positionV>
                <wp:extent cx="2535555" cy="935355"/>
                <wp:effectExtent l="7620" t="7620" r="9525" b="9525"/>
                <wp:wrapNone/>
                <wp:docPr id="4" name="自选图形 7"/>
                <wp:cNvGraphicFramePr/>
                <a:graphic xmlns:a="http://schemas.openxmlformats.org/drawingml/2006/main">
                  <a:graphicData uri="http://schemas.microsoft.com/office/word/2010/wordprocessingShape">
                    <wps:wsp>
                      <wps:cNvSpPr/>
                      <wps:spPr>
                        <a:xfrm>
                          <a:off x="0" y="0"/>
                          <a:ext cx="2535555" cy="93535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5723410F">
                            <w:pPr>
                              <w:jc w:val="center"/>
                              <w:rPr>
                                <w:rFonts w:hAnsi="宋体"/>
                              </w:rPr>
                            </w:pPr>
                            <w:r>
                              <w:rPr>
                                <w:rFonts w:hint="eastAsia" w:hAnsi="宋体"/>
                              </w:rPr>
                              <w:t xml:space="preserve">  </w:t>
                            </w:r>
                          </w:p>
                          <w:p w14:paraId="5BA23F1B">
                            <w:pPr>
                              <w:rPr>
                                <w:rFonts w:hAnsi="宋体"/>
                              </w:rPr>
                            </w:pPr>
                          </w:p>
                          <w:p w14:paraId="7D09EC0F">
                            <w:pPr>
                              <w:jc w:val="center"/>
                              <w:rPr>
                                <w:szCs w:val="21"/>
                              </w:rPr>
                            </w:pPr>
                            <w:r>
                              <w:rPr>
                                <w:rFonts w:hint="eastAsia" w:hAnsi="宋体"/>
                                <w:szCs w:val="21"/>
                              </w:rPr>
                              <w:t>法定代表人身份证复印件</w:t>
                            </w:r>
                          </w:p>
                          <w:p w14:paraId="13397060"/>
                        </w:txbxContent>
                      </wps:txbx>
                      <wps:bodyPr wrap="square" upright="1"/>
                    </wps:wsp>
                  </a:graphicData>
                </a:graphic>
              </wp:anchor>
            </w:drawing>
          </mc:Choice>
          <mc:Fallback>
            <w:pict>
              <v:roundrect id="自选图形 7" o:spid="_x0000_s1026" o:spt="2" style="position:absolute;left:0pt;margin-left:237.65pt;margin-top:7.6pt;height:73.65pt;width:199.65pt;z-index:251664384;mso-width-relative:page;mso-height-relative:page;" fillcolor="#FFFFFF" filled="t" stroked="t" coordsize="21600,21600" arcsize="0.166666666666667" o:gfxdata="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A0VntsAAAAKAQAADwAAAAAAAAABACAAAAAiAAAAZHJzL2Rvd25yZXYueG1sUEsB&#10;AhQAFAAAAAgAh07iQPj3/7krAgAAZQQAAA4AAAAAAAAAAQAgAAAAKgEAAGRycy9lMm9Eb2MueG1s&#10;UEsFBgAAAAAGAAYAWQEAAMcFAAAAAA==&#10;">
                <v:fill on="t" focussize="0,0"/>
                <v:stroke weight="1.25pt" color="#808080" joinstyle="round"/>
                <v:imagedata o:title=""/>
                <o:lock v:ext="edit" aspectratio="f"/>
                <v:textbox>
                  <w:txbxContent>
                    <w:p w14:paraId="5723410F">
                      <w:pPr>
                        <w:jc w:val="center"/>
                        <w:rPr>
                          <w:rFonts w:hAnsi="宋体"/>
                        </w:rPr>
                      </w:pPr>
                      <w:r>
                        <w:rPr>
                          <w:rFonts w:hint="eastAsia" w:hAnsi="宋体"/>
                        </w:rPr>
                        <w:t xml:space="preserve">  </w:t>
                      </w:r>
                    </w:p>
                    <w:p w14:paraId="5BA23F1B">
                      <w:pPr>
                        <w:rPr>
                          <w:rFonts w:hAnsi="宋体"/>
                        </w:rPr>
                      </w:pPr>
                    </w:p>
                    <w:p w14:paraId="7D09EC0F">
                      <w:pPr>
                        <w:jc w:val="center"/>
                        <w:rPr>
                          <w:szCs w:val="21"/>
                        </w:rPr>
                      </w:pPr>
                      <w:r>
                        <w:rPr>
                          <w:rFonts w:hint="eastAsia" w:hAnsi="宋体"/>
                          <w:szCs w:val="21"/>
                        </w:rPr>
                        <w:t>法定代表人身份证复印件</w:t>
                      </w:r>
                    </w:p>
                    <w:p w14:paraId="13397060"/>
                  </w:txbxContent>
                </v:textbox>
              </v:roundrect>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3" name="自选图形 8"/>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41D4EAF2">
                            <w:pPr>
                              <w:jc w:val="center"/>
                              <w:rPr>
                                <w:rFonts w:hAnsi="宋体"/>
                              </w:rPr>
                            </w:pPr>
                          </w:p>
                          <w:p w14:paraId="1E6EF438">
                            <w:pPr>
                              <w:rPr>
                                <w:rFonts w:hAnsi="宋体"/>
                              </w:rPr>
                            </w:pPr>
                          </w:p>
                          <w:p w14:paraId="384FB7C6">
                            <w:pPr>
                              <w:jc w:val="center"/>
                              <w:rPr>
                                <w:szCs w:val="21"/>
                              </w:rPr>
                            </w:pPr>
                            <w:r>
                              <w:rPr>
                                <w:rFonts w:hint="eastAsia" w:hAnsi="宋体"/>
                                <w:szCs w:val="21"/>
                              </w:rPr>
                              <w:t>法定代表人身份证复印件</w:t>
                            </w:r>
                          </w:p>
                          <w:p w14:paraId="53D01775"/>
                        </w:txbxContent>
                      </wps:txbx>
                      <wps:bodyPr wrap="square" upright="1"/>
                    </wps:wsp>
                  </a:graphicData>
                </a:graphic>
              </wp:anchor>
            </w:drawing>
          </mc:Choice>
          <mc:Fallback>
            <w:pict>
              <v:roundrect id="自选图形 8" o:spid="_x0000_s1026" o:spt="2" style="position:absolute;left:0pt;margin-left:-0.85pt;margin-top:2.35pt;height:80.7pt;width:201.2pt;z-index:251663360;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O+C3vYAAAACAEAAA8AAAAAAAAAAQAgAAAAIgAAAGRycy9kb3ducmV2LnhtbFBL&#10;AQIUABQAAAAIAIdO4kBLrs6YLwIAAGYEAAAOAAAAAAAAAAEAIAAAACcBAABkcnMvZTJvRG9jLnht&#10;bFBLBQYAAAAABgAGAFkBAADIBQAAAAA=&#10;">
                <v:fill on="t" focussize="0,0"/>
                <v:stroke weight="1.25pt" color="#808080" joinstyle="round"/>
                <v:imagedata o:title=""/>
                <o:lock v:ext="edit" aspectratio="f"/>
                <v:textbox>
                  <w:txbxContent>
                    <w:p w14:paraId="41D4EAF2">
                      <w:pPr>
                        <w:jc w:val="center"/>
                        <w:rPr>
                          <w:rFonts w:hAnsi="宋体"/>
                        </w:rPr>
                      </w:pPr>
                    </w:p>
                    <w:p w14:paraId="1E6EF438">
                      <w:pPr>
                        <w:rPr>
                          <w:rFonts w:hAnsi="宋体"/>
                        </w:rPr>
                      </w:pPr>
                    </w:p>
                    <w:p w14:paraId="384FB7C6">
                      <w:pPr>
                        <w:jc w:val="center"/>
                        <w:rPr>
                          <w:szCs w:val="21"/>
                        </w:rPr>
                      </w:pPr>
                      <w:r>
                        <w:rPr>
                          <w:rFonts w:hint="eastAsia" w:hAnsi="宋体"/>
                          <w:szCs w:val="21"/>
                        </w:rPr>
                        <w:t>法定代表人身份证复印件</w:t>
                      </w:r>
                    </w:p>
                    <w:p w14:paraId="53D01775"/>
                  </w:txbxContent>
                </v:textbox>
              </v:roundrect>
            </w:pict>
          </mc:Fallback>
        </mc:AlternateContent>
      </w:r>
    </w:p>
    <w:p w14:paraId="6ED02A51">
      <w:pPr>
        <w:spacing w:line="360" w:lineRule="auto"/>
        <w:ind w:firstLine="240" w:firstLineChars="100"/>
        <w:rPr>
          <w:rFonts w:hint="eastAsia" w:ascii="宋体" w:hAnsi="宋体" w:eastAsia="宋体" w:cs="宋体"/>
          <w:color w:val="auto"/>
          <w:sz w:val="24"/>
          <w:szCs w:val="24"/>
          <w:highlight w:val="none"/>
        </w:rPr>
      </w:pPr>
    </w:p>
    <w:p w14:paraId="71D57970">
      <w:pPr>
        <w:spacing w:line="360" w:lineRule="auto"/>
        <w:ind w:firstLine="240" w:firstLineChars="100"/>
        <w:rPr>
          <w:rFonts w:hint="eastAsia" w:ascii="宋体" w:hAnsi="宋体" w:eastAsia="宋体" w:cs="宋体"/>
          <w:color w:val="auto"/>
          <w:sz w:val="24"/>
          <w:szCs w:val="24"/>
          <w:highlight w:val="none"/>
        </w:rPr>
      </w:pPr>
    </w:p>
    <w:p w14:paraId="7B55CCE2">
      <w:pPr>
        <w:pStyle w:val="16"/>
        <w:rPr>
          <w:rFonts w:hint="eastAsia" w:ascii="宋体" w:hAnsi="宋体" w:eastAsia="宋体" w:cs="宋体"/>
          <w:color w:val="auto"/>
          <w:sz w:val="24"/>
          <w:szCs w:val="24"/>
          <w:highlight w:val="none"/>
        </w:rPr>
      </w:pPr>
    </w:p>
    <w:p w14:paraId="13F3E599">
      <w:pPr>
        <w:spacing w:line="360" w:lineRule="auto"/>
        <w:ind w:firstLine="240" w:firstLineChars="100"/>
        <w:rPr>
          <w:rFonts w:hint="eastAsia" w:ascii="宋体" w:hAnsi="宋体" w:eastAsia="宋体" w:cs="宋体"/>
          <w:color w:val="auto"/>
          <w:sz w:val="24"/>
          <w:szCs w:val="24"/>
          <w:highlight w:val="none"/>
        </w:rPr>
      </w:pPr>
    </w:p>
    <w:p w14:paraId="0432869A">
      <w:pPr>
        <w:spacing w:line="360" w:lineRule="auto"/>
        <w:ind w:firstLine="241"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注：提供身份证正反面。</w:t>
      </w:r>
    </w:p>
    <w:p w14:paraId="1F6E972A">
      <w:pPr>
        <w:pStyle w:val="11"/>
        <w:tabs>
          <w:tab w:val="left" w:pos="5580"/>
        </w:tabs>
        <w:spacing w:line="36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公章</w:t>
      </w:r>
      <w:r>
        <w:rPr>
          <w:rFonts w:hint="eastAsia" w:ascii="宋体" w:hAnsi="宋体" w:eastAsia="宋体" w:cs="宋体"/>
          <w:color w:val="auto"/>
          <w:sz w:val="24"/>
          <w:szCs w:val="24"/>
          <w:highlight w:val="none"/>
        </w:rPr>
        <w:t>）</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4EB1AFDC">
      <w:pPr>
        <w:pStyle w:val="11"/>
        <w:tabs>
          <w:tab w:val="left" w:pos="5580"/>
        </w:tabs>
        <w:spacing w:line="36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签/章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0DC2DAA1">
      <w:pPr>
        <w:pStyle w:val="11"/>
        <w:tabs>
          <w:tab w:val="left" w:pos="5580"/>
        </w:tabs>
        <w:spacing w:line="360" w:lineRule="exact"/>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身份证号码：</w:t>
      </w:r>
      <w:r>
        <w:rPr>
          <w:rFonts w:hint="eastAsia" w:hAnsi="宋体" w:cs="宋体"/>
          <w:color w:val="auto"/>
          <w:sz w:val="24"/>
          <w:szCs w:val="24"/>
          <w:highlight w:val="none"/>
          <w:u w:val="single"/>
          <w:lang w:val="en-US" w:eastAsia="zh-CN"/>
        </w:rPr>
        <w:t xml:space="preserve">                              </w:t>
      </w:r>
    </w:p>
    <w:p w14:paraId="4BCE21BE">
      <w:pPr>
        <w:pStyle w:val="11"/>
        <w:tabs>
          <w:tab w:val="left" w:pos="5580"/>
        </w:tabs>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签/章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BEAC029">
      <w:pPr>
        <w:pStyle w:val="11"/>
        <w:tabs>
          <w:tab w:val="left" w:pos="5580"/>
        </w:tabs>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8AD96E3">
      <w:pPr>
        <w:pStyle w:val="11"/>
        <w:tabs>
          <w:tab w:val="left" w:pos="5580"/>
        </w:tabs>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详细通讯地址：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1EA5500">
      <w:pPr>
        <w:pStyle w:val="11"/>
        <w:tabs>
          <w:tab w:val="left" w:pos="5580"/>
        </w:tabs>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 政 编 码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14EC91A">
      <w:pPr>
        <w:pStyle w:val="11"/>
        <w:tabs>
          <w:tab w:val="left" w:pos="5580"/>
        </w:tabs>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14:paraId="44CFDA71">
      <w:pPr>
        <w:pStyle w:val="11"/>
        <w:tabs>
          <w:tab w:val="left" w:pos="5580"/>
        </w:tabs>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A5AB9F6">
      <w:pPr>
        <w:pStyle w:val="11"/>
        <w:tabs>
          <w:tab w:val="left" w:pos="5580"/>
        </w:tabs>
        <w:spacing w:line="360" w:lineRule="exact"/>
        <w:jc w:val="right"/>
        <w:rPr>
          <w:rFonts w:hint="eastAsia" w:ascii="宋体" w:hAnsi="宋体" w:eastAsia="宋体" w:cs="宋体"/>
          <w:color w:val="auto"/>
          <w:sz w:val="24"/>
          <w:szCs w:val="24"/>
          <w:highlight w:val="none"/>
        </w:rPr>
      </w:pPr>
    </w:p>
    <w:p w14:paraId="6802A234">
      <w:pPr>
        <w:pStyle w:val="11"/>
        <w:tabs>
          <w:tab w:val="left" w:pos="5580"/>
        </w:tabs>
        <w:spacing w:line="360" w:lineRule="exact"/>
        <w:jc w:val="right"/>
        <w:rPr>
          <w:rFonts w:hint="eastAsia" w:ascii="宋体" w:hAnsi="宋体" w:eastAsia="宋体" w:cs="宋体"/>
          <w:color w:val="auto"/>
          <w:sz w:val="24"/>
          <w:szCs w:val="24"/>
          <w:highlight w:val="none"/>
        </w:rPr>
      </w:pPr>
    </w:p>
    <w:p w14:paraId="3B3CB874">
      <w:pPr>
        <w:pStyle w:val="11"/>
        <w:tabs>
          <w:tab w:val="left" w:pos="5580"/>
        </w:tabs>
        <w:spacing w:line="36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00ED359">
      <w:pPr>
        <w:rPr>
          <w:rFonts w:hint="eastAsia" w:ascii="宋体" w:hAnsi="宋体" w:eastAsia="宋体" w:cs="宋体"/>
          <w:b/>
          <w:color w:val="auto"/>
          <w:kern w:val="0"/>
          <w:sz w:val="24"/>
          <w:szCs w:val="24"/>
          <w:highlight w:val="none"/>
          <w:lang w:val="en-US" w:eastAsia="zh-CN" w:bidi="ar-SA"/>
        </w:rPr>
      </w:pPr>
      <w:bookmarkStart w:id="525" w:name="_Toc24456"/>
      <w:bookmarkStart w:id="526" w:name="_Toc7550"/>
      <w:bookmarkStart w:id="527" w:name="_Toc515647811"/>
      <w:bookmarkStart w:id="528" w:name="_Toc32670"/>
      <w:bookmarkStart w:id="529" w:name="_Toc24428"/>
      <w:r>
        <w:rPr>
          <w:rFonts w:hint="eastAsia" w:ascii="宋体" w:hAnsi="宋体" w:eastAsia="宋体" w:cs="宋体"/>
          <w:b/>
          <w:color w:val="auto"/>
          <w:kern w:val="0"/>
          <w:sz w:val="24"/>
          <w:szCs w:val="24"/>
          <w:highlight w:val="none"/>
          <w:lang w:val="en-US" w:eastAsia="zh-CN" w:bidi="ar-SA"/>
        </w:rPr>
        <w:br w:type="page"/>
      </w:r>
    </w:p>
    <w:p w14:paraId="73C267B5">
      <w:pPr>
        <w:bidi w:val="0"/>
        <w:outlineLvl w:val="1"/>
        <w:rPr>
          <w:rFonts w:hint="eastAsia" w:ascii="宋体" w:hAnsi="宋体" w:eastAsia="宋体" w:cs="宋体"/>
          <w:color w:val="auto"/>
          <w:sz w:val="24"/>
          <w:szCs w:val="24"/>
          <w:highlight w:val="none"/>
          <w:lang w:val="en-US" w:eastAsia="zh-CN"/>
        </w:rPr>
      </w:pPr>
      <w:bookmarkStart w:id="530" w:name="_Toc4611"/>
      <w:r>
        <w:rPr>
          <w:rFonts w:hint="eastAsia" w:ascii="宋体" w:hAnsi="宋体" w:eastAsia="宋体" w:cs="宋体"/>
          <w:b/>
          <w:color w:val="auto"/>
          <w:kern w:val="0"/>
          <w:sz w:val="24"/>
          <w:szCs w:val="24"/>
          <w:highlight w:val="none"/>
          <w:lang w:val="en-US" w:eastAsia="zh-CN" w:bidi="ar-SA"/>
        </w:rPr>
        <w:t>4.</w:t>
      </w:r>
      <w:bookmarkEnd w:id="525"/>
      <w:bookmarkEnd w:id="526"/>
      <w:r>
        <w:rPr>
          <w:rFonts w:hint="eastAsia" w:ascii="宋体" w:hAnsi="宋体" w:eastAsia="宋体" w:cs="宋体"/>
          <w:b/>
          <w:color w:val="auto"/>
          <w:kern w:val="0"/>
          <w:sz w:val="24"/>
          <w:szCs w:val="24"/>
          <w:highlight w:val="none"/>
          <w:lang w:val="en-US" w:eastAsia="zh-CN" w:bidi="ar-SA"/>
        </w:rPr>
        <w:t>近两年任意一年的财务审计报告，包括资产负债表、现金流量表、利润表等（新成立公司需提供银行资信证明）；</w:t>
      </w:r>
      <w:bookmarkEnd w:id="530"/>
    </w:p>
    <w:p w14:paraId="25D62A11">
      <w:pPr>
        <w:pStyle w:val="6"/>
        <w:rPr>
          <w:rFonts w:hint="eastAsia" w:ascii="宋体" w:hAnsi="宋体" w:eastAsia="宋体" w:cs="宋体"/>
          <w:color w:val="auto"/>
          <w:sz w:val="24"/>
          <w:szCs w:val="24"/>
          <w:highlight w:val="none"/>
        </w:rPr>
      </w:pPr>
    </w:p>
    <w:p w14:paraId="72943099">
      <w:pPr>
        <w:rPr>
          <w:rFonts w:hint="eastAsia" w:ascii="宋体" w:hAnsi="宋体" w:eastAsia="宋体" w:cs="宋体"/>
          <w:color w:val="auto"/>
          <w:sz w:val="24"/>
          <w:szCs w:val="24"/>
          <w:highlight w:val="none"/>
        </w:rPr>
      </w:pPr>
    </w:p>
    <w:p w14:paraId="6AC62F57">
      <w:pPr>
        <w:pStyle w:val="6"/>
        <w:rPr>
          <w:rFonts w:hint="eastAsia" w:ascii="宋体" w:hAnsi="宋体" w:eastAsia="宋体" w:cs="宋体"/>
          <w:color w:val="auto"/>
          <w:sz w:val="24"/>
          <w:szCs w:val="24"/>
          <w:highlight w:val="none"/>
        </w:rPr>
      </w:pPr>
    </w:p>
    <w:p w14:paraId="42DEDD84">
      <w:pPr>
        <w:rPr>
          <w:rFonts w:hint="eastAsia" w:ascii="宋体" w:hAnsi="宋体" w:eastAsia="宋体" w:cs="宋体"/>
          <w:color w:val="auto"/>
          <w:sz w:val="24"/>
          <w:szCs w:val="24"/>
          <w:highlight w:val="none"/>
        </w:rPr>
      </w:pPr>
    </w:p>
    <w:p w14:paraId="4B15D2BD">
      <w:pPr>
        <w:pStyle w:val="23"/>
        <w:spacing w:line="400" w:lineRule="exact"/>
        <w:ind w:left="0" w:leftChars="0" w:firstLine="0" w:firstLineChars="0"/>
        <w:outlineLvl w:val="1"/>
        <w:rPr>
          <w:rFonts w:hint="eastAsia" w:ascii="宋体" w:hAnsi="宋体" w:eastAsia="宋体" w:cs="宋体"/>
          <w:b/>
          <w:color w:val="auto"/>
          <w:kern w:val="0"/>
          <w:sz w:val="24"/>
          <w:szCs w:val="24"/>
          <w:highlight w:val="none"/>
          <w:lang w:val="en-US" w:eastAsia="zh-CN" w:bidi="ar-SA"/>
        </w:rPr>
      </w:pPr>
      <w:bookmarkStart w:id="531" w:name="_Toc15050"/>
      <w:bookmarkStart w:id="532" w:name="_Toc18033"/>
      <w:bookmarkStart w:id="533" w:name="_Toc29065"/>
      <w:r>
        <w:rPr>
          <w:rFonts w:hint="eastAsia" w:ascii="宋体" w:hAnsi="宋体" w:eastAsia="宋体" w:cs="宋体"/>
          <w:b/>
          <w:color w:val="auto"/>
          <w:kern w:val="0"/>
          <w:sz w:val="24"/>
          <w:szCs w:val="24"/>
          <w:highlight w:val="none"/>
          <w:lang w:val="en-US" w:eastAsia="zh-CN" w:bidi="ar-SA"/>
        </w:rPr>
        <w:t>5.</w:t>
      </w:r>
      <w:bookmarkEnd w:id="531"/>
      <w:bookmarkEnd w:id="532"/>
      <w:bookmarkEnd w:id="533"/>
      <w:r>
        <w:rPr>
          <w:rFonts w:hint="eastAsia" w:ascii="宋体" w:hAnsi="宋体" w:eastAsia="宋体" w:cs="宋体"/>
          <w:b/>
          <w:color w:val="auto"/>
          <w:kern w:val="0"/>
          <w:sz w:val="24"/>
          <w:szCs w:val="24"/>
          <w:highlight w:val="none"/>
          <w:lang w:val="en-US" w:eastAsia="zh-CN" w:bidi="ar-SA"/>
        </w:rPr>
        <w:t>提供本单位缴纳的近六个月内任意一个月社保缴纳证明及明细；</w:t>
      </w:r>
    </w:p>
    <w:p w14:paraId="7E91AE88">
      <w:pPr>
        <w:pStyle w:val="23"/>
        <w:spacing w:line="400" w:lineRule="exact"/>
        <w:ind w:left="0" w:leftChars="0" w:firstLine="0" w:firstLineChars="0"/>
        <w:outlineLvl w:val="1"/>
        <w:rPr>
          <w:rFonts w:hint="eastAsia" w:ascii="宋体" w:hAnsi="宋体" w:eastAsia="宋体" w:cs="宋体"/>
          <w:b/>
          <w:color w:val="auto"/>
          <w:kern w:val="0"/>
          <w:sz w:val="24"/>
          <w:szCs w:val="24"/>
          <w:highlight w:val="none"/>
          <w:lang w:val="en-US" w:eastAsia="zh-CN" w:bidi="ar-SA"/>
        </w:rPr>
      </w:pPr>
    </w:p>
    <w:p w14:paraId="584268E3">
      <w:pPr>
        <w:bidi w:val="0"/>
        <w:rPr>
          <w:rFonts w:hint="eastAsia" w:ascii="宋体" w:hAnsi="宋体" w:eastAsia="宋体" w:cs="宋体"/>
          <w:color w:val="auto"/>
          <w:sz w:val="24"/>
          <w:szCs w:val="24"/>
          <w:highlight w:val="none"/>
          <w:lang w:val="en-US" w:eastAsia="zh-CN"/>
        </w:rPr>
      </w:pPr>
    </w:p>
    <w:p w14:paraId="0C0BEBB3">
      <w:pPr>
        <w:rPr>
          <w:rFonts w:hint="eastAsia" w:ascii="宋体" w:hAnsi="宋体" w:eastAsia="宋体" w:cs="宋体"/>
          <w:color w:val="auto"/>
          <w:sz w:val="24"/>
          <w:szCs w:val="24"/>
          <w:highlight w:val="none"/>
        </w:rPr>
      </w:pPr>
    </w:p>
    <w:p w14:paraId="48793E04">
      <w:pPr>
        <w:pStyle w:val="6"/>
        <w:rPr>
          <w:rFonts w:hint="eastAsia" w:ascii="宋体" w:hAnsi="宋体" w:eastAsia="宋体" w:cs="宋体"/>
          <w:color w:val="auto"/>
          <w:sz w:val="24"/>
          <w:szCs w:val="24"/>
          <w:highlight w:val="none"/>
        </w:rPr>
      </w:pPr>
    </w:p>
    <w:p w14:paraId="650BFA37">
      <w:pPr>
        <w:rPr>
          <w:rFonts w:hint="eastAsia" w:ascii="宋体" w:hAnsi="宋体" w:eastAsia="宋体" w:cs="宋体"/>
          <w:color w:val="auto"/>
          <w:sz w:val="24"/>
          <w:szCs w:val="24"/>
          <w:highlight w:val="none"/>
        </w:rPr>
      </w:pPr>
    </w:p>
    <w:p w14:paraId="293C691F">
      <w:pPr>
        <w:pStyle w:val="6"/>
        <w:rPr>
          <w:rFonts w:hint="eastAsia" w:ascii="宋体" w:hAnsi="宋体" w:eastAsia="宋体" w:cs="宋体"/>
          <w:color w:val="auto"/>
          <w:sz w:val="24"/>
          <w:szCs w:val="24"/>
          <w:highlight w:val="none"/>
        </w:rPr>
      </w:pPr>
    </w:p>
    <w:p w14:paraId="4081485C">
      <w:pPr>
        <w:pStyle w:val="6"/>
        <w:ind w:left="0" w:leftChars="0" w:firstLine="0" w:firstLineChars="0"/>
        <w:outlineLvl w:val="1"/>
        <w:rPr>
          <w:rFonts w:hint="eastAsia" w:ascii="宋体" w:hAnsi="宋体" w:eastAsia="宋体" w:cs="宋体"/>
          <w:b/>
          <w:color w:val="auto"/>
          <w:kern w:val="0"/>
          <w:sz w:val="24"/>
          <w:szCs w:val="24"/>
          <w:highlight w:val="none"/>
          <w:lang w:val="en-US" w:eastAsia="zh-CN" w:bidi="ar-SA"/>
        </w:rPr>
      </w:pPr>
      <w:bookmarkStart w:id="534" w:name="_Toc13272"/>
      <w:bookmarkStart w:id="535" w:name="_Toc19127"/>
      <w:bookmarkStart w:id="536" w:name="_Toc5698"/>
      <w:r>
        <w:rPr>
          <w:rFonts w:hint="eastAsia" w:ascii="宋体" w:hAnsi="宋体" w:eastAsia="宋体" w:cs="宋体"/>
          <w:b/>
          <w:color w:val="auto"/>
          <w:kern w:val="0"/>
          <w:sz w:val="24"/>
          <w:szCs w:val="24"/>
          <w:highlight w:val="none"/>
          <w:lang w:val="en-US" w:eastAsia="zh-CN" w:bidi="ar-SA"/>
        </w:rPr>
        <w:t>6.</w:t>
      </w:r>
      <w:bookmarkEnd w:id="534"/>
      <w:bookmarkEnd w:id="535"/>
      <w:bookmarkEnd w:id="536"/>
      <w:r>
        <w:rPr>
          <w:rFonts w:hint="eastAsia" w:ascii="宋体" w:hAnsi="宋体" w:eastAsia="宋体" w:cs="宋体"/>
          <w:b/>
          <w:color w:val="auto"/>
          <w:kern w:val="0"/>
          <w:sz w:val="24"/>
          <w:szCs w:val="24"/>
          <w:highlight w:val="none"/>
          <w:lang w:val="en-US" w:eastAsia="zh-CN" w:bidi="ar-SA"/>
        </w:rPr>
        <w:t>提供税务部门出具的近六个月任意一个月的完税证明</w:t>
      </w:r>
      <w:r>
        <w:rPr>
          <w:rFonts w:hint="eastAsia" w:hAnsi="宋体" w:cs="宋体"/>
          <w:b/>
          <w:color w:val="auto"/>
          <w:kern w:val="0"/>
          <w:sz w:val="24"/>
          <w:szCs w:val="24"/>
          <w:highlight w:val="none"/>
          <w:lang w:val="en-US" w:eastAsia="zh-CN" w:bidi="ar-SA"/>
        </w:rPr>
        <w:t>；</w:t>
      </w:r>
    </w:p>
    <w:p w14:paraId="348C0CFF">
      <w:pPr>
        <w:pStyle w:val="6"/>
        <w:ind w:left="0" w:leftChars="0" w:firstLine="0" w:firstLineChars="0"/>
        <w:outlineLvl w:val="1"/>
        <w:rPr>
          <w:rFonts w:hint="eastAsia" w:ascii="宋体" w:hAnsi="宋体" w:eastAsia="宋体" w:cs="宋体"/>
          <w:color w:val="auto"/>
          <w:sz w:val="24"/>
          <w:szCs w:val="24"/>
          <w:highlight w:val="none"/>
        </w:rPr>
      </w:pPr>
    </w:p>
    <w:p w14:paraId="50410635">
      <w:pPr>
        <w:rPr>
          <w:rFonts w:hint="eastAsia" w:ascii="宋体" w:hAnsi="宋体" w:eastAsia="宋体" w:cs="宋体"/>
          <w:color w:val="auto"/>
          <w:sz w:val="24"/>
          <w:szCs w:val="24"/>
          <w:highlight w:val="none"/>
        </w:rPr>
      </w:pPr>
    </w:p>
    <w:p w14:paraId="6ECBB7DC">
      <w:pPr>
        <w:pStyle w:val="23"/>
        <w:rPr>
          <w:rFonts w:hint="eastAsia" w:ascii="宋体" w:hAnsi="宋体" w:eastAsia="宋体" w:cs="宋体"/>
          <w:color w:val="auto"/>
          <w:sz w:val="24"/>
          <w:szCs w:val="24"/>
          <w:highlight w:val="none"/>
        </w:rPr>
      </w:pPr>
    </w:p>
    <w:p w14:paraId="6EFB4263">
      <w:pPr>
        <w:bidi w:val="0"/>
        <w:rPr>
          <w:rFonts w:hint="eastAsia" w:ascii="宋体" w:hAnsi="宋体" w:eastAsia="宋体" w:cs="宋体"/>
          <w:color w:val="auto"/>
          <w:sz w:val="24"/>
          <w:szCs w:val="24"/>
          <w:highlight w:val="none"/>
        </w:rPr>
      </w:pPr>
    </w:p>
    <w:p w14:paraId="2FB580B1">
      <w:pPr>
        <w:bidi w:val="0"/>
        <w:rPr>
          <w:rFonts w:hint="eastAsia" w:ascii="宋体" w:hAnsi="宋体" w:eastAsia="宋体" w:cs="宋体"/>
          <w:color w:val="auto"/>
          <w:sz w:val="24"/>
          <w:szCs w:val="24"/>
          <w:highlight w:val="none"/>
        </w:rPr>
      </w:pPr>
    </w:p>
    <w:p w14:paraId="4A5DC121">
      <w:pPr>
        <w:pStyle w:val="6"/>
        <w:numPr>
          <w:ilvl w:val="0"/>
          <w:numId w:val="0"/>
        </w:numPr>
        <w:ind w:leftChars="0"/>
        <w:outlineLvl w:val="1"/>
        <w:rPr>
          <w:rFonts w:hint="eastAsia" w:ascii="宋体" w:hAnsi="宋体" w:eastAsia="宋体" w:cs="宋体"/>
          <w:b/>
          <w:color w:val="auto"/>
          <w:kern w:val="0"/>
          <w:sz w:val="24"/>
          <w:szCs w:val="24"/>
          <w:highlight w:val="none"/>
          <w:lang w:val="en-US" w:eastAsia="zh-CN" w:bidi="ar-SA"/>
        </w:rPr>
      </w:pPr>
      <w:bookmarkStart w:id="537" w:name="_Toc12714"/>
      <w:r>
        <w:rPr>
          <w:rFonts w:hint="eastAsia" w:hAnsi="宋体" w:cs="宋体"/>
          <w:b/>
          <w:color w:val="auto"/>
          <w:kern w:val="0"/>
          <w:sz w:val="24"/>
          <w:szCs w:val="24"/>
          <w:highlight w:val="none"/>
          <w:lang w:val="en-US" w:eastAsia="zh-CN" w:bidi="ar-SA"/>
        </w:rPr>
        <w:t>7.供应商须具备[公路工程施工总承包叁级]（含）以上资质，且具有效的安全生产许可证；项目负责人须具备公路工程专业二级（含）以上注册建造师执业资格, 具备有效的安全生产考核合格证书，近 3 个月有效的社保证明，且未担任其他在施建设项目的项目负责人</w:t>
      </w:r>
      <w:r>
        <w:rPr>
          <w:rFonts w:hint="eastAsia" w:ascii="宋体" w:hAnsi="宋体" w:eastAsia="宋体" w:cs="宋体"/>
          <w:b/>
          <w:color w:val="auto"/>
          <w:kern w:val="0"/>
          <w:sz w:val="24"/>
          <w:szCs w:val="24"/>
          <w:highlight w:val="none"/>
          <w:lang w:val="en-US" w:eastAsia="zh-CN" w:bidi="ar-SA"/>
        </w:rPr>
        <w:t>；</w:t>
      </w:r>
    </w:p>
    <w:p w14:paraId="6B41EB3B">
      <w:pPr>
        <w:widowControl/>
        <w:snapToGrid w:val="0"/>
        <w:spacing w:line="360" w:lineRule="exact"/>
        <w:jc w:val="left"/>
        <w:textAlignment w:val="baseline"/>
        <w:rPr>
          <w:rFonts w:hint="eastAsia" w:ascii="宋体" w:hAnsi="宋体" w:eastAsia="宋体" w:cs="宋体"/>
          <w:b/>
          <w:color w:val="auto"/>
          <w:kern w:val="0"/>
          <w:sz w:val="24"/>
          <w:szCs w:val="24"/>
          <w:highlight w:val="none"/>
          <w:lang w:val="en-US" w:eastAsia="zh-CN" w:bidi="ar-SA"/>
        </w:rPr>
      </w:pPr>
    </w:p>
    <w:p w14:paraId="4395AAA6">
      <w:pPr>
        <w:widowControl/>
        <w:snapToGrid w:val="0"/>
        <w:spacing w:line="360" w:lineRule="exact"/>
        <w:jc w:val="left"/>
        <w:textAlignment w:val="baseline"/>
        <w:rPr>
          <w:rFonts w:hint="eastAsia" w:ascii="宋体" w:hAnsi="宋体" w:eastAsia="宋体" w:cs="宋体"/>
          <w:b/>
          <w:color w:val="auto"/>
          <w:kern w:val="0"/>
          <w:sz w:val="24"/>
          <w:szCs w:val="24"/>
          <w:highlight w:val="none"/>
          <w:lang w:val="en-US" w:eastAsia="zh-CN" w:bidi="ar-SA"/>
        </w:rPr>
      </w:pPr>
    </w:p>
    <w:p w14:paraId="62B730E5">
      <w:pPr>
        <w:widowControl/>
        <w:snapToGrid w:val="0"/>
        <w:spacing w:line="360" w:lineRule="exact"/>
        <w:jc w:val="left"/>
        <w:textAlignment w:val="baseline"/>
        <w:rPr>
          <w:rFonts w:hint="eastAsia" w:ascii="宋体" w:hAnsi="宋体" w:eastAsia="宋体" w:cs="宋体"/>
          <w:b/>
          <w:color w:val="auto"/>
          <w:kern w:val="0"/>
          <w:sz w:val="24"/>
          <w:szCs w:val="24"/>
          <w:highlight w:val="none"/>
          <w:lang w:val="en-US" w:eastAsia="zh-CN" w:bidi="ar-SA"/>
        </w:rPr>
      </w:pPr>
    </w:p>
    <w:p w14:paraId="1EECDCD1">
      <w:pPr>
        <w:widowControl/>
        <w:snapToGrid w:val="0"/>
        <w:spacing w:line="360" w:lineRule="exact"/>
        <w:jc w:val="left"/>
        <w:textAlignment w:val="baseline"/>
        <w:rPr>
          <w:rFonts w:hint="eastAsia" w:ascii="宋体" w:hAnsi="宋体" w:eastAsia="宋体" w:cs="宋体"/>
          <w:b/>
          <w:color w:val="auto"/>
          <w:kern w:val="0"/>
          <w:sz w:val="24"/>
          <w:szCs w:val="24"/>
          <w:highlight w:val="none"/>
          <w:lang w:val="en-US" w:eastAsia="zh-CN" w:bidi="ar-SA"/>
        </w:rPr>
      </w:pPr>
    </w:p>
    <w:p w14:paraId="5068BFE4">
      <w:pPr>
        <w:pStyle w:val="8"/>
        <w:numPr>
          <w:ilvl w:val="0"/>
          <w:numId w:val="0"/>
        </w:numPr>
        <w:rPr>
          <w:rFonts w:hint="default"/>
          <w:highlight w:val="none"/>
          <w:lang w:val="en-US" w:eastAsia="zh-CN"/>
        </w:rPr>
      </w:pPr>
    </w:p>
    <w:p w14:paraId="7A0E35E1">
      <w:pPr>
        <w:pStyle w:val="6"/>
        <w:keepNext w:val="0"/>
        <w:keepLines w:val="0"/>
        <w:pageBreakBefore w:val="0"/>
        <w:widowControl w:val="0"/>
        <w:kinsoku/>
        <w:wordWrap w:val="0"/>
        <w:overflowPunct/>
        <w:topLinePunct w:val="0"/>
        <w:autoSpaceDE w:val="0"/>
        <w:autoSpaceDN w:val="0"/>
        <w:bidi w:val="0"/>
        <w:adjustRightInd w:val="0"/>
        <w:snapToGrid/>
        <w:ind w:left="0" w:leftChars="0" w:firstLine="0" w:firstLineChars="0"/>
        <w:textAlignment w:val="auto"/>
        <w:outlineLvl w:val="1"/>
        <w:rPr>
          <w:rFonts w:hint="eastAsia" w:ascii="宋体" w:hAnsi="宋体" w:eastAsia="宋体" w:cs="宋体"/>
          <w:b/>
          <w:color w:val="auto"/>
          <w:kern w:val="0"/>
          <w:sz w:val="24"/>
          <w:szCs w:val="24"/>
          <w:highlight w:val="none"/>
          <w:lang w:val="en-US" w:eastAsia="zh-CN" w:bidi="ar-SA"/>
        </w:rPr>
      </w:pPr>
      <w:r>
        <w:rPr>
          <w:rFonts w:hint="eastAsia" w:hAnsi="宋体" w:cs="宋体"/>
          <w:b/>
          <w:color w:val="auto"/>
          <w:kern w:val="0"/>
          <w:sz w:val="24"/>
          <w:szCs w:val="24"/>
          <w:highlight w:val="none"/>
          <w:lang w:val="en-US" w:eastAsia="zh-CN" w:bidi="ar-SA"/>
        </w:rPr>
        <w:t>8.供应商在“信用中国 ”网站（www.creditchina.gov.cn）中查询“严重失信、经营异常”；“中国政府采购网”网站（http://www.ccgp.gov.cn/search/cr/）中查询“严重违法失信行为”；“国家企业信用信息公示系统”（http://www.gsxt.gov.cn）中查询“严重违法失信名单、经营异常名录”，尚在处罚期内的将拒绝其参加本次招标活动（请各供应商提供以上网站完整查询结果，并加盖本单位公章）</w:t>
      </w:r>
      <w:r>
        <w:rPr>
          <w:rFonts w:hint="eastAsia" w:ascii="宋体" w:hAnsi="宋体" w:eastAsia="宋体" w:cs="宋体"/>
          <w:b/>
          <w:color w:val="auto"/>
          <w:kern w:val="0"/>
          <w:sz w:val="24"/>
          <w:szCs w:val="24"/>
          <w:highlight w:val="none"/>
          <w:lang w:val="en-US" w:eastAsia="zh-CN" w:bidi="ar-SA"/>
        </w:rPr>
        <w:t>；</w:t>
      </w:r>
      <w:bookmarkEnd w:id="537"/>
    </w:p>
    <w:p w14:paraId="106E03B0">
      <w:pPr>
        <w:rPr>
          <w:rFonts w:hint="eastAsia" w:ascii="宋体" w:hAnsi="宋体" w:eastAsia="宋体" w:cs="宋体"/>
          <w:b/>
          <w:color w:val="auto"/>
          <w:kern w:val="0"/>
          <w:sz w:val="24"/>
          <w:szCs w:val="24"/>
          <w:highlight w:val="none"/>
          <w:lang w:val="en-US" w:eastAsia="zh-CN" w:bidi="ar-SA"/>
        </w:rPr>
      </w:pPr>
    </w:p>
    <w:p w14:paraId="38C00792">
      <w:pPr>
        <w:pStyle w:val="23"/>
        <w:rPr>
          <w:rFonts w:hint="eastAsia" w:ascii="宋体" w:hAnsi="宋体" w:eastAsia="宋体" w:cs="宋体"/>
          <w:color w:val="auto"/>
          <w:sz w:val="24"/>
          <w:szCs w:val="24"/>
          <w:highlight w:val="none"/>
          <w:lang w:val="en-US" w:eastAsia="zh-CN"/>
        </w:rPr>
      </w:pPr>
    </w:p>
    <w:p w14:paraId="1ABF14B3">
      <w:pPr>
        <w:outlineLvl w:val="1"/>
        <w:rPr>
          <w:rFonts w:hint="eastAsia" w:ascii="宋体" w:hAnsi="宋体" w:eastAsia="宋体" w:cs="宋体"/>
          <w:b/>
          <w:color w:val="auto"/>
          <w:sz w:val="24"/>
          <w:szCs w:val="24"/>
          <w:highlight w:val="none"/>
          <w:lang w:val="en-US" w:eastAsia="zh-CN"/>
        </w:rPr>
      </w:pPr>
      <w:bookmarkStart w:id="538" w:name="_Toc30494"/>
      <w:bookmarkStart w:id="539" w:name="_Toc3136"/>
      <w:r>
        <w:rPr>
          <w:rFonts w:hint="eastAsia" w:ascii="宋体" w:hAnsi="宋体" w:cs="宋体"/>
          <w:b/>
          <w:color w:val="auto"/>
          <w:kern w:val="0"/>
          <w:sz w:val="24"/>
          <w:szCs w:val="24"/>
          <w:highlight w:val="none"/>
          <w:lang w:val="en-US" w:eastAsia="zh-CN" w:bidi="ar-SA"/>
        </w:rPr>
        <w:t>9</w:t>
      </w:r>
      <w:r>
        <w:rPr>
          <w:rFonts w:hint="eastAsia" w:ascii="宋体" w:hAnsi="宋体" w:eastAsia="宋体" w:cs="宋体"/>
          <w:b/>
          <w:color w:val="auto"/>
          <w:kern w:val="0"/>
          <w:sz w:val="24"/>
          <w:szCs w:val="24"/>
          <w:highlight w:val="none"/>
          <w:lang w:val="en-US" w:eastAsia="zh-CN" w:bidi="ar-SA"/>
        </w:rPr>
        <w:t>.</w:t>
      </w:r>
      <w:bookmarkEnd w:id="538"/>
      <w:r>
        <w:rPr>
          <w:rFonts w:hint="eastAsia" w:ascii="宋体" w:hAnsi="宋体" w:eastAsia="宋体" w:cs="宋体"/>
          <w:b/>
          <w:color w:val="auto"/>
          <w:kern w:val="0"/>
          <w:sz w:val="24"/>
          <w:szCs w:val="24"/>
          <w:highlight w:val="none"/>
          <w:lang w:val="en-US" w:eastAsia="zh-CN" w:bidi="ar-SA"/>
        </w:rPr>
        <w:t>参与政府采购活动前3年内未被列入失信、重大税收违法案件、财政部门禁止参加政府采购活动的承诺书；</w:t>
      </w:r>
      <w:bookmarkEnd w:id="539"/>
      <w:r>
        <w:rPr>
          <w:rFonts w:hint="eastAsia" w:ascii="宋体" w:hAnsi="宋体" w:cs="宋体"/>
          <w:b/>
          <w:color w:val="auto"/>
          <w:kern w:val="0"/>
          <w:sz w:val="24"/>
          <w:szCs w:val="24"/>
          <w:highlight w:val="none"/>
          <w:lang w:val="en-US" w:eastAsia="zh-CN" w:bidi="ar-SA"/>
        </w:rPr>
        <w:t>（格式自拟）</w:t>
      </w:r>
    </w:p>
    <w:p w14:paraId="03DC2E9C">
      <w:pPr>
        <w:tabs>
          <w:tab w:val="left" w:pos="1009"/>
        </w:tabs>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b/>
      </w:r>
    </w:p>
    <w:p w14:paraId="6BD96E11">
      <w:pPr>
        <w:pStyle w:val="16"/>
        <w:rPr>
          <w:rFonts w:hint="eastAsia" w:ascii="宋体" w:hAnsi="宋体" w:eastAsia="宋体" w:cs="宋体"/>
          <w:color w:val="auto"/>
          <w:sz w:val="24"/>
          <w:szCs w:val="24"/>
          <w:highlight w:val="none"/>
          <w:lang w:val="en-US" w:eastAsia="zh-CN"/>
        </w:rPr>
      </w:pPr>
    </w:p>
    <w:p w14:paraId="7911D51B">
      <w:pPr>
        <w:pStyle w:val="16"/>
        <w:rPr>
          <w:rFonts w:hint="eastAsia" w:ascii="宋体" w:hAnsi="宋体" w:eastAsia="宋体" w:cs="宋体"/>
          <w:color w:val="auto"/>
          <w:sz w:val="24"/>
          <w:szCs w:val="24"/>
          <w:highlight w:val="none"/>
          <w:lang w:val="en-US" w:eastAsia="zh-CN"/>
        </w:rPr>
      </w:pPr>
    </w:p>
    <w:p w14:paraId="47A13BB3">
      <w:pPr>
        <w:pStyle w:val="23"/>
        <w:ind w:left="0" w:leftChars="0" w:firstLine="0" w:firstLineChars="0"/>
        <w:outlineLvl w:val="1"/>
        <w:rPr>
          <w:rFonts w:hint="eastAsia" w:ascii="宋体" w:hAnsi="宋体" w:cs="宋体"/>
          <w:b/>
          <w:color w:val="auto"/>
          <w:kern w:val="0"/>
          <w:sz w:val="24"/>
          <w:szCs w:val="24"/>
          <w:highlight w:val="none"/>
          <w:lang w:val="en-US" w:eastAsia="zh-CN" w:bidi="ar-SA"/>
        </w:rPr>
      </w:pPr>
      <w:bookmarkStart w:id="540" w:name="_Toc23007"/>
    </w:p>
    <w:p w14:paraId="78FE35B7">
      <w:pPr>
        <w:pStyle w:val="23"/>
        <w:ind w:left="0" w:leftChars="0" w:firstLine="0" w:firstLineChars="0"/>
        <w:outlineLvl w:val="1"/>
        <w:rPr>
          <w:rFonts w:hint="eastAsia" w:ascii="宋体" w:hAnsi="宋体" w:eastAsia="宋体" w:cs="宋体"/>
          <w:color w:val="auto"/>
          <w:sz w:val="24"/>
          <w:szCs w:val="24"/>
          <w:highlight w:val="none"/>
          <w:lang w:val="en-US" w:eastAsia="zh-CN"/>
        </w:rPr>
      </w:pPr>
      <w:r>
        <w:rPr>
          <w:rFonts w:hint="eastAsia" w:ascii="宋体" w:hAnsi="宋体" w:cs="宋体"/>
          <w:b/>
          <w:color w:val="auto"/>
          <w:kern w:val="0"/>
          <w:sz w:val="24"/>
          <w:szCs w:val="24"/>
          <w:highlight w:val="none"/>
          <w:lang w:val="en-US" w:eastAsia="zh-CN" w:bidi="ar-SA"/>
        </w:rPr>
        <w:t>10</w:t>
      </w:r>
      <w:r>
        <w:rPr>
          <w:rFonts w:hint="eastAsia" w:ascii="宋体" w:hAnsi="宋体" w:eastAsia="宋体" w:cs="宋体"/>
          <w:b/>
          <w:color w:val="auto"/>
          <w:kern w:val="0"/>
          <w:sz w:val="24"/>
          <w:szCs w:val="24"/>
          <w:highlight w:val="none"/>
          <w:lang w:val="en-US" w:eastAsia="zh-CN" w:bidi="ar-SA"/>
        </w:rPr>
        <w:t>.提供针对本次项目《反商业贿赂承诺书》；</w:t>
      </w:r>
      <w:bookmarkEnd w:id="540"/>
      <w:r>
        <w:rPr>
          <w:rFonts w:hint="eastAsia" w:ascii="宋体" w:hAnsi="宋体" w:cs="宋体"/>
          <w:b/>
          <w:color w:val="auto"/>
          <w:kern w:val="0"/>
          <w:sz w:val="24"/>
          <w:szCs w:val="24"/>
          <w:highlight w:val="none"/>
          <w:lang w:val="en-US" w:eastAsia="zh-CN" w:bidi="ar-SA"/>
        </w:rPr>
        <w:t>（格式自拟）</w:t>
      </w:r>
    </w:p>
    <w:p w14:paraId="272AD58D">
      <w:pPr>
        <w:tabs>
          <w:tab w:val="left" w:pos="5580"/>
        </w:tabs>
        <w:spacing w:line="400" w:lineRule="atLeast"/>
        <w:ind w:firstLine="482" w:firstLineChars="200"/>
        <w:outlineLvl w:val="9"/>
        <w:rPr>
          <w:rFonts w:hint="eastAsia" w:ascii="宋体" w:hAnsi="宋体" w:eastAsia="宋体" w:cs="宋体"/>
          <w:b/>
          <w:color w:val="auto"/>
          <w:kern w:val="0"/>
          <w:sz w:val="24"/>
          <w:szCs w:val="24"/>
          <w:highlight w:val="none"/>
          <w:lang w:val="en-US" w:eastAsia="zh-CN" w:bidi="ar-SA"/>
        </w:rPr>
      </w:pPr>
    </w:p>
    <w:p w14:paraId="763BA779">
      <w:pPr>
        <w:rPr>
          <w:rFonts w:hint="eastAsia" w:ascii="宋体" w:hAnsi="宋体" w:eastAsia="宋体" w:cs="宋体"/>
          <w:b/>
          <w:color w:val="auto"/>
          <w:kern w:val="0"/>
          <w:sz w:val="24"/>
          <w:szCs w:val="24"/>
          <w:highlight w:val="none"/>
          <w:lang w:val="en-US" w:eastAsia="zh-CN" w:bidi="ar-SA"/>
        </w:rPr>
      </w:pPr>
    </w:p>
    <w:p w14:paraId="033BAB1A">
      <w:pPr>
        <w:rPr>
          <w:rFonts w:hint="eastAsia" w:ascii="宋体" w:hAnsi="宋体" w:eastAsia="宋体" w:cs="宋体"/>
          <w:b/>
          <w:color w:val="auto"/>
          <w:kern w:val="0"/>
          <w:sz w:val="24"/>
          <w:szCs w:val="24"/>
          <w:highlight w:val="none"/>
          <w:lang w:val="en-US" w:eastAsia="zh-CN" w:bidi="ar-SA"/>
        </w:rPr>
      </w:pPr>
    </w:p>
    <w:p w14:paraId="1FB58795">
      <w:pPr>
        <w:rPr>
          <w:rFonts w:hint="eastAsia" w:ascii="宋体" w:hAnsi="宋体" w:eastAsia="宋体" w:cs="宋体"/>
          <w:b/>
          <w:color w:val="auto"/>
          <w:kern w:val="0"/>
          <w:sz w:val="24"/>
          <w:szCs w:val="24"/>
          <w:highlight w:val="none"/>
          <w:lang w:val="en-US" w:eastAsia="zh-CN" w:bidi="ar-SA"/>
        </w:rPr>
      </w:pPr>
      <w:r>
        <w:rPr>
          <w:rFonts w:hint="eastAsia" w:ascii="宋体" w:hAnsi="宋体" w:cs="宋体"/>
          <w:b/>
          <w:color w:val="auto"/>
          <w:kern w:val="0"/>
          <w:sz w:val="24"/>
          <w:szCs w:val="24"/>
          <w:highlight w:val="none"/>
          <w:lang w:val="en-US" w:eastAsia="zh-CN" w:bidi="ar-SA"/>
        </w:rPr>
        <w:t>11</w:t>
      </w:r>
      <w:r>
        <w:rPr>
          <w:rFonts w:hint="eastAsia" w:ascii="宋体" w:hAnsi="宋体" w:eastAsia="宋体" w:cs="宋体"/>
          <w:b/>
          <w:color w:val="auto"/>
          <w:kern w:val="0"/>
          <w:sz w:val="24"/>
          <w:szCs w:val="24"/>
          <w:highlight w:val="none"/>
          <w:lang w:val="en-US" w:eastAsia="zh-CN" w:bidi="ar-SA"/>
        </w:rPr>
        <w:t>.缴纳磋商保证金有效凭证。</w:t>
      </w:r>
    </w:p>
    <w:p w14:paraId="4DCC70E9">
      <w:pPr>
        <w:bidi w:val="0"/>
        <w:rPr>
          <w:rFonts w:hint="eastAsia" w:ascii="宋体" w:hAnsi="宋体" w:eastAsia="宋体" w:cs="宋体"/>
          <w:color w:val="auto"/>
          <w:sz w:val="24"/>
          <w:szCs w:val="24"/>
          <w:highlight w:val="none"/>
          <w:lang w:val="en-US" w:eastAsia="zh-CN"/>
        </w:rPr>
      </w:pPr>
    </w:p>
    <w:tbl>
      <w:tblPr>
        <w:tblStyle w:val="2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78257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trPr>
        <w:tc>
          <w:tcPr>
            <w:tcW w:w="8528" w:type="dxa"/>
            <w:vAlign w:val="center"/>
          </w:tcPr>
          <w:p w14:paraId="0CC3DCD2">
            <w:pPr>
              <w:pStyle w:val="6"/>
              <w:jc w:val="center"/>
              <w:outlineLvl w:val="9"/>
              <w:rPr>
                <w:rFonts w:hint="eastAsia" w:ascii="宋体" w:hAnsi="宋体" w:eastAsia="宋体" w:cs="宋体"/>
                <w:b/>
                <w:color w:val="auto"/>
                <w:kern w:val="0"/>
                <w:sz w:val="24"/>
                <w:szCs w:val="24"/>
                <w:highlight w:val="none"/>
                <w:vertAlign w:val="baseline"/>
                <w:lang w:val="en-US" w:eastAsia="zh-CN" w:bidi="ar-SA"/>
              </w:rPr>
            </w:pPr>
            <w:r>
              <w:rPr>
                <w:rFonts w:hint="eastAsia" w:ascii="宋体" w:hAnsi="宋体" w:eastAsia="宋体" w:cs="宋体"/>
                <w:b/>
                <w:color w:val="auto"/>
                <w:kern w:val="0"/>
                <w:sz w:val="24"/>
                <w:szCs w:val="24"/>
                <w:highlight w:val="none"/>
                <w:lang w:val="en-US" w:eastAsia="zh-CN" w:bidi="ar-SA"/>
              </w:rPr>
              <w:t>缴纳磋商保证金有效凭证</w:t>
            </w:r>
          </w:p>
        </w:tc>
      </w:tr>
    </w:tbl>
    <w:p w14:paraId="08E9610B">
      <w:pPr>
        <w:pStyle w:val="6"/>
        <w:outlineLvl w:val="9"/>
        <w:rPr>
          <w:rFonts w:hint="eastAsia" w:ascii="宋体" w:hAnsi="宋体" w:eastAsia="宋体" w:cs="宋体"/>
          <w:b/>
          <w:color w:val="auto"/>
          <w:kern w:val="0"/>
          <w:sz w:val="24"/>
          <w:szCs w:val="24"/>
          <w:highlight w:val="none"/>
          <w:lang w:val="en-US" w:eastAsia="zh-CN" w:bidi="ar-SA"/>
        </w:rPr>
      </w:pPr>
    </w:p>
    <w:p w14:paraId="45878F76">
      <w:pPr>
        <w:shd w:val="clear"/>
        <w:snapToGrid w:val="0"/>
        <w:spacing w:before="0" w:beforeAutospacing="0" w:after="0" w:afterAutospacing="0" w:line="360" w:lineRule="exact"/>
        <w:jc w:val="both"/>
        <w:textAlignment w:val="baseline"/>
        <w:rPr>
          <w:rFonts w:hint="eastAsia" w:ascii="宋体" w:hAnsi="宋体" w:eastAsia="宋体" w:cs="宋体"/>
          <w:b/>
          <w:bCs/>
          <w:i w:val="0"/>
          <w:caps w:val="0"/>
          <w:color w:val="auto"/>
          <w:spacing w:val="0"/>
          <w:w w:val="100"/>
          <w:sz w:val="24"/>
          <w:highlight w:val="none"/>
        </w:rPr>
      </w:pPr>
      <w:r>
        <w:rPr>
          <w:rFonts w:hint="eastAsia" w:ascii="宋体" w:hAnsi="宋体" w:eastAsia="宋体" w:cs="宋体"/>
          <w:b/>
          <w:bCs/>
          <w:i w:val="0"/>
          <w:caps w:val="0"/>
          <w:color w:val="auto"/>
          <w:spacing w:val="0"/>
          <w:w w:val="100"/>
          <w:sz w:val="24"/>
          <w:highlight w:val="none"/>
        </w:rPr>
        <w:t>注：</w:t>
      </w:r>
      <w:r>
        <w:rPr>
          <w:rFonts w:hint="eastAsia" w:ascii="宋体" w:hAnsi="宋体" w:cs="宋体"/>
          <w:b/>
          <w:bCs/>
          <w:i w:val="0"/>
          <w:caps w:val="0"/>
          <w:color w:val="auto"/>
          <w:spacing w:val="0"/>
          <w:w w:val="100"/>
          <w:sz w:val="24"/>
          <w:highlight w:val="none"/>
          <w:lang w:val="en-US" w:eastAsia="zh-CN"/>
        </w:rPr>
        <w:t>1.</w:t>
      </w:r>
      <w:r>
        <w:rPr>
          <w:rFonts w:hint="eastAsia" w:ascii="宋体" w:hAnsi="宋体" w:eastAsia="宋体" w:cs="宋体"/>
          <w:b/>
          <w:bCs/>
          <w:i w:val="0"/>
          <w:caps w:val="0"/>
          <w:color w:val="auto"/>
          <w:spacing w:val="0"/>
          <w:w w:val="100"/>
          <w:sz w:val="24"/>
          <w:highlight w:val="none"/>
        </w:rPr>
        <w:t>本项目以</w:t>
      </w:r>
      <w:r>
        <w:rPr>
          <w:rFonts w:hint="eastAsia" w:ascii="宋体" w:hAnsi="宋体" w:eastAsia="宋体" w:cs="宋体"/>
          <w:b/>
          <w:bCs/>
          <w:i w:val="0"/>
          <w:caps w:val="0"/>
          <w:color w:val="auto"/>
          <w:spacing w:val="0"/>
          <w:w w:val="100"/>
          <w:sz w:val="24"/>
          <w:highlight w:val="none"/>
          <w:lang w:eastAsia="zh-CN"/>
        </w:rPr>
        <w:t>缴纳磋商保证金的有效凭证</w:t>
      </w:r>
      <w:r>
        <w:rPr>
          <w:rFonts w:hint="eastAsia" w:ascii="宋体" w:hAnsi="宋体" w:eastAsia="宋体" w:cs="宋体"/>
          <w:b/>
          <w:bCs/>
          <w:i w:val="0"/>
          <w:caps w:val="0"/>
          <w:color w:val="auto"/>
          <w:spacing w:val="0"/>
          <w:w w:val="100"/>
          <w:sz w:val="24"/>
          <w:highlight w:val="none"/>
        </w:rPr>
        <w:t>复印件盖公章为准。</w:t>
      </w:r>
    </w:p>
    <w:p w14:paraId="174383CC">
      <w:pPr>
        <w:tabs>
          <w:tab w:val="left" w:pos="5580"/>
        </w:tabs>
        <w:spacing w:line="400" w:lineRule="atLeast"/>
        <w:ind w:firstLine="482" w:firstLineChars="200"/>
        <w:outlineLvl w:val="1"/>
        <w:rPr>
          <w:rFonts w:hint="eastAsia" w:ascii="宋体" w:hAnsi="宋体" w:eastAsia="宋体" w:cs="宋体"/>
          <w:b/>
          <w:color w:val="auto"/>
          <w:kern w:val="0"/>
          <w:sz w:val="24"/>
          <w:szCs w:val="24"/>
          <w:highlight w:val="none"/>
          <w:lang w:val="en-US" w:eastAsia="zh-CN" w:bidi="ar-SA"/>
        </w:rPr>
      </w:pPr>
      <w:bookmarkStart w:id="541" w:name="_Toc30156"/>
      <w:r>
        <w:rPr>
          <w:rFonts w:hint="eastAsia" w:ascii="宋体" w:hAnsi="宋体" w:cs="宋体"/>
          <w:b/>
          <w:color w:val="auto"/>
          <w:kern w:val="0"/>
          <w:sz w:val="24"/>
          <w:szCs w:val="24"/>
          <w:highlight w:val="none"/>
          <w:lang w:val="en-US" w:eastAsia="zh-CN" w:bidi="ar-SA"/>
        </w:rPr>
        <w:t>2.提供</w:t>
      </w:r>
      <w:r>
        <w:rPr>
          <w:rFonts w:hint="eastAsia" w:ascii="宋体" w:hAnsi="宋体" w:eastAsia="宋体" w:cs="宋体"/>
          <w:b/>
          <w:color w:val="auto"/>
          <w:kern w:val="0"/>
          <w:sz w:val="24"/>
          <w:szCs w:val="24"/>
          <w:highlight w:val="none"/>
          <w:lang w:val="en-US" w:eastAsia="zh-CN" w:bidi="ar-SA"/>
        </w:rPr>
        <w:t>银行开户许可证复印件或银行基本账户信息(包含：银行账号及开户行名称）；</w:t>
      </w:r>
      <w:bookmarkEnd w:id="541"/>
    </w:p>
    <w:p w14:paraId="3044023C">
      <w:pPr>
        <w:pStyle w:val="16"/>
        <w:rPr>
          <w:rFonts w:hint="eastAsia"/>
          <w:highlight w:val="none"/>
        </w:rPr>
      </w:pPr>
    </w:p>
    <w:p w14:paraId="3C7CE20F">
      <w:pPr>
        <w:bidi w:val="0"/>
        <w:rPr>
          <w:rFonts w:hint="eastAsia" w:ascii="宋体" w:hAnsi="宋体" w:eastAsia="宋体" w:cs="宋体"/>
          <w:color w:val="auto"/>
          <w:sz w:val="24"/>
          <w:szCs w:val="24"/>
          <w:highlight w:val="none"/>
          <w:lang w:val="en-US" w:eastAsia="zh-CN"/>
        </w:rPr>
      </w:pPr>
    </w:p>
    <w:p w14:paraId="1387066B">
      <w:pPr>
        <w:pStyle w:val="6"/>
        <w:rPr>
          <w:rFonts w:hint="eastAsia" w:ascii="宋体" w:hAnsi="宋体" w:eastAsia="宋体" w:cs="宋体"/>
          <w:b/>
          <w:color w:val="auto"/>
          <w:kern w:val="0"/>
          <w:sz w:val="24"/>
          <w:szCs w:val="24"/>
          <w:highlight w:val="none"/>
          <w:lang w:val="en-US" w:eastAsia="zh-CN" w:bidi="ar-SA"/>
        </w:rPr>
      </w:pPr>
      <w:bookmarkStart w:id="542" w:name="_Toc3829"/>
      <w:bookmarkStart w:id="543" w:name="_Toc28906"/>
      <w:bookmarkStart w:id="544" w:name="_Toc26152"/>
    </w:p>
    <w:p w14:paraId="65844241">
      <w:pPr>
        <w:rPr>
          <w:rFonts w:hint="eastAsia" w:ascii="宋体" w:hAnsi="宋体" w:eastAsia="宋体" w:cs="宋体"/>
          <w:b/>
          <w:color w:val="auto"/>
          <w:kern w:val="0"/>
          <w:sz w:val="24"/>
          <w:szCs w:val="24"/>
          <w:highlight w:val="none"/>
          <w:lang w:val="en-US" w:eastAsia="zh-CN" w:bidi="ar-SA"/>
        </w:rPr>
      </w:pPr>
    </w:p>
    <w:p w14:paraId="7C9DFAA4">
      <w:pPr>
        <w:rPr>
          <w:rFonts w:hint="eastAsia" w:ascii="宋体" w:hAnsi="宋体" w:eastAsia="宋体" w:cs="宋体"/>
          <w:color w:val="auto"/>
          <w:highlight w:val="none"/>
        </w:rPr>
      </w:pPr>
      <w:bookmarkStart w:id="545" w:name="_Toc5710"/>
      <w:bookmarkStart w:id="546" w:name="_Toc15105"/>
      <w:bookmarkStart w:id="547" w:name="_Toc23170"/>
      <w:r>
        <w:rPr>
          <w:rFonts w:hint="eastAsia" w:ascii="宋体" w:hAnsi="宋体" w:cs="宋体"/>
          <w:b/>
          <w:color w:val="auto"/>
          <w:kern w:val="0"/>
          <w:sz w:val="24"/>
          <w:szCs w:val="24"/>
          <w:highlight w:val="none"/>
          <w:lang w:val="en-US" w:eastAsia="zh-CN" w:bidi="ar-SA"/>
        </w:rPr>
        <w:t>12</w:t>
      </w:r>
      <w:r>
        <w:rPr>
          <w:rFonts w:hint="eastAsia" w:ascii="宋体" w:hAnsi="宋体" w:eastAsia="宋体" w:cs="宋体"/>
          <w:b/>
          <w:color w:val="auto"/>
          <w:kern w:val="0"/>
          <w:sz w:val="24"/>
          <w:szCs w:val="24"/>
          <w:highlight w:val="none"/>
          <w:lang w:val="en-US" w:eastAsia="zh-CN" w:bidi="ar-SA"/>
        </w:rPr>
        <w:t xml:space="preserve">. </w:t>
      </w:r>
      <w:r>
        <w:rPr>
          <w:rFonts w:hint="eastAsia" w:ascii="宋体" w:hAnsi="宋体" w:cs="宋体"/>
          <w:b/>
          <w:color w:val="auto"/>
          <w:kern w:val="0"/>
          <w:sz w:val="24"/>
          <w:szCs w:val="24"/>
          <w:highlight w:val="none"/>
          <w:lang w:val="en-US" w:eastAsia="zh-CN" w:bidi="ar-SA"/>
        </w:rPr>
        <w:t>磋商</w:t>
      </w:r>
      <w:r>
        <w:rPr>
          <w:rFonts w:hint="eastAsia" w:ascii="宋体" w:hAnsi="宋体" w:eastAsia="宋体" w:cs="宋体"/>
          <w:b/>
          <w:color w:val="auto"/>
          <w:kern w:val="0"/>
          <w:sz w:val="24"/>
          <w:szCs w:val="24"/>
          <w:highlight w:val="none"/>
          <w:lang w:val="en-US" w:eastAsia="zh-CN" w:bidi="ar-SA"/>
        </w:rPr>
        <w:t>文件要求其他资格证明材料及供应商可提供有利于投标的其他资格证明材料。</w:t>
      </w:r>
      <w:bookmarkEnd w:id="527"/>
      <w:bookmarkEnd w:id="528"/>
      <w:bookmarkEnd w:id="529"/>
      <w:bookmarkEnd w:id="542"/>
      <w:bookmarkEnd w:id="543"/>
      <w:bookmarkEnd w:id="544"/>
      <w:bookmarkEnd w:id="545"/>
      <w:bookmarkEnd w:id="546"/>
      <w:bookmarkEnd w:id="547"/>
      <w:bookmarkStart w:id="548" w:name="_Toc11180"/>
      <w:bookmarkStart w:id="549" w:name="_Toc515647816"/>
      <w:bookmarkStart w:id="550" w:name="_Toc30653"/>
      <w:bookmarkStart w:id="551" w:name="_Toc22967"/>
      <w:r>
        <w:rPr>
          <w:rFonts w:hint="eastAsia" w:ascii="宋体" w:hAnsi="宋体" w:eastAsia="宋体" w:cs="宋体"/>
          <w:color w:val="auto"/>
          <w:highlight w:val="none"/>
        </w:rPr>
        <w:br w:type="page"/>
      </w:r>
    </w:p>
    <w:p w14:paraId="0345E7AF">
      <w:pPr>
        <w:rPr>
          <w:rFonts w:hint="eastAsia"/>
          <w:highlight w:val="none"/>
        </w:rPr>
      </w:pPr>
    </w:p>
    <w:bookmarkEnd w:id="548"/>
    <w:bookmarkEnd w:id="549"/>
    <w:bookmarkEnd w:id="550"/>
    <w:bookmarkEnd w:id="551"/>
    <w:p w14:paraId="1E3B955B">
      <w:pPr>
        <w:pStyle w:val="3"/>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i w:val="0"/>
          <w:caps w:val="0"/>
          <w:color w:val="auto"/>
          <w:spacing w:val="0"/>
          <w:w w:val="100"/>
          <w:sz w:val="24"/>
          <w:szCs w:val="24"/>
          <w:highlight w:val="none"/>
        </w:rPr>
      </w:pPr>
      <w:bookmarkStart w:id="552" w:name="_Toc11956"/>
      <w:bookmarkStart w:id="553" w:name="_Toc12440"/>
      <w:bookmarkStart w:id="554" w:name="_Toc8486"/>
      <w:bookmarkStart w:id="555" w:name="_Toc3552"/>
      <w:bookmarkStart w:id="556" w:name="_Toc2400"/>
      <w:bookmarkStart w:id="557" w:name="_Toc25827"/>
      <w:bookmarkStart w:id="558" w:name="_Toc2041"/>
      <w:bookmarkStart w:id="559" w:name="_Toc515647817"/>
      <w:bookmarkStart w:id="560" w:name="_Toc14915"/>
      <w:r>
        <w:rPr>
          <w:rFonts w:hint="eastAsia" w:ascii="宋体" w:hAnsi="宋体" w:eastAsia="宋体" w:cs="宋体"/>
          <w:b/>
          <w:i w:val="0"/>
          <w:caps w:val="0"/>
          <w:color w:val="auto"/>
          <w:spacing w:val="0"/>
          <w:w w:val="100"/>
          <w:sz w:val="24"/>
          <w:szCs w:val="24"/>
          <w:highlight w:val="none"/>
        </w:rPr>
        <w:t>第二部分  商务及技术文件</w:t>
      </w:r>
      <w:bookmarkEnd w:id="552"/>
      <w:bookmarkEnd w:id="553"/>
      <w:bookmarkEnd w:id="554"/>
      <w:bookmarkEnd w:id="555"/>
      <w:bookmarkEnd w:id="556"/>
      <w:bookmarkEnd w:id="557"/>
    </w:p>
    <w:p w14:paraId="587DB796">
      <w:pPr>
        <w:pStyle w:val="11"/>
        <w:shd w:val="clear"/>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hAnsi="宋体" w:cs="宋体"/>
          <w:b w:val="0"/>
          <w:i w:val="0"/>
          <w:caps w:val="0"/>
          <w:color w:val="auto"/>
          <w:spacing w:val="0"/>
          <w:w w:val="100"/>
          <w:sz w:val="24"/>
          <w:szCs w:val="24"/>
          <w:highlight w:val="none"/>
          <w:lang w:val="en-US" w:eastAsia="zh-CN"/>
        </w:rPr>
        <w:t>投标</w:t>
      </w:r>
      <w:r>
        <w:rPr>
          <w:rFonts w:hint="eastAsia" w:ascii="宋体" w:hAnsi="宋体" w:eastAsia="宋体" w:cs="宋体"/>
          <w:b w:val="0"/>
          <w:i w:val="0"/>
          <w:caps w:val="0"/>
          <w:color w:val="auto"/>
          <w:spacing w:val="0"/>
          <w:w w:val="100"/>
          <w:sz w:val="24"/>
          <w:szCs w:val="24"/>
          <w:highlight w:val="none"/>
        </w:rPr>
        <w:t>书</w:t>
      </w:r>
    </w:p>
    <w:p w14:paraId="3F2FFA3B">
      <w:pPr>
        <w:pStyle w:val="11"/>
        <w:shd w:val="clear"/>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2、</w:t>
      </w:r>
      <w:r>
        <w:rPr>
          <w:rFonts w:hint="eastAsia" w:hAnsi="宋体" w:cs="宋体"/>
          <w:b w:val="0"/>
          <w:i w:val="0"/>
          <w:caps w:val="0"/>
          <w:color w:val="auto"/>
          <w:spacing w:val="0"/>
          <w:w w:val="100"/>
          <w:sz w:val="24"/>
          <w:szCs w:val="24"/>
          <w:highlight w:val="none"/>
          <w:lang w:val="en-US" w:eastAsia="zh-CN"/>
        </w:rPr>
        <w:t>投标</w:t>
      </w:r>
      <w:r>
        <w:rPr>
          <w:rFonts w:hint="eastAsia" w:ascii="宋体" w:hAnsi="宋体" w:eastAsia="宋体" w:cs="宋体"/>
          <w:b w:val="0"/>
          <w:i w:val="0"/>
          <w:caps w:val="0"/>
          <w:color w:val="auto"/>
          <w:spacing w:val="0"/>
          <w:w w:val="100"/>
          <w:sz w:val="24"/>
          <w:szCs w:val="24"/>
          <w:highlight w:val="none"/>
        </w:rPr>
        <w:t>分项报价表</w:t>
      </w:r>
    </w:p>
    <w:p w14:paraId="5F88C59E">
      <w:pPr>
        <w:pStyle w:val="11"/>
        <w:shd w:val="clear"/>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hAnsi="宋体" w:cs="宋体"/>
          <w:b w:val="0"/>
          <w:i w:val="0"/>
          <w:caps w:val="0"/>
          <w:color w:val="auto"/>
          <w:spacing w:val="0"/>
          <w:w w:val="100"/>
          <w:sz w:val="24"/>
          <w:szCs w:val="24"/>
          <w:highlight w:val="none"/>
          <w:lang w:val="en-US" w:eastAsia="zh-CN"/>
        </w:rPr>
        <w:t>工程</w:t>
      </w:r>
      <w:r>
        <w:rPr>
          <w:rFonts w:hint="eastAsia" w:ascii="宋体" w:hAnsi="宋体" w:eastAsia="宋体" w:cs="宋体"/>
          <w:b w:val="0"/>
          <w:i w:val="0"/>
          <w:caps w:val="0"/>
          <w:color w:val="auto"/>
          <w:spacing w:val="0"/>
          <w:w w:val="100"/>
          <w:sz w:val="24"/>
          <w:szCs w:val="24"/>
          <w:highlight w:val="none"/>
        </w:rPr>
        <w:t>说明一览表</w:t>
      </w:r>
    </w:p>
    <w:p w14:paraId="621BDBDB">
      <w:pPr>
        <w:pStyle w:val="11"/>
        <w:shd w:val="clear"/>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rPr>
        <w:t>4、</w:t>
      </w:r>
      <w:r>
        <w:rPr>
          <w:rFonts w:hint="eastAsia" w:ascii="宋体" w:hAnsi="宋体" w:eastAsia="宋体" w:cs="宋体"/>
          <w:b w:val="0"/>
          <w:i w:val="0"/>
          <w:caps w:val="0"/>
          <w:color w:val="auto"/>
          <w:spacing w:val="0"/>
          <w:w w:val="100"/>
          <w:sz w:val="24"/>
          <w:szCs w:val="24"/>
          <w:highlight w:val="none"/>
          <w:lang w:val="en-US" w:eastAsia="zh-CN"/>
        </w:rPr>
        <w:t>技术规格偏离表</w:t>
      </w:r>
    </w:p>
    <w:p w14:paraId="623B35AB">
      <w:pPr>
        <w:pStyle w:val="11"/>
        <w:shd w:val="clear"/>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lang w:val="en-US" w:eastAsia="zh-CN"/>
        </w:rPr>
        <w:t>5、</w:t>
      </w:r>
      <w:r>
        <w:rPr>
          <w:rFonts w:hint="eastAsia" w:ascii="宋体" w:hAnsi="宋体" w:eastAsia="宋体" w:cs="宋体"/>
          <w:b w:val="0"/>
          <w:i w:val="0"/>
          <w:caps w:val="0"/>
          <w:color w:val="auto"/>
          <w:spacing w:val="0"/>
          <w:w w:val="100"/>
          <w:sz w:val="24"/>
          <w:szCs w:val="24"/>
          <w:highlight w:val="none"/>
        </w:rPr>
        <w:t>商务条款偏离表</w:t>
      </w:r>
    </w:p>
    <w:p w14:paraId="25C1858A">
      <w:pPr>
        <w:pStyle w:val="11"/>
        <w:shd w:val="clear"/>
        <w:snapToGrid w:val="0"/>
        <w:spacing w:before="0" w:beforeAutospacing="0" w:after="0" w:afterAutospacing="0" w:line="360" w:lineRule="auto"/>
        <w:ind w:left="311" w:leftChars="148" w:firstLine="228"/>
        <w:jc w:val="both"/>
        <w:textAlignment w:val="baseline"/>
        <w:rPr>
          <w:rFonts w:hint="eastAsia" w:hAnsi="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6、符合《政府采购促进中小企业发展暂行办法》、《关于政府采购支持监狱企业发展有关问题的通知》和《三部门联合发布关于促进残疾人就业政府采购政策的通知》价格扣减条件的供应商须提交）价格扣减条件的供应商须提交</w:t>
      </w:r>
      <w:r>
        <w:rPr>
          <w:rFonts w:hint="eastAsia" w:hAnsi="宋体" w:cs="宋体"/>
          <w:b w:val="0"/>
          <w:i w:val="0"/>
          <w:caps w:val="0"/>
          <w:color w:val="auto"/>
          <w:spacing w:val="0"/>
          <w:w w:val="100"/>
          <w:sz w:val="24"/>
          <w:szCs w:val="24"/>
          <w:highlight w:val="none"/>
          <w:lang w:val="en-US" w:eastAsia="zh-CN"/>
        </w:rPr>
        <w:t>。</w:t>
      </w:r>
    </w:p>
    <w:p w14:paraId="5F3A7582">
      <w:pPr>
        <w:pStyle w:val="11"/>
        <w:shd w:val="clear"/>
        <w:snapToGrid w:val="0"/>
        <w:spacing w:before="0" w:beforeAutospacing="0" w:after="0" w:afterAutospacing="0" w:line="360" w:lineRule="auto"/>
        <w:ind w:left="311" w:leftChars="0" w:firstLine="480" w:firstLineChars="200"/>
        <w:jc w:val="both"/>
        <w:textAlignment w:val="baseline"/>
        <w:rPr>
          <w:rFonts w:hint="eastAsia" w:hAnsi="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6</w:t>
      </w:r>
      <w:r>
        <w:rPr>
          <w:rFonts w:hint="eastAsia" w:ascii="宋体" w:hAnsi="宋体" w:eastAsia="宋体" w:cs="宋体"/>
          <w:b w:val="0"/>
          <w:i w:val="0"/>
          <w:caps w:val="0"/>
          <w:color w:val="auto"/>
          <w:spacing w:val="0"/>
          <w:w w:val="100"/>
          <w:sz w:val="24"/>
          <w:szCs w:val="24"/>
          <w:highlight w:val="none"/>
        </w:rPr>
        <w:t>-1</w:t>
      </w:r>
      <w:r>
        <w:rPr>
          <w:rFonts w:hint="eastAsia" w:hAnsi="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lang w:val="en-US" w:eastAsia="zh-CN"/>
        </w:rPr>
        <w:t>中小企业声明函</w:t>
      </w:r>
      <w:r>
        <w:rPr>
          <w:rFonts w:hint="eastAsia" w:hAnsi="宋体" w:cs="宋体"/>
          <w:b w:val="0"/>
          <w:i w:val="0"/>
          <w:caps w:val="0"/>
          <w:color w:val="auto"/>
          <w:spacing w:val="0"/>
          <w:w w:val="100"/>
          <w:sz w:val="24"/>
          <w:szCs w:val="24"/>
          <w:highlight w:val="none"/>
          <w:lang w:val="en-US" w:eastAsia="zh-CN"/>
        </w:rPr>
        <w:t>》</w:t>
      </w:r>
    </w:p>
    <w:p w14:paraId="3962D7A0">
      <w:pPr>
        <w:pStyle w:val="11"/>
        <w:shd w:val="clear"/>
        <w:snapToGrid w:val="0"/>
        <w:spacing w:before="0" w:beforeAutospacing="0" w:after="0" w:afterAutospacing="0" w:line="360" w:lineRule="auto"/>
        <w:ind w:left="311" w:leftChars="0"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lang w:val="en-US" w:eastAsia="zh-CN"/>
        </w:rPr>
        <w:t>6</w:t>
      </w:r>
      <w:r>
        <w:rPr>
          <w:rFonts w:hint="eastAsia" w:ascii="宋体" w:hAnsi="宋体" w:eastAsia="宋体" w:cs="宋体"/>
          <w:b w:val="0"/>
          <w:i w:val="0"/>
          <w:caps w:val="0"/>
          <w:color w:val="auto"/>
          <w:spacing w:val="0"/>
          <w:w w:val="100"/>
          <w:sz w:val="24"/>
          <w:szCs w:val="24"/>
          <w:highlight w:val="none"/>
        </w:rPr>
        <w:t>-2《残疾人福利性单位声明函》</w:t>
      </w:r>
    </w:p>
    <w:p w14:paraId="1477D20D">
      <w:pPr>
        <w:pStyle w:val="11"/>
        <w:shd w:val="clear"/>
        <w:snapToGrid w:val="0"/>
        <w:spacing w:before="0" w:beforeAutospacing="0" w:after="0" w:afterAutospacing="0" w:line="360" w:lineRule="auto"/>
        <w:ind w:left="311" w:leftChars="0" w:firstLine="480" w:firstLineChars="200"/>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6-3《监狱企业声明函》</w:t>
      </w:r>
    </w:p>
    <w:p w14:paraId="30BD6C7C">
      <w:pPr>
        <w:pStyle w:val="11"/>
        <w:shd w:val="clear"/>
        <w:snapToGrid w:val="0"/>
        <w:spacing w:before="0" w:beforeAutospacing="0" w:after="0" w:afterAutospacing="0" w:line="360" w:lineRule="auto"/>
        <w:ind w:left="311" w:leftChars="148" w:firstLine="228"/>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lang w:val="en-US" w:eastAsia="zh-CN"/>
        </w:rPr>
        <w:t>7</w:t>
      </w:r>
      <w:r>
        <w:rPr>
          <w:rFonts w:hint="eastAsia" w:ascii="宋体" w:hAnsi="宋体" w:eastAsia="宋体" w:cs="宋体"/>
          <w:b w:val="0"/>
          <w:i w:val="0"/>
          <w:caps w:val="0"/>
          <w:color w:val="auto"/>
          <w:spacing w:val="0"/>
          <w:w w:val="100"/>
          <w:sz w:val="24"/>
          <w:szCs w:val="24"/>
          <w:highlight w:val="none"/>
        </w:rPr>
        <w:t>、供应商关联单位的说明</w:t>
      </w:r>
      <w:bookmarkStart w:id="561" w:name="_Toc30163"/>
      <w:bookmarkStart w:id="562" w:name="_Toc9302"/>
    </w:p>
    <w:p w14:paraId="3184D8AA">
      <w:pPr>
        <w:pStyle w:val="11"/>
        <w:shd w:val="clear"/>
        <w:snapToGrid w:val="0"/>
        <w:spacing w:before="0" w:beforeAutospacing="0" w:after="0" w:afterAutospacing="0" w:line="360" w:lineRule="auto"/>
        <w:ind w:left="311" w:leftChars="148" w:firstLine="228"/>
        <w:jc w:val="both"/>
        <w:textAlignment w:val="baseline"/>
        <w:rPr>
          <w:rFonts w:hint="eastAsia" w:ascii="宋体" w:hAnsi="宋体" w:eastAsia="宋体" w:cs="宋体"/>
          <w:b w:val="0"/>
          <w:bCs/>
          <w:i w:val="0"/>
          <w:caps w:val="0"/>
          <w:color w:val="auto"/>
          <w:spacing w:val="0"/>
          <w:w w:val="100"/>
          <w:sz w:val="24"/>
          <w:highlight w:val="none"/>
        </w:rPr>
      </w:pPr>
      <w:r>
        <w:rPr>
          <w:rFonts w:hint="eastAsia" w:ascii="宋体" w:hAnsi="宋体" w:eastAsia="宋体" w:cs="宋体"/>
          <w:b w:val="0"/>
          <w:bCs/>
          <w:i w:val="0"/>
          <w:caps w:val="0"/>
          <w:color w:val="auto"/>
          <w:spacing w:val="0"/>
          <w:w w:val="100"/>
          <w:sz w:val="24"/>
          <w:highlight w:val="none"/>
          <w:lang w:val="en-US" w:eastAsia="zh-CN"/>
        </w:rPr>
        <w:t>8</w:t>
      </w:r>
      <w:r>
        <w:rPr>
          <w:rFonts w:hint="eastAsia" w:ascii="宋体" w:hAnsi="宋体" w:eastAsia="宋体" w:cs="宋体"/>
          <w:b w:val="0"/>
          <w:bCs/>
          <w:i w:val="0"/>
          <w:caps w:val="0"/>
          <w:color w:val="auto"/>
          <w:spacing w:val="0"/>
          <w:w w:val="100"/>
          <w:sz w:val="24"/>
          <w:highlight w:val="none"/>
        </w:rPr>
        <w:t>、提供有利于磋商的其他证明材料</w:t>
      </w:r>
      <w:bookmarkEnd w:id="561"/>
      <w:bookmarkEnd w:id="562"/>
    </w:p>
    <w:p w14:paraId="51CBEBB0">
      <w:pPr>
        <w:shd w:val="clear"/>
        <w:snapToGrid w:val="0"/>
        <w:spacing w:before="0" w:beforeAutospacing="0" w:after="0" w:afterAutospacing="0" w:line="360" w:lineRule="auto"/>
        <w:ind w:left="1079" w:leftChars="257" w:hanging="539"/>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lang w:val="en-US" w:eastAsia="zh-CN"/>
        </w:rPr>
        <w:t>9</w:t>
      </w:r>
      <w:r>
        <w:rPr>
          <w:rFonts w:hint="eastAsia" w:ascii="宋体" w:hAnsi="宋体" w:eastAsia="宋体" w:cs="宋体"/>
          <w:b w:val="0"/>
          <w:i w:val="0"/>
          <w:caps w:val="0"/>
          <w:color w:val="auto"/>
          <w:spacing w:val="0"/>
          <w:w w:val="100"/>
          <w:sz w:val="24"/>
          <w:highlight w:val="none"/>
        </w:rPr>
        <w:t>、磋商文件格式范本</w:t>
      </w:r>
    </w:p>
    <w:p w14:paraId="591F896E">
      <w:pPr>
        <w:pStyle w:val="11"/>
        <w:tabs>
          <w:tab w:val="left" w:pos="5580"/>
        </w:tabs>
        <w:spacing w:line="24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4FE9F613">
      <w:pPr>
        <w:spacing w:line="360" w:lineRule="auto"/>
        <w:rPr>
          <w:rFonts w:hint="eastAsia" w:ascii="宋体" w:hAnsi="宋体" w:eastAsia="宋体" w:cs="宋体"/>
          <w:b/>
          <w:bCs/>
          <w:color w:val="auto"/>
          <w:highlight w:val="none"/>
        </w:rPr>
      </w:pPr>
    </w:p>
    <w:p w14:paraId="01830063">
      <w:pPr>
        <w:pStyle w:val="6"/>
        <w:rPr>
          <w:rFonts w:hint="eastAsia" w:ascii="宋体" w:hAnsi="宋体" w:eastAsia="宋体" w:cs="宋体"/>
          <w:b/>
          <w:bCs/>
          <w:color w:val="auto"/>
          <w:highlight w:val="none"/>
        </w:rPr>
      </w:pPr>
    </w:p>
    <w:p w14:paraId="7FB8DEE1">
      <w:pPr>
        <w:pStyle w:val="6"/>
        <w:rPr>
          <w:rFonts w:hint="eastAsia" w:ascii="宋体" w:hAnsi="宋体" w:eastAsia="宋体" w:cs="宋体"/>
          <w:b/>
          <w:bCs/>
          <w:color w:val="auto"/>
          <w:highlight w:val="none"/>
        </w:rPr>
      </w:pPr>
    </w:p>
    <w:p w14:paraId="2B746E7B">
      <w:pPr>
        <w:pStyle w:val="6"/>
        <w:rPr>
          <w:rFonts w:hint="eastAsia" w:ascii="宋体" w:hAnsi="宋体" w:eastAsia="宋体" w:cs="宋体"/>
          <w:b/>
          <w:bCs/>
          <w:color w:val="auto"/>
          <w:highlight w:val="none"/>
        </w:rPr>
      </w:pPr>
    </w:p>
    <w:p w14:paraId="794E79C9">
      <w:pPr>
        <w:pStyle w:val="6"/>
        <w:rPr>
          <w:rFonts w:hint="eastAsia" w:ascii="宋体" w:hAnsi="宋体" w:eastAsia="宋体" w:cs="宋体"/>
          <w:b/>
          <w:bCs/>
          <w:color w:val="auto"/>
          <w:highlight w:val="none"/>
        </w:rPr>
      </w:pPr>
    </w:p>
    <w:p w14:paraId="7420BD1A">
      <w:pPr>
        <w:pStyle w:val="6"/>
        <w:rPr>
          <w:rFonts w:hint="eastAsia" w:ascii="宋体" w:hAnsi="宋体" w:eastAsia="宋体" w:cs="宋体"/>
          <w:b/>
          <w:bCs/>
          <w:color w:val="auto"/>
          <w:highlight w:val="none"/>
        </w:rPr>
      </w:pPr>
    </w:p>
    <w:p w14:paraId="62BA5326">
      <w:pPr>
        <w:pStyle w:val="6"/>
        <w:rPr>
          <w:rFonts w:hint="eastAsia" w:ascii="宋体" w:hAnsi="宋体" w:eastAsia="宋体" w:cs="宋体"/>
          <w:b/>
          <w:bCs/>
          <w:color w:val="auto"/>
          <w:highlight w:val="none"/>
        </w:rPr>
      </w:pPr>
    </w:p>
    <w:p w14:paraId="37A59AE6">
      <w:pPr>
        <w:spacing w:line="360" w:lineRule="auto"/>
        <w:rPr>
          <w:rFonts w:hint="eastAsia" w:ascii="宋体" w:hAnsi="宋体" w:eastAsia="宋体" w:cs="宋体"/>
          <w:color w:val="auto"/>
          <w:sz w:val="24"/>
          <w:highlight w:val="none"/>
        </w:rPr>
      </w:pPr>
    </w:p>
    <w:p w14:paraId="1890BFE1">
      <w:pPr>
        <w:pStyle w:val="11"/>
        <w:tabs>
          <w:tab w:val="left" w:pos="5580"/>
        </w:tabs>
        <w:spacing w:line="240" w:lineRule="atLeast"/>
        <w:rPr>
          <w:rFonts w:hint="eastAsia" w:ascii="宋体" w:hAnsi="宋体" w:eastAsia="宋体" w:cs="宋体"/>
          <w:color w:val="auto"/>
          <w:szCs w:val="21"/>
          <w:highlight w:val="none"/>
        </w:rPr>
      </w:pPr>
    </w:p>
    <w:p w14:paraId="354CDD00">
      <w:pPr>
        <w:pStyle w:val="11"/>
        <w:tabs>
          <w:tab w:val="left" w:pos="5580"/>
        </w:tabs>
        <w:spacing w:line="240" w:lineRule="atLeast"/>
        <w:rPr>
          <w:rFonts w:hint="eastAsia" w:ascii="宋体" w:hAnsi="宋体" w:eastAsia="宋体" w:cs="宋体"/>
          <w:color w:val="auto"/>
          <w:szCs w:val="21"/>
          <w:highlight w:val="none"/>
        </w:rPr>
      </w:pPr>
    </w:p>
    <w:p w14:paraId="4C25B39A">
      <w:pPr>
        <w:pStyle w:val="11"/>
        <w:tabs>
          <w:tab w:val="left" w:pos="5580"/>
        </w:tabs>
        <w:spacing w:line="240" w:lineRule="atLeast"/>
        <w:rPr>
          <w:rFonts w:hint="eastAsia" w:ascii="宋体" w:hAnsi="宋体" w:eastAsia="宋体" w:cs="宋体"/>
          <w:color w:val="auto"/>
          <w:szCs w:val="21"/>
          <w:highlight w:val="none"/>
        </w:rPr>
      </w:pPr>
    </w:p>
    <w:p w14:paraId="3F4AC7D5">
      <w:pPr>
        <w:pStyle w:val="11"/>
        <w:tabs>
          <w:tab w:val="left" w:pos="5580"/>
        </w:tabs>
        <w:spacing w:line="240" w:lineRule="atLeast"/>
        <w:rPr>
          <w:rFonts w:hint="eastAsia" w:ascii="宋体" w:hAnsi="宋体" w:eastAsia="宋体" w:cs="宋体"/>
          <w:color w:val="auto"/>
          <w:szCs w:val="21"/>
          <w:highlight w:val="none"/>
        </w:rPr>
      </w:pPr>
    </w:p>
    <w:p w14:paraId="7A2406B6">
      <w:pPr>
        <w:pStyle w:val="11"/>
        <w:tabs>
          <w:tab w:val="left" w:pos="5580"/>
        </w:tabs>
        <w:spacing w:line="240" w:lineRule="atLeast"/>
        <w:rPr>
          <w:rFonts w:hint="eastAsia" w:ascii="宋体" w:hAnsi="宋体" w:eastAsia="宋体" w:cs="宋体"/>
          <w:color w:val="auto"/>
          <w:szCs w:val="21"/>
          <w:highlight w:val="none"/>
        </w:rPr>
      </w:pPr>
    </w:p>
    <w:p w14:paraId="6D2C3E0D">
      <w:pPr>
        <w:pStyle w:val="11"/>
        <w:tabs>
          <w:tab w:val="left" w:pos="5580"/>
        </w:tabs>
        <w:spacing w:line="240" w:lineRule="atLeast"/>
        <w:rPr>
          <w:rFonts w:hint="eastAsia" w:ascii="宋体" w:hAnsi="宋体" w:eastAsia="宋体" w:cs="宋体"/>
          <w:color w:val="auto"/>
          <w:szCs w:val="21"/>
          <w:highlight w:val="none"/>
        </w:rPr>
      </w:pPr>
    </w:p>
    <w:p w14:paraId="01D37C88">
      <w:pPr>
        <w:pStyle w:val="11"/>
        <w:tabs>
          <w:tab w:val="left" w:pos="5580"/>
        </w:tabs>
        <w:spacing w:line="240" w:lineRule="atLeast"/>
        <w:rPr>
          <w:rFonts w:hint="eastAsia" w:ascii="宋体" w:hAnsi="宋体" w:eastAsia="宋体" w:cs="宋体"/>
          <w:color w:val="auto"/>
          <w:szCs w:val="21"/>
          <w:highlight w:val="none"/>
        </w:rPr>
      </w:pPr>
    </w:p>
    <w:p w14:paraId="3407DB8B">
      <w:pPr>
        <w:pStyle w:val="11"/>
        <w:tabs>
          <w:tab w:val="left" w:pos="5580"/>
        </w:tabs>
        <w:spacing w:line="240" w:lineRule="atLeast"/>
        <w:rPr>
          <w:rFonts w:hint="eastAsia" w:ascii="宋体" w:hAnsi="宋体" w:eastAsia="宋体" w:cs="宋体"/>
          <w:color w:val="auto"/>
          <w:szCs w:val="21"/>
          <w:highlight w:val="none"/>
        </w:rPr>
      </w:pPr>
    </w:p>
    <w:p w14:paraId="2CD5F2D4">
      <w:pPr>
        <w:pStyle w:val="11"/>
        <w:tabs>
          <w:tab w:val="left" w:pos="5580"/>
        </w:tabs>
        <w:spacing w:line="240" w:lineRule="atLeast"/>
        <w:rPr>
          <w:rFonts w:hint="eastAsia" w:ascii="宋体" w:hAnsi="宋体" w:eastAsia="宋体" w:cs="宋体"/>
          <w:color w:val="auto"/>
          <w:szCs w:val="21"/>
          <w:highlight w:val="none"/>
        </w:rPr>
      </w:pPr>
    </w:p>
    <w:p w14:paraId="2E9F46D8">
      <w:pPr>
        <w:pStyle w:val="11"/>
        <w:tabs>
          <w:tab w:val="left" w:pos="5580"/>
        </w:tabs>
        <w:spacing w:line="240" w:lineRule="atLeast"/>
        <w:rPr>
          <w:rFonts w:hint="eastAsia" w:ascii="宋体" w:hAnsi="宋体" w:eastAsia="宋体" w:cs="宋体"/>
          <w:color w:val="auto"/>
          <w:szCs w:val="21"/>
          <w:highlight w:val="none"/>
        </w:rPr>
      </w:pPr>
    </w:p>
    <w:p w14:paraId="0E31A961">
      <w:pPr>
        <w:pStyle w:val="11"/>
        <w:tabs>
          <w:tab w:val="left" w:pos="5580"/>
        </w:tabs>
        <w:spacing w:line="240" w:lineRule="atLeast"/>
        <w:rPr>
          <w:rFonts w:hint="eastAsia" w:ascii="宋体" w:hAnsi="宋体" w:eastAsia="宋体" w:cs="宋体"/>
          <w:color w:val="auto"/>
          <w:szCs w:val="21"/>
          <w:highlight w:val="none"/>
        </w:rPr>
      </w:pPr>
    </w:p>
    <w:p w14:paraId="72D9FD4C">
      <w:pPr>
        <w:rPr>
          <w:rFonts w:hint="eastAsia" w:ascii="宋体" w:hAnsi="宋体" w:eastAsia="宋体" w:cs="宋体"/>
          <w:b/>
          <w:bCs/>
          <w:color w:val="auto"/>
          <w:szCs w:val="21"/>
          <w:highlight w:val="none"/>
        </w:rPr>
      </w:pPr>
      <w:bookmarkStart w:id="563" w:name="_Toc30922"/>
      <w:bookmarkStart w:id="564" w:name="_Toc12580"/>
      <w:bookmarkStart w:id="565" w:name="_Toc2305"/>
      <w:bookmarkStart w:id="566" w:name="_Toc27134"/>
      <w:bookmarkStart w:id="567" w:name="_Toc20896"/>
      <w:bookmarkStart w:id="568" w:name="_Toc30408"/>
      <w:bookmarkStart w:id="569" w:name="_Toc28678"/>
      <w:bookmarkStart w:id="570" w:name="_Toc695"/>
      <w:bookmarkStart w:id="571" w:name="_Toc17344"/>
      <w:bookmarkStart w:id="572" w:name="_Toc5022"/>
      <w:r>
        <w:rPr>
          <w:rFonts w:hint="eastAsia" w:ascii="宋体" w:hAnsi="宋体" w:eastAsia="宋体" w:cs="宋体"/>
          <w:b/>
          <w:bCs/>
          <w:color w:val="auto"/>
          <w:szCs w:val="21"/>
          <w:highlight w:val="none"/>
        </w:rPr>
        <w:br w:type="page"/>
      </w:r>
    </w:p>
    <w:bookmarkEnd w:id="511"/>
    <w:bookmarkEnd w:id="512"/>
    <w:bookmarkEnd w:id="513"/>
    <w:bookmarkEnd w:id="514"/>
    <w:bookmarkEnd w:id="558"/>
    <w:bookmarkEnd w:id="559"/>
    <w:bookmarkEnd w:id="560"/>
    <w:bookmarkEnd w:id="563"/>
    <w:bookmarkEnd w:id="564"/>
    <w:bookmarkEnd w:id="565"/>
    <w:bookmarkEnd w:id="566"/>
    <w:bookmarkEnd w:id="567"/>
    <w:bookmarkEnd w:id="568"/>
    <w:bookmarkEnd w:id="569"/>
    <w:bookmarkEnd w:id="570"/>
    <w:bookmarkEnd w:id="571"/>
    <w:bookmarkEnd w:id="572"/>
    <w:p w14:paraId="21A5A788">
      <w:pPr>
        <w:pStyle w:val="3"/>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i w:val="0"/>
          <w:caps w:val="0"/>
          <w:color w:val="auto"/>
          <w:spacing w:val="0"/>
          <w:w w:val="100"/>
          <w:sz w:val="24"/>
          <w:highlight w:val="none"/>
        </w:rPr>
      </w:pPr>
      <w:bookmarkStart w:id="573" w:name="_Hlt520271212"/>
      <w:bookmarkEnd w:id="573"/>
      <w:bookmarkStart w:id="574" w:name="_Hlt520274407"/>
      <w:bookmarkEnd w:id="574"/>
      <w:bookmarkStart w:id="575" w:name="_Hlt520350957"/>
      <w:bookmarkEnd w:id="575"/>
      <w:bookmarkStart w:id="576" w:name="_Hlt520273973"/>
      <w:bookmarkEnd w:id="576"/>
      <w:bookmarkStart w:id="577" w:name="_Hlt520343392"/>
      <w:bookmarkEnd w:id="577"/>
      <w:bookmarkStart w:id="578" w:name="_Hlt520273711"/>
      <w:bookmarkEnd w:id="578"/>
      <w:bookmarkStart w:id="579" w:name="_Hlt520274911"/>
      <w:bookmarkEnd w:id="579"/>
      <w:bookmarkStart w:id="580" w:name="_Hlt520343000"/>
      <w:bookmarkEnd w:id="580"/>
      <w:bookmarkStart w:id="581" w:name="_Hlt520274065"/>
      <w:bookmarkEnd w:id="581"/>
      <w:bookmarkStart w:id="582" w:name="_Hlt520350918"/>
      <w:bookmarkEnd w:id="582"/>
      <w:bookmarkStart w:id="583" w:name="_Hlt520274393"/>
      <w:bookmarkEnd w:id="583"/>
      <w:bookmarkStart w:id="584" w:name="_Toc11475"/>
      <w:bookmarkStart w:id="585" w:name="_Toc8940"/>
      <w:bookmarkStart w:id="586" w:name="_Toc22432"/>
      <w:bookmarkStart w:id="587" w:name="_Toc14858"/>
      <w:bookmarkStart w:id="588" w:name="_Toc18614"/>
      <w:bookmarkStart w:id="589" w:name="_Toc18506"/>
      <w:bookmarkStart w:id="590" w:name="_Toc12852"/>
      <w:bookmarkStart w:id="591" w:name="_Toc3771"/>
      <w:r>
        <w:rPr>
          <w:rFonts w:hint="eastAsia" w:ascii="宋体" w:hAnsi="宋体" w:eastAsia="宋体" w:cs="宋体"/>
          <w:b/>
          <w:i w:val="0"/>
          <w:caps w:val="0"/>
          <w:color w:val="auto"/>
          <w:spacing w:val="0"/>
          <w:w w:val="100"/>
          <w:sz w:val="24"/>
          <w:szCs w:val="24"/>
          <w:highlight w:val="none"/>
        </w:rPr>
        <w:t>1</w:t>
      </w:r>
      <w:bookmarkStart w:id="592" w:name="_Hlt520355504"/>
      <w:bookmarkEnd w:id="592"/>
      <w:r>
        <w:rPr>
          <w:rFonts w:hint="eastAsia" w:ascii="宋体" w:hAnsi="宋体" w:eastAsia="宋体" w:cs="宋体"/>
          <w:b/>
          <w:i w:val="0"/>
          <w:caps w:val="0"/>
          <w:color w:val="auto"/>
          <w:spacing w:val="0"/>
          <w:w w:val="100"/>
          <w:sz w:val="24"/>
          <w:szCs w:val="24"/>
          <w:highlight w:val="none"/>
          <w:lang w:eastAsia="zh-CN"/>
        </w:rPr>
        <w:t>、</w:t>
      </w:r>
      <w:r>
        <w:rPr>
          <w:rFonts w:hint="eastAsia" w:ascii="宋体" w:hAnsi="宋体" w:eastAsia="宋体" w:cs="宋体"/>
          <w:b/>
          <w:i w:val="0"/>
          <w:caps w:val="0"/>
          <w:color w:val="auto"/>
          <w:spacing w:val="0"/>
          <w:w w:val="100"/>
          <w:sz w:val="24"/>
          <w:szCs w:val="24"/>
          <w:highlight w:val="none"/>
          <w:lang w:val="en-US" w:eastAsia="zh-CN"/>
        </w:rPr>
        <w:t>投标</w:t>
      </w:r>
      <w:r>
        <w:rPr>
          <w:rFonts w:hint="eastAsia" w:ascii="宋体" w:hAnsi="宋体" w:eastAsia="宋体" w:cs="宋体"/>
          <w:b/>
          <w:i w:val="0"/>
          <w:caps w:val="0"/>
          <w:color w:val="auto"/>
          <w:spacing w:val="0"/>
          <w:w w:val="100"/>
          <w:sz w:val="24"/>
          <w:szCs w:val="24"/>
          <w:highlight w:val="none"/>
        </w:rPr>
        <w:t>书</w:t>
      </w:r>
      <w:bookmarkEnd w:id="584"/>
      <w:bookmarkEnd w:id="585"/>
      <w:bookmarkEnd w:id="586"/>
      <w:bookmarkEnd w:id="587"/>
      <w:bookmarkEnd w:id="588"/>
      <w:bookmarkEnd w:id="589"/>
      <w:bookmarkEnd w:id="590"/>
      <w:bookmarkEnd w:id="591"/>
    </w:p>
    <w:p w14:paraId="794C96CD">
      <w:pPr>
        <w:pStyle w:val="11"/>
        <w:shd w:val="clear"/>
        <w:tabs>
          <w:tab w:val="left" w:pos="5580"/>
        </w:tabs>
        <w:snapToGrid w:val="0"/>
        <w:spacing w:before="0" w:beforeAutospacing="0" w:after="0" w:afterAutospacing="0" w:line="360" w:lineRule="auto"/>
        <w:ind w:left="359" w:leftChars="68" w:hangingChars="9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致：采购人</w:t>
      </w:r>
    </w:p>
    <w:p w14:paraId="7573D11F">
      <w:pPr>
        <w:pStyle w:val="11"/>
        <w:keepNext w:val="0"/>
        <w:keepLines w:val="0"/>
        <w:pageBreakBefore w:val="0"/>
        <w:widowControl w:val="0"/>
        <w:shd w:val="clear"/>
        <w:tabs>
          <w:tab w:val="left" w:pos="5580"/>
        </w:tabs>
        <w:kinsoku/>
        <w:wordWrap w:val="0"/>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根据贵方的</w:t>
      </w:r>
      <w:r>
        <w:rPr>
          <w:rFonts w:hint="eastAsia" w:hAnsi="宋体" w:cs="宋体"/>
          <w:b w:val="0"/>
          <w:i w:val="0"/>
          <w:caps w:val="0"/>
          <w:color w:val="auto"/>
          <w:spacing w:val="0"/>
          <w:w w:val="100"/>
          <w:sz w:val="24"/>
          <w:highlight w:val="none"/>
          <w:u w:val="single"/>
          <w:lang w:val="en-US" w:eastAsia="zh-CN"/>
        </w:rPr>
        <w:t xml:space="preserve">    </w:t>
      </w:r>
      <w:r>
        <w:rPr>
          <w:rFonts w:hint="eastAsia" w:ascii="宋体" w:hAnsi="宋体" w:eastAsia="宋体" w:cs="宋体"/>
          <w:b w:val="0"/>
          <w:i w:val="0"/>
          <w:caps w:val="0"/>
          <w:color w:val="auto"/>
          <w:spacing w:val="0"/>
          <w:w w:val="100"/>
          <w:sz w:val="24"/>
          <w:highlight w:val="none"/>
          <w:u w:val="single"/>
        </w:rPr>
        <w:t>(项目名称)</w:t>
      </w:r>
      <w:r>
        <w:rPr>
          <w:rFonts w:hint="eastAsia" w:ascii="宋体" w:hAnsi="宋体" w:eastAsia="宋体" w:cs="宋体"/>
          <w:b w:val="0"/>
          <w:i w:val="0"/>
          <w:caps w:val="0"/>
          <w:color w:val="auto"/>
          <w:spacing w:val="0"/>
          <w:w w:val="100"/>
          <w:sz w:val="24"/>
          <w:highlight w:val="none"/>
        </w:rPr>
        <w:t>的投标邀请</w:t>
      </w:r>
      <w:r>
        <w:rPr>
          <w:rFonts w:hint="eastAsia" w:hAnsi="宋体" w:cs="宋体"/>
          <w:b w:val="0"/>
          <w:i w:val="0"/>
          <w:caps w:val="0"/>
          <w:color w:val="auto"/>
          <w:spacing w:val="0"/>
          <w:w w:val="100"/>
          <w:sz w:val="24"/>
          <w:highlight w:val="none"/>
          <w:u w:val="single"/>
          <w:lang w:val="en-US" w:eastAsia="zh-CN"/>
        </w:rPr>
        <w:t xml:space="preserve">    </w:t>
      </w:r>
      <w:r>
        <w:rPr>
          <w:rFonts w:hint="eastAsia" w:ascii="宋体" w:hAnsi="宋体" w:eastAsia="宋体" w:cs="宋体"/>
          <w:b w:val="0"/>
          <w:i w:val="0"/>
          <w:caps w:val="0"/>
          <w:color w:val="auto"/>
          <w:spacing w:val="0"/>
          <w:w w:val="100"/>
          <w:sz w:val="24"/>
          <w:highlight w:val="none"/>
          <w:u w:val="single"/>
        </w:rPr>
        <w:t>(项目编号)</w:t>
      </w:r>
      <w:r>
        <w:rPr>
          <w:rFonts w:hint="eastAsia" w:ascii="宋体" w:hAnsi="宋体" w:eastAsia="宋体" w:cs="宋体"/>
          <w:b w:val="0"/>
          <w:i w:val="0"/>
          <w:caps w:val="0"/>
          <w:color w:val="auto"/>
          <w:spacing w:val="0"/>
          <w:w w:val="100"/>
          <w:sz w:val="24"/>
          <w:highlight w:val="none"/>
        </w:rPr>
        <w:t>,签字代表</w:t>
      </w:r>
      <w:r>
        <w:rPr>
          <w:rFonts w:hint="eastAsia" w:hAnsi="宋体" w:cs="宋体"/>
          <w:b w:val="0"/>
          <w:i w:val="0"/>
          <w:caps w:val="0"/>
          <w:color w:val="auto"/>
          <w:spacing w:val="0"/>
          <w:w w:val="100"/>
          <w:sz w:val="24"/>
          <w:highlight w:val="none"/>
          <w:u w:val="single"/>
          <w:lang w:val="en-US" w:eastAsia="zh-CN"/>
        </w:rPr>
        <w:t xml:space="preserve"> </w:t>
      </w:r>
      <w:r>
        <w:rPr>
          <w:rFonts w:hint="eastAsia" w:ascii="宋体" w:hAnsi="宋体" w:eastAsia="宋体" w:cs="宋体"/>
          <w:b w:val="0"/>
          <w:i w:val="0"/>
          <w:caps w:val="0"/>
          <w:color w:val="auto"/>
          <w:spacing w:val="0"/>
          <w:w w:val="100"/>
          <w:sz w:val="24"/>
          <w:highlight w:val="none"/>
          <w:u w:val="single"/>
        </w:rPr>
        <w:t>(姓名、职务)</w:t>
      </w:r>
      <w:r>
        <w:rPr>
          <w:rFonts w:hint="eastAsia" w:ascii="宋体" w:hAnsi="宋体" w:eastAsia="宋体" w:cs="宋体"/>
          <w:b w:val="0"/>
          <w:i w:val="0"/>
          <w:caps w:val="0"/>
          <w:color w:val="auto"/>
          <w:spacing w:val="0"/>
          <w:w w:val="100"/>
          <w:sz w:val="24"/>
          <w:highlight w:val="none"/>
        </w:rPr>
        <w:t>经正式授权并代表供应商</w:t>
      </w:r>
      <w:r>
        <w:rPr>
          <w:rFonts w:hint="eastAsia" w:hAnsi="宋体" w:cs="宋体"/>
          <w:b w:val="0"/>
          <w:i w:val="0"/>
          <w:caps w:val="0"/>
          <w:color w:val="auto"/>
          <w:spacing w:val="0"/>
          <w:w w:val="100"/>
          <w:sz w:val="24"/>
          <w:highlight w:val="none"/>
          <w:u w:val="single"/>
          <w:lang w:val="en-US" w:eastAsia="zh-CN"/>
        </w:rPr>
        <w:t xml:space="preserve">  </w:t>
      </w:r>
      <w:r>
        <w:rPr>
          <w:rFonts w:hint="eastAsia" w:ascii="宋体" w:hAnsi="宋体" w:eastAsia="宋体" w:cs="宋体"/>
          <w:b w:val="0"/>
          <w:i w:val="0"/>
          <w:caps w:val="0"/>
          <w:color w:val="auto"/>
          <w:spacing w:val="0"/>
          <w:w w:val="100"/>
          <w:sz w:val="24"/>
          <w:highlight w:val="none"/>
          <w:u w:val="single"/>
        </w:rPr>
        <w:t>（名称、地址）</w:t>
      </w:r>
      <w:r>
        <w:rPr>
          <w:rFonts w:hint="eastAsia" w:ascii="宋体" w:hAnsi="宋体" w:eastAsia="宋体" w:cs="宋体"/>
          <w:b w:val="0"/>
          <w:i w:val="0"/>
          <w:caps w:val="0"/>
          <w:color w:val="auto"/>
          <w:spacing w:val="0"/>
          <w:w w:val="100"/>
          <w:sz w:val="24"/>
          <w:highlight w:val="none"/>
        </w:rPr>
        <w:t>提交下述响应文件，并以</w:t>
      </w:r>
      <w:r>
        <w:rPr>
          <w:rFonts w:hint="eastAsia" w:hAnsi="宋体" w:cs="宋体"/>
          <w:b w:val="0"/>
          <w:i w:val="0"/>
          <w:caps w:val="0"/>
          <w:color w:val="auto"/>
          <w:spacing w:val="0"/>
          <w:w w:val="100"/>
          <w:sz w:val="24"/>
          <w:highlight w:val="none"/>
          <w:u w:val="single"/>
          <w:lang w:val="en-US" w:eastAsia="zh-CN"/>
        </w:rPr>
        <w:t xml:space="preserve">    </w:t>
      </w:r>
      <w:r>
        <w:rPr>
          <w:rFonts w:hint="eastAsia" w:ascii="宋体" w:hAnsi="宋体" w:eastAsia="宋体" w:cs="宋体"/>
          <w:b w:val="0"/>
          <w:i w:val="0"/>
          <w:caps w:val="0"/>
          <w:color w:val="auto"/>
          <w:spacing w:val="0"/>
          <w:w w:val="100"/>
          <w:sz w:val="24"/>
          <w:highlight w:val="none"/>
        </w:rPr>
        <w:t>形式出具的金额为人民币</w:t>
      </w:r>
      <w:r>
        <w:rPr>
          <w:rFonts w:hint="eastAsia" w:hAnsi="宋体" w:cs="宋体"/>
          <w:b w:val="0"/>
          <w:i w:val="0"/>
          <w:caps w:val="0"/>
          <w:color w:val="auto"/>
          <w:spacing w:val="0"/>
          <w:w w:val="100"/>
          <w:sz w:val="24"/>
          <w:highlight w:val="none"/>
          <w:u w:val="single"/>
          <w:lang w:val="en-US" w:eastAsia="zh-CN"/>
        </w:rPr>
        <w:t xml:space="preserve">    </w:t>
      </w:r>
      <w:r>
        <w:rPr>
          <w:rFonts w:hint="eastAsia" w:ascii="宋体" w:hAnsi="宋体" w:eastAsia="宋体" w:cs="宋体"/>
          <w:b w:val="0"/>
          <w:i w:val="0"/>
          <w:caps w:val="0"/>
          <w:color w:val="auto"/>
          <w:spacing w:val="0"/>
          <w:w w:val="100"/>
          <w:sz w:val="24"/>
          <w:highlight w:val="none"/>
        </w:rPr>
        <w:t>元的磋商保证金。</w:t>
      </w:r>
    </w:p>
    <w:p w14:paraId="513AA459">
      <w:pPr>
        <w:pStyle w:val="11"/>
        <w:keepNext w:val="0"/>
        <w:keepLines w:val="0"/>
        <w:pageBreakBefore w:val="0"/>
        <w:widowControl w:val="0"/>
        <w:shd w:val="clear"/>
        <w:tabs>
          <w:tab w:val="left" w:pos="5580"/>
        </w:tabs>
        <w:kinsoku/>
        <w:wordWrap w:val="0"/>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据此，签字代表宣布同意如下：</w:t>
      </w:r>
    </w:p>
    <w:p w14:paraId="2AC609E5">
      <w:pPr>
        <w:pStyle w:val="11"/>
        <w:keepNext w:val="0"/>
        <w:keepLines w:val="0"/>
        <w:pageBreakBefore w:val="0"/>
        <w:widowControl w:val="0"/>
        <w:shd w:val="clear"/>
        <w:tabs>
          <w:tab w:val="left" w:pos="5580"/>
        </w:tabs>
        <w:kinsoku/>
        <w:wordWrap w:val="0"/>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（1）附投标价格表中规定的应提供货物的投标总价为</w:t>
      </w:r>
      <w:r>
        <w:rPr>
          <w:rFonts w:hint="eastAsia" w:ascii="宋体" w:hAnsi="宋体" w:eastAsia="宋体" w:cs="宋体"/>
          <w:b w:val="0"/>
          <w:i w:val="0"/>
          <w:caps w:val="0"/>
          <w:color w:val="auto"/>
          <w:spacing w:val="0"/>
          <w:w w:val="100"/>
          <w:sz w:val="24"/>
          <w:highlight w:val="none"/>
          <w:u w:val="single"/>
        </w:rPr>
        <w:t xml:space="preserve"> </w:t>
      </w:r>
      <w:r>
        <w:rPr>
          <w:rFonts w:hint="eastAsia" w:hAnsi="宋体" w:cs="宋体"/>
          <w:b w:val="0"/>
          <w:i w:val="0"/>
          <w:caps w:val="0"/>
          <w:color w:val="auto"/>
          <w:spacing w:val="0"/>
          <w:w w:val="100"/>
          <w:sz w:val="24"/>
          <w:highlight w:val="none"/>
          <w:u w:val="single"/>
          <w:lang w:val="en-US" w:eastAsia="zh-CN"/>
        </w:rPr>
        <w:t xml:space="preserve">  </w:t>
      </w:r>
      <w:r>
        <w:rPr>
          <w:rFonts w:hint="eastAsia" w:ascii="宋体" w:hAnsi="宋体" w:eastAsia="宋体" w:cs="宋体"/>
          <w:b w:val="0"/>
          <w:i w:val="0"/>
          <w:caps w:val="0"/>
          <w:color w:val="auto"/>
          <w:spacing w:val="0"/>
          <w:w w:val="100"/>
          <w:sz w:val="24"/>
          <w:highlight w:val="none"/>
          <w:u w:val="single"/>
        </w:rPr>
        <w:t>（用文字和数字表示）</w:t>
      </w:r>
      <w:r>
        <w:rPr>
          <w:rFonts w:hint="eastAsia" w:ascii="宋体" w:hAnsi="宋体" w:eastAsia="宋体" w:cs="宋体"/>
          <w:b w:val="0"/>
          <w:i w:val="0"/>
          <w:caps w:val="0"/>
          <w:color w:val="auto"/>
          <w:spacing w:val="0"/>
          <w:w w:val="100"/>
          <w:sz w:val="24"/>
          <w:highlight w:val="none"/>
        </w:rPr>
        <w:t>。</w:t>
      </w:r>
    </w:p>
    <w:p w14:paraId="323284C8">
      <w:pPr>
        <w:pStyle w:val="11"/>
        <w:keepNext w:val="0"/>
        <w:keepLines w:val="0"/>
        <w:pageBreakBefore w:val="0"/>
        <w:widowControl w:val="0"/>
        <w:shd w:val="clear"/>
        <w:tabs>
          <w:tab w:val="left" w:pos="5580"/>
        </w:tabs>
        <w:kinsoku/>
        <w:wordWrap w:val="0"/>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（2）本投标有效期为自投标截止之日起</w:t>
      </w:r>
      <w:r>
        <w:rPr>
          <w:rFonts w:hint="eastAsia" w:hAnsi="宋体" w:cs="宋体"/>
          <w:b w:val="0"/>
          <w:i w:val="0"/>
          <w:caps w:val="0"/>
          <w:color w:val="auto"/>
          <w:spacing w:val="0"/>
          <w:w w:val="100"/>
          <w:sz w:val="24"/>
          <w:highlight w:val="none"/>
          <w:u w:val="single"/>
          <w:lang w:val="en-US" w:eastAsia="zh-CN"/>
        </w:rPr>
        <w:t xml:space="preserve">    </w:t>
      </w:r>
      <w:r>
        <w:rPr>
          <w:rFonts w:hint="eastAsia" w:ascii="宋体" w:hAnsi="宋体" w:eastAsia="宋体" w:cs="宋体"/>
          <w:b w:val="0"/>
          <w:i w:val="0"/>
          <w:caps w:val="0"/>
          <w:color w:val="auto"/>
          <w:spacing w:val="0"/>
          <w:w w:val="100"/>
          <w:sz w:val="24"/>
          <w:highlight w:val="none"/>
        </w:rPr>
        <w:t>个日历日。</w:t>
      </w:r>
    </w:p>
    <w:p w14:paraId="08EFF7D6">
      <w:pPr>
        <w:pStyle w:val="11"/>
        <w:keepNext w:val="0"/>
        <w:keepLines w:val="0"/>
        <w:pageBreakBefore w:val="0"/>
        <w:widowControl w:val="0"/>
        <w:shd w:val="clear"/>
        <w:tabs>
          <w:tab w:val="left" w:pos="5580"/>
        </w:tabs>
        <w:kinsoku/>
        <w:wordWrap w:val="0"/>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（3）联合体中的大中型企业和其他自然人、法人或者非法人组织，与联合体中的小型、微型企业之间</w:t>
      </w:r>
      <w:r>
        <w:rPr>
          <w:rFonts w:hint="eastAsia" w:ascii="宋体" w:hAnsi="宋体" w:eastAsia="宋体" w:cs="宋体"/>
          <w:b w:val="0"/>
          <w:i w:val="0"/>
          <w:caps w:val="0"/>
          <w:color w:val="auto"/>
          <w:spacing w:val="0"/>
          <w:w w:val="100"/>
          <w:sz w:val="24"/>
          <w:highlight w:val="none"/>
          <w:u w:val="single"/>
        </w:rPr>
        <w:t xml:space="preserve"> / （存在、不存在）</w:t>
      </w:r>
      <w:r>
        <w:rPr>
          <w:rFonts w:hint="eastAsia" w:ascii="宋体" w:hAnsi="宋体" w:eastAsia="宋体" w:cs="宋体"/>
          <w:b w:val="0"/>
          <w:i w:val="0"/>
          <w:caps w:val="0"/>
          <w:color w:val="auto"/>
          <w:spacing w:val="0"/>
          <w:w w:val="100"/>
          <w:sz w:val="24"/>
          <w:highlight w:val="none"/>
        </w:rPr>
        <w:t>投资关系（如有）。</w:t>
      </w:r>
    </w:p>
    <w:p w14:paraId="594EB3E7">
      <w:pPr>
        <w:pStyle w:val="11"/>
        <w:keepNext w:val="0"/>
        <w:keepLines w:val="0"/>
        <w:pageBreakBefore w:val="0"/>
        <w:widowControl w:val="0"/>
        <w:shd w:val="clear"/>
        <w:tabs>
          <w:tab w:val="left" w:pos="5580"/>
        </w:tabs>
        <w:kinsoku/>
        <w:wordWrap w:val="0"/>
        <w:overflowPunct/>
        <w:topLinePunct w:val="0"/>
        <w:autoSpaceDE/>
        <w:autoSpaceDN/>
        <w:bidi w:val="0"/>
        <w:adjustRightInd w:val="0"/>
        <w:snapToGrid w:val="0"/>
        <w:spacing w:before="0" w:beforeAutospacing="0" w:after="0" w:afterAutospacing="0" w:line="360" w:lineRule="auto"/>
        <w:ind w:left="359" w:leftChars="0" w:firstLine="480" w:firstLineChars="20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（4）已详细审查全部磋商文件，包括所有补充通知（如果有的话），完全理解并同意放弃对这方面有不明、误解和质疑的权力。</w:t>
      </w:r>
    </w:p>
    <w:p w14:paraId="73CA6ACF">
      <w:pPr>
        <w:pStyle w:val="11"/>
        <w:keepNext w:val="0"/>
        <w:keepLines w:val="0"/>
        <w:pageBreakBefore w:val="0"/>
        <w:widowControl w:val="0"/>
        <w:shd w:val="clear"/>
        <w:tabs>
          <w:tab w:val="left" w:pos="5580"/>
        </w:tabs>
        <w:kinsoku/>
        <w:wordWrap w:val="0"/>
        <w:overflowPunct/>
        <w:topLinePunct w:val="0"/>
        <w:autoSpaceDE/>
        <w:autoSpaceDN/>
        <w:bidi w:val="0"/>
        <w:adjustRightInd w:val="0"/>
        <w:snapToGrid w:val="0"/>
        <w:spacing w:before="0" w:beforeAutospacing="0" w:after="0" w:afterAutospacing="0" w:line="360" w:lineRule="auto"/>
        <w:ind w:left="359" w:leftChars="0" w:firstLine="480" w:firstLineChars="20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（5）在规定的开标时间后，遵守磋商文件中有关保证金的规定。</w:t>
      </w:r>
    </w:p>
    <w:p w14:paraId="2826E49D">
      <w:pPr>
        <w:pStyle w:val="11"/>
        <w:keepNext w:val="0"/>
        <w:keepLines w:val="0"/>
        <w:pageBreakBefore w:val="0"/>
        <w:widowControl w:val="0"/>
        <w:shd w:val="clear"/>
        <w:tabs>
          <w:tab w:val="left" w:pos="5580"/>
        </w:tabs>
        <w:kinsoku/>
        <w:wordWrap w:val="0"/>
        <w:overflowPunct/>
        <w:topLinePunct w:val="0"/>
        <w:autoSpaceDE/>
        <w:autoSpaceDN/>
        <w:bidi w:val="0"/>
        <w:adjustRightInd w:val="0"/>
        <w:snapToGrid w:val="0"/>
        <w:spacing w:before="0" w:beforeAutospacing="0" w:after="0" w:afterAutospacing="0" w:line="360" w:lineRule="auto"/>
        <w:ind w:left="359" w:leftChars="0" w:firstLine="480" w:firstLineChars="20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（6）我方不是为本项目提供整体设计、规范编制或者项目管理、监理、检测等服务的供应商，我方不是采购代理机构的附属机构。</w:t>
      </w:r>
    </w:p>
    <w:p w14:paraId="4BA5332D">
      <w:pPr>
        <w:pStyle w:val="11"/>
        <w:keepNext w:val="0"/>
        <w:keepLines w:val="0"/>
        <w:pageBreakBefore w:val="0"/>
        <w:widowControl w:val="0"/>
        <w:shd w:val="clear"/>
        <w:tabs>
          <w:tab w:val="left" w:pos="5580"/>
        </w:tabs>
        <w:kinsoku/>
        <w:wordWrap w:val="0"/>
        <w:overflowPunct/>
        <w:topLinePunct w:val="0"/>
        <w:autoSpaceDE/>
        <w:autoSpaceDN/>
        <w:bidi w:val="0"/>
        <w:adjustRightInd w:val="0"/>
        <w:snapToGrid w:val="0"/>
        <w:spacing w:before="0" w:beforeAutospacing="0" w:after="0" w:afterAutospacing="0" w:line="360" w:lineRule="auto"/>
        <w:ind w:left="359" w:leftChars="0" w:firstLine="480" w:firstLineChars="20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（7）在领取成交通知书的同时按磋商文件规定的形式，向代理机构一次性支付成交服务费。</w:t>
      </w:r>
    </w:p>
    <w:p w14:paraId="233129FE">
      <w:pPr>
        <w:pStyle w:val="11"/>
        <w:keepNext w:val="0"/>
        <w:keepLines w:val="0"/>
        <w:pageBreakBefore w:val="0"/>
        <w:widowControl w:val="0"/>
        <w:shd w:val="clear"/>
        <w:tabs>
          <w:tab w:val="left" w:pos="5580"/>
        </w:tabs>
        <w:kinsoku/>
        <w:wordWrap w:val="0"/>
        <w:overflowPunct/>
        <w:topLinePunct w:val="0"/>
        <w:autoSpaceDE/>
        <w:autoSpaceDN/>
        <w:bidi w:val="0"/>
        <w:adjustRightInd w:val="0"/>
        <w:snapToGrid w:val="0"/>
        <w:spacing w:before="0" w:beforeAutospacing="0" w:after="0" w:afterAutospacing="0" w:line="360" w:lineRule="auto"/>
        <w:ind w:left="359" w:leftChars="0" w:firstLine="480" w:firstLineChars="20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（8）按照贵方可能要求，提供与其投标有关的一切数据或资料，完全理解贵方不一定接受最低价的投标或收到的任何投标。</w:t>
      </w:r>
    </w:p>
    <w:p w14:paraId="4595725B">
      <w:pPr>
        <w:pStyle w:val="11"/>
        <w:keepNext w:val="0"/>
        <w:keepLines w:val="0"/>
        <w:pageBreakBefore w:val="0"/>
        <w:widowControl w:val="0"/>
        <w:shd w:val="clear"/>
        <w:tabs>
          <w:tab w:val="left" w:pos="5580"/>
        </w:tabs>
        <w:kinsoku/>
        <w:wordWrap w:val="0"/>
        <w:overflowPunct/>
        <w:topLinePunct w:val="0"/>
        <w:autoSpaceDE/>
        <w:autoSpaceDN/>
        <w:bidi w:val="0"/>
        <w:adjustRightInd w:val="0"/>
        <w:snapToGrid w:val="0"/>
        <w:spacing w:before="0" w:beforeAutospacing="0" w:after="0" w:afterAutospacing="0" w:line="360" w:lineRule="auto"/>
        <w:ind w:left="359" w:leftChars="0" w:firstLine="480" w:firstLineChars="20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（9）按照磋商文件的规定履行合同责任和义务。</w:t>
      </w:r>
    </w:p>
    <w:p w14:paraId="784F1D29">
      <w:pPr>
        <w:pStyle w:val="11"/>
        <w:shd w:val="clear"/>
        <w:tabs>
          <w:tab w:val="left" w:pos="5580"/>
        </w:tabs>
        <w:snapToGrid w:val="0"/>
        <w:spacing w:before="0" w:beforeAutospacing="0" w:after="0" w:afterAutospacing="0" w:line="360" w:lineRule="auto"/>
        <w:ind w:left="359" w:leftChars="68" w:hangingChars="9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highlight w:val="none"/>
        </w:rPr>
        <w:t>与本投标有关的一切正式往来信函请寄：</w:t>
      </w:r>
    </w:p>
    <w:p w14:paraId="65E85CAC">
      <w:pPr>
        <w:pStyle w:val="11"/>
        <w:shd w:val="clear"/>
        <w:tabs>
          <w:tab w:val="left" w:pos="5580"/>
        </w:tabs>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地址</w:t>
      </w:r>
      <w:r>
        <w:rPr>
          <w:rFonts w:hint="eastAsia" w:ascii="宋体" w:hAnsi="宋体" w:eastAsia="宋体" w:cs="宋体"/>
          <w:b w:val="0"/>
          <w:i w:val="0"/>
          <w:caps w:val="0"/>
          <w:color w:val="auto"/>
          <w:spacing w:val="0"/>
          <w:w w:val="100"/>
          <w:sz w:val="24"/>
          <w:szCs w:val="24"/>
          <w:highlight w:val="none"/>
          <w:u w:val="single" w:color="000000"/>
        </w:rPr>
        <w:t xml:space="preserve">                         </w:t>
      </w:r>
      <w:r>
        <w:rPr>
          <w:rFonts w:hint="eastAsia" w:ascii="宋体" w:hAnsi="宋体" w:eastAsia="宋体" w:cs="宋体"/>
          <w:b w:val="0"/>
          <w:i w:val="0"/>
          <w:caps w:val="0"/>
          <w:color w:val="auto"/>
          <w:spacing w:val="0"/>
          <w:w w:val="100"/>
          <w:sz w:val="24"/>
          <w:szCs w:val="24"/>
          <w:highlight w:val="none"/>
        </w:rPr>
        <w:t xml:space="preserve">     传真</w:t>
      </w:r>
      <w:r>
        <w:rPr>
          <w:rFonts w:hint="eastAsia" w:ascii="宋体" w:hAnsi="宋体" w:eastAsia="宋体" w:cs="宋体"/>
          <w:b w:val="0"/>
          <w:i w:val="0"/>
          <w:caps w:val="0"/>
          <w:color w:val="auto"/>
          <w:spacing w:val="0"/>
          <w:w w:val="100"/>
          <w:sz w:val="24"/>
          <w:szCs w:val="24"/>
          <w:highlight w:val="none"/>
          <w:u w:val="single" w:color="000000"/>
        </w:rPr>
        <w:t xml:space="preserve">                             </w:t>
      </w:r>
    </w:p>
    <w:p w14:paraId="41DB5FAC">
      <w:pPr>
        <w:pStyle w:val="11"/>
        <w:shd w:val="clear"/>
        <w:tabs>
          <w:tab w:val="left" w:pos="5580"/>
        </w:tabs>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电话</w:t>
      </w:r>
      <w:r>
        <w:rPr>
          <w:rFonts w:hint="eastAsia" w:ascii="宋体" w:hAnsi="宋体" w:eastAsia="宋体" w:cs="宋体"/>
          <w:b w:val="0"/>
          <w:i w:val="0"/>
          <w:caps w:val="0"/>
          <w:color w:val="auto"/>
          <w:spacing w:val="0"/>
          <w:w w:val="100"/>
          <w:sz w:val="24"/>
          <w:szCs w:val="24"/>
          <w:highlight w:val="none"/>
          <w:u w:val="single" w:color="000000"/>
        </w:rPr>
        <w:t xml:space="preserve">                         </w:t>
      </w:r>
      <w:r>
        <w:rPr>
          <w:rFonts w:hint="eastAsia" w:ascii="宋体" w:hAnsi="宋体" w:eastAsia="宋体" w:cs="宋体"/>
          <w:b w:val="0"/>
          <w:i w:val="0"/>
          <w:caps w:val="0"/>
          <w:color w:val="auto"/>
          <w:spacing w:val="0"/>
          <w:w w:val="100"/>
          <w:sz w:val="24"/>
          <w:szCs w:val="24"/>
          <w:highlight w:val="none"/>
        </w:rPr>
        <w:t xml:space="preserve">     电子函件</w:t>
      </w:r>
      <w:r>
        <w:rPr>
          <w:rFonts w:hint="eastAsia" w:ascii="宋体" w:hAnsi="宋体" w:eastAsia="宋体" w:cs="宋体"/>
          <w:b w:val="0"/>
          <w:i w:val="0"/>
          <w:caps w:val="0"/>
          <w:color w:val="auto"/>
          <w:spacing w:val="0"/>
          <w:w w:val="100"/>
          <w:sz w:val="24"/>
          <w:szCs w:val="24"/>
          <w:highlight w:val="none"/>
          <w:u w:val="single" w:color="000000"/>
        </w:rPr>
        <w:t xml:space="preserve">                         </w:t>
      </w:r>
    </w:p>
    <w:p w14:paraId="2EC114F4">
      <w:pPr>
        <w:pStyle w:val="11"/>
        <w:shd w:val="clear"/>
        <w:tabs>
          <w:tab w:val="left" w:pos="5580"/>
        </w:tabs>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u w:val="single" w:color="000000"/>
        </w:rPr>
      </w:pPr>
      <w:r>
        <w:rPr>
          <w:rFonts w:hint="eastAsia" w:ascii="宋体" w:hAnsi="宋体" w:eastAsia="宋体" w:cs="宋体"/>
          <w:b w:val="0"/>
          <w:i w:val="0"/>
          <w:caps w:val="0"/>
          <w:color w:val="auto"/>
          <w:spacing w:val="0"/>
          <w:w w:val="100"/>
          <w:sz w:val="24"/>
          <w:szCs w:val="24"/>
          <w:highlight w:val="none"/>
        </w:rPr>
        <w:t>法定代表人或其委托代理人（签/章）</w:t>
      </w:r>
      <w:r>
        <w:rPr>
          <w:rFonts w:hint="eastAsia" w:ascii="宋体" w:hAnsi="宋体" w:eastAsia="宋体" w:cs="宋体"/>
          <w:b w:val="0"/>
          <w:i w:val="0"/>
          <w:caps w:val="0"/>
          <w:color w:val="auto"/>
          <w:spacing w:val="0"/>
          <w:w w:val="100"/>
          <w:sz w:val="24"/>
          <w:szCs w:val="24"/>
          <w:highlight w:val="none"/>
          <w:u w:val="single" w:color="000000"/>
        </w:rPr>
        <w:t xml:space="preserve">　　　　　　 </w:t>
      </w:r>
    </w:p>
    <w:p w14:paraId="3914D458">
      <w:pPr>
        <w:pStyle w:val="11"/>
        <w:shd w:val="clear"/>
        <w:tabs>
          <w:tab w:val="left" w:pos="5580"/>
        </w:tabs>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供应商名称（全称）</w:t>
      </w:r>
      <w:r>
        <w:rPr>
          <w:rFonts w:hint="eastAsia" w:ascii="宋体" w:hAnsi="宋体" w:eastAsia="宋体" w:cs="宋体"/>
          <w:b w:val="0"/>
          <w:i w:val="0"/>
          <w:caps w:val="0"/>
          <w:color w:val="auto"/>
          <w:spacing w:val="0"/>
          <w:w w:val="100"/>
          <w:sz w:val="24"/>
          <w:szCs w:val="24"/>
          <w:highlight w:val="none"/>
          <w:u w:val="single" w:color="000000"/>
        </w:rPr>
        <w:t xml:space="preserve">　　　　　　 </w:t>
      </w:r>
    </w:p>
    <w:p w14:paraId="4F4F2F40">
      <w:pPr>
        <w:pStyle w:val="11"/>
        <w:shd w:val="clear"/>
        <w:tabs>
          <w:tab w:val="left" w:pos="5580"/>
        </w:tabs>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供应商开户银行（全称）</w:t>
      </w:r>
      <w:r>
        <w:rPr>
          <w:rFonts w:hint="eastAsia" w:ascii="宋体" w:hAnsi="宋体" w:eastAsia="宋体" w:cs="宋体"/>
          <w:b w:val="0"/>
          <w:i w:val="0"/>
          <w:caps w:val="0"/>
          <w:color w:val="auto"/>
          <w:spacing w:val="0"/>
          <w:w w:val="100"/>
          <w:sz w:val="24"/>
          <w:szCs w:val="24"/>
          <w:highlight w:val="none"/>
          <w:u w:val="single" w:color="000000"/>
        </w:rPr>
        <w:t xml:space="preserve">　　　　　　 </w:t>
      </w:r>
    </w:p>
    <w:p w14:paraId="767D1B26">
      <w:pPr>
        <w:pStyle w:val="11"/>
        <w:shd w:val="clear"/>
        <w:tabs>
          <w:tab w:val="left" w:pos="5580"/>
        </w:tabs>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供应商银行帐号</w:t>
      </w:r>
      <w:r>
        <w:rPr>
          <w:rFonts w:hint="eastAsia" w:ascii="宋体" w:hAnsi="宋体" w:eastAsia="宋体" w:cs="宋体"/>
          <w:b w:val="0"/>
          <w:i w:val="0"/>
          <w:caps w:val="0"/>
          <w:color w:val="auto"/>
          <w:spacing w:val="0"/>
          <w:w w:val="100"/>
          <w:sz w:val="24"/>
          <w:szCs w:val="24"/>
          <w:highlight w:val="none"/>
          <w:u w:val="single" w:color="000000"/>
        </w:rPr>
        <w:t>　　　　　　　　 　　</w:t>
      </w:r>
    </w:p>
    <w:p w14:paraId="524773CA">
      <w:pPr>
        <w:pStyle w:val="11"/>
        <w:shd w:val="clear"/>
        <w:tabs>
          <w:tab w:val="left" w:pos="5580"/>
        </w:tabs>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u w:val="single" w:color="000000"/>
        </w:rPr>
      </w:pPr>
      <w:r>
        <w:rPr>
          <w:rFonts w:hint="eastAsia" w:ascii="宋体" w:hAnsi="宋体" w:eastAsia="宋体" w:cs="宋体"/>
          <w:b w:val="0"/>
          <w:i w:val="0"/>
          <w:caps w:val="0"/>
          <w:color w:val="auto"/>
          <w:spacing w:val="0"/>
          <w:w w:val="100"/>
          <w:sz w:val="24"/>
          <w:szCs w:val="24"/>
          <w:highlight w:val="none"/>
        </w:rPr>
        <w:t>供应商</w:t>
      </w:r>
      <w:r>
        <w:rPr>
          <w:rFonts w:hint="eastAsia" w:ascii="宋体" w:hAnsi="宋体" w:eastAsia="宋体" w:cs="宋体"/>
          <w:b w:val="0"/>
          <w:i w:val="0"/>
          <w:caps w:val="0"/>
          <w:color w:val="auto"/>
          <w:spacing w:val="0"/>
          <w:w w:val="100"/>
          <w:sz w:val="24"/>
          <w:szCs w:val="24"/>
          <w:highlight w:val="none"/>
          <w:lang w:val="en-US" w:eastAsia="zh-CN"/>
        </w:rPr>
        <w:t>名称</w:t>
      </w:r>
      <w:r>
        <w:rPr>
          <w:rFonts w:hint="eastAsia" w:ascii="宋体" w:hAnsi="宋体" w:eastAsia="宋体" w:cs="宋体"/>
          <w:b w:val="0"/>
          <w:i w:val="0"/>
          <w:caps w:val="0"/>
          <w:color w:val="auto"/>
          <w:spacing w:val="0"/>
          <w:w w:val="100"/>
          <w:sz w:val="24"/>
          <w:szCs w:val="24"/>
          <w:highlight w:val="none"/>
        </w:rPr>
        <w:t>（公章）</w:t>
      </w:r>
      <w:r>
        <w:rPr>
          <w:rFonts w:hint="eastAsia" w:ascii="宋体" w:hAnsi="宋体" w:eastAsia="宋体" w:cs="宋体"/>
          <w:b w:val="0"/>
          <w:i w:val="0"/>
          <w:caps w:val="0"/>
          <w:color w:val="auto"/>
          <w:spacing w:val="0"/>
          <w:w w:val="100"/>
          <w:sz w:val="24"/>
          <w:szCs w:val="24"/>
          <w:highlight w:val="none"/>
          <w:u w:val="single" w:color="000000"/>
        </w:rPr>
        <w:t xml:space="preserve">　　　　　　       </w:t>
      </w:r>
    </w:p>
    <w:p w14:paraId="761AA6D6">
      <w:pPr>
        <w:pStyle w:val="11"/>
        <w:shd w:val="clear"/>
        <w:tabs>
          <w:tab w:val="left" w:pos="5580"/>
        </w:tabs>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u w:val="single" w:color="000000"/>
        </w:rPr>
      </w:pPr>
      <w:r>
        <w:rPr>
          <w:rFonts w:hint="eastAsia" w:ascii="宋体" w:hAnsi="宋体" w:eastAsia="宋体" w:cs="宋体"/>
          <w:b w:val="0"/>
          <w:i w:val="0"/>
          <w:caps w:val="0"/>
          <w:color w:val="auto"/>
          <w:spacing w:val="0"/>
          <w:w w:val="100"/>
          <w:sz w:val="24"/>
          <w:szCs w:val="24"/>
          <w:highlight w:val="none"/>
        </w:rPr>
        <w:t>日期</w:t>
      </w:r>
      <w:r>
        <w:rPr>
          <w:rFonts w:hint="eastAsia" w:ascii="宋体" w:hAnsi="宋体" w:eastAsia="宋体" w:cs="宋体"/>
          <w:b w:val="0"/>
          <w:i w:val="0"/>
          <w:caps w:val="0"/>
          <w:color w:val="auto"/>
          <w:spacing w:val="0"/>
          <w:w w:val="100"/>
          <w:sz w:val="24"/>
          <w:szCs w:val="24"/>
          <w:highlight w:val="none"/>
          <w:u w:val="single" w:color="000000"/>
        </w:rPr>
        <w:t>　　　　　　</w:t>
      </w:r>
      <w:bookmarkStart w:id="593" w:name="_Toc216582815"/>
      <w:bookmarkStart w:id="594" w:name="_Toc20897"/>
      <w:bookmarkStart w:id="595" w:name="_Toc515647818"/>
      <w:bookmarkStart w:id="596" w:name="_Toc1881"/>
    </w:p>
    <w:p w14:paraId="6B344B97">
      <w:pPr>
        <w:rPr>
          <w:rFonts w:hint="eastAsia" w:ascii="宋体" w:hAnsi="宋体" w:eastAsia="宋体" w:cs="宋体"/>
          <w:b/>
          <w:i w:val="0"/>
          <w:caps w:val="0"/>
          <w:color w:val="auto"/>
          <w:spacing w:val="0"/>
          <w:w w:val="100"/>
          <w:sz w:val="24"/>
          <w:szCs w:val="24"/>
          <w:highlight w:val="none"/>
        </w:rPr>
      </w:pPr>
      <w:bookmarkStart w:id="597" w:name="_Toc29155"/>
      <w:bookmarkStart w:id="598" w:name="_Toc18221"/>
      <w:bookmarkStart w:id="599" w:name="_Toc12874"/>
      <w:bookmarkStart w:id="600" w:name="_Toc23321"/>
      <w:bookmarkStart w:id="601" w:name="_Toc23248"/>
      <w:bookmarkStart w:id="602" w:name="_Toc32493"/>
      <w:bookmarkStart w:id="603" w:name="_Toc16705"/>
      <w:r>
        <w:rPr>
          <w:rFonts w:hint="eastAsia" w:ascii="宋体" w:hAnsi="宋体" w:eastAsia="宋体" w:cs="宋体"/>
          <w:b/>
          <w:i w:val="0"/>
          <w:caps w:val="0"/>
          <w:color w:val="auto"/>
          <w:spacing w:val="0"/>
          <w:w w:val="100"/>
          <w:sz w:val="24"/>
          <w:szCs w:val="24"/>
          <w:highlight w:val="none"/>
        </w:rPr>
        <w:br w:type="page"/>
      </w:r>
    </w:p>
    <w:p w14:paraId="2A5A5160">
      <w:pPr>
        <w:pStyle w:val="3"/>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i w:val="0"/>
          <w:caps w:val="0"/>
          <w:color w:val="auto"/>
          <w:spacing w:val="0"/>
          <w:w w:val="100"/>
          <w:sz w:val="24"/>
          <w:szCs w:val="24"/>
          <w:highlight w:val="none"/>
          <w:lang w:eastAsia="zh-CN"/>
        </w:rPr>
      </w:pPr>
      <w:bookmarkStart w:id="604" w:name="_Toc19043"/>
      <w:r>
        <w:rPr>
          <w:rFonts w:hint="eastAsia" w:ascii="宋体" w:hAnsi="宋体" w:eastAsia="宋体" w:cs="宋体"/>
          <w:b/>
          <w:i w:val="0"/>
          <w:caps w:val="0"/>
          <w:color w:val="auto"/>
          <w:spacing w:val="0"/>
          <w:w w:val="100"/>
          <w:sz w:val="24"/>
          <w:szCs w:val="24"/>
          <w:highlight w:val="none"/>
        </w:rPr>
        <w:t>2</w:t>
      </w:r>
      <w:r>
        <w:rPr>
          <w:rFonts w:hint="eastAsia" w:ascii="宋体" w:hAnsi="宋体" w:eastAsia="宋体" w:cs="宋体"/>
          <w:b/>
          <w:i w:val="0"/>
          <w:caps w:val="0"/>
          <w:color w:val="auto"/>
          <w:spacing w:val="0"/>
          <w:w w:val="100"/>
          <w:sz w:val="24"/>
          <w:szCs w:val="24"/>
          <w:highlight w:val="none"/>
          <w:lang w:eastAsia="zh-CN"/>
        </w:rPr>
        <w:t>、</w:t>
      </w:r>
      <w:r>
        <w:rPr>
          <w:rFonts w:hint="eastAsia" w:ascii="宋体" w:hAnsi="宋体" w:eastAsia="宋体" w:cs="宋体"/>
          <w:b/>
          <w:i w:val="0"/>
          <w:caps w:val="0"/>
          <w:color w:val="auto"/>
          <w:spacing w:val="0"/>
          <w:w w:val="100"/>
          <w:sz w:val="24"/>
          <w:szCs w:val="24"/>
          <w:highlight w:val="none"/>
          <w:lang w:val="en-US" w:eastAsia="zh-CN"/>
        </w:rPr>
        <w:t>投标</w:t>
      </w:r>
      <w:r>
        <w:rPr>
          <w:rFonts w:hint="eastAsia" w:ascii="宋体" w:hAnsi="宋体" w:eastAsia="宋体" w:cs="宋体"/>
          <w:b/>
          <w:i w:val="0"/>
          <w:caps w:val="0"/>
          <w:color w:val="auto"/>
          <w:spacing w:val="0"/>
          <w:w w:val="100"/>
          <w:sz w:val="24"/>
          <w:szCs w:val="24"/>
          <w:highlight w:val="none"/>
        </w:rPr>
        <w:t>分项报价表</w:t>
      </w:r>
      <w:bookmarkEnd w:id="593"/>
      <w:bookmarkEnd w:id="594"/>
      <w:bookmarkEnd w:id="595"/>
      <w:bookmarkEnd w:id="596"/>
      <w:bookmarkEnd w:id="597"/>
      <w:bookmarkEnd w:id="598"/>
      <w:bookmarkEnd w:id="599"/>
      <w:bookmarkEnd w:id="600"/>
      <w:bookmarkEnd w:id="601"/>
      <w:bookmarkEnd w:id="602"/>
      <w:bookmarkEnd w:id="603"/>
      <w:bookmarkEnd w:id="604"/>
      <w:r>
        <w:rPr>
          <w:rFonts w:hint="eastAsia" w:ascii="宋体" w:hAnsi="宋体" w:eastAsia="宋体" w:cs="宋体"/>
          <w:b/>
          <w:i w:val="0"/>
          <w:caps w:val="0"/>
          <w:color w:val="auto"/>
          <w:spacing w:val="0"/>
          <w:w w:val="100"/>
          <w:sz w:val="24"/>
          <w:szCs w:val="24"/>
          <w:highlight w:val="none"/>
          <w:lang w:eastAsia="zh-CN"/>
        </w:rPr>
        <w:t>（格式可按工程量清单格式编制）</w:t>
      </w:r>
    </w:p>
    <w:p w14:paraId="168C4C7C">
      <w:pPr>
        <w:pStyle w:val="11"/>
        <w:shd w:val="clear"/>
        <w:snapToGrid w:val="0"/>
        <w:spacing w:before="0" w:beforeAutospacing="0" w:after="0" w:afterAutospacing="0" w:line="240" w:lineRule="atLeast"/>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项目名称:            </w:t>
      </w:r>
      <w:r>
        <w:rPr>
          <w:rFonts w:hint="eastAsia" w:ascii="宋体" w:hAnsi="宋体" w:eastAsia="宋体" w:cs="宋体"/>
          <w:b w:val="0"/>
          <w:i w:val="0"/>
          <w:caps w:val="0"/>
          <w:color w:val="auto"/>
          <w:spacing w:val="0"/>
          <w:w w:val="100"/>
          <w:sz w:val="24"/>
          <w:szCs w:val="24"/>
          <w:highlight w:val="none"/>
          <w:lang w:val="en-US" w:eastAsia="zh-CN"/>
        </w:rPr>
        <w:t xml:space="preserve">     </w:t>
      </w:r>
      <w:r>
        <w:rPr>
          <w:rFonts w:hint="eastAsia" w:ascii="宋体" w:hAnsi="宋体" w:eastAsia="宋体" w:cs="宋体"/>
          <w:b w:val="0"/>
          <w:i w:val="0"/>
          <w:caps w:val="0"/>
          <w:color w:val="auto"/>
          <w:spacing w:val="0"/>
          <w:w w:val="100"/>
          <w:sz w:val="24"/>
          <w:szCs w:val="24"/>
          <w:highlight w:val="none"/>
        </w:rPr>
        <w:t xml:space="preserve">          </w:t>
      </w:r>
    </w:p>
    <w:p w14:paraId="7EF91645">
      <w:pPr>
        <w:pStyle w:val="11"/>
        <w:shd w:val="clear"/>
        <w:snapToGrid w:val="0"/>
        <w:spacing w:before="0" w:beforeAutospacing="0" w:after="0" w:afterAutospacing="0" w:line="240" w:lineRule="atLeast"/>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lang w:eastAsia="zh-CN"/>
        </w:rPr>
        <w:t>项目编号</w:t>
      </w:r>
      <w:r>
        <w:rPr>
          <w:rFonts w:hint="eastAsia" w:ascii="宋体" w:hAnsi="宋体" w:eastAsia="宋体" w:cs="宋体"/>
          <w:b w:val="0"/>
          <w:i w:val="0"/>
          <w:caps w:val="0"/>
          <w:color w:val="auto"/>
          <w:spacing w:val="0"/>
          <w:w w:val="100"/>
          <w:sz w:val="24"/>
          <w:szCs w:val="24"/>
          <w:highlight w:val="none"/>
        </w:rPr>
        <w:t xml:space="preserve">:                       </w:t>
      </w:r>
    </w:p>
    <w:p w14:paraId="16ED11CC">
      <w:pPr>
        <w:pStyle w:val="11"/>
        <w:shd w:val="clear"/>
        <w:snapToGrid w:val="0"/>
        <w:spacing w:before="0" w:beforeAutospacing="0" w:after="0" w:afterAutospacing="0" w:line="240" w:lineRule="atLeast"/>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报价单位：人民币</w:t>
      </w:r>
      <w:r>
        <w:rPr>
          <w:rFonts w:hint="eastAsia" w:ascii="宋体" w:hAnsi="宋体" w:eastAsia="宋体" w:cs="宋体"/>
          <w:b w:val="0"/>
          <w:i w:val="0"/>
          <w:caps w:val="0"/>
          <w:color w:val="auto"/>
          <w:spacing w:val="0"/>
          <w:w w:val="100"/>
          <w:sz w:val="24"/>
          <w:szCs w:val="24"/>
          <w:highlight w:val="none"/>
          <w:lang w:val="en-US" w:eastAsia="zh-CN"/>
        </w:rPr>
        <w:t xml:space="preserve"> </w:t>
      </w:r>
      <w:r>
        <w:rPr>
          <w:rFonts w:hint="eastAsia" w:ascii="宋体" w:hAnsi="宋体" w:eastAsia="宋体" w:cs="宋体"/>
          <w:b w:val="0"/>
          <w:i w:val="0"/>
          <w:caps w:val="0"/>
          <w:color w:val="auto"/>
          <w:spacing w:val="0"/>
          <w:w w:val="100"/>
          <w:sz w:val="24"/>
          <w:szCs w:val="24"/>
          <w:highlight w:val="none"/>
        </w:rPr>
        <w:t>元</w:t>
      </w:r>
    </w:p>
    <w:tbl>
      <w:tblPr>
        <w:tblStyle w:val="24"/>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1432"/>
        <w:gridCol w:w="1610"/>
        <w:gridCol w:w="1011"/>
        <w:gridCol w:w="1490"/>
        <w:gridCol w:w="1489"/>
        <w:gridCol w:w="1206"/>
        <w:gridCol w:w="845"/>
      </w:tblGrid>
      <w:tr w14:paraId="32744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72" w:type="dxa"/>
            <w:vAlign w:val="center"/>
          </w:tcPr>
          <w:p w14:paraId="065A57B0">
            <w:pPr>
              <w:pStyle w:val="11"/>
              <w:shd w:val="clear"/>
              <w:snapToGrid w:val="0"/>
              <w:spacing w:before="0" w:beforeAutospacing="0" w:after="0" w:afterAutospacing="0" w:line="240" w:lineRule="atLeast"/>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序号</w:t>
            </w:r>
          </w:p>
        </w:tc>
        <w:tc>
          <w:tcPr>
            <w:tcW w:w="1432" w:type="dxa"/>
            <w:vAlign w:val="center"/>
          </w:tcPr>
          <w:p w14:paraId="35326C10">
            <w:pPr>
              <w:pStyle w:val="11"/>
              <w:shd w:val="clear"/>
              <w:snapToGrid w:val="0"/>
              <w:spacing w:before="0" w:beforeAutospacing="0" w:after="0" w:afterAutospacing="0" w:line="240" w:lineRule="atLeast"/>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lang w:val="en-US" w:eastAsia="zh-CN"/>
              </w:rPr>
              <w:t>名称</w:t>
            </w:r>
          </w:p>
        </w:tc>
        <w:tc>
          <w:tcPr>
            <w:tcW w:w="1610" w:type="dxa"/>
            <w:vAlign w:val="center"/>
          </w:tcPr>
          <w:p w14:paraId="3F3E2A88">
            <w:pPr>
              <w:pStyle w:val="11"/>
              <w:shd w:val="clear"/>
              <w:snapToGrid w:val="0"/>
              <w:spacing w:before="0" w:beforeAutospacing="0" w:after="0" w:afterAutospacing="0" w:line="240" w:lineRule="atLeast"/>
              <w:jc w:val="center"/>
              <w:textAlignment w:val="baseline"/>
              <w:rPr>
                <w:rFonts w:hint="eastAsia" w:hAnsi="宋体" w:cs="宋体"/>
                <w:b w:val="0"/>
                <w:i w:val="0"/>
                <w:caps w:val="0"/>
                <w:color w:val="auto"/>
                <w:spacing w:val="0"/>
                <w:w w:val="100"/>
                <w:sz w:val="24"/>
                <w:szCs w:val="24"/>
                <w:highlight w:val="none"/>
                <w:lang w:val="en-US" w:eastAsia="zh-CN"/>
              </w:rPr>
            </w:pPr>
            <w:r>
              <w:rPr>
                <w:rFonts w:hint="eastAsia" w:hAnsi="宋体" w:cs="宋体"/>
                <w:b w:val="0"/>
                <w:i w:val="0"/>
                <w:caps w:val="0"/>
                <w:color w:val="auto"/>
                <w:spacing w:val="0"/>
                <w:w w:val="100"/>
                <w:sz w:val="24"/>
                <w:szCs w:val="24"/>
                <w:highlight w:val="none"/>
                <w:lang w:val="en-US" w:eastAsia="zh-CN"/>
              </w:rPr>
              <w:t>型号和规格</w:t>
            </w:r>
          </w:p>
        </w:tc>
        <w:tc>
          <w:tcPr>
            <w:tcW w:w="1011" w:type="dxa"/>
            <w:vAlign w:val="center"/>
          </w:tcPr>
          <w:p w14:paraId="4A25960B">
            <w:pPr>
              <w:pStyle w:val="11"/>
              <w:shd w:val="clear"/>
              <w:snapToGrid w:val="0"/>
              <w:spacing w:before="0" w:beforeAutospacing="0" w:after="0" w:afterAutospacing="0" w:line="240" w:lineRule="atLeast"/>
              <w:jc w:val="center"/>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hAnsi="宋体" w:cs="宋体"/>
                <w:b w:val="0"/>
                <w:i w:val="0"/>
                <w:caps w:val="0"/>
                <w:color w:val="auto"/>
                <w:spacing w:val="0"/>
                <w:w w:val="100"/>
                <w:sz w:val="24"/>
                <w:szCs w:val="24"/>
                <w:highlight w:val="none"/>
                <w:lang w:val="en-US" w:eastAsia="zh-CN"/>
              </w:rPr>
              <w:t>数</w:t>
            </w:r>
            <w:r>
              <w:rPr>
                <w:rFonts w:hint="eastAsia" w:ascii="宋体" w:hAnsi="宋体" w:eastAsia="宋体" w:cs="宋体"/>
                <w:color w:val="000000"/>
                <w:sz w:val="24"/>
                <w:highlight w:val="none"/>
              </w:rPr>
              <w:t>量</w:t>
            </w:r>
          </w:p>
        </w:tc>
        <w:tc>
          <w:tcPr>
            <w:tcW w:w="1490" w:type="dxa"/>
            <w:vAlign w:val="center"/>
          </w:tcPr>
          <w:p w14:paraId="79456ED6">
            <w:pPr>
              <w:pStyle w:val="11"/>
              <w:shd w:val="clear"/>
              <w:snapToGrid w:val="0"/>
              <w:spacing w:before="0" w:beforeAutospacing="0" w:after="0" w:afterAutospacing="0" w:line="240" w:lineRule="atLeast"/>
              <w:jc w:val="center"/>
              <w:textAlignment w:val="baseline"/>
              <w:rPr>
                <w:rFonts w:hint="eastAsia" w:hAnsi="宋体" w:cs="宋体"/>
                <w:b w:val="0"/>
                <w:i w:val="0"/>
                <w:caps w:val="0"/>
                <w:color w:val="auto"/>
                <w:spacing w:val="0"/>
                <w:w w:val="100"/>
                <w:sz w:val="24"/>
                <w:szCs w:val="24"/>
                <w:highlight w:val="none"/>
                <w:lang w:val="en-US" w:eastAsia="zh-CN"/>
              </w:rPr>
            </w:pPr>
            <w:r>
              <w:rPr>
                <w:rFonts w:hint="eastAsia" w:hAnsi="宋体" w:cs="宋体"/>
                <w:b w:val="0"/>
                <w:i w:val="0"/>
                <w:caps w:val="0"/>
                <w:color w:val="auto"/>
                <w:spacing w:val="0"/>
                <w:w w:val="100"/>
                <w:sz w:val="24"/>
                <w:szCs w:val="24"/>
                <w:highlight w:val="none"/>
                <w:lang w:val="en-US" w:eastAsia="zh-CN"/>
              </w:rPr>
              <w:t>单位</w:t>
            </w:r>
          </w:p>
        </w:tc>
        <w:tc>
          <w:tcPr>
            <w:tcW w:w="1489" w:type="dxa"/>
            <w:vAlign w:val="center"/>
          </w:tcPr>
          <w:p w14:paraId="5027F1C6">
            <w:pPr>
              <w:pStyle w:val="11"/>
              <w:shd w:val="clear"/>
              <w:snapToGrid w:val="0"/>
              <w:spacing w:before="0" w:beforeAutospacing="0" w:after="0" w:afterAutospacing="0" w:line="240" w:lineRule="atLeast"/>
              <w:jc w:val="center"/>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rPr>
              <w:t>单价</w:t>
            </w:r>
          </w:p>
        </w:tc>
        <w:tc>
          <w:tcPr>
            <w:tcW w:w="1206" w:type="dxa"/>
            <w:vAlign w:val="center"/>
          </w:tcPr>
          <w:p w14:paraId="53F262C5">
            <w:pPr>
              <w:pStyle w:val="11"/>
              <w:shd w:val="clear"/>
              <w:snapToGrid w:val="0"/>
              <w:spacing w:before="0" w:beforeAutospacing="0" w:after="0" w:afterAutospacing="0" w:line="240" w:lineRule="atLeast"/>
              <w:jc w:val="center"/>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hAnsi="宋体" w:cs="宋体"/>
                <w:b w:val="0"/>
                <w:i w:val="0"/>
                <w:caps w:val="0"/>
                <w:color w:val="auto"/>
                <w:spacing w:val="0"/>
                <w:w w:val="100"/>
                <w:sz w:val="24"/>
                <w:szCs w:val="24"/>
                <w:highlight w:val="none"/>
                <w:lang w:val="en-US" w:eastAsia="zh-CN"/>
              </w:rPr>
              <w:t>总价</w:t>
            </w:r>
          </w:p>
        </w:tc>
        <w:tc>
          <w:tcPr>
            <w:tcW w:w="845" w:type="dxa"/>
            <w:vAlign w:val="center"/>
          </w:tcPr>
          <w:p w14:paraId="2DE4F969">
            <w:pPr>
              <w:pStyle w:val="11"/>
              <w:shd w:val="clear"/>
              <w:snapToGrid w:val="0"/>
              <w:spacing w:before="0" w:beforeAutospacing="0" w:after="0" w:afterAutospacing="0" w:line="240" w:lineRule="atLeast"/>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备注</w:t>
            </w:r>
          </w:p>
        </w:tc>
      </w:tr>
      <w:tr w14:paraId="4AD6D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72" w:type="dxa"/>
            <w:vAlign w:val="center"/>
          </w:tcPr>
          <w:p w14:paraId="52E18E3D">
            <w:pPr>
              <w:spacing w:line="380" w:lineRule="exact"/>
              <w:jc w:val="center"/>
              <w:rPr>
                <w:rFonts w:hint="eastAsia" w:ascii="宋体" w:hAnsi="宋体" w:eastAsia="宋体" w:cs="宋体"/>
                <w:color w:val="000000"/>
                <w:sz w:val="24"/>
                <w:highlight w:val="none"/>
              </w:rPr>
            </w:pPr>
          </w:p>
        </w:tc>
        <w:tc>
          <w:tcPr>
            <w:tcW w:w="1432" w:type="dxa"/>
            <w:vAlign w:val="center"/>
          </w:tcPr>
          <w:p w14:paraId="26791663">
            <w:pPr>
              <w:spacing w:line="380" w:lineRule="exact"/>
              <w:jc w:val="center"/>
              <w:rPr>
                <w:rFonts w:hint="eastAsia" w:ascii="宋体" w:hAnsi="宋体" w:eastAsia="宋体" w:cs="宋体"/>
                <w:color w:val="000000"/>
                <w:sz w:val="24"/>
                <w:highlight w:val="none"/>
              </w:rPr>
            </w:pPr>
          </w:p>
        </w:tc>
        <w:tc>
          <w:tcPr>
            <w:tcW w:w="1610" w:type="dxa"/>
            <w:vAlign w:val="center"/>
          </w:tcPr>
          <w:p w14:paraId="11F753BD">
            <w:pPr>
              <w:spacing w:line="380" w:lineRule="exact"/>
              <w:jc w:val="center"/>
              <w:rPr>
                <w:rFonts w:hint="eastAsia" w:ascii="宋体" w:hAnsi="宋体" w:eastAsia="宋体" w:cs="宋体"/>
                <w:color w:val="000000"/>
                <w:sz w:val="24"/>
                <w:highlight w:val="none"/>
              </w:rPr>
            </w:pPr>
          </w:p>
        </w:tc>
        <w:tc>
          <w:tcPr>
            <w:tcW w:w="1011" w:type="dxa"/>
            <w:vAlign w:val="center"/>
          </w:tcPr>
          <w:p w14:paraId="418F41FA">
            <w:pPr>
              <w:spacing w:line="380" w:lineRule="exact"/>
              <w:jc w:val="center"/>
              <w:rPr>
                <w:rFonts w:hint="eastAsia" w:ascii="宋体" w:hAnsi="宋体" w:eastAsia="宋体" w:cs="宋体"/>
                <w:color w:val="000000"/>
                <w:sz w:val="24"/>
                <w:highlight w:val="none"/>
              </w:rPr>
            </w:pPr>
          </w:p>
        </w:tc>
        <w:tc>
          <w:tcPr>
            <w:tcW w:w="1490" w:type="dxa"/>
            <w:vAlign w:val="center"/>
          </w:tcPr>
          <w:p w14:paraId="6B774CA4">
            <w:pPr>
              <w:spacing w:line="380" w:lineRule="exact"/>
              <w:jc w:val="center"/>
              <w:rPr>
                <w:rFonts w:hint="eastAsia" w:ascii="宋体" w:hAnsi="宋体" w:eastAsia="宋体" w:cs="宋体"/>
                <w:color w:val="000000"/>
                <w:sz w:val="24"/>
                <w:highlight w:val="none"/>
              </w:rPr>
            </w:pPr>
          </w:p>
        </w:tc>
        <w:tc>
          <w:tcPr>
            <w:tcW w:w="1489" w:type="dxa"/>
            <w:vAlign w:val="center"/>
          </w:tcPr>
          <w:p w14:paraId="03A255C6">
            <w:pPr>
              <w:spacing w:line="380" w:lineRule="exact"/>
              <w:jc w:val="center"/>
              <w:rPr>
                <w:rFonts w:hint="eastAsia" w:ascii="宋体" w:hAnsi="宋体" w:eastAsia="宋体" w:cs="宋体"/>
                <w:color w:val="000000"/>
                <w:sz w:val="24"/>
                <w:highlight w:val="none"/>
              </w:rPr>
            </w:pPr>
          </w:p>
        </w:tc>
        <w:tc>
          <w:tcPr>
            <w:tcW w:w="1206" w:type="dxa"/>
            <w:vAlign w:val="center"/>
          </w:tcPr>
          <w:p w14:paraId="6F7F9BDC">
            <w:pPr>
              <w:spacing w:line="380" w:lineRule="exact"/>
              <w:jc w:val="center"/>
              <w:rPr>
                <w:rFonts w:hint="eastAsia" w:ascii="宋体" w:hAnsi="宋体" w:eastAsia="宋体" w:cs="宋体"/>
                <w:color w:val="000000"/>
                <w:sz w:val="24"/>
                <w:highlight w:val="none"/>
              </w:rPr>
            </w:pPr>
          </w:p>
        </w:tc>
        <w:tc>
          <w:tcPr>
            <w:tcW w:w="845" w:type="dxa"/>
            <w:vAlign w:val="center"/>
          </w:tcPr>
          <w:p w14:paraId="5ADF7AA0">
            <w:pPr>
              <w:pStyle w:val="11"/>
              <w:shd w:val="clear"/>
              <w:snapToGrid w:val="0"/>
              <w:spacing w:before="0" w:beforeAutospacing="0" w:after="0" w:afterAutospacing="0" w:line="240" w:lineRule="atLeast"/>
              <w:ind w:left="1080" w:leftChars="257" w:hanging="540"/>
              <w:jc w:val="left"/>
              <w:textAlignment w:val="baseline"/>
              <w:rPr>
                <w:rFonts w:hint="eastAsia" w:ascii="宋体" w:hAnsi="宋体" w:eastAsia="宋体" w:cs="宋体"/>
                <w:b w:val="0"/>
                <w:i w:val="0"/>
                <w:caps w:val="0"/>
                <w:color w:val="auto"/>
                <w:spacing w:val="0"/>
                <w:w w:val="100"/>
                <w:sz w:val="24"/>
                <w:szCs w:val="24"/>
                <w:highlight w:val="none"/>
              </w:rPr>
            </w:pPr>
          </w:p>
        </w:tc>
      </w:tr>
      <w:tr w14:paraId="1B195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72" w:type="dxa"/>
            <w:vAlign w:val="center"/>
          </w:tcPr>
          <w:p w14:paraId="5E3D850F">
            <w:pPr>
              <w:spacing w:line="380" w:lineRule="exact"/>
              <w:jc w:val="center"/>
              <w:rPr>
                <w:rFonts w:hint="eastAsia" w:ascii="宋体" w:hAnsi="宋体" w:eastAsia="宋体" w:cs="宋体"/>
                <w:color w:val="000000"/>
                <w:sz w:val="24"/>
                <w:highlight w:val="none"/>
              </w:rPr>
            </w:pPr>
          </w:p>
        </w:tc>
        <w:tc>
          <w:tcPr>
            <w:tcW w:w="1432" w:type="dxa"/>
            <w:vAlign w:val="center"/>
          </w:tcPr>
          <w:p w14:paraId="4081F77C">
            <w:pPr>
              <w:spacing w:line="380" w:lineRule="exact"/>
              <w:jc w:val="center"/>
              <w:rPr>
                <w:rFonts w:hint="eastAsia" w:ascii="宋体" w:hAnsi="宋体" w:eastAsia="宋体" w:cs="宋体"/>
                <w:color w:val="000000"/>
                <w:sz w:val="24"/>
                <w:highlight w:val="none"/>
                <w:lang w:val="en-US" w:eastAsia="zh-CN"/>
              </w:rPr>
            </w:pPr>
          </w:p>
        </w:tc>
        <w:tc>
          <w:tcPr>
            <w:tcW w:w="1610" w:type="dxa"/>
            <w:vAlign w:val="center"/>
          </w:tcPr>
          <w:p w14:paraId="388E3813">
            <w:pPr>
              <w:spacing w:line="380" w:lineRule="exact"/>
              <w:jc w:val="center"/>
              <w:rPr>
                <w:rFonts w:hint="eastAsia" w:ascii="宋体" w:hAnsi="宋体" w:eastAsia="宋体" w:cs="宋体"/>
                <w:color w:val="000000"/>
                <w:sz w:val="24"/>
                <w:highlight w:val="none"/>
                <w:lang w:val="en-US" w:eastAsia="zh-CN"/>
              </w:rPr>
            </w:pPr>
          </w:p>
        </w:tc>
        <w:tc>
          <w:tcPr>
            <w:tcW w:w="1011" w:type="dxa"/>
            <w:vAlign w:val="center"/>
          </w:tcPr>
          <w:p w14:paraId="44F27835">
            <w:pPr>
              <w:spacing w:line="380" w:lineRule="exact"/>
              <w:jc w:val="center"/>
              <w:rPr>
                <w:rFonts w:hint="eastAsia" w:ascii="宋体" w:hAnsi="宋体" w:eastAsia="宋体" w:cs="宋体"/>
                <w:color w:val="000000"/>
                <w:sz w:val="24"/>
                <w:highlight w:val="none"/>
              </w:rPr>
            </w:pPr>
          </w:p>
        </w:tc>
        <w:tc>
          <w:tcPr>
            <w:tcW w:w="1490" w:type="dxa"/>
            <w:vAlign w:val="center"/>
          </w:tcPr>
          <w:p w14:paraId="28A5A60D">
            <w:pPr>
              <w:spacing w:line="380" w:lineRule="exact"/>
              <w:jc w:val="center"/>
              <w:rPr>
                <w:rFonts w:hint="eastAsia" w:ascii="宋体" w:hAnsi="宋体" w:eastAsia="宋体" w:cs="宋体"/>
                <w:color w:val="000000"/>
                <w:sz w:val="24"/>
                <w:highlight w:val="none"/>
              </w:rPr>
            </w:pPr>
          </w:p>
        </w:tc>
        <w:tc>
          <w:tcPr>
            <w:tcW w:w="1489" w:type="dxa"/>
            <w:vAlign w:val="center"/>
          </w:tcPr>
          <w:p w14:paraId="65DE97FE">
            <w:pPr>
              <w:spacing w:line="380" w:lineRule="exact"/>
              <w:jc w:val="center"/>
              <w:rPr>
                <w:rFonts w:hint="eastAsia" w:ascii="宋体" w:hAnsi="宋体" w:eastAsia="宋体" w:cs="宋体"/>
                <w:color w:val="000000"/>
                <w:sz w:val="24"/>
                <w:highlight w:val="none"/>
              </w:rPr>
            </w:pPr>
          </w:p>
        </w:tc>
        <w:tc>
          <w:tcPr>
            <w:tcW w:w="1206" w:type="dxa"/>
            <w:vAlign w:val="center"/>
          </w:tcPr>
          <w:p w14:paraId="63E4D090">
            <w:pPr>
              <w:spacing w:line="380" w:lineRule="exact"/>
              <w:jc w:val="center"/>
              <w:rPr>
                <w:rFonts w:hint="eastAsia" w:ascii="宋体" w:hAnsi="宋体" w:eastAsia="宋体" w:cs="宋体"/>
                <w:color w:val="000000"/>
                <w:sz w:val="24"/>
                <w:highlight w:val="none"/>
              </w:rPr>
            </w:pPr>
          </w:p>
        </w:tc>
        <w:tc>
          <w:tcPr>
            <w:tcW w:w="845" w:type="dxa"/>
            <w:vAlign w:val="center"/>
          </w:tcPr>
          <w:p w14:paraId="40E15252">
            <w:pPr>
              <w:pStyle w:val="11"/>
              <w:shd w:val="clear"/>
              <w:snapToGrid w:val="0"/>
              <w:spacing w:before="0" w:beforeAutospacing="0" w:after="0" w:afterAutospacing="0" w:line="240" w:lineRule="atLeast"/>
              <w:ind w:left="1080" w:leftChars="257" w:hanging="540"/>
              <w:jc w:val="left"/>
              <w:textAlignment w:val="baseline"/>
              <w:rPr>
                <w:rFonts w:hint="eastAsia" w:ascii="宋体" w:hAnsi="宋体" w:eastAsia="宋体" w:cs="宋体"/>
                <w:b w:val="0"/>
                <w:i w:val="0"/>
                <w:caps w:val="0"/>
                <w:color w:val="auto"/>
                <w:spacing w:val="0"/>
                <w:w w:val="100"/>
                <w:sz w:val="24"/>
                <w:szCs w:val="24"/>
                <w:highlight w:val="none"/>
              </w:rPr>
            </w:pPr>
          </w:p>
        </w:tc>
      </w:tr>
      <w:tr w14:paraId="27F4A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72" w:type="dxa"/>
            <w:vAlign w:val="center"/>
          </w:tcPr>
          <w:p w14:paraId="520B2056">
            <w:pPr>
              <w:spacing w:line="380" w:lineRule="exact"/>
              <w:jc w:val="center"/>
              <w:rPr>
                <w:rFonts w:hint="eastAsia" w:ascii="宋体" w:hAnsi="宋体" w:eastAsia="宋体" w:cs="宋体"/>
                <w:color w:val="000000"/>
                <w:sz w:val="24"/>
                <w:highlight w:val="none"/>
              </w:rPr>
            </w:pPr>
          </w:p>
        </w:tc>
        <w:tc>
          <w:tcPr>
            <w:tcW w:w="1432" w:type="dxa"/>
            <w:vAlign w:val="center"/>
          </w:tcPr>
          <w:p w14:paraId="1431DD09">
            <w:pPr>
              <w:spacing w:line="380" w:lineRule="exact"/>
              <w:jc w:val="center"/>
              <w:rPr>
                <w:rFonts w:hint="eastAsia" w:ascii="宋体" w:hAnsi="宋体" w:eastAsia="宋体" w:cs="宋体"/>
                <w:color w:val="000000"/>
                <w:sz w:val="24"/>
                <w:highlight w:val="none"/>
                <w:lang w:val="en-US" w:eastAsia="zh-CN"/>
              </w:rPr>
            </w:pPr>
          </w:p>
        </w:tc>
        <w:tc>
          <w:tcPr>
            <w:tcW w:w="1610" w:type="dxa"/>
            <w:vAlign w:val="center"/>
          </w:tcPr>
          <w:p w14:paraId="32057300">
            <w:pPr>
              <w:spacing w:line="380" w:lineRule="exact"/>
              <w:jc w:val="center"/>
              <w:rPr>
                <w:rFonts w:hint="eastAsia" w:ascii="宋体" w:hAnsi="宋体" w:eastAsia="宋体" w:cs="宋体"/>
                <w:color w:val="000000"/>
                <w:sz w:val="24"/>
                <w:highlight w:val="none"/>
                <w:lang w:val="en-US" w:eastAsia="zh-CN"/>
              </w:rPr>
            </w:pPr>
          </w:p>
        </w:tc>
        <w:tc>
          <w:tcPr>
            <w:tcW w:w="1011" w:type="dxa"/>
            <w:vAlign w:val="center"/>
          </w:tcPr>
          <w:p w14:paraId="63ABB7C2">
            <w:pPr>
              <w:spacing w:line="380" w:lineRule="exact"/>
              <w:jc w:val="center"/>
              <w:rPr>
                <w:rFonts w:hint="eastAsia" w:ascii="宋体" w:hAnsi="宋体" w:eastAsia="宋体" w:cs="宋体"/>
                <w:color w:val="000000"/>
                <w:sz w:val="24"/>
                <w:highlight w:val="none"/>
              </w:rPr>
            </w:pPr>
          </w:p>
        </w:tc>
        <w:tc>
          <w:tcPr>
            <w:tcW w:w="1490" w:type="dxa"/>
            <w:vAlign w:val="center"/>
          </w:tcPr>
          <w:p w14:paraId="67BD06CD">
            <w:pPr>
              <w:spacing w:line="380" w:lineRule="exact"/>
              <w:jc w:val="center"/>
              <w:rPr>
                <w:rFonts w:hint="eastAsia" w:ascii="宋体" w:hAnsi="宋体" w:eastAsia="宋体" w:cs="宋体"/>
                <w:color w:val="000000"/>
                <w:sz w:val="24"/>
                <w:highlight w:val="none"/>
              </w:rPr>
            </w:pPr>
          </w:p>
        </w:tc>
        <w:tc>
          <w:tcPr>
            <w:tcW w:w="1489" w:type="dxa"/>
            <w:vAlign w:val="center"/>
          </w:tcPr>
          <w:p w14:paraId="7EF08FD1">
            <w:pPr>
              <w:spacing w:line="380" w:lineRule="exact"/>
              <w:jc w:val="center"/>
              <w:rPr>
                <w:rFonts w:hint="eastAsia" w:ascii="宋体" w:hAnsi="宋体" w:eastAsia="宋体" w:cs="宋体"/>
                <w:color w:val="000000"/>
                <w:sz w:val="24"/>
                <w:highlight w:val="none"/>
              </w:rPr>
            </w:pPr>
          </w:p>
        </w:tc>
        <w:tc>
          <w:tcPr>
            <w:tcW w:w="1206" w:type="dxa"/>
            <w:vAlign w:val="center"/>
          </w:tcPr>
          <w:p w14:paraId="5F1FE7B5">
            <w:pPr>
              <w:spacing w:line="380" w:lineRule="exact"/>
              <w:jc w:val="center"/>
              <w:rPr>
                <w:rFonts w:hint="eastAsia" w:ascii="宋体" w:hAnsi="宋体" w:eastAsia="宋体" w:cs="宋体"/>
                <w:color w:val="000000"/>
                <w:sz w:val="24"/>
                <w:highlight w:val="none"/>
              </w:rPr>
            </w:pPr>
          </w:p>
        </w:tc>
        <w:tc>
          <w:tcPr>
            <w:tcW w:w="845" w:type="dxa"/>
            <w:vAlign w:val="center"/>
          </w:tcPr>
          <w:p w14:paraId="2A2C102E">
            <w:pPr>
              <w:pStyle w:val="11"/>
              <w:shd w:val="clear"/>
              <w:snapToGrid w:val="0"/>
              <w:spacing w:before="0" w:beforeAutospacing="0" w:after="0" w:afterAutospacing="0" w:line="240" w:lineRule="atLeast"/>
              <w:ind w:left="1080" w:leftChars="257" w:hanging="540"/>
              <w:jc w:val="left"/>
              <w:textAlignment w:val="baseline"/>
              <w:rPr>
                <w:rFonts w:hint="eastAsia" w:ascii="宋体" w:hAnsi="宋体" w:eastAsia="宋体" w:cs="宋体"/>
                <w:b w:val="0"/>
                <w:i w:val="0"/>
                <w:caps w:val="0"/>
                <w:color w:val="auto"/>
                <w:spacing w:val="0"/>
                <w:w w:val="100"/>
                <w:sz w:val="24"/>
                <w:szCs w:val="24"/>
                <w:highlight w:val="none"/>
              </w:rPr>
            </w:pPr>
          </w:p>
        </w:tc>
      </w:tr>
      <w:tr w14:paraId="4F2AE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72" w:type="dxa"/>
            <w:vAlign w:val="center"/>
          </w:tcPr>
          <w:p w14:paraId="75B53C7D">
            <w:pPr>
              <w:spacing w:line="380" w:lineRule="exact"/>
              <w:jc w:val="center"/>
              <w:rPr>
                <w:rFonts w:hint="eastAsia" w:ascii="宋体" w:hAnsi="宋体" w:eastAsia="宋体" w:cs="宋体"/>
                <w:color w:val="000000"/>
                <w:sz w:val="24"/>
                <w:highlight w:val="none"/>
              </w:rPr>
            </w:pPr>
          </w:p>
        </w:tc>
        <w:tc>
          <w:tcPr>
            <w:tcW w:w="1432" w:type="dxa"/>
            <w:vAlign w:val="center"/>
          </w:tcPr>
          <w:p w14:paraId="4D4AC173">
            <w:pPr>
              <w:spacing w:line="380" w:lineRule="exact"/>
              <w:jc w:val="center"/>
              <w:rPr>
                <w:rFonts w:hint="eastAsia" w:ascii="宋体" w:hAnsi="宋体" w:eastAsia="宋体" w:cs="宋体"/>
                <w:color w:val="000000"/>
                <w:sz w:val="24"/>
                <w:highlight w:val="none"/>
                <w:lang w:val="en-US" w:eastAsia="zh-CN"/>
              </w:rPr>
            </w:pPr>
          </w:p>
        </w:tc>
        <w:tc>
          <w:tcPr>
            <w:tcW w:w="1610" w:type="dxa"/>
            <w:vAlign w:val="center"/>
          </w:tcPr>
          <w:p w14:paraId="522B19A3">
            <w:pPr>
              <w:spacing w:line="380" w:lineRule="exact"/>
              <w:jc w:val="center"/>
              <w:rPr>
                <w:rFonts w:hint="eastAsia" w:ascii="宋体" w:hAnsi="宋体" w:eastAsia="宋体" w:cs="宋体"/>
                <w:color w:val="000000"/>
                <w:sz w:val="24"/>
                <w:highlight w:val="none"/>
                <w:lang w:val="en-US" w:eastAsia="zh-CN"/>
              </w:rPr>
            </w:pPr>
          </w:p>
        </w:tc>
        <w:tc>
          <w:tcPr>
            <w:tcW w:w="1011" w:type="dxa"/>
            <w:vAlign w:val="center"/>
          </w:tcPr>
          <w:p w14:paraId="05C0F69A">
            <w:pPr>
              <w:spacing w:line="380" w:lineRule="exact"/>
              <w:jc w:val="center"/>
              <w:rPr>
                <w:rFonts w:hint="eastAsia" w:ascii="宋体" w:hAnsi="宋体" w:eastAsia="宋体" w:cs="宋体"/>
                <w:color w:val="000000"/>
                <w:sz w:val="24"/>
                <w:highlight w:val="none"/>
              </w:rPr>
            </w:pPr>
          </w:p>
        </w:tc>
        <w:tc>
          <w:tcPr>
            <w:tcW w:w="1490" w:type="dxa"/>
            <w:vAlign w:val="center"/>
          </w:tcPr>
          <w:p w14:paraId="2F033E64">
            <w:pPr>
              <w:spacing w:line="380" w:lineRule="exact"/>
              <w:jc w:val="center"/>
              <w:rPr>
                <w:rFonts w:hint="eastAsia" w:ascii="宋体" w:hAnsi="宋体" w:eastAsia="宋体" w:cs="宋体"/>
                <w:color w:val="000000"/>
                <w:sz w:val="24"/>
                <w:highlight w:val="none"/>
              </w:rPr>
            </w:pPr>
          </w:p>
        </w:tc>
        <w:tc>
          <w:tcPr>
            <w:tcW w:w="1489" w:type="dxa"/>
            <w:vAlign w:val="center"/>
          </w:tcPr>
          <w:p w14:paraId="0686A12C">
            <w:pPr>
              <w:spacing w:line="380" w:lineRule="exact"/>
              <w:jc w:val="center"/>
              <w:rPr>
                <w:rFonts w:hint="eastAsia" w:ascii="宋体" w:hAnsi="宋体" w:eastAsia="宋体" w:cs="宋体"/>
                <w:color w:val="000000"/>
                <w:sz w:val="24"/>
                <w:highlight w:val="none"/>
              </w:rPr>
            </w:pPr>
          </w:p>
        </w:tc>
        <w:tc>
          <w:tcPr>
            <w:tcW w:w="1206" w:type="dxa"/>
            <w:vAlign w:val="center"/>
          </w:tcPr>
          <w:p w14:paraId="1027989B">
            <w:pPr>
              <w:spacing w:line="380" w:lineRule="exact"/>
              <w:jc w:val="center"/>
              <w:rPr>
                <w:rFonts w:hint="eastAsia" w:ascii="宋体" w:hAnsi="宋体" w:eastAsia="宋体" w:cs="宋体"/>
                <w:color w:val="000000"/>
                <w:sz w:val="24"/>
                <w:highlight w:val="none"/>
              </w:rPr>
            </w:pPr>
          </w:p>
        </w:tc>
        <w:tc>
          <w:tcPr>
            <w:tcW w:w="845" w:type="dxa"/>
            <w:vAlign w:val="center"/>
          </w:tcPr>
          <w:p w14:paraId="13A414B9">
            <w:pPr>
              <w:pStyle w:val="11"/>
              <w:shd w:val="clear"/>
              <w:snapToGrid w:val="0"/>
              <w:spacing w:before="0" w:beforeAutospacing="0" w:after="0" w:afterAutospacing="0" w:line="240" w:lineRule="atLeast"/>
              <w:ind w:left="1080" w:leftChars="257" w:hanging="540"/>
              <w:jc w:val="left"/>
              <w:textAlignment w:val="baseline"/>
              <w:rPr>
                <w:rFonts w:hint="eastAsia" w:ascii="宋体" w:hAnsi="宋体" w:eastAsia="宋体" w:cs="宋体"/>
                <w:b w:val="0"/>
                <w:i w:val="0"/>
                <w:caps w:val="0"/>
                <w:color w:val="auto"/>
                <w:spacing w:val="0"/>
                <w:w w:val="100"/>
                <w:sz w:val="24"/>
                <w:szCs w:val="24"/>
                <w:highlight w:val="none"/>
              </w:rPr>
            </w:pPr>
          </w:p>
        </w:tc>
      </w:tr>
      <w:tr w14:paraId="3C6B0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72" w:type="dxa"/>
            <w:vAlign w:val="center"/>
          </w:tcPr>
          <w:p w14:paraId="2FD1F00B">
            <w:pPr>
              <w:spacing w:line="380" w:lineRule="exact"/>
              <w:jc w:val="center"/>
              <w:rPr>
                <w:rFonts w:hint="eastAsia" w:ascii="宋体" w:hAnsi="宋体" w:eastAsia="宋体" w:cs="宋体"/>
                <w:color w:val="000000"/>
                <w:sz w:val="24"/>
                <w:highlight w:val="none"/>
              </w:rPr>
            </w:pPr>
          </w:p>
        </w:tc>
        <w:tc>
          <w:tcPr>
            <w:tcW w:w="1432" w:type="dxa"/>
            <w:vAlign w:val="center"/>
          </w:tcPr>
          <w:p w14:paraId="10AA886C">
            <w:pPr>
              <w:spacing w:line="380" w:lineRule="exact"/>
              <w:jc w:val="center"/>
              <w:rPr>
                <w:rFonts w:hint="eastAsia" w:ascii="宋体" w:hAnsi="宋体" w:eastAsia="宋体" w:cs="宋体"/>
                <w:color w:val="000000"/>
                <w:sz w:val="24"/>
                <w:highlight w:val="none"/>
                <w:lang w:val="en-US" w:eastAsia="zh-CN"/>
              </w:rPr>
            </w:pPr>
          </w:p>
        </w:tc>
        <w:tc>
          <w:tcPr>
            <w:tcW w:w="1610" w:type="dxa"/>
            <w:vAlign w:val="center"/>
          </w:tcPr>
          <w:p w14:paraId="63F17CE7">
            <w:pPr>
              <w:spacing w:line="380" w:lineRule="exact"/>
              <w:jc w:val="center"/>
              <w:rPr>
                <w:rFonts w:hint="eastAsia" w:ascii="宋体" w:hAnsi="宋体" w:eastAsia="宋体" w:cs="宋体"/>
                <w:color w:val="000000"/>
                <w:sz w:val="24"/>
                <w:highlight w:val="none"/>
                <w:lang w:val="en-US" w:eastAsia="zh-CN"/>
              </w:rPr>
            </w:pPr>
          </w:p>
        </w:tc>
        <w:tc>
          <w:tcPr>
            <w:tcW w:w="1011" w:type="dxa"/>
            <w:vAlign w:val="center"/>
          </w:tcPr>
          <w:p w14:paraId="61C3FF6E">
            <w:pPr>
              <w:spacing w:line="380" w:lineRule="exact"/>
              <w:jc w:val="center"/>
              <w:rPr>
                <w:rFonts w:hint="eastAsia" w:ascii="宋体" w:hAnsi="宋体" w:eastAsia="宋体" w:cs="宋体"/>
                <w:color w:val="000000"/>
                <w:sz w:val="24"/>
                <w:highlight w:val="none"/>
              </w:rPr>
            </w:pPr>
          </w:p>
        </w:tc>
        <w:tc>
          <w:tcPr>
            <w:tcW w:w="1490" w:type="dxa"/>
            <w:vAlign w:val="center"/>
          </w:tcPr>
          <w:p w14:paraId="210B0855">
            <w:pPr>
              <w:spacing w:line="380" w:lineRule="exact"/>
              <w:jc w:val="center"/>
              <w:rPr>
                <w:rFonts w:hint="eastAsia" w:ascii="宋体" w:hAnsi="宋体" w:eastAsia="宋体" w:cs="宋体"/>
                <w:color w:val="000000"/>
                <w:sz w:val="24"/>
                <w:highlight w:val="none"/>
              </w:rPr>
            </w:pPr>
          </w:p>
        </w:tc>
        <w:tc>
          <w:tcPr>
            <w:tcW w:w="1489" w:type="dxa"/>
            <w:vAlign w:val="center"/>
          </w:tcPr>
          <w:p w14:paraId="7A942F15">
            <w:pPr>
              <w:spacing w:line="380" w:lineRule="exact"/>
              <w:jc w:val="center"/>
              <w:rPr>
                <w:rFonts w:hint="eastAsia" w:ascii="宋体" w:hAnsi="宋体" w:eastAsia="宋体" w:cs="宋体"/>
                <w:color w:val="000000"/>
                <w:sz w:val="24"/>
                <w:highlight w:val="none"/>
              </w:rPr>
            </w:pPr>
          </w:p>
        </w:tc>
        <w:tc>
          <w:tcPr>
            <w:tcW w:w="1206" w:type="dxa"/>
            <w:vAlign w:val="center"/>
          </w:tcPr>
          <w:p w14:paraId="407CE820">
            <w:pPr>
              <w:spacing w:line="380" w:lineRule="exact"/>
              <w:jc w:val="center"/>
              <w:rPr>
                <w:rFonts w:hint="eastAsia" w:ascii="宋体" w:hAnsi="宋体" w:eastAsia="宋体" w:cs="宋体"/>
                <w:color w:val="000000"/>
                <w:sz w:val="24"/>
                <w:highlight w:val="none"/>
              </w:rPr>
            </w:pPr>
          </w:p>
        </w:tc>
        <w:tc>
          <w:tcPr>
            <w:tcW w:w="845" w:type="dxa"/>
            <w:vAlign w:val="center"/>
          </w:tcPr>
          <w:p w14:paraId="6045954A">
            <w:pPr>
              <w:pStyle w:val="11"/>
              <w:shd w:val="clear"/>
              <w:snapToGrid w:val="0"/>
              <w:spacing w:before="0" w:beforeAutospacing="0" w:after="0" w:afterAutospacing="0" w:line="240" w:lineRule="atLeast"/>
              <w:ind w:left="1080" w:leftChars="257" w:hanging="540"/>
              <w:jc w:val="left"/>
              <w:textAlignment w:val="baseline"/>
              <w:rPr>
                <w:rFonts w:hint="eastAsia" w:ascii="宋体" w:hAnsi="宋体" w:eastAsia="宋体" w:cs="宋体"/>
                <w:b w:val="0"/>
                <w:i w:val="0"/>
                <w:caps w:val="0"/>
                <w:color w:val="auto"/>
                <w:spacing w:val="0"/>
                <w:w w:val="100"/>
                <w:sz w:val="24"/>
                <w:szCs w:val="24"/>
                <w:highlight w:val="none"/>
              </w:rPr>
            </w:pPr>
          </w:p>
        </w:tc>
      </w:tr>
      <w:tr w14:paraId="1C4B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72" w:type="dxa"/>
            <w:vAlign w:val="center"/>
          </w:tcPr>
          <w:p w14:paraId="61EBAF5E">
            <w:pPr>
              <w:spacing w:line="380" w:lineRule="exact"/>
              <w:jc w:val="center"/>
              <w:rPr>
                <w:rFonts w:hint="eastAsia" w:ascii="宋体" w:hAnsi="宋体" w:eastAsia="宋体" w:cs="宋体"/>
                <w:color w:val="000000"/>
                <w:sz w:val="24"/>
                <w:highlight w:val="none"/>
                <w:lang w:val="en-US" w:eastAsia="zh-CN"/>
              </w:rPr>
            </w:pPr>
          </w:p>
        </w:tc>
        <w:tc>
          <w:tcPr>
            <w:tcW w:w="1432" w:type="dxa"/>
            <w:vAlign w:val="center"/>
          </w:tcPr>
          <w:p w14:paraId="73A84B83">
            <w:pPr>
              <w:spacing w:line="380" w:lineRule="exact"/>
              <w:jc w:val="center"/>
              <w:rPr>
                <w:rFonts w:hint="eastAsia" w:ascii="宋体" w:hAnsi="宋体" w:eastAsia="宋体" w:cs="宋体"/>
                <w:color w:val="000000"/>
                <w:sz w:val="24"/>
                <w:highlight w:val="none"/>
                <w:lang w:val="en-US" w:eastAsia="zh-CN"/>
              </w:rPr>
            </w:pPr>
          </w:p>
        </w:tc>
        <w:tc>
          <w:tcPr>
            <w:tcW w:w="1610" w:type="dxa"/>
            <w:vAlign w:val="center"/>
          </w:tcPr>
          <w:p w14:paraId="638013AF">
            <w:pPr>
              <w:spacing w:line="380" w:lineRule="exact"/>
              <w:jc w:val="center"/>
              <w:rPr>
                <w:rFonts w:hint="eastAsia" w:ascii="宋体" w:hAnsi="宋体" w:eastAsia="宋体" w:cs="宋体"/>
                <w:color w:val="000000"/>
                <w:sz w:val="24"/>
                <w:highlight w:val="none"/>
                <w:lang w:val="en-US" w:eastAsia="zh-CN"/>
              </w:rPr>
            </w:pPr>
          </w:p>
        </w:tc>
        <w:tc>
          <w:tcPr>
            <w:tcW w:w="1011" w:type="dxa"/>
            <w:vAlign w:val="center"/>
          </w:tcPr>
          <w:p w14:paraId="7F2B2AB4">
            <w:pPr>
              <w:spacing w:line="380" w:lineRule="exact"/>
              <w:jc w:val="center"/>
              <w:rPr>
                <w:rFonts w:hint="eastAsia" w:ascii="宋体" w:hAnsi="宋体" w:eastAsia="宋体" w:cs="宋体"/>
                <w:color w:val="000000"/>
                <w:sz w:val="24"/>
                <w:highlight w:val="none"/>
              </w:rPr>
            </w:pPr>
          </w:p>
        </w:tc>
        <w:tc>
          <w:tcPr>
            <w:tcW w:w="1490" w:type="dxa"/>
            <w:vAlign w:val="center"/>
          </w:tcPr>
          <w:p w14:paraId="752A8C92">
            <w:pPr>
              <w:spacing w:line="380" w:lineRule="exact"/>
              <w:jc w:val="center"/>
              <w:rPr>
                <w:rFonts w:hint="eastAsia" w:ascii="宋体" w:hAnsi="宋体" w:eastAsia="宋体" w:cs="宋体"/>
                <w:color w:val="000000"/>
                <w:sz w:val="24"/>
                <w:highlight w:val="none"/>
              </w:rPr>
            </w:pPr>
          </w:p>
        </w:tc>
        <w:tc>
          <w:tcPr>
            <w:tcW w:w="1489" w:type="dxa"/>
            <w:vAlign w:val="center"/>
          </w:tcPr>
          <w:p w14:paraId="5573AF51">
            <w:pPr>
              <w:spacing w:line="380" w:lineRule="exact"/>
              <w:jc w:val="center"/>
              <w:rPr>
                <w:rFonts w:hint="eastAsia" w:ascii="宋体" w:hAnsi="宋体" w:eastAsia="宋体" w:cs="宋体"/>
                <w:color w:val="000000"/>
                <w:sz w:val="24"/>
                <w:highlight w:val="none"/>
              </w:rPr>
            </w:pPr>
          </w:p>
        </w:tc>
        <w:tc>
          <w:tcPr>
            <w:tcW w:w="1206" w:type="dxa"/>
            <w:vAlign w:val="center"/>
          </w:tcPr>
          <w:p w14:paraId="54BE8468">
            <w:pPr>
              <w:spacing w:line="380" w:lineRule="exact"/>
              <w:jc w:val="center"/>
              <w:rPr>
                <w:rFonts w:hint="eastAsia" w:ascii="宋体" w:hAnsi="宋体" w:eastAsia="宋体" w:cs="宋体"/>
                <w:color w:val="000000"/>
                <w:sz w:val="24"/>
                <w:highlight w:val="none"/>
              </w:rPr>
            </w:pPr>
          </w:p>
        </w:tc>
        <w:tc>
          <w:tcPr>
            <w:tcW w:w="845" w:type="dxa"/>
            <w:vAlign w:val="center"/>
          </w:tcPr>
          <w:p w14:paraId="02901360">
            <w:pPr>
              <w:pStyle w:val="11"/>
              <w:shd w:val="clear"/>
              <w:snapToGrid w:val="0"/>
              <w:spacing w:before="0" w:beforeAutospacing="0" w:after="0" w:afterAutospacing="0" w:line="240" w:lineRule="atLeast"/>
              <w:ind w:left="1080" w:leftChars="257" w:hanging="540"/>
              <w:jc w:val="left"/>
              <w:textAlignment w:val="baseline"/>
              <w:rPr>
                <w:rFonts w:hint="eastAsia" w:ascii="宋体" w:hAnsi="宋体" w:eastAsia="宋体" w:cs="宋体"/>
                <w:b w:val="0"/>
                <w:i w:val="0"/>
                <w:caps w:val="0"/>
                <w:color w:val="auto"/>
                <w:spacing w:val="0"/>
                <w:w w:val="100"/>
                <w:sz w:val="24"/>
                <w:szCs w:val="24"/>
                <w:highlight w:val="none"/>
              </w:rPr>
            </w:pPr>
          </w:p>
        </w:tc>
      </w:tr>
      <w:tr w14:paraId="08146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72" w:type="dxa"/>
            <w:vAlign w:val="center"/>
          </w:tcPr>
          <w:p w14:paraId="37EB3610">
            <w:pPr>
              <w:spacing w:line="380" w:lineRule="exact"/>
              <w:jc w:val="center"/>
              <w:rPr>
                <w:rFonts w:hint="eastAsia" w:ascii="宋体" w:hAnsi="宋体" w:eastAsia="宋体" w:cs="宋体"/>
                <w:color w:val="000000"/>
                <w:sz w:val="24"/>
                <w:highlight w:val="none"/>
                <w:lang w:val="en-US" w:eastAsia="zh-CN"/>
              </w:rPr>
            </w:pPr>
          </w:p>
        </w:tc>
        <w:tc>
          <w:tcPr>
            <w:tcW w:w="1432" w:type="dxa"/>
            <w:vAlign w:val="center"/>
          </w:tcPr>
          <w:p w14:paraId="2E1FB7E9">
            <w:pPr>
              <w:spacing w:line="380" w:lineRule="exact"/>
              <w:jc w:val="center"/>
              <w:rPr>
                <w:rFonts w:hint="eastAsia" w:ascii="宋体" w:hAnsi="宋体" w:eastAsia="宋体" w:cs="宋体"/>
                <w:color w:val="000000"/>
                <w:sz w:val="24"/>
                <w:highlight w:val="none"/>
                <w:lang w:val="en-US" w:eastAsia="zh-CN"/>
              </w:rPr>
            </w:pPr>
          </w:p>
        </w:tc>
        <w:tc>
          <w:tcPr>
            <w:tcW w:w="1610" w:type="dxa"/>
            <w:vAlign w:val="center"/>
          </w:tcPr>
          <w:p w14:paraId="7D7870EC">
            <w:pPr>
              <w:spacing w:line="380" w:lineRule="exact"/>
              <w:jc w:val="center"/>
              <w:rPr>
                <w:rFonts w:hint="eastAsia" w:ascii="宋体" w:hAnsi="宋体" w:eastAsia="宋体" w:cs="宋体"/>
                <w:color w:val="000000"/>
                <w:sz w:val="24"/>
                <w:highlight w:val="none"/>
                <w:lang w:val="en-US" w:eastAsia="zh-CN"/>
              </w:rPr>
            </w:pPr>
          </w:p>
        </w:tc>
        <w:tc>
          <w:tcPr>
            <w:tcW w:w="1011" w:type="dxa"/>
            <w:vAlign w:val="center"/>
          </w:tcPr>
          <w:p w14:paraId="327D22C5">
            <w:pPr>
              <w:spacing w:line="380" w:lineRule="exact"/>
              <w:jc w:val="center"/>
              <w:rPr>
                <w:rFonts w:hint="eastAsia" w:ascii="宋体" w:hAnsi="宋体" w:eastAsia="宋体" w:cs="宋体"/>
                <w:color w:val="000000"/>
                <w:sz w:val="24"/>
                <w:highlight w:val="none"/>
              </w:rPr>
            </w:pPr>
          </w:p>
        </w:tc>
        <w:tc>
          <w:tcPr>
            <w:tcW w:w="1490" w:type="dxa"/>
            <w:vAlign w:val="center"/>
          </w:tcPr>
          <w:p w14:paraId="77AE8FFF">
            <w:pPr>
              <w:spacing w:line="380" w:lineRule="exact"/>
              <w:jc w:val="center"/>
              <w:rPr>
                <w:rFonts w:hint="eastAsia" w:ascii="宋体" w:hAnsi="宋体" w:eastAsia="宋体" w:cs="宋体"/>
                <w:color w:val="000000"/>
                <w:sz w:val="24"/>
                <w:highlight w:val="none"/>
              </w:rPr>
            </w:pPr>
          </w:p>
        </w:tc>
        <w:tc>
          <w:tcPr>
            <w:tcW w:w="1489" w:type="dxa"/>
            <w:vAlign w:val="center"/>
          </w:tcPr>
          <w:p w14:paraId="016E1F92">
            <w:pPr>
              <w:spacing w:line="380" w:lineRule="exact"/>
              <w:jc w:val="center"/>
              <w:rPr>
                <w:rFonts w:hint="eastAsia" w:ascii="宋体" w:hAnsi="宋体" w:eastAsia="宋体" w:cs="宋体"/>
                <w:color w:val="000000"/>
                <w:sz w:val="24"/>
                <w:highlight w:val="none"/>
              </w:rPr>
            </w:pPr>
          </w:p>
        </w:tc>
        <w:tc>
          <w:tcPr>
            <w:tcW w:w="1206" w:type="dxa"/>
            <w:vAlign w:val="center"/>
          </w:tcPr>
          <w:p w14:paraId="123B2F21">
            <w:pPr>
              <w:spacing w:line="380" w:lineRule="exact"/>
              <w:jc w:val="center"/>
              <w:rPr>
                <w:rFonts w:hint="eastAsia" w:ascii="宋体" w:hAnsi="宋体" w:eastAsia="宋体" w:cs="宋体"/>
                <w:color w:val="000000"/>
                <w:sz w:val="24"/>
                <w:highlight w:val="none"/>
              </w:rPr>
            </w:pPr>
          </w:p>
        </w:tc>
        <w:tc>
          <w:tcPr>
            <w:tcW w:w="845" w:type="dxa"/>
            <w:vAlign w:val="center"/>
          </w:tcPr>
          <w:p w14:paraId="54BBBE56">
            <w:pPr>
              <w:pStyle w:val="11"/>
              <w:shd w:val="clear"/>
              <w:snapToGrid w:val="0"/>
              <w:spacing w:before="0" w:beforeAutospacing="0" w:after="0" w:afterAutospacing="0" w:line="240" w:lineRule="atLeast"/>
              <w:ind w:left="1080" w:leftChars="257" w:hanging="540"/>
              <w:jc w:val="left"/>
              <w:textAlignment w:val="baseline"/>
              <w:rPr>
                <w:rFonts w:hint="eastAsia" w:ascii="宋体" w:hAnsi="宋体" w:eastAsia="宋体" w:cs="宋体"/>
                <w:b w:val="0"/>
                <w:i w:val="0"/>
                <w:caps w:val="0"/>
                <w:color w:val="auto"/>
                <w:spacing w:val="0"/>
                <w:w w:val="100"/>
                <w:sz w:val="24"/>
                <w:szCs w:val="24"/>
                <w:highlight w:val="none"/>
              </w:rPr>
            </w:pPr>
          </w:p>
        </w:tc>
      </w:tr>
      <w:tr w14:paraId="10060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72" w:type="dxa"/>
            <w:vAlign w:val="center"/>
          </w:tcPr>
          <w:p w14:paraId="36EA7331">
            <w:pPr>
              <w:spacing w:line="380" w:lineRule="exact"/>
              <w:jc w:val="center"/>
              <w:rPr>
                <w:rFonts w:hint="eastAsia" w:ascii="宋体" w:hAnsi="宋体" w:eastAsia="宋体" w:cs="宋体"/>
                <w:color w:val="000000"/>
                <w:sz w:val="24"/>
                <w:highlight w:val="none"/>
                <w:lang w:val="en-US" w:eastAsia="zh-CN"/>
              </w:rPr>
            </w:pPr>
          </w:p>
        </w:tc>
        <w:tc>
          <w:tcPr>
            <w:tcW w:w="1432" w:type="dxa"/>
            <w:vAlign w:val="center"/>
          </w:tcPr>
          <w:p w14:paraId="3C894B2C">
            <w:pPr>
              <w:spacing w:line="380" w:lineRule="exact"/>
              <w:jc w:val="center"/>
              <w:rPr>
                <w:rFonts w:hint="eastAsia" w:ascii="宋体" w:hAnsi="宋体" w:eastAsia="宋体" w:cs="宋体"/>
                <w:color w:val="000000"/>
                <w:sz w:val="24"/>
                <w:highlight w:val="none"/>
                <w:lang w:val="en-US" w:eastAsia="zh-CN"/>
              </w:rPr>
            </w:pPr>
          </w:p>
        </w:tc>
        <w:tc>
          <w:tcPr>
            <w:tcW w:w="1610" w:type="dxa"/>
            <w:vAlign w:val="center"/>
          </w:tcPr>
          <w:p w14:paraId="5B071606">
            <w:pPr>
              <w:spacing w:line="380" w:lineRule="exact"/>
              <w:jc w:val="center"/>
              <w:rPr>
                <w:rFonts w:hint="eastAsia" w:ascii="宋体" w:hAnsi="宋体" w:eastAsia="宋体" w:cs="宋体"/>
                <w:color w:val="000000"/>
                <w:sz w:val="24"/>
                <w:highlight w:val="none"/>
                <w:lang w:val="en-US" w:eastAsia="zh-CN"/>
              </w:rPr>
            </w:pPr>
          </w:p>
        </w:tc>
        <w:tc>
          <w:tcPr>
            <w:tcW w:w="1011" w:type="dxa"/>
            <w:vAlign w:val="center"/>
          </w:tcPr>
          <w:p w14:paraId="62154287">
            <w:pPr>
              <w:spacing w:line="380" w:lineRule="exact"/>
              <w:jc w:val="center"/>
              <w:rPr>
                <w:rFonts w:hint="eastAsia" w:ascii="宋体" w:hAnsi="宋体" w:eastAsia="宋体" w:cs="宋体"/>
                <w:color w:val="000000"/>
                <w:sz w:val="24"/>
                <w:highlight w:val="none"/>
              </w:rPr>
            </w:pPr>
          </w:p>
        </w:tc>
        <w:tc>
          <w:tcPr>
            <w:tcW w:w="1490" w:type="dxa"/>
            <w:vAlign w:val="center"/>
          </w:tcPr>
          <w:p w14:paraId="2118B4A9">
            <w:pPr>
              <w:spacing w:line="380" w:lineRule="exact"/>
              <w:jc w:val="center"/>
              <w:rPr>
                <w:rFonts w:hint="eastAsia" w:ascii="宋体" w:hAnsi="宋体" w:eastAsia="宋体" w:cs="宋体"/>
                <w:color w:val="000000"/>
                <w:sz w:val="24"/>
                <w:highlight w:val="none"/>
              </w:rPr>
            </w:pPr>
          </w:p>
        </w:tc>
        <w:tc>
          <w:tcPr>
            <w:tcW w:w="1489" w:type="dxa"/>
            <w:vAlign w:val="center"/>
          </w:tcPr>
          <w:p w14:paraId="09960653">
            <w:pPr>
              <w:spacing w:line="380" w:lineRule="exact"/>
              <w:jc w:val="center"/>
              <w:rPr>
                <w:rFonts w:hint="eastAsia" w:ascii="宋体" w:hAnsi="宋体" w:eastAsia="宋体" w:cs="宋体"/>
                <w:color w:val="000000"/>
                <w:sz w:val="24"/>
                <w:highlight w:val="none"/>
              </w:rPr>
            </w:pPr>
          </w:p>
        </w:tc>
        <w:tc>
          <w:tcPr>
            <w:tcW w:w="1206" w:type="dxa"/>
            <w:vAlign w:val="center"/>
          </w:tcPr>
          <w:p w14:paraId="18A3FDC0">
            <w:pPr>
              <w:spacing w:line="380" w:lineRule="exact"/>
              <w:jc w:val="center"/>
              <w:rPr>
                <w:rFonts w:hint="eastAsia" w:ascii="宋体" w:hAnsi="宋体" w:eastAsia="宋体" w:cs="宋体"/>
                <w:color w:val="000000"/>
                <w:sz w:val="24"/>
                <w:highlight w:val="none"/>
              </w:rPr>
            </w:pPr>
          </w:p>
        </w:tc>
        <w:tc>
          <w:tcPr>
            <w:tcW w:w="845" w:type="dxa"/>
            <w:vAlign w:val="center"/>
          </w:tcPr>
          <w:p w14:paraId="111056F3">
            <w:pPr>
              <w:pStyle w:val="11"/>
              <w:shd w:val="clear"/>
              <w:snapToGrid w:val="0"/>
              <w:spacing w:before="0" w:beforeAutospacing="0" w:after="0" w:afterAutospacing="0" w:line="240" w:lineRule="atLeast"/>
              <w:ind w:left="1080" w:leftChars="257" w:hanging="540"/>
              <w:jc w:val="left"/>
              <w:textAlignment w:val="baseline"/>
              <w:rPr>
                <w:rFonts w:hint="eastAsia" w:ascii="宋体" w:hAnsi="宋体" w:eastAsia="宋体" w:cs="宋体"/>
                <w:b w:val="0"/>
                <w:i w:val="0"/>
                <w:caps w:val="0"/>
                <w:color w:val="auto"/>
                <w:spacing w:val="0"/>
                <w:w w:val="100"/>
                <w:sz w:val="24"/>
                <w:szCs w:val="24"/>
                <w:highlight w:val="none"/>
              </w:rPr>
            </w:pPr>
          </w:p>
        </w:tc>
      </w:tr>
      <w:tr w14:paraId="7DA27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72" w:type="dxa"/>
            <w:vAlign w:val="center"/>
          </w:tcPr>
          <w:p w14:paraId="7309EDEA">
            <w:pPr>
              <w:spacing w:line="380" w:lineRule="exact"/>
              <w:jc w:val="center"/>
              <w:rPr>
                <w:rFonts w:hint="eastAsia" w:ascii="宋体" w:hAnsi="宋体" w:eastAsia="宋体" w:cs="宋体"/>
                <w:color w:val="000000"/>
                <w:sz w:val="24"/>
                <w:highlight w:val="none"/>
                <w:lang w:val="en-US" w:eastAsia="zh-CN"/>
              </w:rPr>
            </w:pPr>
          </w:p>
        </w:tc>
        <w:tc>
          <w:tcPr>
            <w:tcW w:w="1432" w:type="dxa"/>
            <w:vAlign w:val="center"/>
          </w:tcPr>
          <w:p w14:paraId="5C8CE6F1">
            <w:pPr>
              <w:spacing w:line="380" w:lineRule="exact"/>
              <w:jc w:val="center"/>
              <w:rPr>
                <w:rFonts w:hint="eastAsia" w:ascii="宋体" w:hAnsi="宋体" w:eastAsia="宋体" w:cs="宋体"/>
                <w:color w:val="000000"/>
                <w:sz w:val="24"/>
                <w:highlight w:val="none"/>
                <w:lang w:val="en-US" w:eastAsia="zh-CN"/>
              </w:rPr>
            </w:pPr>
          </w:p>
        </w:tc>
        <w:tc>
          <w:tcPr>
            <w:tcW w:w="1610" w:type="dxa"/>
            <w:vAlign w:val="center"/>
          </w:tcPr>
          <w:p w14:paraId="4387714D">
            <w:pPr>
              <w:spacing w:line="380" w:lineRule="exact"/>
              <w:jc w:val="center"/>
              <w:rPr>
                <w:rFonts w:hint="eastAsia" w:ascii="宋体" w:hAnsi="宋体" w:eastAsia="宋体" w:cs="宋体"/>
                <w:color w:val="000000"/>
                <w:sz w:val="24"/>
                <w:highlight w:val="none"/>
                <w:lang w:val="en-US" w:eastAsia="zh-CN"/>
              </w:rPr>
            </w:pPr>
          </w:p>
        </w:tc>
        <w:tc>
          <w:tcPr>
            <w:tcW w:w="1011" w:type="dxa"/>
            <w:vAlign w:val="center"/>
          </w:tcPr>
          <w:p w14:paraId="25600BA4">
            <w:pPr>
              <w:spacing w:line="380" w:lineRule="exact"/>
              <w:jc w:val="center"/>
              <w:rPr>
                <w:rFonts w:hint="eastAsia" w:ascii="宋体" w:hAnsi="宋体" w:eastAsia="宋体" w:cs="宋体"/>
                <w:color w:val="000000"/>
                <w:sz w:val="24"/>
                <w:highlight w:val="none"/>
              </w:rPr>
            </w:pPr>
          </w:p>
        </w:tc>
        <w:tc>
          <w:tcPr>
            <w:tcW w:w="1490" w:type="dxa"/>
            <w:vAlign w:val="center"/>
          </w:tcPr>
          <w:p w14:paraId="7CE0FD73">
            <w:pPr>
              <w:spacing w:line="380" w:lineRule="exact"/>
              <w:jc w:val="center"/>
              <w:rPr>
                <w:rFonts w:hint="eastAsia" w:ascii="宋体" w:hAnsi="宋体" w:eastAsia="宋体" w:cs="宋体"/>
                <w:color w:val="000000"/>
                <w:sz w:val="24"/>
                <w:highlight w:val="none"/>
              </w:rPr>
            </w:pPr>
          </w:p>
        </w:tc>
        <w:tc>
          <w:tcPr>
            <w:tcW w:w="1489" w:type="dxa"/>
            <w:vAlign w:val="center"/>
          </w:tcPr>
          <w:p w14:paraId="7CFD8A78">
            <w:pPr>
              <w:spacing w:line="380" w:lineRule="exact"/>
              <w:jc w:val="center"/>
              <w:rPr>
                <w:rFonts w:hint="eastAsia" w:ascii="宋体" w:hAnsi="宋体" w:eastAsia="宋体" w:cs="宋体"/>
                <w:color w:val="000000"/>
                <w:sz w:val="24"/>
                <w:highlight w:val="none"/>
              </w:rPr>
            </w:pPr>
          </w:p>
        </w:tc>
        <w:tc>
          <w:tcPr>
            <w:tcW w:w="1206" w:type="dxa"/>
            <w:vAlign w:val="center"/>
          </w:tcPr>
          <w:p w14:paraId="70714045">
            <w:pPr>
              <w:spacing w:line="380" w:lineRule="exact"/>
              <w:jc w:val="center"/>
              <w:rPr>
                <w:rFonts w:hint="eastAsia" w:ascii="宋体" w:hAnsi="宋体" w:eastAsia="宋体" w:cs="宋体"/>
                <w:color w:val="000000"/>
                <w:sz w:val="24"/>
                <w:highlight w:val="none"/>
              </w:rPr>
            </w:pPr>
          </w:p>
        </w:tc>
        <w:tc>
          <w:tcPr>
            <w:tcW w:w="845" w:type="dxa"/>
            <w:vAlign w:val="center"/>
          </w:tcPr>
          <w:p w14:paraId="419AA5CB">
            <w:pPr>
              <w:pStyle w:val="11"/>
              <w:shd w:val="clear"/>
              <w:snapToGrid w:val="0"/>
              <w:spacing w:before="0" w:beforeAutospacing="0" w:after="0" w:afterAutospacing="0" w:line="240" w:lineRule="atLeast"/>
              <w:ind w:left="1080" w:leftChars="257" w:hanging="540"/>
              <w:jc w:val="left"/>
              <w:textAlignment w:val="baseline"/>
              <w:rPr>
                <w:rFonts w:hint="eastAsia" w:ascii="宋体" w:hAnsi="宋体" w:eastAsia="宋体" w:cs="宋体"/>
                <w:b w:val="0"/>
                <w:i w:val="0"/>
                <w:caps w:val="0"/>
                <w:color w:val="auto"/>
                <w:spacing w:val="0"/>
                <w:w w:val="100"/>
                <w:sz w:val="24"/>
                <w:szCs w:val="24"/>
                <w:highlight w:val="none"/>
              </w:rPr>
            </w:pPr>
          </w:p>
        </w:tc>
      </w:tr>
      <w:tr w14:paraId="47459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72" w:type="dxa"/>
            <w:vAlign w:val="center"/>
          </w:tcPr>
          <w:p w14:paraId="319F986A">
            <w:pPr>
              <w:spacing w:line="380" w:lineRule="exact"/>
              <w:jc w:val="center"/>
              <w:rPr>
                <w:rFonts w:hint="eastAsia" w:ascii="宋体" w:hAnsi="宋体" w:eastAsia="宋体" w:cs="宋体"/>
                <w:color w:val="000000"/>
                <w:sz w:val="24"/>
                <w:highlight w:val="none"/>
                <w:lang w:val="en-US" w:eastAsia="zh-CN"/>
              </w:rPr>
            </w:pPr>
          </w:p>
        </w:tc>
        <w:tc>
          <w:tcPr>
            <w:tcW w:w="1432" w:type="dxa"/>
            <w:vAlign w:val="center"/>
          </w:tcPr>
          <w:p w14:paraId="5180FF7D">
            <w:pPr>
              <w:spacing w:line="380" w:lineRule="exact"/>
              <w:jc w:val="center"/>
              <w:rPr>
                <w:rFonts w:hint="eastAsia" w:ascii="宋体" w:hAnsi="宋体" w:eastAsia="宋体" w:cs="宋体"/>
                <w:color w:val="000000"/>
                <w:sz w:val="24"/>
                <w:highlight w:val="none"/>
                <w:lang w:val="en-US" w:eastAsia="zh-CN"/>
              </w:rPr>
            </w:pPr>
          </w:p>
        </w:tc>
        <w:tc>
          <w:tcPr>
            <w:tcW w:w="1610" w:type="dxa"/>
            <w:vAlign w:val="center"/>
          </w:tcPr>
          <w:p w14:paraId="20CE0C12">
            <w:pPr>
              <w:spacing w:line="380" w:lineRule="exact"/>
              <w:jc w:val="center"/>
              <w:rPr>
                <w:rFonts w:hint="eastAsia" w:ascii="宋体" w:hAnsi="宋体" w:eastAsia="宋体" w:cs="宋体"/>
                <w:color w:val="000000"/>
                <w:sz w:val="24"/>
                <w:highlight w:val="none"/>
                <w:lang w:val="en-US" w:eastAsia="zh-CN"/>
              </w:rPr>
            </w:pPr>
          </w:p>
        </w:tc>
        <w:tc>
          <w:tcPr>
            <w:tcW w:w="1011" w:type="dxa"/>
            <w:vAlign w:val="center"/>
          </w:tcPr>
          <w:p w14:paraId="0B65F4B8">
            <w:pPr>
              <w:spacing w:line="380" w:lineRule="exact"/>
              <w:jc w:val="center"/>
              <w:rPr>
                <w:rFonts w:hint="eastAsia" w:ascii="宋体" w:hAnsi="宋体" w:eastAsia="宋体" w:cs="宋体"/>
                <w:color w:val="000000"/>
                <w:sz w:val="24"/>
                <w:highlight w:val="none"/>
              </w:rPr>
            </w:pPr>
          </w:p>
        </w:tc>
        <w:tc>
          <w:tcPr>
            <w:tcW w:w="1490" w:type="dxa"/>
            <w:vAlign w:val="center"/>
          </w:tcPr>
          <w:p w14:paraId="5BE2E1E9">
            <w:pPr>
              <w:spacing w:line="380" w:lineRule="exact"/>
              <w:jc w:val="center"/>
              <w:rPr>
                <w:rFonts w:hint="eastAsia" w:ascii="宋体" w:hAnsi="宋体" w:eastAsia="宋体" w:cs="宋体"/>
                <w:color w:val="000000"/>
                <w:sz w:val="24"/>
                <w:highlight w:val="none"/>
              </w:rPr>
            </w:pPr>
          </w:p>
        </w:tc>
        <w:tc>
          <w:tcPr>
            <w:tcW w:w="1489" w:type="dxa"/>
            <w:vAlign w:val="center"/>
          </w:tcPr>
          <w:p w14:paraId="72F58AA2">
            <w:pPr>
              <w:spacing w:line="380" w:lineRule="exact"/>
              <w:jc w:val="center"/>
              <w:rPr>
                <w:rFonts w:hint="eastAsia" w:ascii="宋体" w:hAnsi="宋体" w:eastAsia="宋体" w:cs="宋体"/>
                <w:color w:val="000000"/>
                <w:sz w:val="24"/>
                <w:highlight w:val="none"/>
              </w:rPr>
            </w:pPr>
          </w:p>
        </w:tc>
        <w:tc>
          <w:tcPr>
            <w:tcW w:w="1206" w:type="dxa"/>
            <w:vAlign w:val="center"/>
          </w:tcPr>
          <w:p w14:paraId="647D358C">
            <w:pPr>
              <w:spacing w:line="380" w:lineRule="exact"/>
              <w:jc w:val="center"/>
              <w:rPr>
                <w:rFonts w:hint="eastAsia" w:ascii="宋体" w:hAnsi="宋体" w:eastAsia="宋体" w:cs="宋体"/>
                <w:color w:val="000000"/>
                <w:sz w:val="24"/>
                <w:highlight w:val="none"/>
              </w:rPr>
            </w:pPr>
          </w:p>
        </w:tc>
        <w:tc>
          <w:tcPr>
            <w:tcW w:w="845" w:type="dxa"/>
            <w:vAlign w:val="center"/>
          </w:tcPr>
          <w:p w14:paraId="33DAB228">
            <w:pPr>
              <w:pStyle w:val="11"/>
              <w:shd w:val="clear"/>
              <w:snapToGrid w:val="0"/>
              <w:spacing w:before="0" w:beforeAutospacing="0" w:after="0" w:afterAutospacing="0" w:line="240" w:lineRule="atLeast"/>
              <w:ind w:left="1080" w:leftChars="257" w:hanging="540"/>
              <w:jc w:val="left"/>
              <w:textAlignment w:val="baseline"/>
              <w:rPr>
                <w:rFonts w:hint="eastAsia" w:ascii="宋体" w:hAnsi="宋体" w:eastAsia="宋体" w:cs="宋体"/>
                <w:b w:val="0"/>
                <w:i w:val="0"/>
                <w:caps w:val="0"/>
                <w:color w:val="auto"/>
                <w:spacing w:val="0"/>
                <w:w w:val="100"/>
                <w:sz w:val="24"/>
                <w:szCs w:val="24"/>
                <w:highlight w:val="none"/>
              </w:rPr>
            </w:pPr>
          </w:p>
        </w:tc>
      </w:tr>
      <w:tr w14:paraId="154B7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72" w:type="dxa"/>
            <w:vAlign w:val="center"/>
          </w:tcPr>
          <w:p w14:paraId="33AA2C24">
            <w:pPr>
              <w:spacing w:line="380" w:lineRule="exact"/>
              <w:jc w:val="center"/>
              <w:rPr>
                <w:rFonts w:hint="eastAsia" w:ascii="宋体" w:hAnsi="宋体" w:eastAsia="宋体" w:cs="宋体"/>
                <w:b w:val="0"/>
                <w:i w:val="0"/>
                <w:caps w:val="0"/>
                <w:color w:val="auto"/>
                <w:spacing w:val="0"/>
                <w:w w:val="100"/>
                <w:sz w:val="24"/>
                <w:szCs w:val="24"/>
                <w:highlight w:val="none"/>
                <w:lang w:val="en-US" w:eastAsia="zh-CN"/>
              </w:rPr>
            </w:pPr>
          </w:p>
        </w:tc>
        <w:tc>
          <w:tcPr>
            <w:tcW w:w="1432" w:type="dxa"/>
            <w:vAlign w:val="center"/>
          </w:tcPr>
          <w:p w14:paraId="4428A0C7">
            <w:pPr>
              <w:spacing w:line="360" w:lineRule="exact"/>
              <w:jc w:val="center"/>
              <w:rPr>
                <w:rFonts w:hint="eastAsia" w:ascii="宋体" w:hAnsi="宋体" w:eastAsia="宋体" w:cs="宋体"/>
                <w:b w:val="0"/>
                <w:i w:val="0"/>
                <w:caps w:val="0"/>
                <w:color w:val="auto"/>
                <w:spacing w:val="0"/>
                <w:w w:val="100"/>
                <w:sz w:val="24"/>
                <w:szCs w:val="24"/>
                <w:highlight w:val="none"/>
                <w:lang w:val="en-US" w:eastAsia="zh-CN"/>
              </w:rPr>
            </w:pPr>
          </w:p>
        </w:tc>
        <w:tc>
          <w:tcPr>
            <w:tcW w:w="1610" w:type="dxa"/>
            <w:vAlign w:val="center"/>
          </w:tcPr>
          <w:p w14:paraId="6B2A62AC">
            <w:pPr>
              <w:spacing w:line="360" w:lineRule="exact"/>
              <w:jc w:val="center"/>
              <w:rPr>
                <w:rFonts w:hint="eastAsia" w:ascii="宋体" w:hAnsi="宋体" w:eastAsia="宋体" w:cs="宋体"/>
                <w:b w:val="0"/>
                <w:i w:val="0"/>
                <w:caps w:val="0"/>
                <w:color w:val="auto"/>
                <w:spacing w:val="0"/>
                <w:w w:val="100"/>
                <w:sz w:val="24"/>
                <w:szCs w:val="24"/>
                <w:highlight w:val="none"/>
                <w:lang w:val="en-US" w:eastAsia="zh-CN"/>
              </w:rPr>
            </w:pPr>
          </w:p>
        </w:tc>
        <w:tc>
          <w:tcPr>
            <w:tcW w:w="1011" w:type="dxa"/>
            <w:vAlign w:val="center"/>
          </w:tcPr>
          <w:p w14:paraId="099EC315">
            <w:pPr>
              <w:spacing w:line="369" w:lineRule="exact"/>
              <w:jc w:val="center"/>
              <w:rPr>
                <w:rFonts w:hint="eastAsia" w:ascii="宋体" w:hAnsi="宋体" w:eastAsia="宋体" w:cs="宋体"/>
                <w:b w:val="0"/>
                <w:i w:val="0"/>
                <w:caps w:val="0"/>
                <w:color w:val="auto"/>
                <w:spacing w:val="0"/>
                <w:w w:val="100"/>
                <w:sz w:val="24"/>
                <w:szCs w:val="24"/>
                <w:highlight w:val="none"/>
              </w:rPr>
            </w:pPr>
          </w:p>
        </w:tc>
        <w:tc>
          <w:tcPr>
            <w:tcW w:w="1490" w:type="dxa"/>
            <w:vAlign w:val="center"/>
          </w:tcPr>
          <w:p w14:paraId="1937918C">
            <w:pPr>
              <w:spacing w:line="369" w:lineRule="exact"/>
              <w:jc w:val="center"/>
              <w:rPr>
                <w:rFonts w:hint="eastAsia" w:ascii="宋体" w:hAnsi="宋体" w:eastAsia="宋体" w:cs="宋体"/>
                <w:b w:val="0"/>
                <w:i w:val="0"/>
                <w:caps w:val="0"/>
                <w:color w:val="auto"/>
                <w:spacing w:val="0"/>
                <w:w w:val="100"/>
                <w:sz w:val="24"/>
                <w:szCs w:val="24"/>
                <w:highlight w:val="none"/>
              </w:rPr>
            </w:pPr>
          </w:p>
        </w:tc>
        <w:tc>
          <w:tcPr>
            <w:tcW w:w="1489" w:type="dxa"/>
            <w:vAlign w:val="center"/>
          </w:tcPr>
          <w:p w14:paraId="250E602C">
            <w:pPr>
              <w:pStyle w:val="11"/>
              <w:shd w:val="clear"/>
              <w:snapToGrid w:val="0"/>
              <w:spacing w:before="0" w:beforeAutospacing="0" w:after="0" w:afterAutospacing="0" w:line="240" w:lineRule="atLeast"/>
              <w:ind w:left="1080" w:leftChars="257" w:hanging="540"/>
              <w:jc w:val="left"/>
              <w:textAlignment w:val="baseline"/>
              <w:rPr>
                <w:rFonts w:hint="eastAsia" w:ascii="宋体" w:hAnsi="宋体" w:eastAsia="宋体" w:cs="宋体"/>
                <w:b w:val="0"/>
                <w:i w:val="0"/>
                <w:caps w:val="0"/>
                <w:color w:val="auto"/>
                <w:spacing w:val="0"/>
                <w:w w:val="100"/>
                <w:sz w:val="24"/>
                <w:szCs w:val="24"/>
                <w:highlight w:val="none"/>
              </w:rPr>
            </w:pPr>
          </w:p>
        </w:tc>
        <w:tc>
          <w:tcPr>
            <w:tcW w:w="1206" w:type="dxa"/>
            <w:vAlign w:val="center"/>
          </w:tcPr>
          <w:p w14:paraId="60C36C1F">
            <w:pPr>
              <w:pStyle w:val="11"/>
              <w:shd w:val="clear"/>
              <w:snapToGrid w:val="0"/>
              <w:spacing w:before="0" w:beforeAutospacing="0" w:after="0" w:afterAutospacing="0" w:line="240" w:lineRule="atLeast"/>
              <w:ind w:left="1080" w:leftChars="257" w:hanging="540"/>
              <w:jc w:val="left"/>
              <w:textAlignment w:val="baseline"/>
              <w:rPr>
                <w:rFonts w:hint="eastAsia" w:ascii="宋体" w:hAnsi="宋体" w:eastAsia="宋体" w:cs="宋体"/>
                <w:b w:val="0"/>
                <w:i w:val="0"/>
                <w:caps w:val="0"/>
                <w:color w:val="auto"/>
                <w:spacing w:val="0"/>
                <w:w w:val="100"/>
                <w:sz w:val="24"/>
                <w:szCs w:val="24"/>
                <w:highlight w:val="none"/>
              </w:rPr>
            </w:pPr>
          </w:p>
        </w:tc>
        <w:tc>
          <w:tcPr>
            <w:tcW w:w="845" w:type="dxa"/>
            <w:vAlign w:val="center"/>
          </w:tcPr>
          <w:p w14:paraId="26FCDA17">
            <w:pPr>
              <w:pStyle w:val="11"/>
              <w:shd w:val="clear"/>
              <w:snapToGrid w:val="0"/>
              <w:spacing w:before="0" w:beforeAutospacing="0" w:after="0" w:afterAutospacing="0" w:line="240" w:lineRule="atLeast"/>
              <w:ind w:left="1080" w:leftChars="257" w:hanging="540"/>
              <w:jc w:val="left"/>
              <w:textAlignment w:val="baseline"/>
              <w:rPr>
                <w:rFonts w:hint="eastAsia" w:ascii="宋体" w:hAnsi="宋体" w:eastAsia="宋体" w:cs="宋体"/>
                <w:b w:val="0"/>
                <w:i w:val="0"/>
                <w:caps w:val="0"/>
                <w:color w:val="auto"/>
                <w:spacing w:val="0"/>
                <w:w w:val="100"/>
                <w:sz w:val="24"/>
                <w:szCs w:val="24"/>
                <w:highlight w:val="none"/>
              </w:rPr>
            </w:pPr>
          </w:p>
        </w:tc>
      </w:tr>
      <w:tr w14:paraId="7092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72" w:type="dxa"/>
            <w:vAlign w:val="center"/>
          </w:tcPr>
          <w:p w14:paraId="1F1DF8A3">
            <w:pPr>
              <w:spacing w:line="340" w:lineRule="exact"/>
              <w:jc w:val="center"/>
              <w:rPr>
                <w:rFonts w:hint="eastAsia" w:ascii="宋体" w:hAnsi="宋体" w:eastAsia="宋体" w:cs="宋体"/>
                <w:b w:val="0"/>
                <w:i w:val="0"/>
                <w:caps w:val="0"/>
                <w:color w:val="auto"/>
                <w:spacing w:val="0"/>
                <w:w w:val="100"/>
                <w:sz w:val="24"/>
                <w:szCs w:val="24"/>
                <w:highlight w:val="none"/>
                <w:lang w:val="en-US" w:eastAsia="zh-CN"/>
              </w:rPr>
            </w:pPr>
          </w:p>
        </w:tc>
        <w:tc>
          <w:tcPr>
            <w:tcW w:w="1432" w:type="dxa"/>
            <w:vAlign w:val="center"/>
          </w:tcPr>
          <w:p w14:paraId="04603058">
            <w:pPr>
              <w:spacing w:line="380" w:lineRule="exact"/>
              <w:jc w:val="center"/>
              <w:rPr>
                <w:rFonts w:hint="eastAsia" w:ascii="宋体" w:hAnsi="宋体" w:eastAsia="宋体" w:cs="宋体"/>
                <w:b w:val="0"/>
                <w:i w:val="0"/>
                <w:caps w:val="0"/>
                <w:color w:val="auto"/>
                <w:spacing w:val="0"/>
                <w:w w:val="100"/>
                <w:sz w:val="24"/>
                <w:szCs w:val="24"/>
                <w:highlight w:val="none"/>
                <w:lang w:val="en-US" w:eastAsia="zh-CN"/>
              </w:rPr>
            </w:pPr>
          </w:p>
        </w:tc>
        <w:tc>
          <w:tcPr>
            <w:tcW w:w="1610" w:type="dxa"/>
            <w:vAlign w:val="center"/>
          </w:tcPr>
          <w:p w14:paraId="734B1433">
            <w:pPr>
              <w:spacing w:line="380" w:lineRule="exact"/>
              <w:jc w:val="center"/>
              <w:rPr>
                <w:rFonts w:hint="eastAsia" w:ascii="宋体" w:hAnsi="宋体" w:eastAsia="宋体" w:cs="宋体"/>
                <w:b w:val="0"/>
                <w:i w:val="0"/>
                <w:caps w:val="0"/>
                <w:color w:val="auto"/>
                <w:spacing w:val="0"/>
                <w:w w:val="100"/>
                <w:sz w:val="24"/>
                <w:szCs w:val="24"/>
                <w:highlight w:val="none"/>
                <w:lang w:val="en-US" w:eastAsia="zh-CN"/>
              </w:rPr>
            </w:pPr>
          </w:p>
        </w:tc>
        <w:tc>
          <w:tcPr>
            <w:tcW w:w="1011" w:type="dxa"/>
            <w:vAlign w:val="center"/>
          </w:tcPr>
          <w:p w14:paraId="53852CF2">
            <w:pPr>
              <w:spacing w:line="369" w:lineRule="exact"/>
              <w:jc w:val="center"/>
              <w:rPr>
                <w:rFonts w:hint="eastAsia" w:ascii="宋体" w:hAnsi="宋体" w:eastAsia="宋体" w:cs="宋体"/>
                <w:b w:val="0"/>
                <w:i w:val="0"/>
                <w:caps w:val="0"/>
                <w:color w:val="auto"/>
                <w:spacing w:val="0"/>
                <w:w w:val="100"/>
                <w:sz w:val="24"/>
                <w:szCs w:val="24"/>
                <w:highlight w:val="none"/>
              </w:rPr>
            </w:pPr>
          </w:p>
        </w:tc>
        <w:tc>
          <w:tcPr>
            <w:tcW w:w="1490" w:type="dxa"/>
            <w:vAlign w:val="center"/>
          </w:tcPr>
          <w:p w14:paraId="5EE70DEA">
            <w:pPr>
              <w:spacing w:line="369" w:lineRule="exact"/>
              <w:jc w:val="center"/>
              <w:rPr>
                <w:rFonts w:hint="eastAsia" w:ascii="宋体" w:hAnsi="宋体" w:eastAsia="宋体" w:cs="宋体"/>
                <w:b w:val="0"/>
                <w:i w:val="0"/>
                <w:caps w:val="0"/>
                <w:color w:val="auto"/>
                <w:spacing w:val="0"/>
                <w:w w:val="100"/>
                <w:sz w:val="24"/>
                <w:szCs w:val="24"/>
                <w:highlight w:val="none"/>
              </w:rPr>
            </w:pPr>
          </w:p>
        </w:tc>
        <w:tc>
          <w:tcPr>
            <w:tcW w:w="1489" w:type="dxa"/>
            <w:vAlign w:val="center"/>
          </w:tcPr>
          <w:p w14:paraId="7CD6F664">
            <w:pPr>
              <w:pStyle w:val="11"/>
              <w:shd w:val="clear"/>
              <w:snapToGrid w:val="0"/>
              <w:spacing w:before="0" w:beforeAutospacing="0" w:after="0" w:afterAutospacing="0" w:line="240" w:lineRule="atLeast"/>
              <w:ind w:left="1080" w:leftChars="257" w:hanging="540"/>
              <w:jc w:val="left"/>
              <w:textAlignment w:val="baseline"/>
              <w:rPr>
                <w:rFonts w:hint="eastAsia" w:ascii="宋体" w:hAnsi="宋体" w:eastAsia="宋体" w:cs="宋体"/>
                <w:b w:val="0"/>
                <w:i w:val="0"/>
                <w:caps w:val="0"/>
                <w:color w:val="auto"/>
                <w:spacing w:val="0"/>
                <w:w w:val="100"/>
                <w:sz w:val="24"/>
                <w:szCs w:val="24"/>
                <w:highlight w:val="none"/>
              </w:rPr>
            </w:pPr>
          </w:p>
        </w:tc>
        <w:tc>
          <w:tcPr>
            <w:tcW w:w="1206" w:type="dxa"/>
            <w:vAlign w:val="center"/>
          </w:tcPr>
          <w:p w14:paraId="3E86D00D">
            <w:pPr>
              <w:pStyle w:val="11"/>
              <w:shd w:val="clear"/>
              <w:snapToGrid w:val="0"/>
              <w:spacing w:before="0" w:beforeAutospacing="0" w:after="0" w:afterAutospacing="0" w:line="240" w:lineRule="atLeast"/>
              <w:ind w:left="1080" w:leftChars="257" w:hanging="540"/>
              <w:jc w:val="left"/>
              <w:textAlignment w:val="baseline"/>
              <w:rPr>
                <w:rFonts w:hint="eastAsia" w:ascii="宋体" w:hAnsi="宋体" w:eastAsia="宋体" w:cs="宋体"/>
                <w:b w:val="0"/>
                <w:i w:val="0"/>
                <w:caps w:val="0"/>
                <w:color w:val="auto"/>
                <w:spacing w:val="0"/>
                <w:w w:val="100"/>
                <w:sz w:val="24"/>
                <w:szCs w:val="24"/>
                <w:highlight w:val="none"/>
              </w:rPr>
            </w:pPr>
          </w:p>
        </w:tc>
        <w:tc>
          <w:tcPr>
            <w:tcW w:w="845" w:type="dxa"/>
            <w:vAlign w:val="center"/>
          </w:tcPr>
          <w:p w14:paraId="10E7A5BE">
            <w:pPr>
              <w:pStyle w:val="11"/>
              <w:shd w:val="clear"/>
              <w:snapToGrid w:val="0"/>
              <w:spacing w:before="0" w:beforeAutospacing="0" w:after="0" w:afterAutospacing="0" w:line="240" w:lineRule="atLeast"/>
              <w:ind w:left="1080" w:leftChars="257" w:hanging="540"/>
              <w:jc w:val="left"/>
              <w:textAlignment w:val="baseline"/>
              <w:rPr>
                <w:rFonts w:hint="eastAsia" w:ascii="宋体" w:hAnsi="宋体" w:eastAsia="宋体" w:cs="宋体"/>
                <w:b w:val="0"/>
                <w:i w:val="0"/>
                <w:caps w:val="0"/>
                <w:color w:val="auto"/>
                <w:spacing w:val="0"/>
                <w:w w:val="100"/>
                <w:sz w:val="24"/>
                <w:szCs w:val="24"/>
                <w:highlight w:val="none"/>
              </w:rPr>
            </w:pPr>
          </w:p>
        </w:tc>
      </w:tr>
      <w:tr w14:paraId="73078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110" w:type="dxa"/>
            <w:gridSpan w:val="7"/>
            <w:vAlign w:val="center"/>
          </w:tcPr>
          <w:p w14:paraId="55FD25B2">
            <w:pPr>
              <w:pStyle w:val="11"/>
              <w:shd w:val="clear"/>
              <w:tabs>
                <w:tab w:val="left" w:pos="1922"/>
              </w:tabs>
              <w:snapToGrid w:val="0"/>
              <w:spacing w:before="0" w:beforeAutospacing="0" w:after="0" w:afterAutospacing="0" w:line="240" w:lineRule="atLeast"/>
              <w:ind w:left="1080" w:leftChars="257" w:hanging="540"/>
              <w:jc w:val="left"/>
              <w:textAlignment w:val="baseline"/>
              <w:rPr>
                <w:rFonts w:hint="eastAsia" w:ascii="宋体" w:hAnsi="宋体" w:eastAsia="宋体" w:cs="宋体"/>
                <w:b w:val="0"/>
                <w:i w:val="0"/>
                <w:caps w:val="0"/>
                <w:color w:val="auto"/>
                <w:spacing w:val="0"/>
                <w:w w:val="100"/>
                <w:sz w:val="24"/>
                <w:szCs w:val="24"/>
                <w:highlight w:val="none"/>
              </w:rPr>
            </w:pPr>
            <w:r>
              <w:rPr>
                <w:rFonts w:hint="eastAsia" w:hAnsi="宋体" w:cs="宋体"/>
                <w:b w:val="0"/>
                <w:i w:val="0"/>
                <w:caps w:val="0"/>
                <w:color w:val="auto"/>
                <w:spacing w:val="0"/>
                <w:w w:val="100"/>
                <w:sz w:val="24"/>
                <w:szCs w:val="24"/>
                <w:highlight w:val="none"/>
                <w:lang w:val="en-US" w:eastAsia="zh-CN"/>
              </w:rPr>
              <w:t>总价</w:t>
            </w:r>
            <w:r>
              <w:rPr>
                <w:rFonts w:hint="eastAsia" w:hAnsi="宋体" w:cs="宋体"/>
                <w:b w:val="0"/>
                <w:i w:val="0"/>
                <w:caps w:val="0"/>
                <w:color w:val="auto"/>
                <w:spacing w:val="0"/>
                <w:w w:val="100"/>
                <w:sz w:val="24"/>
                <w:szCs w:val="24"/>
                <w:highlight w:val="none"/>
                <w:lang w:val="en-US" w:eastAsia="zh-CN"/>
              </w:rPr>
              <w:tab/>
            </w:r>
            <w:r>
              <w:rPr>
                <w:rFonts w:hint="eastAsia" w:hAnsi="宋体" w:cs="宋体"/>
                <w:b w:val="0"/>
                <w:i w:val="0"/>
                <w:caps w:val="0"/>
                <w:color w:val="auto"/>
                <w:spacing w:val="0"/>
                <w:w w:val="100"/>
                <w:sz w:val="24"/>
                <w:szCs w:val="24"/>
                <w:highlight w:val="none"/>
                <w:lang w:val="en-US" w:eastAsia="zh-CN"/>
              </w:rPr>
              <w:t>：</w:t>
            </w:r>
          </w:p>
        </w:tc>
        <w:tc>
          <w:tcPr>
            <w:tcW w:w="845" w:type="dxa"/>
            <w:vAlign w:val="center"/>
          </w:tcPr>
          <w:p w14:paraId="26BF92E9">
            <w:pPr>
              <w:pStyle w:val="11"/>
              <w:shd w:val="clear"/>
              <w:snapToGrid w:val="0"/>
              <w:spacing w:before="0" w:beforeAutospacing="0" w:after="0" w:afterAutospacing="0" w:line="240" w:lineRule="atLeast"/>
              <w:ind w:left="1080" w:leftChars="257" w:hanging="540"/>
              <w:jc w:val="left"/>
              <w:textAlignment w:val="baseline"/>
              <w:rPr>
                <w:rFonts w:hint="eastAsia" w:ascii="宋体" w:hAnsi="宋体" w:eastAsia="宋体" w:cs="宋体"/>
                <w:b w:val="0"/>
                <w:i w:val="0"/>
                <w:caps w:val="0"/>
                <w:color w:val="auto"/>
                <w:spacing w:val="0"/>
                <w:w w:val="100"/>
                <w:sz w:val="24"/>
                <w:szCs w:val="24"/>
                <w:highlight w:val="none"/>
              </w:rPr>
            </w:pPr>
          </w:p>
        </w:tc>
      </w:tr>
    </w:tbl>
    <w:p w14:paraId="467527BA">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p w14:paraId="2AC73E9C">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法定代表人或其委托代理人（签/章）:</w:t>
      </w:r>
      <w:r>
        <w:rPr>
          <w:rFonts w:hint="eastAsia" w:ascii="宋体" w:hAnsi="宋体" w:eastAsia="宋体" w:cs="宋体"/>
          <w:b w:val="0"/>
          <w:i w:val="0"/>
          <w:caps w:val="0"/>
          <w:color w:val="auto"/>
          <w:spacing w:val="0"/>
          <w:w w:val="100"/>
          <w:sz w:val="24"/>
          <w:szCs w:val="24"/>
          <w:highlight w:val="none"/>
          <w:u w:val="single" w:color="000000"/>
        </w:rPr>
        <w:t xml:space="preserve"> </w:t>
      </w:r>
      <w:r>
        <w:rPr>
          <w:rFonts w:hint="eastAsia" w:ascii="宋体" w:hAnsi="宋体" w:eastAsia="宋体" w:cs="宋体"/>
          <w:b w:val="0"/>
          <w:i w:val="0"/>
          <w:caps w:val="0"/>
          <w:color w:val="auto"/>
          <w:spacing w:val="0"/>
          <w:w w:val="100"/>
          <w:sz w:val="24"/>
          <w:szCs w:val="24"/>
          <w:highlight w:val="none"/>
          <w:u w:val="single" w:color="000000"/>
        </w:rPr>
        <w:tab/>
      </w:r>
      <w:r>
        <w:rPr>
          <w:rFonts w:hint="eastAsia" w:ascii="宋体" w:hAnsi="宋体" w:eastAsia="宋体" w:cs="宋体"/>
          <w:b w:val="0"/>
          <w:i w:val="0"/>
          <w:caps w:val="0"/>
          <w:color w:val="auto"/>
          <w:spacing w:val="0"/>
          <w:w w:val="100"/>
          <w:sz w:val="24"/>
          <w:szCs w:val="24"/>
          <w:highlight w:val="none"/>
          <w:u w:val="single" w:color="000000"/>
        </w:rPr>
        <w:t xml:space="preserve">                 </w:t>
      </w:r>
    </w:p>
    <w:p w14:paraId="2D3FD048">
      <w:pPr>
        <w:pStyle w:val="11"/>
        <w:shd w:val="clear"/>
        <w:tabs>
          <w:tab w:val="left" w:pos="5370"/>
        </w:tabs>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供应商</w:t>
      </w:r>
      <w:r>
        <w:rPr>
          <w:rFonts w:hint="eastAsia" w:ascii="宋体" w:hAnsi="宋体" w:eastAsia="宋体" w:cs="宋体"/>
          <w:b w:val="0"/>
          <w:i w:val="0"/>
          <w:caps w:val="0"/>
          <w:color w:val="auto"/>
          <w:spacing w:val="0"/>
          <w:w w:val="100"/>
          <w:sz w:val="24"/>
          <w:szCs w:val="24"/>
          <w:highlight w:val="none"/>
          <w:lang w:val="en-US" w:eastAsia="zh-CN"/>
        </w:rPr>
        <w:t>名称</w:t>
      </w:r>
      <w:r>
        <w:rPr>
          <w:rFonts w:hint="eastAsia" w:ascii="宋体" w:hAnsi="宋体" w:eastAsia="宋体" w:cs="宋体"/>
          <w:b w:val="0"/>
          <w:i w:val="0"/>
          <w:caps w:val="0"/>
          <w:color w:val="auto"/>
          <w:spacing w:val="0"/>
          <w:w w:val="100"/>
          <w:sz w:val="24"/>
          <w:szCs w:val="24"/>
          <w:highlight w:val="none"/>
        </w:rPr>
        <w:t>(公章):</w:t>
      </w:r>
      <w:r>
        <w:rPr>
          <w:rFonts w:hint="eastAsia" w:ascii="宋体" w:hAnsi="宋体" w:eastAsia="宋体" w:cs="宋体"/>
          <w:b w:val="0"/>
          <w:i w:val="0"/>
          <w:caps w:val="0"/>
          <w:color w:val="auto"/>
          <w:spacing w:val="0"/>
          <w:w w:val="100"/>
          <w:sz w:val="24"/>
          <w:szCs w:val="24"/>
          <w:highlight w:val="none"/>
          <w:u w:val="single" w:color="000000"/>
        </w:rPr>
        <w:tab/>
      </w:r>
    </w:p>
    <w:p w14:paraId="2DB7DEC2">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注:1.如果供应商认为需要，每种</w:t>
      </w:r>
      <w:r>
        <w:rPr>
          <w:rFonts w:hint="eastAsia" w:ascii="宋体" w:hAnsi="宋体" w:eastAsia="宋体" w:cs="宋体"/>
          <w:b w:val="0"/>
          <w:i w:val="0"/>
          <w:caps w:val="0"/>
          <w:color w:val="auto"/>
          <w:spacing w:val="0"/>
          <w:w w:val="100"/>
          <w:sz w:val="24"/>
          <w:szCs w:val="24"/>
          <w:highlight w:val="none"/>
          <w:lang w:val="en-US" w:eastAsia="zh-CN"/>
        </w:rPr>
        <w:t>产品</w:t>
      </w:r>
      <w:r>
        <w:rPr>
          <w:rFonts w:hint="eastAsia" w:ascii="宋体" w:hAnsi="宋体" w:eastAsia="宋体" w:cs="宋体"/>
          <w:b w:val="0"/>
          <w:i w:val="0"/>
          <w:caps w:val="0"/>
          <w:color w:val="auto"/>
          <w:spacing w:val="0"/>
          <w:w w:val="100"/>
          <w:sz w:val="24"/>
          <w:szCs w:val="24"/>
          <w:highlight w:val="none"/>
        </w:rPr>
        <w:t>填写一份该表。</w:t>
      </w:r>
    </w:p>
    <w:p w14:paraId="4A318F96">
      <w:pPr>
        <w:pStyle w:val="11"/>
        <w:shd w:val="clear"/>
        <w:snapToGrid w:val="0"/>
        <w:spacing w:before="0" w:beforeAutospacing="0" w:after="0" w:afterAutospacing="0" w:line="240" w:lineRule="atLeast"/>
        <w:ind w:left="1079" w:leftChars="428" w:hangingChars="75"/>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2.如果按单价计算的结果与总价不一致,以单价为准修正总价。</w:t>
      </w:r>
    </w:p>
    <w:p w14:paraId="668FB94D">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3.如果不提供详细分项报价将视为没有实质性响应磋商文件。</w:t>
      </w:r>
    </w:p>
    <w:p w14:paraId="7085A32A">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4.上述各项的详细分项报价，应另页描述。</w:t>
      </w:r>
    </w:p>
    <w:p w14:paraId="5C223AAE">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5.如果磋商开启一览表（报价表）内容与磋商文件中明细表内容不一致的，以磋商开启一览表（报价表）内容为准。</w:t>
      </w:r>
    </w:p>
    <w:p w14:paraId="21970035">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lang w:val="en-US" w:eastAsia="zh-CN"/>
        </w:rPr>
      </w:pPr>
      <w:bookmarkStart w:id="605" w:name="_Toc18267"/>
      <w:bookmarkStart w:id="606" w:name="_Toc24292"/>
      <w:bookmarkStart w:id="607" w:name="_Toc22132"/>
      <w:bookmarkStart w:id="608" w:name="_Toc9921"/>
      <w:bookmarkStart w:id="609" w:name="_Toc6343"/>
      <w:bookmarkStart w:id="610" w:name="_Toc14037"/>
      <w:bookmarkStart w:id="611" w:name="_Toc515647819"/>
      <w:bookmarkStart w:id="612" w:name="_Toc25251"/>
      <w:bookmarkStart w:id="613" w:name="_Toc12151"/>
      <w:bookmarkStart w:id="614" w:name="_Toc216582816"/>
      <w:r>
        <w:rPr>
          <w:rFonts w:hint="eastAsia" w:ascii="宋体" w:hAnsi="宋体" w:eastAsia="宋体" w:cs="宋体"/>
          <w:b w:val="0"/>
          <w:i w:val="0"/>
          <w:caps w:val="0"/>
          <w:color w:val="auto"/>
          <w:spacing w:val="0"/>
          <w:w w:val="100"/>
          <w:sz w:val="24"/>
          <w:szCs w:val="24"/>
          <w:highlight w:val="none"/>
          <w:lang w:val="en-US" w:eastAsia="zh-CN"/>
        </w:rPr>
        <w:t xml:space="preserve">   6.以实际发生量结算。</w:t>
      </w:r>
    </w:p>
    <w:p w14:paraId="57EAA812">
      <w:pPr>
        <w:pStyle w:val="3"/>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i w:val="0"/>
          <w:caps w:val="0"/>
          <w:color w:val="auto"/>
          <w:spacing w:val="0"/>
          <w:w w:val="100"/>
          <w:sz w:val="24"/>
          <w:szCs w:val="24"/>
          <w:highlight w:val="none"/>
          <w:lang w:eastAsia="zh-CN"/>
        </w:rPr>
      </w:pPr>
      <w:bookmarkStart w:id="615" w:name="_Toc15863"/>
      <w:bookmarkStart w:id="616" w:name="_Toc26666"/>
      <w:r>
        <w:rPr>
          <w:rFonts w:hint="eastAsia" w:ascii="宋体" w:hAnsi="宋体" w:eastAsia="宋体" w:cs="宋体"/>
          <w:b/>
          <w:i w:val="0"/>
          <w:caps w:val="0"/>
          <w:color w:val="auto"/>
          <w:spacing w:val="0"/>
          <w:w w:val="100"/>
          <w:sz w:val="24"/>
          <w:szCs w:val="24"/>
          <w:highlight w:val="none"/>
        </w:rPr>
        <w:t>3</w:t>
      </w:r>
      <w:r>
        <w:rPr>
          <w:rFonts w:hint="eastAsia" w:ascii="宋体" w:hAnsi="宋体" w:eastAsia="宋体" w:cs="宋体"/>
          <w:b/>
          <w:i w:val="0"/>
          <w:caps w:val="0"/>
          <w:color w:val="auto"/>
          <w:spacing w:val="0"/>
          <w:w w:val="100"/>
          <w:sz w:val="24"/>
          <w:szCs w:val="24"/>
          <w:highlight w:val="none"/>
          <w:lang w:eastAsia="zh-CN"/>
        </w:rPr>
        <w:t>、</w:t>
      </w:r>
      <w:bookmarkEnd w:id="605"/>
      <w:bookmarkEnd w:id="606"/>
      <w:bookmarkEnd w:id="607"/>
      <w:bookmarkEnd w:id="608"/>
      <w:bookmarkEnd w:id="609"/>
      <w:bookmarkEnd w:id="610"/>
      <w:bookmarkEnd w:id="611"/>
      <w:bookmarkEnd w:id="612"/>
      <w:bookmarkEnd w:id="613"/>
      <w:bookmarkEnd w:id="614"/>
      <w:bookmarkEnd w:id="615"/>
      <w:bookmarkEnd w:id="616"/>
      <w:r>
        <w:rPr>
          <w:rFonts w:hint="eastAsia" w:ascii="宋体" w:hAnsi="宋体" w:eastAsia="宋体" w:cs="宋体"/>
          <w:b/>
          <w:i w:val="0"/>
          <w:caps w:val="0"/>
          <w:color w:val="auto"/>
          <w:spacing w:val="0"/>
          <w:w w:val="100"/>
          <w:sz w:val="24"/>
          <w:szCs w:val="24"/>
          <w:highlight w:val="none"/>
          <w:lang w:eastAsia="zh-CN"/>
        </w:rPr>
        <w:t>工程说明一览表（格式可按工程量清单格式编制）</w:t>
      </w:r>
    </w:p>
    <w:p w14:paraId="740404DA">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项目名称:                </w:t>
      </w:r>
    </w:p>
    <w:p w14:paraId="23D7123F">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lang w:eastAsia="zh-CN"/>
        </w:rPr>
        <w:t>项目编号</w:t>
      </w:r>
      <w:r>
        <w:rPr>
          <w:rFonts w:hint="eastAsia" w:ascii="宋体" w:hAnsi="宋体" w:eastAsia="宋体" w:cs="宋体"/>
          <w:b w:val="0"/>
          <w:i w:val="0"/>
          <w:caps w:val="0"/>
          <w:color w:val="auto"/>
          <w:spacing w:val="0"/>
          <w:w w:val="100"/>
          <w:sz w:val="24"/>
          <w:szCs w:val="24"/>
          <w:highlight w:val="none"/>
        </w:rPr>
        <w:t xml:space="preserve">:                                        </w:t>
      </w:r>
    </w:p>
    <w:p w14:paraId="50FB4406">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bl>
      <w:tblPr>
        <w:tblStyle w:val="24"/>
        <w:tblW w:w="8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351"/>
        <w:gridCol w:w="970"/>
        <w:gridCol w:w="766"/>
        <w:gridCol w:w="743"/>
        <w:gridCol w:w="1160"/>
        <w:gridCol w:w="1499"/>
        <w:gridCol w:w="1279"/>
      </w:tblGrid>
      <w:tr w14:paraId="46926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8" w:type="dxa"/>
            <w:vAlign w:val="center"/>
          </w:tcPr>
          <w:p w14:paraId="471A2F25">
            <w:pPr>
              <w:pStyle w:val="11"/>
              <w:shd w:val="clear"/>
              <w:snapToGrid w:val="0"/>
              <w:spacing w:before="0" w:beforeAutospacing="0" w:after="0" w:afterAutospacing="0" w:line="240" w:lineRule="atLeast"/>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序号</w:t>
            </w:r>
          </w:p>
        </w:tc>
        <w:tc>
          <w:tcPr>
            <w:tcW w:w="1351" w:type="dxa"/>
            <w:vAlign w:val="center"/>
          </w:tcPr>
          <w:p w14:paraId="338885A1">
            <w:pPr>
              <w:pStyle w:val="11"/>
              <w:shd w:val="clear"/>
              <w:snapToGrid w:val="0"/>
              <w:spacing w:before="0" w:beforeAutospacing="0" w:after="0" w:afterAutospacing="0" w:line="240" w:lineRule="atLeast"/>
              <w:jc w:val="center"/>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lang w:val="en-US" w:eastAsia="zh-CN"/>
              </w:rPr>
              <w:t>名称</w:t>
            </w:r>
          </w:p>
        </w:tc>
        <w:tc>
          <w:tcPr>
            <w:tcW w:w="970" w:type="dxa"/>
            <w:vAlign w:val="center"/>
          </w:tcPr>
          <w:p w14:paraId="29D6228D">
            <w:pPr>
              <w:pStyle w:val="11"/>
              <w:shd w:val="clear"/>
              <w:snapToGrid w:val="0"/>
              <w:spacing w:before="0" w:beforeAutospacing="0" w:after="0" w:afterAutospacing="0" w:line="240" w:lineRule="atLeast"/>
              <w:jc w:val="center"/>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hAnsi="宋体" w:cs="宋体"/>
                <w:b w:val="0"/>
                <w:i w:val="0"/>
                <w:caps w:val="0"/>
                <w:color w:val="auto"/>
                <w:spacing w:val="0"/>
                <w:w w:val="100"/>
                <w:sz w:val="24"/>
                <w:szCs w:val="24"/>
                <w:highlight w:val="none"/>
                <w:lang w:eastAsia="zh-CN"/>
              </w:rPr>
              <w:t>型号规格</w:t>
            </w:r>
          </w:p>
        </w:tc>
        <w:tc>
          <w:tcPr>
            <w:tcW w:w="766" w:type="dxa"/>
            <w:vAlign w:val="center"/>
          </w:tcPr>
          <w:p w14:paraId="4CD9DC19">
            <w:pPr>
              <w:pStyle w:val="11"/>
              <w:shd w:val="clear"/>
              <w:snapToGrid w:val="0"/>
              <w:spacing w:before="0" w:beforeAutospacing="0" w:after="0" w:afterAutospacing="0" w:line="240" w:lineRule="atLeast"/>
              <w:jc w:val="center"/>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hAnsi="宋体" w:cs="宋体"/>
                <w:b w:val="0"/>
                <w:i w:val="0"/>
                <w:caps w:val="0"/>
                <w:color w:val="auto"/>
                <w:spacing w:val="0"/>
                <w:w w:val="100"/>
                <w:sz w:val="24"/>
                <w:szCs w:val="24"/>
                <w:highlight w:val="none"/>
                <w:lang w:eastAsia="zh-CN"/>
              </w:rPr>
              <w:t>数量</w:t>
            </w:r>
          </w:p>
        </w:tc>
        <w:tc>
          <w:tcPr>
            <w:tcW w:w="743" w:type="dxa"/>
            <w:vAlign w:val="center"/>
          </w:tcPr>
          <w:p w14:paraId="5399BA9E">
            <w:pPr>
              <w:pStyle w:val="11"/>
              <w:shd w:val="clear"/>
              <w:snapToGrid w:val="0"/>
              <w:spacing w:before="0" w:beforeAutospacing="0" w:after="0" w:afterAutospacing="0" w:line="240" w:lineRule="atLeast"/>
              <w:jc w:val="center"/>
              <w:textAlignment w:val="baseline"/>
              <w:rPr>
                <w:rFonts w:hint="default" w:hAnsi="宋体" w:cs="宋体"/>
                <w:b w:val="0"/>
                <w:i w:val="0"/>
                <w:caps w:val="0"/>
                <w:color w:val="auto"/>
                <w:spacing w:val="0"/>
                <w:w w:val="100"/>
                <w:sz w:val="24"/>
                <w:szCs w:val="24"/>
                <w:highlight w:val="none"/>
                <w:lang w:val="en-US" w:eastAsia="zh-CN"/>
              </w:rPr>
            </w:pPr>
            <w:r>
              <w:rPr>
                <w:rFonts w:hint="eastAsia" w:hAnsi="宋体" w:cs="宋体"/>
                <w:b w:val="0"/>
                <w:i w:val="0"/>
                <w:caps w:val="0"/>
                <w:color w:val="auto"/>
                <w:spacing w:val="0"/>
                <w:w w:val="100"/>
                <w:sz w:val="24"/>
                <w:szCs w:val="24"/>
                <w:highlight w:val="none"/>
                <w:lang w:val="en-US" w:eastAsia="zh-CN"/>
              </w:rPr>
              <w:t>单位</w:t>
            </w:r>
          </w:p>
        </w:tc>
        <w:tc>
          <w:tcPr>
            <w:tcW w:w="1160" w:type="dxa"/>
            <w:vAlign w:val="center"/>
          </w:tcPr>
          <w:p w14:paraId="5C37E2DA">
            <w:pPr>
              <w:pStyle w:val="11"/>
              <w:shd w:val="clear"/>
              <w:snapToGrid w:val="0"/>
              <w:spacing w:before="0" w:beforeAutospacing="0" w:after="0" w:afterAutospacing="0" w:line="240" w:lineRule="atLeast"/>
              <w:jc w:val="center"/>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hAnsi="宋体" w:cs="宋体"/>
                <w:b w:val="0"/>
                <w:i w:val="0"/>
                <w:caps w:val="0"/>
                <w:color w:val="auto"/>
                <w:spacing w:val="0"/>
                <w:w w:val="100"/>
                <w:sz w:val="24"/>
                <w:szCs w:val="24"/>
                <w:highlight w:val="none"/>
                <w:lang w:val="en-US" w:eastAsia="zh-CN"/>
              </w:rPr>
              <w:t>交货期</w:t>
            </w:r>
          </w:p>
        </w:tc>
        <w:tc>
          <w:tcPr>
            <w:tcW w:w="1499" w:type="dxa"/>
            <w:vAlign w:val="center"/>
          </w:tcPr>
          <w:p w14:paraId="4A629119">
            <w:pPr>
              <w:pStyle w:val="11"/>
              <w:shd w:val="clear"/>
              <w:snapToGrid w:val="0"/>
              <w:spacing w:before="0" w:beforeAutospacing="0" w:after="0" w:afterAutospacing="0" w:line="240" w:lineRule="atLeast"/>
              <w:jc w:val="center"/>
              <w:textAlignment w:val="baseline"/>
              <w:rPr>
                <w:rFonts w:hint="eastAsia" w:hAnsi="宋体" w:cs="宋体"/>
                <w:b w:val="0"/>
                <w:i w:val="0"/>
                <w:caps w:val="0"/>
                <w:color w:val="auto"/>
                <w:spacing w:val="0"/>
                <w:w w:val="100"/>
                <w:sz w:val="24"/>
                <w:szCs w:val="24"/>
                <w:highlight w:val="none"/>
                <w:lang w:eastAsia="zh-CN"/>
              </w:rPr>
            </w:pPr>
            <w:r>
              <w:rPr>
                <w:rFonts w:hint="eastAsia" w:hAnsi="宋体" w:cs="宋体"/>
                <w:b w:val="0"/>
                <w:i w:val="0"/>
                <w:caps w:val="0"/>
                <w:color w:val="auto"/>
                <w:spacing w:val="0"/>
                <w:w w:val="100"/>
                <w:sz w:val="24"/>
                <w:szCs w:val="24"/>
                <w:highlight w:val="none"/>
                <w:lang w:eastAsia="zh-CN"/>
              </w:rPr>
              <w:t>交货地点</w:t>
            </w:r>
          </w:p>
        </w:tc>
        <w:tc>
          <w:tcPr>
            <w:tcW w:w="1279" w:type="dxa"/>
            <w:vAlign w:val="center"/>
          </w:tcPr>
          <w:p w14:paraId="5BC53082">
            <w:pPr>
              <w:pStyle w:val="11"/>
              <w:shd w:val="clear"/>
              <w:snapToGrid w:val="0"/>
              <w:spacing w:before="0" w:beforeAutospacing="0" w:after="0" w:afterAutospacing="0" w:line="240" w:lineRule="atLeast"/>
              <w:jc w:val="center"/>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hAnsi="宋体" w:cs="宋体"/>
                <w:b w:val="0"/>
                <w:i w:val="0"/>
                <w:caps w:val="0"/>
                <w:color w:val="auto"/>
                <w:spacing w:val="0"/>
                <w:w w:val="100"/>
                <w:sz w:val="24"/>
                <w:szCs w:val="24"/>
                <w:highlight w:val="none"/>
                <w:lang w:val="en-US" w:eastAsia="zh-CN"/>
              </w:rPr>
              <w:t>其它</w:t>
            </w:r>
          </w:p>
        </w:tc>
      </w:tr>
      <w:tr w14:paraId="34DDD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8" w:type="dxa"/>
            <w:vAlign w:val="center"/>
          </w:tcPr>
          <w:p w14:paraId="299BA5D0">
            <w:pPr>
              <w:pStyle w:val="11"/>
              <w:shd w:val="clear"/>
              <w:snapToGrid w:val="0"/>
              <w:spacing w:before="0" w:beforeAutospacing="0" w:after="0" w:afterAutospacing="0" w:line="240" w:lineRule="atLeast"/>
              <w:jc w:val="center"/>
              <w:textAlignment w:val="baseline"/>
              <w:rPr>
                <w:rFonts w:hint="eastAsia" w:ascii="宋体" w:hAnsi="宋体" w:eastAsia="宋体" w:cs="宋体"/>
                <w:b w:val="0"/>
                <w:i w:val="0"/>
                <w:caps w:val="0"/>
                <w:color w:val="auto"/>
                <w:spacing w:val="0"/>
                <w:w w:val="100"/>
                <w:sz w:val="24"/>
                <w:szCs w:val="24"/>
                <w:highlight w:val="none"/>
                <w:lang w:val="en-US" w:eastAsia="zh-CN"/>
              </w:rPr>
            </w:pPr>
          </w:p>
        </w:tc>
        <w:tc>
          <w:tcPr>
            <w:tcW w:w="1351" w:type="dxa"/>
            <w:vAlign w:val="center"/>
          </w:tcPr>
          <w:p w14:paraId="5D6F9627">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970" w:type="dxa"/>
            <w:vAlign w:val="center"/>
          </w:tcPr>
          <w:p w14:paraId="50F61EAE">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766" w:type="dxa"/>
            <w:vAlign w:val="center"/>
          </w:tcPr>
          <w:p w14:paraId="059673A8">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743" w:type="dxa"/>
            <w:vAlign w:val="center"/>
          </w:tcPr>
          <w:p w14:paraId="39784563">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1160" w:type="dxa"/>
            <w:vAlign w:val="center"/>
          </w:tcPr>
          <w:p w14:paraId="61BEDA54">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1499" w:type="dxa"/>
            <w:vAlign w:val="center"/>
          </w:tcPr>
          <w:p w14:paraId="7EA169DE">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1279" w:type="dxa"/>
            <w:vAlign w:val="center"/>
          </w:tcPr>
          <w:p w14:paraId="4BC9AB7E">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r>
      <w:tr w14:paraId="2847D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88" w:type="dxa"/>
            <w:vAlign w:val="center"/>
          </w:tcPr>
          <w:p w14:paraId="70D344D9">
            <w:pPr>
              <w:pStyle w:val="11"/>
              <w:shd w:val="clear"/>
              <w:snapToGrid w:val="0"/>
              <w:spacing w:before="0" w:beforeAutospacing="0" w:after="0" w:afterAutospacing="0" w:line="240" w:lineRule="atLeast"/>
              <w:jc w:val="center"/>
              <w:textAlignment w:val="baseline"/>
              <w:rPr>
                <w:rFonts w:hint="eastAsia" w:ascii="宋体" w:hAnsi="宋体" w:eastAsia="宋体" w:cs="宋体"/>
                <w:b w:val="0"/>
                <w:i w:val="0"/>
                <w:caps w:val="0"/>
                <w:color w:val="auto"/>
                <w:spacing w:val="0"/>
                <w:w w:val="100"/>
                <w:sz w:val="24"/>
                <w:szCs w:val="24"/>
                <w:highlight w:val="none"/>
                <w:lang w:val="en-US" w:eastAsia="zh-CN"/>
              </w:rPr>
            </w:pPr>
          </w:p>
        </w:tc>
        <w:tc>
          <w:tcPr>
            <w:tcW w:w="1351" w:type="dxa"/>
            <w:vAlign w:val="center"/>
          </w:tcPr>
          <w:p w14:paraId="2E0FCC6F">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970" w:type="dxa"/>
            <w:vAlign w:val="center"/>
          </w:tcPr>
          <w:p w14:paraId="30BC8ABE">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766" w:type="dxa"/>
            <w:vAlign w:val="center"/>
          </w:tcPr>
          <w:p w14:paraId="132A1682">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743" w:type="dxa"/>
            <w:vAlign w:val="center"/>
          </w:tcPr>
          <w:p w14:paraId="3321F71E">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1160" w:type="dxa"/>
            <w:vAlign w:val="center"/>
          </w:tcPr>
          <w:p w14:paraId="24D3877A">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1499" w:type="dxa"/>
            <w:vAlign w:val="center"/>
          </w:tcPr>
          <w:p w14:paraId="73B334EC">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1279" w:type="dxa"/>
            <w:vAlign w:val="center"/>
          </w:tcPr>
          <w:p w14:paraId="58BA1914">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r>
      <w:tr w14:paraId="65284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8" w:type="dxa"/>
            <w:vAlign w:val="center"/>
          </w:tcPr>
          <w:p w14:paraId="523D8B46">
            <w:pPr>
              <w:pStyle w:val="11"/>
              <w:shd w:val="clear"/>
              <w:snapToGrid w:val="0"/>
              <w:spacing w:before="0" w:beforeAutospacing="0" w:after="0" w:afterAutospacing="0" w:line="240" w:lineRule="atLeast"/>
              <w:jc w:val="center"/>
              <w:textAlignment w:val="baseline"/>
              <w:rPr>
                <w:rFonts w:hint="eastAsia" w:ascii="宋体" w:hAnsi="宋体" w:eastAsia="宋体" w:cs="宋体"/>
                <w:b w:val="0"/>
                <w:i w:val="0"/>
                <w:caps w:val="0"/>
                <w:color w:val="auto"/>
                <w:spacing w:val="0"/>
                <w:w w:val="100"/>
                <w:sz w:val="24"/>
                <w:szCs w:val="24"/>
                <w:highlight w:val="none"/>
                <w:lang w:val="en-US" w:eastAsia="zh-CN"/>
              </w:rPr>
            </w:pPr>
          </w:p>
        </w:tc>
        <w:tc>
          <w:tcPr>
            <w:tcW w:w="1351" w:type="dxa"/>
            <w:vAlign w:val="center"/>
          </w:tcPr>
          <w:p w14:paraId="4001D335">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970" w:type="dxa"/>
            <w:vAlign w:val="center"/>
          </w:tcPr>
          <w:p w14:paraId="2E34FB15">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766" w:type="dxa"/>
            <w:vAlign w:val="center"/>
          </w:tcPr>
          <w:p w14:paraId="309FA4B2">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743" w:type="dxa"/>
            <w:vAlign w:val="center"/>
          </w:tcPr>
          <w:p w14:paraId="157162A0">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1160" w:type="dxa"/>
            <w:vAlign w:val="center"/>
          </w:tcPr>
          <w:p w14:paraId="0C422F28">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1499" w:type="dxa"/>
            <w:vAlign w:val="center"/>
          </w:tcPr>
          <w:p w14:paraId="70225158">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1279" w:type="dxa"/>
            <w:vAlign w:val="center"/>
          </w:tcPr>
          <w:p w14:paraId="4C3F3A04">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r>
      <w:tr w14:paraId="41243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88" w:type="dxa"/>
            <w:vAlign w:val="center"/>
          </w:tcPr>
          <w:p w14:paraId="35991152">
            <w:pPr>
              <w:pStyle w:val="11"/>
              <w:shd w:val="clear"/>
              <w:snapToGrid w:val="0"/>
              <w:spacing w:before="0" w:beforeAutospacing="0" w:after="0" w:afterAutospacing="0" w:line="240" w:lineRule="atLeast"/>
              <w:jc w:val="center"/>
              <w:textAlignment w:val="baseline"/>
              <w:rPr>
                <w:rFonts w:hint="eastAsia" w:ascii="宋体" w:hAnsi="宋体" w:eastAsia="宋体" w:cs="宋体"/>
                <w:b w:val="0"/>
                <w:i w:val="0"/>
                <w:caps w:val="0"/>
                <w:color w:val="auto"/>
                <w:spacing w:val="0"/>
                <w:w w:val="100"/>
                <w:sz w:val="24"/>
                <w:szCs w:val="24"/>
                <w:highlight w:val="none"/>
                <w:lang w:val="en-US" w:eastAsia="zh-CN"/>
              </w:rPr>
            </w:pPr>
          </w:p>
        </w:tc>
        <w:tc>
          <w:tcPr>
            <w:tcW w:w="1351" w:type="dxa"/>
            <w:vAlign w:val="center"/>
          </w:tcPr>
          <w:p w14:paraId="3A0861E8">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970" w:type="dxa"/>
            <w:vAlign w:val="center"/>
          </w:tcPr>
          <w:p w14:paraId="7DD05485">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766" w:type="dxa"/>
            <w:vAlign w:val="center"/>
          </w:tcPr>
          <w:p w14:paraId="12BA85D6">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743" w:type="dxa"/>
            <w:vAlign w:val="center"/>
          </w:tcPr>
          <w:p w14:paraId="029CB3DC">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1160" w:type="dxa"/>
            <w:vAlign w:val="center"/>
          </w:tcPr>
          <w:p w14:paraId="1EBCCB47">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1499" w:type="dxa"/>
            <w:vAlign w:val="center"/>
          </w:tcPr>
          <w:p w14:paraId="4A1B8273">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1279" w:type="dxa"/>
            <w:vAlign w:val="center"/>
          </w:tcPr>
          <w:p w14:paraId="2F72D43F">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r>
      <w:tr w14:paraId="7C453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8" w:type="dxa"/>
            <w:vAlign w:val="center"/>
          </w:tcPr>
          <w:p w14:paraId="449FE0E6">
            <w:pPr>
              <w:pStyle w:val="11"/>
              <w:shd w:val="clear"/>
              <w:snapToGrid w:val="0"/>
              <w:spacing w:before="0" w:beforeAutospacing="0" w:after="0" w:afterAutospacing="0" w:line="240" w:lineRule="atLeast"/>
              <w:jc w:val="center"/>
              <w:textAlignment w:val="baseline"/>
              <w:rPr>
                <w:rFonts w:hint="eastAsia" w:ascii="宋体" w:hAnsi="宋体" w:eastAsia="宋体" w:cs="宋体"/>
                <w:b w:val="0"/>
                <w:i w:val="0"/>
                <w:caps w:val="0"/>
                <w:color w:val="auto"/>
                <w:spacing w:val="0"/>
                <w:w w:val="100"/>
                <w:sz w:val="24"/>
                <w:szCs w:val="24"/>
                <w:highlight w:val="none"/>
                <w:lang w:val="en-US" w:eastAsia="zh-CN"/>
              </w:rPr>
            </w:pPr>
          </w:p>
        </w:tc>
        <w:tc>
          <w:tcPr>
            <w:tcW w:w="1351" w:type="dxa"/>
            <w:vAlign w:val="center"/>
          </w:tcPr>
          <w:p w14:paraId="24CA0184">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970" w:type="dxa"/>
            <w:vAlign w:val="center"/>
          </w:tcPr>
          <w:p w14:paraId="6082D4D1">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766" w:type="dxa"/>
            <w:vAlign w:val="center"/>
          </w:tcPr>
          <w:p w14:paraId="1C347482">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743" w:type="dxa"/>
            <w:vAlign w:val="center"/>
          </w:tcPr>
          <w:p w14:paraId="7999F39E">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1160" w:type="dxa"/>
            <w:vAlign w:val="center"/>
          </w:tcPr>
          <w:p w14:paraId="21705F97">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1499" w:type="dxa"/>
            <w:vAlign w:val="center"/>
          </w:tcPr>
          <w:p w14:paraId="68FDA5CD">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1279" w:type="dxa"/>
            <w:vAlign w:val="center"/>
          </w:tcPr>
          <w:p w14:paraId="08FA733B">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r>
      <w:tr w14:paraId="4E6BC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88" w:type="dxa"/>
            <w:vAlign w:val="center"/>
          </w:tcPr>
          <w:p w14:paraId="74281C37">
            <w:pPr>
              <w:pStyle w:val="11"/>
              <w:shd w:val="clear"/>
              <w:snapToGrid w:val="0"/>
              <w:spacing w:before="0" w:beforeAutospacing="0" w:after="0" w:afterAutospacing="0" w:line="240" w:lineRule="atLeast"/>
              <w:jc w:val="center"/>
              <w:textAlignment w:val="baseline"/>
              <w:rPr>
                <w:rFonts w:hint="eastAsia" w:ascii="宋体" w:hAnsi="宋体" w:eastAsia="宋体" w:cs="宋体"/>
                <w:b w:val="0"/>
                <w:i w:val="0"/>
                <w:caps w:val="0"/>
                <w:color w:val="auto"/>
                <w:spacing w:val="0"/>
                <w:w w:val="100"/>
                <w:sz w:val="24"/>
                <w:szCs w:val="24"/>
                <w:highlight w:val="none"/>
                <w:lang w:val="en-US" w:eastAsia="zh-CN"/>
              </w:rPr>
            </w:pPr>
          </w:p>
        </w:tc>
        <w:tc>
          <w:tcPr>
            <w:tcW w:w="1351" w:type="dxa"/>
            <w:vAlign w:val="center"/>
          </w:tcPr>
          <w:p w14:paraId="3F682CA8">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970" w:type="dxa"/>
            <w:vAlign w:val="center"/>
          </w:tcPr>
          <w:p w14:paraId="1E888A3D">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766" w:type="dxa"/>
            <w:vAlign w:val="center"/>
          </w:tcPr>
          <w:p w14:paraId="31989B11">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743" w:type="dxa"/>
            <w:vAlign w:val="center"/>
          </w:tcPr>
          <w:p w14:paraId="5819337E">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1160" w:type="dxa"/>
            <w:vAlign w:val="center"/>
          </w:tcPr>
          <w:p w14:paraId="01D69D25">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1499" w:type="dxa"/>
            <w:vAlign w:val="center"/>
          </w:tcPr>
          <w:p w14:paraId="603E6B9E">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1279" w:type="dxa"/>
            <w:vAlign w:val="center"/>
          </w:tcPr>
          <w:p w14:paraId="5AF7ACB0">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r>
      <w:tr w14:paraId="77572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88" w:type="dxa"/>
            <w:vAlign w:val="center"/>
          </w:tcPr>
          <w:p w14:paraId="179FF87B">
            <w:pPr>
              <w:pStyle w:val="11"/>
              <w:shd w:val="clear"/>
              <w:snapToGrid w:val="0"/>
              <w:spacing w:before="0" w:beforeAutospacing="0" w:after="0" w:afterAutospacing="0" w:line="240" w:lineRule="atLeast"/>
              <w:jc w:val="center"/>
              <w:textAlignment w:val="baseline"/>
              <w:rPr>
                <w:rFonts w:hint="eastAsia" w:ascii="宋体" w:hAnsi="宋体" w:eastAsia="宋体" w:cs="宋体"/>
                <w:b w:val="0"/>
                <w:i w:val="0"/>
                <w:caps w:val="0"/>
                <w:color w:val="auto"/>
                <w:spacing w:val="0"/>
                <w:w w:val="100"/>
                <w:sz w:val="24"/>
                <w:szCs w:val="24"/>
                <w:highlight w:val="none"/>
                <w:lang w:val="en-US" w:eastAsia="zh-CN"/>
              </w:rPr>
            </w:pPr>
          </w:p>
        </w:tc>
        <w:tc>
          <w:tcPr>
            <w:tcW w:w="1351" w:type="dxa"/>
            <w:vAlign w:val="center"/>
          </w:tcPr>
          <w:p w14:paraId="73842FA7">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970" w:type="dxa"/>
            <w:vAlign w:val="center"/>
          </w:tcPr>
          <w:p w14:paraId="25B5485D">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766" w:type="dxa"/>
            <w:vAlign w:val="center"/>
          </w:tcPr>
          <w:p w14:paraId="4C016199">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743" w:type="dxa"/>
            <w:vAlign w:val="center"/>
          </w:tcPr>
          <w:p w14:paraId="4054FEA4">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1160" w:type="dxa"/>
            <w:vAlign w:val="center"/>
          </w:tcPr>
          <w:p w14:paraId="30CDFA3F">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1499" w:type="dxa"/>
            <w:vAlign w:val="center"/>
          </w:tcPr>
          <w:p w14:paraId="5F2493D0">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1279" w:type="dxa"/>
            <w:vAlign w:val="center"/>
          </w:tcPr>
          <w:p w14:paraId="4FE1219E">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r>
      <w:tr w14:paraId="57CEF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588" w:type="dxa"/>
            <w:vAlign w:val="center"/>
          </w:tcPr>
          <w:p w14:paraId="2F9CCAF4">
            <w:pPr>
              <w:pStyle w:val="11"/>
              <w:shd w:val="clear"/>
              <w:snapToGrid w:val="0"/>
              <w:spacing w:before="0" w:beforeAutospacing="0" w:after="0" w:afterAutospacing="0" w:line="240" w:lineRule="atLeast"/>
              <w:jc w:val="center"/>
              <w:textAlignment w:val="baseline"/>
              <w:rPr>
                <w:rFonts w:hint="eastAsia" w:ascii="宋体" w:hAnsi="宋体" w:eastAsia="宋体" w:cs="宋体"/>
                <w:b w:val="0"/>
                <w:i w:val="0"/>
                <w:caps w:val="0"/>
                <w:color w:val="auto"/>
                <w:spacing w:val="0"/>
                <w:w w:val="100"/>
                <w:sz w:val="24"/>
                <w:szCs w:val="24"/>
                <w:highlight w:val="none"/>
                <w:lang w:val="en-US" w:eastAsia="zh-CN"/>
              </w:rPr>
            </w:pPr>
          </w:p>
        </w:tc>
        <w:tc>
          <w:tcPr>
            <w:tcW w:w="1351" w:type="dxa"/>
            <w:vAlign w:val="center"/>
          </w:tcPr>
          <w:p w14:paraId="71ABACE5">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970" w:type="dxa"/>
            <w:vAlign w:val="center"/>
          </w:tcPr>
          <w:p w14:paraId="590141F9">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766" w:type="dxa"/>
            <w:vAlign w:val="center"/>
          </w:tcPr>
          <w:p w14:paraId="26A620A9">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743" w:type="dxa"/>
            <w:vAlign w:val="center"/>
          </w:tcPr>
          <w:p w14:paraId="1FBC77DE">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1160" w:type="dxa"/>
            <w:vAlign w:val="center"/>
          </w:tcPr>
          <w:p w14:paraId="4240576D">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1499" w:type="dxa"/>
            <w:vAlign w:val="center"/>
          </w:tcPr>
          <w:p w14:paraId="77126689">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1279" w:type="dxa"/>
            <w:vAlign w:val="center"/>
          </w:tcPr>
          <w:p w14:paraId="27FD96E7">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r>
      <w:tr w14:paraId="6FECE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588" w:type="dxa"/>
            <w:vAlign w:val="center"/>
          </w:tcPr>
          <w:p w14:paraId="51836C8C">
            <w:pPr>
              <w:pStyle w:val="11"/>
              <w:shd w:val="clear"/>
              <w:snapToGrid w:val="0"/>
              <w:spacing w:before="0" w:beforeAutospacing="0" w:after="0" w:afterAutospacing="0" w:line="240" w:lineRule="atLeast"/>
              <w:jc w:val="center"/>
              <w:textAlignment w:val="baseline"/>
              <w:rPr>
                <w:rFonts w:hint="default" w:hAnsi="宋体" w:cs="宋体"/>
                <w:b w:val="0"/>
                <w:i w:val="0"/>
                <w:caps w:val="0"/>
                <w:color w:val="auto"/>
                <w:spacing w:val="0"/>
                <w:w w:val="100"/>
                <w:sz w:val="24"/>
                <w:szCs w:val="24"/>
                <w:highlight w:val="none"/>
                <w:lang w:val="en-US" w:eastAsia="zh-CN"/>
              </w:rPr>
            </w:pPr>
          </w:p>
        </w:tc>
        <w:tc>
          <w:tcPr>
            <w:tcW w:w="1351" w:type="dxa"/>
            <w:vAlign w:val="center"/>
          </w:tcPr>
          <w:p w14:paraId="3C89E375">
            <w:pPr>
              <w:pStyle w:val="11"/>
              <w:shd w:val="clear"/>
              <w:snapToGrid w:val="0"/>
              <w:spacing w:before="0" w:beforeAutospacing="0" w:after="0" w:afterAutospacing="0" w:line="240" w:lineRule="atLeast"/>
              <w:ind w:left="1080" w:leftChars="257" w:hanging="540"/>
              <w:jc w:val="both"/>
              <w:textAlignment w:val="baseline"/>
              <w:rPr>
                <w:rFonts w:hint="default" w:ascii="宋体" w:hAnsi="宋体" w:eastAsia="宋体" w:cs="宋体"/>
                <w:b w:val="0"/>
                <w:i w:val="0"/>
                <w:caps w:val="0"/>
                <w:color w:val="auto"/>
                <w:spacing w:val="0"/>
                <w:w w:val="100"/>
                <w:sz w:val="24"/>
                <w:szCs w:val="24"/>
                <w:highlight w:val="none"/>
                <w:lang w:val="en-US" w:eastAsia="zh-CN"/>
              </w:rPr>
            </w:pPr>
          </w:p>
        </w:tc>
        <w:tc>
          <w:tcPr>
            <w:tcW w:w="970" w:type="dxa"/>
            <w:vAlign w:val="center"/>
          </w:tcPr>
          <w:p w14:paraId="35F2C7AC">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766" w:type="dxa"/>
            <w:vAlign w:val="center"/>
          </w:tcPr>
          <w:p w14:paraId="5B5554BD">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743" w:type="dxa"/>
            <w:vAlign w:val="center"/>
          </w:tcPr>
          <w:p w14:paraId="47F7B472">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1160" w:type="dxa"/>
            <w:vAlign w:val="center"/>
          </w:tcPr>
          <w:p w14:paraId="48F2C51E">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1499" w:type="dxa"/>
            <w:vAlign w:val="center"/>
          </w:tcPr>
          <w:p w14:paraId="130886D8">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1279" w:type="dxa"/>
            <w:vAlign w:val="center"/>
          </w:tcPr>
          <w:p w14:paraId="190FCB21">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r>
      <w:tr w14:paraId="6DA3F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588" w:type="dxa"/>
            <w:vAlign w:val="center"/>
          </w:tcPr>
          <w:p w14:paraId="32D6F86A">
            <w:pPr>
              <w:pStyle w:val="6"/>
              <w:ind w:left="0" w:leftChars="0" w:firstLine="0" w:firstLineChars="0"/>
              <w:rPr>
                <w:rFonts w:hint="eastAsia"/>
                <w:highlight w:val="none"/>
                <w:lang w:eastAsia="zh-CN"/>
              </w:rPr>
            </w:pPr>
          </w:p>
        </w:tc>
        <w:tc>
          <w:tcPr>
            <w:tcW w:w="4990" w:type="dxa"/>
            <w:gridSpan w:val="5"/>
            <w:vAlign w:val="center"/>
          </w:tcPr>
          <w:p w14:paraId="703FEA7E">
            <w:pPr>
              <w:pStyle w:val="6"/>
              <w:ind w:left="0" w:leftChars="0" w:firstLine="0" w:firstLineChars="0"/>
              <w:rPr>
                <w:rFonts w:hint="eastAsia"/>
                <w:highlight w:val="none"/>
                <w:lang w:val="en-US" w:eastAsia="zh-CN"/>
              </w:rPr>
            </w:pPr>
            <w:r>
              <w:rPr>
                <w:rFonts w:hint="eastAsia"/>
                <w:highlight w:val="none"/>
                <w:lang w:eastAsia="zh-CN"/>
              </w:rPr>
              <w:t>总价</w:t>
            </w:r>
            <w:r>
              <w:rPr>
                <w:rFonts w:hint="eastAsia"/>
                <w:highlight w:val="none"/>
                <w:lang w:val="en-US" w:eastAsia="zh-CN"/>
              </w:rPr>
              <w:t xml:space="preserve">: </w:t>
            </w:r>
          </w:p>
        </w:tc>
        <w:tc>
          <w:tcPr>
            <w:tcW w:w="2778" w:type="dxa"/>
            <w:gridSpan w:val="2"/>
            <w:vAlign w:val="center"/>
          </w:tcPr>
          <w:p w14:paraId="61E0D058">
            <w:pPr>
              <w:pStyle w:val="6"/>
              <w:ind w:left="0" w:leftChars="0" w:firstLine="0" w:firstLineChars="0"/>
              <w:rPr>
                <w:rFonts w:hint="eastAsia"/>
                <w:highlight w:val="none"/>
                <w:lang w:eastAsia="zh-CN"/>
              </w:rPr>
            </w:pPr>
          </w:p>
        </w:tc>
      </w:tr>
    </w:tbl>
    <w:p w14:paraId="5B20BCA3">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p w14:paraId="157974EF">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法定代表人或其委托代理人（签/章）:</w:t>
      </w:r>
      <w:r>
        <w:rPr>
          <w:rFonts w:hint="eastAsia" w:ascii="宋体" w:hAnsi="宋体" w:eastAsia="宋体" w:cs="宋体"/>
          <w:b w:val="0"/>
          <w:i w:val="0"/>
          <w:caps w:val="0"/>
          <w:color w:val="auto"/>
          <w:spacing w:val="0"/>
          <w:w w:val="100"/>
          <w:sz w:val="24"/>
          <w:szCs w:val="24"/>
          <w:highlight w:val="none"/>
          <w:u w:val="single" w:color="000000"/>
        </w:rPr>
        <w:t xml:space="preserve"> </w:t>
      </w:r>
      <w:r>
        <w:rPr>
          <w:rFonts w:hint="eastAsia" w:ascii="宋体" w:hAnsi="宋体" w:eastAsia="宋体" w:cs="宋体"/>
          <w:b w:val="0"/>
          <w:i w:val="0"/>
          <w:caps w:val="0"/>
          <w:color w:val="auto"/>
          <w:spacing w:val="0"/>
          <w:w w:val="100"/>
          <w:sz w:val="24"/>
          <w:szCs w:val="24"/>
          <w:highlight w:val="none"/>
          <w:u w:val="single" w:color="000000"/>
        </w:rPr>
        <w:tab/>
      </w:r>
      <w:r>
        <w:rPr>
          <w:rFonts w:hint="eastAsia" w:ascii="宋体" w:hAnsi="宋体" w:eastAsia="宋体" w:cs="宋体"/>
          <w:b w:val="0"/>
          <w:i w:val="0"/>
          <w:caps w:val="0"/>
          <w:color w:val="auto"/>
          <w:spacing w:val="0"/>
          <w:w w:val="100"/>
          <w:sz w:val="24"/>
          <w:szCs w:val="24"/>
          <w:highlight w:val="none"/>
          <w:u w:val="single" w:color="000000"/>
        </w:rPr>
        <w:t xml:space="preserve">                 </w:t>
      </w:r>
    </w:p>
    <w:p w14:paraId="1966DB80">
      <w:pPr>
        <w:pStyle w:val="11"/>
        <w:shd w:val="clear"/>
        <w:tabs>
          <w:tab w:val="left" w:pos="5370"/>
        </w:tabs>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u w:val="single" w:color="000000"/>
        </w:rPr>
      </w:pPr>
      <w:r>
        <w:rPr>
          <w:rFonts w:hint="eastAsia" w:ascii="宋体" w:hAnsi="宋体" w:eastAsia="宋体" w:cs="宋体"/>
          <w:b w:val="0"/>
          <w:i w:val="0"/>
          <w:caps w:val="0"/>
          <w:color w:val="auto"/>
          <w:spacing w:val="0"/>
          <w:w w:val="100"/>
          <w:sz w:val="24"/>
          <w:szCs w:val="24"/>
          <w:highlight w:val="none"/>
        </w:rPr>
        <w:t>供应商</w:t>
      </w:r>
      <w:r>
        <w:rPr>
          <w:rFonts w:hint="eastAsia" w:ascii="宋体" w:hAnsi="宋体" w:eastAsia="宋体" w:cs="宋体"/>
          <w:b w:val="0"/>
          <w:i w:val="0"/>
          <w:caps w:val="0"/>
          <w:color w:val="auto"/>
          <w:spacing w:val="0"/>
          <w:w w:val="100"/>
          <w:sz w:val="24"/>
          <w:szCs w:val="24"/>
          <w:highlight w:val="none"/>
          <w:lang w:val="en-US" w:eastAsia="zh-CN"/>
        </w:rPr>
        <w:t>名称</w:t>
      </w:r>
      <w:r>
        <w:rPr>
          <w:rFonts w:hint="eastAsia" w:ascii="宋体" w:hAnsi="宋体" w:eastAsia="宋体" w:cs="宋体"/>
          <w:b w:val="0"/>
          <w:i w:val="0"/>
          <w:caps w:val="0"/>
          <w:color w:val="auto"/>
          <w:spacing w:val="0"/>
          <w:w w:val="100"/>
          <w:sz w:val="24"/>
          <w:szCs w:val="24"/>
          <w:highlight w:val="none"/>
        </w:rPr>
        <w:t>(公章):</w:t>
      </w:r>
      <w:r>
        <w:rPr>
          <w:rFonts w:hint="eastAsia" w:ascii="宋体" w:hAnsi="宋体" w:eastAsia="宋体" w:cs="宋体"/>
          <w:b w:val="0"/>
          <w:i w:val="0"/>
          <w:caps w:val="0"/>
          <w:color w:val="auto"/>
          <w:spacing w:val="0"/>
          <w:w w:val="100"/>
          <w:sz w:val="24"/>
          <w:szCs w:val="24"/>
          <w:highlight w:val="none"/>
          <w:u w:val="single" w:color="000000"/>
        </w:rPr>
        <w:tab/>
      </w:r>
    </w:p>
    <w:p w14:paraId="07326163">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p w14:paraId="4CE5865C">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p w14:paraId="5604D1FF">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sectPr>
          <w:footerReference r:id="rId7" w:type="default"/>
          <w:pgSz w:w="11906" w:h="16838"/>
          <w:pgMar w:top="1440" w:right="1797" w:bottom="1440" w:left="1797" w:header="851" w:footer="992" w:gutter="0"/>
          <w:pgNumType w:fmt="decimal"/>
          <w:cols w:space="720" w:num="1"/>
          <w:docGrid w:linePitch="312" w:charSpace="0"/>
        </w:sectPr>
      </w:pPr>
    </w:p>
    <w:p w14:paraId="0BCDC415">
      <w:pPr>
        <w:pStyle w:val="11"/>
        <w:shd w:val="clear"/>
        <w:spacing w:line="240" w:lineRule="atLeast"/>
        <w:ind w:left="1080" w:leftChars="257" w:hanging="540"/>
        <w:jc w:val="center"/>
        <w:outlineLvl w:val="1"/>
        <w:rPr>
          <w:rFonts w:hint="eastAsia" w:ascii="宋体" w:hAnsi="宋体" w:eastAsia="宋体" w:cs="宋体"/>
          <w:b/>
          <w:bCs/>
          <w:color w:val="auto"/>
          <w:sz w:val="24"/>
          <w:szCs w:val="24"/>
          <w:highlight w:val="none"/>
        </w:rPr>
      </w:pPr>
      <w:bookmarkStart w:id="617" w:name="_Toc13229"/>
      <w:bookmarkStart w:id="618" w:name="_Toc10773"/>
      <w:bookmarkStart w:id="619" w:name="_Toc23542"/>
      <w:bookmarkStart w:id="620" w:name="_Toc28414"/>
      <w:bookmarkStart w:id="621" w:name="_Toc3537"/>
      <w:bookmarkStart w:id="622" w:name="_Toc26490"/>
      <w:bookmarkStart w:id="623" w:name="_Toc21345"/>
      <w:bookmarkStart w:id="624" w:name="_Toc4742"/>
      <w:bookmarkStart w:id="625" w:name="_Toc32666"/>
      <w:bookmarkStart w:id="626" w:name="_Toc13093"/>
      <w:bookmarkStart w:id="627" w:name="_Toc22563"/>
      <w:bookmarkStart w:id="628" w:name="_Toc1130"/>
      <w:bookmarkStart w:id="629" w:name="_Toc9012"/>
      <w:bookmarkStart w:id="630" w:name="_Toc4880"/>
      <w:bookmarkStart w:id="631" w:name="_Toc1232"/>
      <w:bookmarkStart w:id="632" w:name="_Toc216582817"/>
      <w:bookmarkStart w:id="633" w:name="_Toc24864"/>
      <w:bookmarkStart w:id="634" w:name="_Toc338"/>
      <w:bookmarkStart w:id="635" w:name="_Toc28959"/>
      <w:bookmarkStart w:id="636" w:name="_Toc515647820"/>
      <w:bookmarkStart w:id="637" w:name="_Toc32689"/>
      <w:bookmarkStart w:id="638" w:name="_Toc23"/>
      <w:bookmarkStart w:id="639" w:name="_Toc515647821"/>
      <w:bookmarkStart w:id="640" w:name="_Toc24350"/>
      <w:bookmarkStart w:id="641" w:name="_Toc4467"/>
      <w:bookmarkStart w:id="642" w:name="_Toc3060"/>
      <w:bookmarkStart w:id="643" w:name="_Toc15724"/>
      <w:bookmarkStart w:id="644" w:name="_Toc216582818"/>
      <w:bookmarkStart w:id="645" w:name="_Toc3332"/>
      <w:bookmarkStart w:id="646" w:name="_Toc13810"/>
      <w:bookmarkStart w:id="647" w:name="_Toc1980"/>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技术</w:t>
      </w:r>
      <w:r>
        <w:rPr>
          <w:rFonts w:hint="eastAsia" w:hAnsi="宋体" w:cs="宋体"/>
          <w:b/>
          <w:bCs/>
          <w:color w:val="auto"/>
          <w:sz w:val="24"/>
          <w:szCs w:val="24"/>
          <w:highlight w:val="none"/>
          <w:lang w:val="en-US" w:eastAsia="zh-CN"/>
        </w:rPr>
        <w:t>条款</w:t>
      </w:r>
      <w:r>
        <w:rPr>
          <w:rFonts w:hint="eastAsia" w:ascii="宋体" w:hAnsi="宋体" w:eastAsia="宋体" w:cs="宋体"/>
          <w:b/>
          <w:bCs/>
          <w:color w:val="auto"/>
          <w:sz w:val="24"/>
          <w:szCs w:val="24"/>
          <w:highlight w:val="none"/>
        </w:rPr>
        <w:t>偏离表</w:t>
      </w:r>
      <w:bookmarkEnd w:id="617"/>
      <w:bookmarkEnd w:id="618"/>
      <w:bookmarkEnd w:id="619"/>
      <w:bookmarkEnd w:id="620"/>
      <w:bookmarkEnd w:id="621"/>
      <w:bookmarkEnd w:id="622"/>
      <w:bookmarkEnd w:id="623"/>
      <w:bookmarkEnd w:id="624"/>
      <w:bookmarkEnd w:id="625"/>
      <w:bookmarkEnd w:id="626"/>
    </w:p>
    <w:p w14:paraId="38D48B7A">
      <w:pPr>
        <w:pStyle w:val="11"/>
        <w:shd w:val="clear"/>
        <w:spacing w:line="240" w:lineRule="atLeast"/>
        <w:ind w:left="1080" w:leftChars="257" w:hanging="540"/>
        <w:rPr>
          <w:rFonts w:hint="eastAsia" w:ascii="宋体" w:hAnsi="宋体" w:eastAsia="宋体" w:cs="宋体"/>
          <w:color w:val="auto"/>
          <w:sz w:val="24"/>
          <w:szCs w:val="24"/>
          <w:highlight w:val="none"/>
        </w:rPr>
      </w:pPr>
    </w:p>
    <w:p w14:paraId="38EB7517">
      <w:pPr>
        <w:pStyle w:val="11"/>
        <w:shd w:val="clear"/>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14:paraId="1F4DD9EE">
      <w:pPr>
        <w:pStyle w:val="11"/>
        <w:shd w:val="clear"/>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项目编号</w:t>
      </w:r>
      <w:r>
        <w:rPr>
          <w:rFonts w:hint="eastAsia" w:ascii="宋体" w:hAnsi="宋体" w:eastAsia="宋体" w:cs="宋体"/>
          <w:color w:val="auto"/>
          <w:sz w:val="24"/>
          <w:szCs w:val="24"/>
          <w:highlight w:val="none"/>
        </w:rPr>
        <w:t xml:space="preserve">:               </w:t>
      </w:r>
    </w:p>
    <w:tbl>
      <w:tblPr>
        <w:tblStyle w:val="24"/>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30"/>
        <w:gridCol w:w="2472"/>
        <w:gridCol w:w="1331"/>
        <w:gridCol w:w="1331"/>
        <w:gridCol w:w="950"/>
        <w:gridCol w:w="951"/>
      </w:tblGrid>
      <w:tr w14:paraId="3AF1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vAlign w:val="center"/>
          </w:tcPr>
          <w:p w14:paraId="29A3D0DC">
            <w:pPr>
              <w:pStyle w:val="11"/>
              <w:shd w:val="clear"/>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330" w:type="dxa"/>
            <w:vAlign w:val="center"/>
          </w:tcPr>
          <w:p w14:paraId="75708EB1">
            <w:pPr>
              <w:pStyle w:val="11"/>
              <w:shd w:val="clear"/>
              <w:spacing w:line="240" w:lineRule="atLeast"/>
              <w:jc w:val="center"/>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472" w:type="dxa"/>
            <w:vAlign w:val="center"/>
          </w:tcPr>
          <w:p w14:paraId="7C40F90E">
            <w:pPr>
              <w:pStyle w:val="11"/>
              <w:shd w:val="clear"/>
              <w:spacing w:line="240" w:lineRule="atLeast"/>
              <w:ind w:left="269" w:leftChars="12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文件条款号</w:t>
            </w:r>
          </w:p>
        </w:tc>
        <w:tc>
          <w:tcPr>
            <w:tcW w:w="1331" w:type="dxa"/>
            <w:vAlign w:val="center"/>
          </w:tcPr>
          <w:p w14:paraId="0EADCF6F">
            <w:pPr>
              <w:pStyle w:val="11"/>
              <w:shd w:val="clear"/>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规格</w:t>
            </w:r>
          </w:p>
        </w:tc>
        <w:tc>
          <w:tcPr>
            <w:tcW w:w="1331" w:type="dxa"/>
            <w:vAlign w:val="center"/>
          </w:tcPr>
          <w:p w14:paraId="212BF2F2">
            <w:pPr>
              <w:pStyle w:val="11"/>
              <w:shd w:val="clear"/>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规格</w:t>
            </w:r>
          </w:p>
        </w:tc>
        <w:tc>
          <w:tcPr>
            <w:tcW w:w="950" w:type="dxa"/>
            <w:vAlign w:val="center"/>
          </w:tcPr>
          <w:p w14:paraId="7FCA1E40">
            <w:pPr>
              <w:pStyle w:val="11"/>
              <w:shd w:val="clear"/>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tc>
        <w:tc>
          <w:tcPr>
            <w:tcW w:w="951" w:type="dxa"/>
            <w:vAlign w:val="center"/>
          </w:tcPr>
          <w:p w14:paraId="094A0AC9">
            <w:pPr>
              <w:pStyle w:val="11"/>
              <w:shd w:val="clear"/>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r>
      <w:tr w14:paraId="046CE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31DDAE52">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1330" w:type="dxa"/>
          </w:tcPr>
          <w:p w14:paraId="5A6DC050">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2472" w:type="dxa"/>
          </w:tcPr>
          <w:p w14:paraId="1F29F347">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1331" w:type="dxa"/>
          </w:tcPr>
          <w:p w14:paraId="19E66E37">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1331" w:type="dxa"/>
          </w:tcPr>
          <w:p w14:paraId="39F80050">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950" w:type="dxa"/>
          </w:tcPr>
          <w:p w14:paraId="06535A08">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951" w:type="dxa"/>
          </w:tcPr>
          <w:p w14:paraId="64707F84">
            <w:pPr>
              <w:pStyle w:val="11"/>
              <w:shd w:val="clear"/>
              <w:spacing w:line="240" w:lineRule="atLeast"/>
              <w:ind w:left="1080" w:leftChars="257" w:hanging="540"/>
              <w:rPr>
                <w:rFonts w:hint="eastAsia" w:ascii="宋体" w:hAnsi="宋体" w:eastAsia="宋体" w:cs="宋体"/>
                <w:color w:val="auto"/>
                <w:sz w:val="24"/>
                <w:szCs w:val="24"/>
                <w:highlight w:val="none"/>
              </w:rPr>
            </w:pPr>
          </w:p>
        </w:tc>
      </w:tr>
      <w:tr w14:paraId="48C3B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274044BA">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1330" w:type="dxa"/>
          </w:tcPr>
          <w:p w14:paraId="74752A76">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2472" w:type="dxa"/>
          </w:tcPr>
          <w:p w14:paraId="2E814EB7">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1331" w:type="dxa"/>
          </w:tcPr>
          <w:p w14:paraId="13CD38C3">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1331" w:type="dxa"/>
          </w:tcPr>
          <w:p w14:paraId="0CB27034">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950" w:type="dxa"/>
          </w:tcPr>
          <w:p w14:paraId="322273CD">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951" w:type="dxa"/>
          </w:tcPr>
          <w:p w14:paraId="6977CC6B">
            <w:pPr>
              <w:pStyle w:val="11"/>
              <w:shd w:val="clear"/>
              <w:spacing w:line="240" w:lineRule="atLeast"/>
              <w:ind w:left="1080" w:leftChars="257" w:hanging="540"/>
              <w:rPr>
                <w:rFonts w:hint="eastAsia" w:ascii="宋体" w:hAnsi="宋体" w:eastAsia="宋体" w:cs="宋体"/>
                <w:color w:val="auto"/>
                <w:sz w:val="24"/>
                <w:szCs w:val="24"/>
                <w:highlight w:val="none"/>
              </w:rPr>
            </w:pPr>
          </w:p>
        </w:tc>
      </w:tr>
      <w:tr w14:paraId="4CF22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1830CEC2">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1330" w:type="dxa"/>
          </w:tcPr>
          <w:p w14:paraId="3D108B87">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2472" w:type="dxa"/>
          </w:tcPr>
          <w:p w14:paraId="0DF3F441">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1331" w:type="dxa"/>
          </w:tcPr>
          <w:p w14:paraId="4499952E">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1331" w:type="dxa"/>
          </w:tcPr>
          <w:p w14:paraId="57660CC7">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950" w:type="dxa"/>
          </w:tcPr>
          <w:p w14:paraId="0935F0C2">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951" w:type="dxa"/>
          </w:tcPr>
          <w:p w14:paraId="4D91FF75">
            <w:pPr>
              <w:pStyle w:val="11"/>
              <w:shd w:val="clear"/>
              <w:spacing w:line="240" w:lineRule="atLeast"/>
              <w:ind w:left="1080" w:leftChars="257" w:hanging="540"/>
              <w:rPr>
                <w:rFonts w:hint="eastAsia" w:ascii="宋体" w:hAnsi="宋体" w:eastAsia="宋体" w:cs="宋体"/>
                <w:color w:val="auto"/>
                <w:sz w:val="24"/>
                <w:szCs w:val="24"/>
                <w:highlight w:val="none"/>
              </w:rPr>
            </w:pPr>
          </w:p>
        </w:tc>
      </w:tr>
      <w:tr w14:paraId="6D5AE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35FF0D57">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1330" w:type="dxa"/>
          </w:tcPr>
          <w:p w14:paraId="74A4D62C">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2472" w:type="dxa"/>
          </w:tcPr>
          <w:p w14:paraId="3C592C05">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1331" w:type="dxa"/>
          </w:tcPr>
          <w:p w14:paraId="1EE6BB5D">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1331" w:type="dxa"/>
          </w:tcPr>
          <w:p w14:paraId="56FEE426">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950" w:type="dxa"/>
          </w:tcPr>
          <w:p w14:paraId="5178C4EB">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951" w:type="dxa"/>
          </w:tcPr>
          <w:p w14:paraId="58758768">
            <w:pPr>
              <w:pStyle w:val="11"/>
              <w:shd w:val="clear"/>
              <w:spacing w:line="240" w:lineRule="atLeast"/>
              <w:ind w:left="1080" w:leftChars="257" w:hanging="540"/>
              <w:rPr>
                <w:rFonts w:hint="eastAsia" w:ascii="宋体" w:hAnsi="宋体" w:eastAsia="宋体" w:cs="宋体"/>
                <w:color w:val="auto"/>
                <w:sz w:val="24"/>
                <w:szCs w:val="24"/>
                <w:highlight w:val="none"/>
              </w:rPr>
            </w:pPr>
          </w:p>
        </w:tc>
      </w:tr>
      <w:tr w14:paraId="43450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6555B87B">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1330" w:type="dxa"/>
          </w:tcPr>
          <w:p w14:paraId="240DC651">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2472" w:type="dxa"/>
          </w:tcPr>
          <w:p w14:paraId="7130F57F">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1331" w:type="dxa"/>
          </w:tcPr>
          <w:p w14:paraId="157A6F3D">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1331" w:type="dxa"/>
          </w:tcPr>
          <w:p w14:paraId="7C0398D2">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950" w:type="dxa"/>
          </w:tcPr>
          <w:p w14:paraId="3619D82B">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951" w:type="dxa"/>
          </w:tcPr>
          <w:p w14:paraId="37AD38B8">
            <w:pPr>
              <w:pStyle w:val="11"/>
              <w:shd w:val="clear"/>
              <w:spacing w:line="240" w:lineRule="atLeast"/>
              <w:ind w:left="1080" w:leftChars="257" w:hanging="540"/>
              <w:rPr>
                <w:rFonts w:hint="eastAsia" w:ascii="宋体" w:hAnsi="宋体" w:eastAsia="宋体" w:cs="宋体"/>
                <w:color w:val="auto"/>
                <w:sz w:val="24"/>
                <w:szCs w:val="24"/>
                <w:highlight w:val="none"/>
              </w:rPr>
            </w:pPr>
          </w:p>
        </w:tc>
      </w:tr>
      <w:tr w14:paraId="2B786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27312C67">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1330" w:type="dxa"/>
          </w:tcPr>
          <w:p w14:paraId="3FE0F616">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2472" w:type="dxa"/>
          </w:tcPr>
          <w:p w14:paraId="4E107FD9">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1331" w:type="dxa"/>
          </w:tcPr>
          <w:p w14:paraId="0DD6A23B">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1331" w:type="dxa"/>
          </w:tcPr>
          <w:p w14:paraId="7CC18385">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950" w:type="dxa"/>
          </w:tcPr>
          <w:p w14:paraId="300597DC">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951" w:type="dxa"/>
          </w:tcPr>
          <w:p w14:paraId="2BAF7F17">
            <w:pPr>
              <w:pStyle w:val="11"/>
              <w:shd w:val="clear"/>
              <w:spacing w:line="240" w:lineRule="atLeast"/>
              <w:ind w:left="1080" w:leftChars="257" w:hanging="540"/>
              <w:rPr>
                <w:rFonts w:hint="eastAsia" w:ascii="宋体" w:hAnsi="宋体" w:eastAsia="宋体" w:cs="宋体"/>
                <w:color w:val="auto"/>
                <w:sz w:val="24"/>
                <w:szCs w:val="24"/>
                <w:highlight w:val="none"/>
              </w:rPr>
            </w:pPr>
          </w:p>
        </w:tc>
      </w:tr>
      <w:tr w14:paraId="77C66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75" w:type="dxa"/>
          </w:tcPr>
          <w:p w14:paraId="1498C18C">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1330" w:type="dxa"/>
          </w:tcPr>
          <w:p w14:paraId="1B117C58">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2472" w:type="dxa"/>
          </w:tcPr>
          <w:p w14:paraId="08D6BE42">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1331" w:type="dxa"/>
          </w:tcPr>
          <w:p w14:paraId="410F68F1">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1331" w:type="dxa"/>
          </w:tcPr>
          <w:p w14:paraId="6E0A71C8">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950" w:type="dxa"/>
          </w:tcPr>
          <w:p w14:paraId="02691AF1">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951" w:type="dxa"/>
          </w:tcPr>
          <w:p w14:paraId="611EA07B">
            <w:pPr>
              <w:pStyle w:val="11"/>
              <w:shd w:val="clear"/>
              <w:spacing w:line="240" w:lineRule="atLeast"/>
              <w:ind w:left="1080" w:leftChars="257" w:hanging="540"/>
              <w:rPr>
                <w:rFonts w:hint="eastAsia" w:ascii="宋体" w:hAnsi="宋体" w:eastAsia="宋体" w:cs="宋体"/>
                <w:color w:val="auto"/>
                <w:sz w:val="24"/>
                <w:szCs w:val="24"/>
                <w:highlight w:val="none"/>
              </w:rPr>
            </w:pPr>
          </w:p>
        </w:tc>
      </w:tr>
    </w:tbl>
    <w:p w14:paraId="1ABDA3C8">
      <w:pPr>
        <w:pStyle w:val="11"/>
        <w:shd w:val="clear"/>
        <w:spacing w:line="240" w:lineRule="atLeast"/>
        <w:rPr>
          <w:rFonts w:hint="eastAsia" w:ascii="宋体" w:hAnsi="宋体" w:eastAsia="宋体" w:cs="宋体"/>
          <w:color w:val="auto"/>
          <w:sz w:val="24"/>
          <w:szCs w:val="24"/>
          <w:highlight w:val="none"/>
        </w:rPr>
      </w:pPr>
    </w:p>
    <w:p w14:paraId="16FB35F3">
      <w:pPr>
        <w:pStyle w:val="11"/>
        <w:shd w:val="clear"/>
        <w:spacing w:line="240" w:lineRule="atLeas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签/章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p>
    <w:p w14:paraId="44A34B4B">
      <w:pPr>
        <w:pStyle w:val="11"/>
        <w:shd w:val="clear"/>
        <w:tabs>
          <w:tab w:val="left" w:pos="5370"/>
        </w:tabs>
        <w:spacing w:line="240" w:lineRule="atLeast"/>
        <w:ind w:left="1080" w:leftChars="257" w:hanging="5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供应商</w:t>
      </w:r>
      <w:r>
        <w:rPr>
          <w:rFonts w:hint="eastAsia" w:ascii="宋体" w:hAnsi="宋体" w:eastAsia="宋体" w:cs="宋体"/>
          <w:b w:val="0"/>
          <w:i w:val="0"/>
          <w:caps w:val="0"/>
          <w:color w:val="auto"/>
          <w:spacing w:val="0"/>
          <w:w w:val="100"/>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公章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ab/>
      </w:r>
    </w:p>
    <w:p w14:paraId="7CCF0AA5">
      <w:pPr>
        <w:pStyle w:val="11"/>
        <w:shd w:val="clear"/>
        <w:tabs>
          <w:tab w:val="left" w:pos="5370"/>
        </w:tabs>
        <w:spacing w:line="240" w:lineRule="atLeast"/>
        <w:ind w:left="1080" w:leftChars="257" w:hanging="540"/>
        <w:rPr>
          <w:rFonts w:hint="eastAsia" w:ascii="宋体" w:hAnsi="宋体" w:eastAsia="宋体" w:cs="宋体"/>
          <w:color w:val="auto"/>
          <w:sz w:val="24"/>
          <w:szCs w:val="24"/>
          <w:highlight w:val="none"/>
          <w:u w:val="single"/>
        </w:rPr>
      </w:pPr>
    </w:p>
    <w:p w14:paraId="157E3386">
      <w:pPr>
        <w:pStyle w:val="11"/>
        <w:shd w:val="clear"/>
        <w:tabs>
          <w:tab w:val="left" w:pos="5370"/>
        </w:tabs>
        <w:spacing w:line="240" w:lineRule="atLeast"/>
        <w:ind w:left="1080" w:leftChars="257" w:hanging="540"/>
        <w:rPr>
          <w:rFonts w:hint="eastAsia" w:ascii="宋体" w:hAnsi="宋体" w:eastAsia="宋体" w:cs="宋体"/>
          <w:color w:val="auto"/>
          <w:sz w:val="24"/>
          <w:szCs w:val="24"/>
          <w:highlight w:val="none"/>
          <w:u w:val="single"/>
        </w:rPr>
      </w:pPr>
    </w:p>
    <w:p w14:paraId="5CD6618E">
      <w:pPr>
        <w:pStyle w:val="11"/>
        <w:shd w:val="clear"/>
        <w:tabs>
          <w:tab w:val="left" w:pos="5370"/>
        </w:tabs>
        <w:spacing w:line="240" w:lineRule="atLeast"/>
        <w:ind w:left="1080" w:leftChars="257" w:hanging="540"/>
        <w:rPr>
          <w:rFonts w:hint="eastAsia" w:ascii="宋体" w:hAnsi="宋体" w:eastAsia="宋体" w:cs="宋体"/>
          <w:color w:val="auto"/>
          <w:sz w:val="24"/>
          <w:szCs w:val="24"/>
          <w:highlight w:val="none"/>
          <w:u w:val="single"/>
        </w:rPr>
      </w:pPr>
    </w:p>
    <w:p w14:paraId="4123CBF9">
      <w:pPr>
        <w:pStyle w:val="11"/>
        <w:shd w:val="clear"/>
        <w:tabs>
          <w:tab w:val="left" w:pos="5370"/>
        </w:tabs>
        <w:spacing w:line="240" w:lineRule="atLeast"/>
        <w:ind w:left="1080" w:leftChars="257" w:hanging="540"/>
        <w:rPr>
          <w:rFonts w:hint="eastAsia" w:ascii="宋体" w:hAnsi="宋体" w:eastAsia="宋体" w:cs="宋体"/>
          <w:color w:val="auto"/>
          <w:sz w:val="24"/>
          <w:szCs w:val="24"/>
          <w:highlight w:val="none"/>
          <w:u w:val="single"/>
        </w:rPr>
      </w:pPr>
    </w:p>
    <w:p w14:paraId="18A89C20">
      <w:pPr>
        <w:pStyle w:val="11"/>
        <w:shd w:val="clear"/>
        <w:tabs>
          <w:tab w:val="left" w:pos="5370"/>
        </w:tabs>
        <w:spacing w:line="240" w:lineRule="atLeast"/>
        <w:ind w:left="1080" w:leftChars="257" w:hanging="540"/>
        <w:rPr>
          <w:rFonts w:hint="eastAsia" w:ascii="宋体" w:hAnsi="宋体" w:eastAsia="宋体" w:cs="宋体"/>
          <w:color w:val="auto"/>
          <w:sz w:val="24"/>
          <w:szCs w:val="24"/>
          <w:highlight w:val="none"/>
          <w:u w:val="single"/>
        </w:rPr>
      </w:pPr>
    </w:p>
    <w:p w14:paraId="3607273E">
      <w:pPr>
        <w:pStyle w:val="11"/>
        <w:shd w:val="clear"/>
        <w:tabs>
          <w:tab w:val="left" w:pos="5370"/>
        </w:tabs>
        <w:spacing w:line="240" w:lineRule="atLeast"/>
        <w:ind w:left="1080" w:leftChars="257" w:hanging="540"/>
        <w:rPr>
          <w:rFonts w:hint="eastAsia" w:ascii="宋体" w:hAnsi="宋体" w:eastAsia="宋体" w:cs="宋体"/>
          <w:color w:val="auto"/>
          <w:sz w:val="24"/>
          <w:szCs w:val="24"/>
          <w:highlight w:val="none"/>
          <w:u w:val="single"/>
        </w:rPr>
      </w:pPr>
    </w:p>
    <w:p w14:paraId="6025AECE">
      <w:pPr>
        <w:pStyle w:val="11"/>
        <w:shd w:val="clear"/>
        <w:tabs>
          <w:tab w:val="left" w:pos="5370"/>
        </w:tabs>
        <w:spacing w:line="240" w:lineRule="atLeast"/>
        <w:ind w:left="1080" w:leftChars="257" w:hanging="540"/>
        <w:rPr>
          <w:rFonts w:hint="eastAsia" w:ascii="宋体" w:hAnsi="宋体" w:eastAsia="宋体" w:cs="宋体"/>
          <w:color w:val="auto"/>
          <w:sz w:val="24"/>
          <w:szCs w:val="24"/>
          <w:highlight w:val="none"/>
          <w:u w:val="single"/>
        </w:rPr>
      </w:pPr>
    </w:p>
    <w:p w14:paraId="66C270DD">
      <w:pP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br w:type="page"/>
      </w:r>
    </w:p>
    <w:bookmarkEnd w:id="627"/>
    <w:bookmarkEnd w:id="628"/>
    <w:bookmarkEnd w:id="629"/>
    <w:bookmarkEnd w:id="630"/>
    <w:bookmarkEnd w:id="631"/>
    <w:bookmarkEnd w:id="632"/>
    <w:bookmarkEnd w:id="633"/>
    <w:bookmarkEnd w:id="634"/>
    <w:bookmarkEnd w:id="635"/>
    <w:bookmarkEnd w:id="636"/>
    <w:bookmarkEnd w:id="637"/>
    <w:p w14:paraId="3152100D">
      <w:pPr>
        <w:pStyle w:val="3"/>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i w:val="0"/>
          <w:caps w:val="0"/>
          <w:color w:val="auto"/>
          <w:spacing w:val="0"/>
          <w:w w:val="100"/>
          <w:sz w:val="24"/>
          <w:szCs w:val="24"/>
          <w:highlight w:val="none"/>
        </w:rPr>
      </w:pPr>
      <w:bookmarkStart w:id="648" w:name="_Toc24101"/>
      <w:bookmarkStart w:id="649" w:name="_Toc13576"/>
      <w:r>
        <w:rPr>
          <w:rFonts w:hint="eastAsia" w:ascii="宋体" w:hAnsi="宋体" w:eastAsia="宋体" w:cs="宋体"/>
          <w:b/>
          <w:i w:val="0"/>
          <w:caps w:val="0"/>
          <w:color w:val="auto"/>
          <w:spacing w:val="0"/>
          <w:w w:val="100"/>
          <w:sz w:val="24"/>
          <w:szCs w:val="24"/>
          <w:highlight w:val="none"/>
          <w:lang w:val="en-US" w:eastAsia="zh-CN"/>
        </w:rPr>
        <w:t>5</w:t>
      </w:r>
      <w:r>
        <w:rPr>
          <w:rFonts w:hint="eastAsia" w:ascii="宋体" w:hAnsi="宋体" w:eastAsia="宋体" w:cs="宋体"/>
          <w:b/>
          <w:i w:val="0"/>
          <w:caps w:val="0"/>
          <w:color w:val="auto"/>
          <w:spacing w:val="0"/>
          <w:w w:val="100"/>
          <w:sz w:val="24"/>
          <w:szCs w:val="24"/>
          <w:highlight w:val="none"/>
          <w:lang w:eastAsia="zh-CN"/>
        </w:rPr>
        <w:t>、</w:t>
      </w:r>
      <w:r>
        <w:rPr>
          <w:rFonts w:hint="eastAsia" w:ascii="宋体" w:hAnsi="宋体" w:eastAsia="宋体" w:cs="宋体"/>
          <w:b/>
          <w:i w:val="0"/>
          <w:caps w:val="0"/>
          <w:color w:val="auto"/>
          <w:spacing w:val="0"/>
          <w:w w:val="100"/>
          <w:sz w:val="24"/>
          <w:szCs w:val="24"/>
          <w:highlight w:val="none"/>
        </w:rPr>
        <w:t>商务条款偏离表</w:t>
      </w:r>
      <w:bookmarkEnd w:id="638"/>
      <w:bookmarkEnd w:id="639"/>
      <w:bookmarkEnd w:id="640"/>
      <w:bookmarkEnd w:id="641"/>
      <w:bookmarkEnd w:id="642"/>
      <w:bookmarkEnd w:id="643"/>
      <w:bookmarkEnd w:id="644"/>
      <w:bookmarkEnd w:id="645"/>
      <w:bookmarkEnd w:id="646"/>
      <w:bookmarkEnd w:id="647"/>
      <w:bookmarkEnd w:id="648"/>
      <w:bookmarkEnd w:id="649"/>
    </w:p>
    <w:p w14:paraId="3C463374">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项目名称:                      </w:t>
      </w:r>
    </w:p>
    <w:p w14:paraId="3D0A9078">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lang w:eastAsia="zh-CN"/>
        </w:rPr>
        <w:t>项目编号</w:t>
      </w:r>
      <w:r>
        <w:rPr>
          <w:rFonts w:hint="eastAsia" w:ascii="宋体" w:hAnsi="宋体" w:eastAsia="宋体" w:cs="宋体"/>
          <w:b w:val="0"/>
          <w:i w:val="0"/>
          <w:caps w:val="0"/>
          <w:color w:val="auto"/>
          <w:spacing w:val="0"/>
          <w:w w:val="100"/>
          <w:sz w:val="24"/>
          <w:szCs w:val="24"/>
          <w:highlight w:val="none"/>
        </w:rPr>
        <w:t xml:space="preserve">:                                </w:t>
      </w:r>
    </w:p>
    <w:tbl>
      <w:tblPr>
        <w:tblStyle w:val="2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22656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3F36DE36">
            <w:pPr>
              <w:pStyle w:val="11"/>
              <w:shd w:val="clear"/>
              <w:snapToGrid w:val="0"/>
              <w:spacing w:before="0" w:beforeAutospacing="0" w:after="0" w:afterAutospacing="0" w:line="240" w:lineRule="atLeast"/>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序号</w:t>
            </w:r>
          </w:p>
        </w:tc>
        <w:tc>
          <w:tcPr>
            <w:tcW w:w="2040" w:type="dxa"/>
          </w:tcPr>
          <w:p w14:paraId="26B70FBB">
            <w:pPr>
              <w:pStyle w:val="11"/>
              <w:shd w:val="clear"/>
              <w:snapToGrid w:val="0"/>
              <w:spacing w:before="0" w:beforeAutospacing="0" w:after="0" w:afterAutospacing="0" w:line="240" w:lineRule="atLeast"/>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磋商文件条款号</w:t>
            </w:r>
          </w:p>
        </w:tc>
        <w:tc>
          <w:tcPr>
            <w:tcW w:w="2520" w:type="dxa"/>
          </w:tcPr>
          <w:p w14:paraId="5A7B388B">
            <w:pPr>
              <w:pStyle w:val="11"/>
              <w:shd w:val="clear"/>
              <w:snapToGrid w:val="0"/>
              <w:spacing w:before="0" w:beforeAutospacing="0" w:after="0" w:afterAutospacing="0" w:line="240" w:lineRule="atLeast"/>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磋商文件的商务条款</w:t>
            </w:r>
          </w:p>
        </w:tc>
        <w:tc>
          <w:tcPr>
            <w:tcW w:w="2520" w:type="dxa"/>
          </w:tcPr>
          <w:p w14:paraId="55A16F16">
            <w:pPr>
              <w:pStyle w:val="11"/>
              <w:shd w:val="clear"/>
              <w:snapToGrid w:val="0"/>
              <w:spacing w:before="0" w:beforeAutospacing="0" w:after="0" w:afterAutospacing="0" w:line="240" w:lineRule="atLeast"/>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磋商文件的商务条款</w:t>
            </w:r>
          </w:p>
        </w:tc>
        <w:tc>
          <w:tcPr>
            <w:tcW w:w="900" w:type="dxa"/>
          </w:tcPr>
          <w:p w14:paraId="2A976117">
            <w:pPr>
              <w:pStyle w:val="11"/>
              <w:shd w:val="clear"/>
              <w:snapToGrid w:val="0"/>
              <w:spacing w:before="0" w:beforeAutospacing="0" w:after="0" w:afterAutospacing="0" w:line="240" w:lineRule="atLeast"/>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说明</w:t>
            </w:r>
          </w:p>
        </w:tc>
      </w:tr>
      <w:tr w14:paraId="48848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347F9FC8">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040" w:type="dxa"/>
          </w:tcPr>
          <w:p w14:paraId="3BAE384B">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35341587">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24B58BAE">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900" w:type="dxa"/>
          </w:tcPr>
          <w:p w14:paraId="26401E05">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r>
      <w:tr w14:paraId="22CFE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79049AE7">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040" w:type="dxa"/>
          </w:tcPr>
          <w:p w14:paraId="39F93935">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06CDC080">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4CA3C9D3">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900" w:type="dxa"/>
          </w:tcPr>
          <w:p w14:paraId="4C0683AB">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r>
      <w:tr w14:paraId="7ECBA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9EDCED0">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040" w:type="dxa"/>
          </w:tcPr>
          <w:p w14:paraId="1CC1751C">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1FD9E2B8">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46DE0681">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900" w:type="dxa"/>
          </w:tcPr>
          <w:p w14:paraId="29D1259B">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r>
      <w:tr w14:paraId="71F7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C2D1A3D">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040" w:type="dxa"/>
          </w:tcPr>
          <w:p w14:paraId="495935D7">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38837CEC">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5A9E0B59">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900" w:type="dxa"/>
          </w:tcPr>
          <w:p w14:paraId="31419F44">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r>
      <w:tr w14:paraId="0B1C9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6E877C84">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040" w:type="dxa"/>
          </w:tcPr>
          <w:p w14:paraId="4949E2CF">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71FC5FB1">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1338A1ED">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900" w:type="dxa"/>
          </w:tcPr>
          <w:p w14:paraId="4841EF5E">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r>
      <w:tr w14:paraId="55873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395719CD">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040" w:type="dxa"/>
          </w:tcPr>
          <w:p w14:paraId="36CA5C51">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71F51C45">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18F96EAF">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900" w:type="dxa"/>
          </w:tcPr>
          <w:p w14:paraId="3E393E42">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r>
      <w:tr w14:paraId="6A9B1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37D7884C">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040" w:type="dxa"/>
          </w:tcPr>
          <w:p w14:paraId="04896FFB">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3B681941">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634B052C">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900" w:type="dxa"/>
          </w:tcPr>
          <w:p w14:paraId="2C62CC68">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r>
      <w:tr w14:paraId="41987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A97E0B7">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040" w:type="dxa"/>
          </w:tcPr>
          <w:p w14:paraId="321F2245">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6AB6F8CA">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5E04141F">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900" w:type="dxa"/>
          </w:tcPr>
          <w:p w14:paraId="06C946DB">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r>
      <w:tr w14:paraId="5FF36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6543BDC">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040" w:type="dxa"/>
          </w:tcPr>
          <w:p w14:paraId="749D9995">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5C0A27FA">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514C2377">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900" w:type="dxa"/>
          </w:tcPr>
          <w:p w14:paraId="0239E8F7">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r>
      <w:tr w14:paraId="4B05A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7FD63437">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040" w:type="dxa"/>
          </w:tcPr>
          <w:p w14:paraId="2E92276D">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64FBC3C1">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7531A834">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900" w:type="dxa"/>
          </w:tcPr>
          <w:p w14:paraId="62142B29">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r>
      <w:tr w14:paraId="32F7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36DAB06">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040" w:type="dxa"/>
          </w:tcPr>
          <w:p w14:paraId="0DC5677D">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43DC5E11">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23F368C5">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900" w:type="dxa"/>
          </w:tcPr>
          <w:p w14:paraId="28AA34DD">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r>
      <w:tr w14:paraId="324DE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761C132">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040" w:type="dxa"/>
          </w:tcPr>
          <w:p w14:paraId="2A2B3D6A">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2604F80C">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3C6CB7DE">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900" w:type="dxa"/>
          </w:tcPr>
          <w:p w14:paraId="101CE7E5">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r>
      <w:tr w14:paraId="6927B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522E826">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040" w:type="dxa"/>
          </w:tcPr>
          <w:p w14:paraId="4E84EBBE">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2A9208A5">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780A1148">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900" w:type="dxa"/>
          </w:tcPr>
          <w:p w14:paraId="7DB93117">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r>
      <w:tr w14:paraId="37411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16DCEEB0">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040" w:type="dxa"/>
          </w:tcPr>
          <w:p w14:paraId="2F5D7F54">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5A5B2FD3">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267832E8">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900" w:type="dxa"/>
          </w:tcPr>
          <w:p w14:paraId="0E9744EB">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r>
      <w:tr w14:paraId="1322C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3771FF4">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040" w:type="dxa"/>
          </w:tcPr>
          <w:p w14:paraId="42D22E54">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467ADE21">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78A4EB18">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900" w:type="dxa"/>
          </w:tcPr>
          <w:p w14:paraId="6666D7C6">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r>
      <w:tr w14:paraId="5A9F6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7DA4A588">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040" w:type="dxa"/>
          </w:tcPr>
          <w:p w14:paraId="6A6FD5D5">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6B96222C">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5C1438DE">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900" w:type="dxa"/>
          </w:tcPr>
          <w:p w14:paraId="7A86CA7D">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r>
      <w:tr w14:paraId="4E4DA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B0DAFC7">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040" w:type="dxa"/>
          </w:tcPr>
          <w:p w14:paraId="6F0C177B">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481CD3C8">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26296D33">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900" w:type="dxa"/>
          </w:tcPr>
          <w:p w14:paraId="3A0826B2">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r>
    </w:tbl>
    <w:p w14:paraId="6CE583F6">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p w14:paraId="45087AF0">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p w14:paraId="6E5C282A">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法定代表人或其委托代理（签/章）:</w:t>
      </w:r>
      <w:r>
        <w:rPr>
          <w:rFonts w:hint="eastAsia" w:ascii="宋体" w:hAnsi="宋体" w:eastAsia="宋体" w:cs="宋体"/>
          <w:b w:val="0"/>
          <w:i w:val="0"/>
          <w:caps w:val="0"/>
          <w:color w:val="auto"/>
          <w:spacing w:val="0"/>
          <w:w w:val="100"/>
          <w:sz w:val="24"/>
          <w:szCs w:val="24"/>
          <w:highlight w:val="none"/>
          <w:u w:val="single" w:color="000000"/>
        </w:rPr>
        <w:t xml:space="preserve"> </w:t>
      </w:r>
      <w:r>
        <w:rPr>
          <w:rFonts w:hint="eastAsia" w:ascii="宋体" w:hAnsi="宋体" w:eastAsia="宋体" w:cs="宋体"/>
          <w:b w:val="0"/>
          <w:i w:val="0"/>
          <w:caps w:val="0"/>
          <w:color w:val="auto"/>
          <w:spacing w:val="0"/>
          <w:w w:val="100"/>
          <w:sz w:val="24"/>
          <w:szCs w:val="24"/>
          <w:highlight w:val="none"/>
          <w:u w:val="single" w:color="000000"/>
        </w:rPr>
        <w:tab/>
      </w:r>
      <w:r>
        <w:rPr>
          <w:rFonts w:hint="eastAsia" w:ascii="宋体" w:hAnsi="宋体" w:eastAsia="宋体" w:cs="宋体"/>
          <w:b w:val="0"/>
          <w:i w:val="0"/>
          <w:caps w:val="0"/>
          <w:color w:val="auto"/>
          <w:spacing w:val="0"/>
          <w:w w:val="100"/>
          <w:sz w:val="24"/>
          <w:szCs w:val="24"/>
          <w:highlight w:val="none"/>
          <w:u w:val="single" w:color="000000"/>
        </w:rPr>
        <w:t xml:space="preserve">                 </w:t>
      </w:r>
    </w:p>
    <w:p w14:paraId="3836603B">
      <w:pPr>
        <w:pStyle w:val="11"/>
        <w:shd w:val="clear"/>
        <w:tabs>
          <w:tab w:val="left" w:pos="5370"/>
        </w:tabs>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u w:val="single" w:color="000000"/>
        </w:rPr>
      </w:pPr>
      <w:r>
        <w:rPr>
          <w:rFonts w:hint="eastAsia" w:ascii="宋体" w:hAnsi="宋体" w:eastAsia="宋体" w:cs="宋体"/>
          <w:b w:val="0"/>
          <w:i w:val="0"/>
          <w:caps w:val="0"/>
          <w:color w:val="auto"/>
          <w:spacing w:val="0"/>
          <w:w w:val="100"/>
          <w:sz w:val="24"/>
          <w:szCs w:val="24"/>
          <w:highlight w:val="none"/>
        </w:rPr>
        <w:t>供应商</w:t>
      </w:r>
      <w:r>
        <w:rPr>
          <w:rFonts w:hint="eastAsia" w:ascii="宋体" w:hAnsi="宋体" w:eastAsia="宋体" w:cs="宋体"/>
          <w:b w:val="0"/>
          <w:i w:val="0"/>
          <w:caps w:val="0"/>
          <w:color w:val="auto"/>
          <w:spacing w:val="0"/>
          <w:w w:val="100"/>
          <w:sz w:val="24"/>
          <w:szCs w:val="24"/>
          <w:highlight w:val="none"/>
          <w:lang w:val="en-US" w:eastAsia="zh-CN"/>
        </w:rPr>
        <w:t>名称</w:t>
      </w:r>
      <w:r>
        <w:rPr>
          <w:rFonts w:hint="eastAsia" w:ascii="宋体" w:hAnsi="宋体" w:eastAsia="宋体" w:cs="宋体"/>
          <w:b w:val="0"/>
          <w:i w:val="0"/>
          <w:caps w:val="0"/>
          <w:color w:val="auto"/>
          <w:spacing w:val="0"/>
          <w:w w:val="100"/>
          <w:sz w:val="24"/>
          <w:szCs w:val="24"/>
          <w:highlight w:val="none"/>
        </w:rPr>
        <w:t>(公章):</w:t>
      </w:r>
      <w:r>
        <w:rPr>
          <w:rFonts w:hint="eastAsia" w:ascii="宋体" w:hAnsi="宋体" w:eastAsia="宋体" w:cs="宋体"/>
          <w:b w:val="0"/>
          <w:i w:val="0"/>
          <w:caps w:val="0"/>
          <w:color w:val="auto"/>
          <w:spacing w:val="0"/>
          <w:w w:val="100"/>
          <w:sz w:val="24"/>
          <w:szCs w:val="24"/>
          <w:highlight w:val="none"/>
          <w:u w:val="single" w:color="000000"/>
        </w:rPr>
        <w:tab/>
      </w:r>
    </w:p>
    <w:p w14:paraId="07032DBB">
      <w:pP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p>
    <w:p w14:paraId="1590F1A7">
      <w:pPr>
        <w:pStyle w:val="16"/>
        <w:rPr>
          <w:rFonts w:hint="eastAsia" w:ascii="宋体" w:hAnsi="宋体" w:eastAsia="宋体" w:cs="宋体"/>
          <w:highlight w:val="none"/>
        </w:rPr>
      </w:pPr>
    </w:p>
    <w:p w14:paraId="33D04DB0">
      <w:pPr>
        <w:pStyle w:val="3"/>
        <w:spacing w:before="0" w:line="240" w:lineRule="atLeast"/>
        <w:jc w:val="left"/>
        <w:rPr>
          <w:rFonts w:hint="eastAsia" w:ascii="宋体" w:hAnsi="宋体" w:eastAsia="宋体" w:cs="宋体"/>
          <w:b/>
          <w:bCs/>
          <w:color w:val="auto"/>
          <w:kern w:val="2"/>
          <w:sz w:val="22"/>
          <w:szCs w:val="22"/>
          <w:highlight w:val="none"/>
        </w:rPr>
      </w:pPr>
      <w:bookmarkStart w:id="650" w:name="_Toc3844"/>
      <w:bookmarkStart w:id="651" w:name="_Toc21482"/>
      <w:bookmarkStart w:id="652" w:name="_Toc21312"/>
      <w:bookmarkStart w:id="653" w:name="_Toc17820"/>
      <w:bookmarkStart w:id="654" w:name="_Toc16929"/>
      <w:bookmarkStart w:id="655" w:name="_Toc13462"/>
      <w:bookmarkStart w:id="656" w:name="_Toc6881"/>
      <w:bookmarkStart w:id="657" w:name="_Toc15213"/>
      <w:bookmarkStart w:id="658" w:name="_Toc515647823"/>
      <w:bookmarkStart w:id="659" w:name="_Toc10079"/>
      <w:bookmarkStart w:id="660" w:name="_Toc10725"/>
      <w:bookmarkStart w:id="661" w:name="_Toc4073"/>
      <w:bookmarkStart w:id="662" w:name="_Toc18923"/>
      <w:bookmarkStart w:id="663" w:name="_Toc8638"/>
      <w:bookmarkStart w:id="664" w:name="_Toc22995"/>
      <w:bookmarkStart w:id="665" w:name="_Toc10860"/>
      <w:r>
        <w:rPr>
          <w:rFonts w:hint="eastAsia" w:ascii="宋体" w:hAnsi="宋体" w:eastAsia="宋体" w:cs="宋体"/>
          <w:b/>
          <w:bCs/>
          <w:color w:val="auto"/>
          <w:kern w:val="2"/>
          <w:sz w:val="22"/>
          <w:szCs w:val="22"/>
          <w:highlight w:val="none"/>
        </w:rPr>
        <w:t xml:space="preserve">6-1  </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r>
        <w:rPr>
          <w:rFonts w:hint="eastAsia" w:ascii="宋体" w:hAnsi="宋体" w:eastAsia="宋体" w:cs="宋体"/>
          <w:b/>
          <w:bCs/>
          <w:color w:val="auto"/>
          <w:kern w:val="2"/>
          <w:sz w:val="22"/>
          <w:szCs w:val="22"/>
          <w:highlight w:val="none"/>
        </w:rPr>
        <w:t>中小企业声明函</w:t>
      </w:r>
      <w:bookmarkEnd w:id="664"/>
      <w:bookmarkEnd w:id="665"/>
    </w:p>
    <w:p w14:paraId="309D5FAD">
      <w:pPr>
        <w:keepNext w:val="0"/>
        <w:keepLines w:val="0"/>
        <w:pageBreakBefore w:val="0"/>
        <w:widowControl w:val="0"/>
        <w:kinsoku/>
        <w:wordWrap/>
        <w:overflowPunct/>
        <w:topLinePunct w:val="0"/>
        <w:autoSpaceDE/>
        <w:autoSpaceDN/>
        <w:bidi w:val="0"/>
        <w:adjustRightInd/>
        <w:snapToGrid/>
        <w:spacing w:before="162" w:line="520" w:lineRule="exact"/>
        <w:jc w:val="center"/>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中小企业声明函</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工程类</w:t>
      </w:r>
      <w:r>
        <w:rPr>
          <w:rFonts w:hint="eastAsia" w:ascii="宋体" w:hAnsi="宋体" w:cs="宋体"/>
          <w:b/>
          <w:bCs/>
          <w:color w:val="auto"/>
          <w:sz w:val="24"/>
          <w:szCs w:val="24"/>
          <w:highlight w:val="none"/>
          <w:lang w:eastAsia="zh-CN"/>
        </w:rPr>
        <w:t>）</w:t>
      </w:r>
    </w:p>
    <w:p w14:paraId="20C042F6">
      <w:pPr>
        <w:outlineLvl w:val="9"/>
        <w:rPr>
          <w:rFonts w:hint="eastAsia" w:ascii="宋体" w:hAnsi="宋体" w:eastAsia="宋体" w:cs="宋体"/>
          <w:color w:val="auto"/>
          <w:highlight w:val="none"/>
        </w:rPr>
      </w:pPr>
    </w:p>
    <w:p w14:paraId="779B4EC7">
      <w:pPr>
        <w:pStyle w:val="9"/>
        <w:keepNext w:val="0"/>
        <w:keepLines w:val="0"/>
        <w:pageBreakBefore w:val="0"/>
        <w:widowControl w:val="0"/>
        <w:kinsoku/>
        <w:wordWrap/>
        <w:overflowPunct/>
        <w:topLinePunct w:val="0"/>
        <w:autoSpaceDE/>
        <w:autoSpaceDN/>
        <w:bidi w:val="0"/>
        <w:adjustRightInd/>
        <w:snapToGrid/>
        <w:spacing w:before="55" w:line="360" w:lineRule="exact"/>
        <w:ind w:right="414" w:firstLine="500" w:firstLineChars="200"/>
        <w:textAlignment w:val="auto"/>
        <w:rPr>
          <w:rFonts w:hint="eastAsia" w:ascii="宋体" w:hAnsi="宋体" w:eastAsia="宋体" w:cs="宋体"/>
          <w:color w:val="auto"/>
          <w:spacing w:val="11"/>
          <w:w w:val="95"/>
          <w:kern w:val="2"/>
          <w:sz w:val="24"/>
          <w:szCs w:val="24"/>
          <w:highlight w:val="none"/>
          <w:lang w:val="en-US" w:eastAsia="zh-CN" w:bidi="ar-SA"/>
        </w:rPr>
      </w:pPr>
      <w:r>
        <w:rPr>
          <w:rFonts w:hint="eastAsia" w:ascii="宋体" w:hAnsi="宋体" w:eastAsia="宋体" w:cs="宋体"/>
          <w:color w:val="auto"/>
          <w:spacing w:val="11"/>
          <w:w w:val="95"/>
          <w:kern w:val="2"/>
          <w:sz w:val="24"/>
          <w:szCs w:val="24"/>
          <w:highlight w:val="none"/>
          <w:lang w:val="en-US" w:eastAsia="zh-CN" w:bidi="ar-SA"/>
        </w:rPr>
        <w:t>本公司</w:t>
      </w:r>
      <w:r>
        <w:rPr>
          <w:rFonts w:hint="eastAsia" w:cs="宋体"/>
          <w:color w:val="auto"/>
          <w:spacing w:val="11"/>
          <w:w w:val="95"/>
          <w:kern w:val="2"/>
          <w:sz w:val="24"/>
          <w:szCs w:val="24"/>
          <w:highlight w:val="none"/>
          <w:u w:val="single"/>
          <w:lang w:val="en-US" w:eastAsia="zh-CN" w:bidi="ar-SA"/>
        </w:rPr>
        <w:t xml:space="preserve">   </w:t>
      </w:r>
      <w:r>
        <w:rPr>
          <w:rFonts w:hint="eastAsia" w:ascii="宋体" w:hAnsi="宋体" w:eastAsia="宋体" w:cs="宋体"/>
          <w:color w:val="auto"/>
          <w:spacing w:val="11"/>
          <w:w w:val="95"/>
          <w:kern w:val="2"/>
          <w:sz w:val="24"/>
          <w:szCs w:val="24"/>
          <w:highlight w:val="none"/>
          <w:u w:val="single"/>
          <w:lang w:val="en-US" w:eastAsia="zh-CN" w:bidi="ar-SA"/>
        </w:rPr>
        <w:t>（联合体）</w:t>
      </w:r>
      <w:r>
        <w:rPr>
          <w:rFonts w:hint="eastAsia" w:ascii="宋体" w:hAnsi="宋体" w:eastAsia="宋体" w:cs="宋体"/>
          <w:color w:val="auto"/>
          <w:spacing w:val="11"/>
          <w:w w:val="95"/>
          <w:kern w:val="2"/>
          <w:sz w:val="24"/>
          <w:szCs w:val="24"/>
          <w:highlight w:val="none"/>
          <w:lang w:val="en-US" w:eastAsia="zh-CN" w:bidi="ar-SA"/>
        </w:rPr>
        <w:t>郑重声明，根据《政府采购促进中小企业发展管理办法》（财库﹝2020﹞46号）的规定，本公司（联合体）参加</w:t>
      </w:r>
      <w:r>
        <w:rPr>
          <w:rFonts w:hint="eastAsia" w:ascii="宋体" w:hAnsi="宋体" w:eastAsia="宋体" w:cs="宋体"/>
          <w:color w:val="auto"/>
          <w:spacing w:val="11"/>
          <w:w w:val="95"/>
          <w:kern w:val="2"/>
          <w:sz w:val="24"/>
          <w:szCs w:val="24"/>
          <w:highlight w:val="none"/>
          <w:u w:val="single"/>
          <w:lang w:val="en-US" w:eastAsia="zh-CN" w:bidi="ar-SA"/>
        </w:rPr>
        <w:t>（单位名称）</w:t>
      </w:r>
      <w:r>
        <w:rPr>
          <w:rFonts w:hint="eastAsia" w:ascii="宋体" w:hAnsi="宋体" w:eastAsia="宋体" w:cs="宋体"/>
          <w:color w:val="auto"/>
          <w:spacing w:val="11"/>
          <w:w w:val="95"/>
          <w:kern w:val="2"/>
          <w:sz w:val="24"/>
          <w:szCs w:val="24"/>
          <w:highlight w:val="none"/>
          <w:lang w:val="en-US" w:eastAsia="zh-CN" w:bidi="ar-SA"/>
        </w:rPr>
        <w:t>的</w:t>
      </w:r>
      <w:r>
        <w:rPr>
          <w:rFonts w:hint="eastAsia" w:ascii="宋体" w:hAnsi="宋体" w:eastAsia="宋体" w:cs="宋体"/>
          <w:color w:val="auto"/>
          <w:spacing w:val="11"/>
          <w:w w:val="95"/>
          <w:kern w:val="2"/>
          <w:sz w:val="24"/>
          <w:szCs w:val="24"/>
          <w:highlight w:val="none"/>
          <w:u w:val="single"/>
          <w:lang w:val="en-US" w:eastAsia="zh-CN" w:bidi="ar-SA"/>
        </w:rPr>
        <w:t>（项目名称）</w:t>
      </w:r>
      <w:r>
        <w:rPr>
          <w:rFonts w:hint="eastAsia" w:ascii="宋体" w:hAnsi="宋体" w:eastAsia="宋体" w:cs="宋体"/>
          <w:color w:val="auto"/>
          <w:spacing w:val="11"/>
          <w:w w:val="95"/>
          <w:kern w:val="2"/>
          <w:sz w:val="24"/>
          <w:szCs w:val="24"/>
          <w:highlight w:val="none"/>
          <w:lang w:val="en-US" w:eastAsia="zh-CN" w:bidi="ar-SA"/>
        </w:rPr>
        <w:t>采购活动，提供的服务全部由符合政策要求的中小企业制造。相关企业（含联合体中的中小企业、签订分包意向协议的中小企业） 的具体情况如下：</w:t>
      </w:r>
    </w:p>
    <w:p w14:paraId="3C5D1708">
      <w:pPr>
        <w:pStyle w:val="45"/>
        <w:keepNext w:val="0"/>
        <w:keepLines w:val="0"/>
        <w:pageBreakBefore w:val="0"/>
        <w:widowControl w:val="0"/>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360" w:lineRule="exact"/>
        <w:ind w:leftChars="200" w:right="170" w:rightChars="0" w:firstLine="500" w:firstLineChars="200"/>
        <w:jc w:val="left"/>
        <w:textAlignment w:val="auto"/>
        <w:rPr>
          <w:rFonts w:hint="eastAsia" w:ascii="宋体" w:hAnsi="宋体" w:eastAsia="宋体" w:cs="宋体"/>
          <w:color w:val="auto"/>
          <w:spacing w:val="11"/>
          <w:w w:val="95"/>
          <w:kern w:val="2"/>
          <w:sz w:val="24"/>
          <w:szCs w:val="24"/>
          <w:highlight w:val="none"/>
          <w:lang w:val="en-US" w:eastAsia="zh-CN" w:bidi="ar-SA"/>
        </w:rPr>
      </w:pPr>
      <w:r>
        <w:rPr>
          <w:rFonts w:hint="eastAsia" w:ascii="宋体" w:hAnsi="宋体" w:eastAsia="宋体" w:cs="宋体"/>
          <w:color w:val="auto"/>
          <w:spacing w:val="11"/>
          <w:w w:val="95"/>
          <w:kern w:val="2"/>
          <w:sz w:val="24"/>
          <w:szCs w:val="24"/>
          <w:highlight w:val="none"/>
          <w:lang w:val="en-US" w:eastAsia="zh-CN" w:bidi="ar-SA"/>
        </w:rPr>
        <w:t>1.</w:t>
      </w:r>
      <w:r>
        <w:rPr>
          <w:rFonts w:hint="eastAsia" w:ascii="宋体" w:hAnsi="宋体" w:eastAsia="宋体" w:cs="宋体"/>
          <w:color w:val="auto"/>
          <w:spacing w:val="11"/>
          <w:w w:val="95"/>
          <w:kern w:val="2"/>
          <w:sz w:val="24"/>
          <w:szCs w:val="24"/>
          <w:highlight w:val="none"/>
          <w:u w:val="single"/>
          <w:lang w:val="en-US" w:eastAsia="zh-CN" w:bidi="ar-SA"/>
        </w:rPr>
        <w:t>（标的名称）</w:t>
      </w:r>
      <w:r>
        <w:rPr>
          <w:rFonts w:hint="eastAsia" w:ascii="宋体" w:hAnsi="宋体" w:eastAsia="宋体" w:cs="宋体"/>
          <w:color w:val="auto"/>
          <w:spacing w:val="11"/>
          <w:w w:val="95"/>
          <w:kern w:val="2"/>
          <w:sz w:val="24"/>
          <w:szCs w:val="24"/>
          <w:highlight w:val="none"/>
          <w:lang w:val="en-US" w:eastAsia="zh-CN" w:bidi="ar-SA"/>
        </w:rPr>
        <w:t>，属 于</w:t>
      </w:r>
      <w:r>
        <w:rPr>
          <w:rFonts w:hint="eastAsia" w:ascii="宋体" w:hAnsi="宋体" w:eastAsia="宋体" w:cs="宋体"/>
          <w:color w:val="auto"/>
          <w:spacing w:val="11"/>
          <w:w w:val="95"/>
          <w:kern w:val="2"/>
          <w:sz w:val="24"/>
          <w:szCs w:val="24"/>
          <w:highlight w:val="none"/>
          <w:u w:val="single"/>
          <w:lang w:val="en-US" w:eastAsia="zh-CN" w:bidi="ar-SA"/>
        </w:rPr>
        <w:t>（采购文件中明确的所属行业）行业</w:t>
      </w:r>
      <w:r>
        <w:rPr>
          <w:rFonts w:hint="eastAsia" w:ascii="宋体" w:hAnsi="宋体" w:eastAsia="宋体" w:cs="宋体"/>
          <w:color w:val="auto"/>
          <w:spacing w:val="11"/>
          <w:w w:val="95"/>
          <w:kern w:val="2"/>
          <w:sz w:val="24"/>
          <w:szCs w:val="24"/>
          <w:highlight w:val="none"/>
          <w:lang w:val="en-US" w:eastAsia="zh-CN" w:bidi="ar-SA"/>
        </w:rPr>
        <w:t>；制造商为</w:t>
      </w:r>
      <w:r>
        <w:rPr>
          <w:rFonts w:hint="eastAsia" w:ascii="宋体" w:hAnsi="宋体" w:eastAsia="宋体" w:cs="宋体"/>
          <w:color w:val="auto"/>
          <w:spacing w:val="11"/>
          <w:w w:val="95"/>
          <w:kern w:val="2"/>
          <w:sz w:val="24"/>
          <w:szCs w:val="24"/>
          <w:highlight w:val="none"/>
          <w:u w:val="single"/>
          <w:lang w:val="en-US" w:eastAsia="zh-CN" w:bidi="ar-SA"/>
        </w:rPr>
        <w:t>（企业名称）</w:t>
      </w:r>
      <w:r>
        <w:rPr>
          <w:rFonts w:hint="eastAsia" w:ascii="宋体" w:hAnsi="宋体" w:eastAsia="宋体" w:cs="宋体"/>
          <w:color w:val="auto"/>
          <w:spacing w:val="11"/>
          <w:w w:val="95"/>
          <w:kern w:val="2"/>
          <w:sz w:val="24"/>
          <w:szCs w:val="24"/>
          <w:highlight w:val="none"/>
          <w:lang w:val="en-US" w:eastAsia="zh-CN" w:bidi="ar-SA"/>
        </w:rPr>
        <w:t>，从业人员</w:t>
      </w:r>
      <w:r>
        <w:rPr>
          <w:rFonts w:hint="eastAsia" w:ascii="宋体" w:hAnsi="宋体" w:eastAsia="宋体" w:cs="宋体"/>
          <w:color w:val="auto"/>
          <w:spacing w:val="11"/>
          <w:w w:val="95"/>
          <w:kern w:val="2"/>
          <w:sz w:val="24"/>
          <w:szCs w:val="24"/>
          <w:highlight w:val="none"/>
          <w:u w:val="single"/>
          <w:lang w:val="en-US" w:eastAsia="zh-CN" w:bidi="ar-SA"/>
        </w:rPr>
        <w:t xml:space="preserve">    </w:t>
      </w:r>
      <w:r>
        <w:rPr>
          <w:rFonts w:hint="eastAsia" w:ascii="宋体" w:hAnsi="宋体" w:eastAsia="宋体" w:cs="宋体"/>
          <w:color w:val="auto"/>
          <w:spacing w:val="11"/>
          <w:w w:val="95"/>
          <w:kern w:val="2"/>
          <w:sz w:val="24"/>
          <w:szCs w:val="24"/>
          <w:highlight w:val="none"/>
          <w:lang w:val="en-US" w:eastAsia="zh-CN" w:bidi="ar-SA"/>
        </w:rPr>
        <w:t>人，营业收入为</w:t>
      </w:r>
      <w:r>
        <w:rPr>
          <w:rFonts w:hint="eastAsia" w:ascii="宋体" w:hAnsi="宋体" w:eastAsia="宋体" w:cs="宋体"/>
          <w:color w:val="auto"/>
          <w:spacing w:val="11"/>
          <w:w w:val="95"/>
          <w:kern w:val="2"/>
          <w:sz w:val="24"/>
          <w:szCs w:val="24"/>
          <w:highlight w:val="none"/>
          <w:u w:val="single"/>
          <w:lang w:val="en-US" w:eastAsia="zh-CN" w:bidi="ar-SA"/>
        </w:rPr>
        <w:t xml:space="preserve">    </w:t>
      </w:r>
      <w:r>
        <w:rPr>
          <w:rFonts w:hint="eastAsia" w:ascii="宋体" w:hAnsi="宋体" w:eastAsia="宋体" w:cs="宋体"/>
          <w:color w:val="auto"/>
          <w:spacing w:val="11"/>
          <w:w w:val="95"/>
          <w:kern w:val="2"/>
          <w:sz w:val="24"/>
          <w:szCs w:val="24"/>
          <w:highlight w:val="none"/>
          <w:lang w:val="en-US" w:eastAsia="zh-CN" w:bidi="ar-SA"/>
        </w:rPr>
        <w:t>万元，资产总额为</w:t>
      </w:r>
      <w:r>
        <w:rPr>
          <w:rFonts w:hint="eastAsia" w:ascii="宋体" w:hAnsi="宋体" w:eastAsia="宋体" w:cs="宋体"/>
          <w:color w:val="auto"/>
          <w:spacing w:val="11"/>
          <w:w w:val="95"/>
          <w:kern w:val="2"/>
          <w:sz w:val="24"/>
          <w:szCs w:val="24"/>
          <w:highlight w:val="none"/>
          <w:u w:val="single"/>
          <w:lang w:val="en-US" w:eastAsia="zh-CN" w:bidi="ar-SA"/>
        </w:rPr>
        <w:t xml:space="preserve">    </w:t>
      </w:r>
      <w:r>
        <w:rPr>
          <w:rFonts w:hint="eastAsia" w:ascii="宋体" w:hAnsi="宋体" w:eastAsia="宋体" w:cs="宋体"/>
          <w:color w:val="auto"/>
          <w:spacing w:val="11"/>
          <w:w w:val="95"/>
          <w:kern w:val="2"/>
          <w:sz w:val="24"/>
          <w:szCs w:val="24"/>
          <w:highlight w:val="none"/>
          <w:lang w:val="en-US" w:eastAsia="zh-CN" w:bidi="ar-SA"/>
        </w:rPr>
        <w:t>万元，属于</w:t>
      </w:r>
      <w:r>
        <w:rPr>
          <w:rFonts w:hint="eastAsia" w:ascii="宋体" w:hAnsi="宋体" w:eastAsia="宋体" w:cs="宋体"/>
          <w:color w:val="auto"/>
          <w:spacing w:val="11"/>
          <w:w w:val="95"/>
          <w:kern w:val="2"/>
          <w:sz w:val="24"/>
          <w:szCs w:val="24"/>
          <w:highlight w:val="none"/>
          <w:u w:val="single"/>
          <w:lang w:val="en-US" w:eastAsia="zh-CN" w:bidi="ar-SA"/>
        </w:rPr>
        <w:t>（中型企业、小型企业、微型企业）</w:t>
      </w:r>
      <w:r>
        <w:rPr>
          <w:rFonts w:hint="eastAsia" w:ascii="宋体" w:hAnsi="宋体" w:eastAsia="宋体" w:cs="宋体"/>
          <w:color w:val="auto"/>
          <w:spacing w:val="11"/>
          <w:w w:val="95"/>
          <w:kern w:val="2"/>
          <w:sz w:val="24"/>
          <w:szCs w:val="24"/>
          <w:highlight w:val="none"/>
          <w:lang w:val="en-US" w:eastAsia="zh-CN" w:bidi="ar-SA"/>
        </w:rPr>
        <w:t>；</w:t>
      </w:r>
    </w:p>
    <w:p w14:paraId="32A25DA9">
      <w:pPr>
        <w:pStyle w:val="45"/>
        <w:keepNext w:val="0"/>
        <w:keepLines w:val="0"/>
        <w:pageBreakBefore w:val="0"/>
        <w:widowControl w:val="0"/>
        <w:numPr>
          <w:ilvl w:val="0"/>
          <w:numId w:val="0"/>
        </w:numPr>
        <w:tabs>
          <w:tab w:val="left" w:pos="1165"/>
          <w:tab w:val="left" w:pos="1183"/>
          <w:tab w:val="left" w:pos="4362"/>
          <w:tab w:val="left" w:pos="6577"/>
        </w:tabs>
        <w:kinsoku/>
        <w:wordWrap/>
        <w:overflowPunct/>
        <w:topLinePunct w:val="0"/>
        <w:autoSpaceDE/>
        <w:autoSpaceDN/>
        <w:bidi w:val="0"/>
        <w:adjustRightInd/>
        <w:snapToGrid/>
        <w:spacing w:before="0" w:after="0" w:line="360" w:lineRule="exact"/>
        <w:ind w:leftChars="200" w:right="169" w:rightChars="0" w:firstLine="500" w:firstLineChars="200"/>
        <w:jc w:val="left"/>
        <w:textAlignment w:val="auto"/>
        <w:rPr>
          <w:rFonts w:hint="eastAsia" w:ascii="宋体" w:hAnsi="宋体" w:eastAsia="宋体" w:cs="宋体"/>
          <w:color w:val="auto"/>
          <w:spacing w:val="11"/>
          <w:w w:val="95"/>
          <w:kern w:val="2"/>
          <w:sz w:val="24"/>
          <w:szCs w:val="24"/>
          <w:highlight w:val="none"/>
          <w:lang w:val="en-US" w:eastAsia="zh-CN" w:bidi="ar-SA"/>
        </w:rPr>
      </w:pPr>
      <w:r>
        <w:rPr>
          <w:rFonts w:hint="eastAsia" w:ascii="宋体" w:hAnsi="宋体" w:eastAsia="宋体" w:cs="宋体"/>
          <w:color w:val="auto"/>
          <w:spacing w:val="11"/>
          <w:w w:val="95"/>
          <w:kern w:val="2"/>
          <w:sz w:val="24"/>
          <w:szCs w:val="24"/>
          <w:highlight w:val="none"/>
          <w:lang w:val="en-US" w:eastAsia="zh-CN" w:bidi="ar-SA"/>
        </w:rPr>
        <w:t>2.</w:t>
      </w:r>
      <w:r>
        <w:rPr>
          <w:rFonts w:hint="eastAsia" w:ascii="宋体" w:hAnsi="宋体" w:eastAsia="宋体" w:cs="宋体"/>
          <w:color w:val="auto"/>
          <w:spacing w:val="11"/>
          <w:w w:val="95"/>
          <w:kern w:val="2"/>
          <w:sz w:val="24"/>
          <w:szCs w:val="24"/>
          <w:highlight w:val="none"/>
          <w:u w:val="single"/>
          <w:lang w:val="en-US" w:eastAsia="zh-CN" w:bidi="ar-SA"/>
        </w:rPr>
        <w:t>（标的名称）</w:t>
      </w:r>
      <w:r>
        <w:rPr>
          <w:rFonts w:hint="eastAsia" w:ascii="宋体" w:hAnsi="宋体" w:eastAsia="宋体" w:cs="宋体"/>
          <w:color w:val="auto"/>
          <w:spacing w:val="11"/>
          <w:w w:val="95"/>
          <w:kern w:val="2"/>
          <w:sz w:val="24"/>
          <w:szCs w:val="24"/>
          <w:highlight w:val="none"/>
          <w:lang w:val="en-US" w:eastAsia="zh-CN" w:bidi="ar-SA"/>
        </w:rPr>
        <w:t>，属 于</w:t>
      </w:r>
      <w:r>
        <w:rPr>
          <w:rFonts w:hint="eastAsia" w:ascii="宋体" w:hAnsi="宋体" w:eastAsia="宋体" w:cs="宋体"/>
          <w:color w:val="auto"/>
          <w:spacing w:val="11"/>
          <w:w w:val="95"/>
          <w:kern w:val="2"/>
          <w:sz w:val="24"/>
          <w:szCs w:val="24"/>
          <w:highlight w:val="none"/>
          <w:u w:val="single"/>
          <w:lang w:val="en-US" w:eastAsia="zh-CN" w:bidi="ar-SA"/>
        </w:rPr>
        <w:t>（采购文件中明确的所属行业）行业</w:t>
      </w:r>
      <w:r>
        <w:rPr>
          <w:rFonts w:hint="eastAsia" w:ascii="宋体" w:hAnsi="宋体" w:eastAsia="宋体" w:cs="宋体"/>
          <w:color w:val="auto"/>
          <w:spacing w:val="11"/>
          <w:w w:val="95"/>
          <w:kern w:val="2"/>
          <w:sz w:val="24"/>
          <w:szCs w:val="24"/>
          <w:highlight w:val="none"/>
          <w:lang w:val="en-US" w:eastAsia="zh-CN" w:bidi="ar-SA"/>
        </w:rPr>
        <w:t>；制造商为</w:t>
      </w:r>
      <w:r>
        <w:rPr>
          <w:rFonts w:hint="eastAsia" w:ascii="宋体" w:hAnsi="宋体" w:eastAsia="宋体" w:cs="宋体"/>
          <w:color w:val="auto"/>
          <w:spacing w:val="11"/>
          <w:w w:val="95"/>
          <w:kern w:val="2"/>
          <w:sz w:val="24"/>
          <w:szCs w:val="24"/>
          <w:highlight w:val="none"/>
          <w:u w:val="single"/>
          <w:lang w:val="en-US" w:eastAsia="zh-CN" w:bidi="ar-SA"/>
        </w:rPr>
        <w:t>（企业名称）</w:t>
      </w:r>
      <w:r>
        <w:rPr>
          <w:rFonts w:hint="eastAsia" w:ascii="宋体" w:hAnsi="宋体" w:eastAsia="宋体" w:cs="宋体"/>
          <w:color w:val="auto"/>
          <w:spacing w:val="11"/>
          <w:w w:val="95"/>
          <w:kern w:val="2"/>
          <w:sz w:val="24"/>
          <w:szCs w:val="24"/>
          <w:highlight w:val="none"/>
          <w:lang w:val="en-US" w:eastAsia="zh-CN" w:bidi="ar-SA"/>
        </w:rPr>
        <w:t>，从业人员</w:t>
      </w:r>
      <w:r>
        <w:rPr>
          <w:rFonts w:hint="eastAsia" w:ascii="宋体" w:hAnsi="宋体" w:eastAsia="宋体" w:cs="宋体"/>
          <w:color w:val="auto"/>
          <w:spacing w:val="11"/>
          <w:w w:val="95"/>
          <w:kern w:val="2"/>
          <w:sz w:val="24"/>
          <w:szCs w:val="24"/>
          <w:highlight w:val="none"/>
          <w:u w:val="single"/>
          <w:lang w:val="en-US" w:eastAsia="zh-CN" w:bidi="ar-SA"/>
        </w:rPr>
        <w:t xml:space="preserve">    </w:t>
      </w:r>
      <w:r>
        <w:rPr>
          <w:rFonts w:hint="eastAsia" w:ascii="宋体" w:hAnsi="宋体" w:eastAsia="宋体" w:cs="宋体"/>
          <w:color w:val="auto"/>
          <w:spacing w:val="11"/>
          <w:w w:val="95"/>
          <w:kern w:val="2"/>
          <w:sz w:val="24"/>
          <w:szCs w:val="24"/>
          <w:highlight w:val="none"/>
          <w:lang w:val="en-US" w:eastAsia="zh-CN" w:bidi="ar-SA"/>
        </w:rPr>
        <w:t>人，营业收入为</w:t>
      </w:r>
      <w:r>
        <w:rPr>
          <w:rFonts w:hint="eastAsia" w:ascii="宋体" w:hAnsi="宋体" w:eastAsia="宋体" w:cs="宋体"/>
          <w:color w:val="auto"/>
          <w:spacing w:val="11"/>
          <w:w w:val="95"/>
          <w:kern w:val="2"/>
          <w:sz w:val="24"/>
          <w:szCs w:val="24"/>
          <w:highlight w:val="none"/>
          <w:u w:val="single"/>
          <w:lang w:val="en-US" w:eastAsia="zh-CN" w:bidi="ar-SA"/>
        </w:rPr>
        <w:t xml:space="preserve">    </w:t>
      </w:r>
      <w:r>
        <w:rPr>
          <w:rFonts w:hint="eastAsia" w:ascii="宋体" w:hAnsi="宋体" w:eastAsia="宋体" w:cs="宋体"/>
          <w:color w:val="auto"/>
          <w:spacing w:val="11"/>
          <w:w w:val="95"/>
          <w:kern w:val="2"/>
          <w:sz w:val="24"/>
          <w:szCs w:val="24"/>
          <w:highlight w:val="none"/>
          <w:lang w:val="en-US" w:eastAsia="zh-CN" w:bidi="ar-SA"/>
        </w:rPr>
        <w:t>万元，资产总额为</w:t>
      </w:r>
      <w:r>
        <w:rPr>
          <w:rFonts w:hint="eastAsia" w:ascii="宋体" w:hAnsi="宋体" w:eastAsia="宋体" w:cs="宋体"/>
          <w:color w:val="auto"/>
          <w:spacing w:val="11"/>
          <w:w w:val="95"/>
          <w:kern w:val="2"/>
          <w:sz w:val="24"/>
          <w:szCs w:val="24"/>
          <w:highlight w:val="none"/>
          <w:u w:val="single"/>
          <w:lang w:val="en-US" w:eastAsia="zh-CN" w:bidi="ar-SA"/>
        </w:rPr>
        <w:t xml:space="preserve">    </w:t>
      </w:r>
      <w:r>
        <w:rPr>
          <w:rFonts w:hint="eastAsia" w:ascii="宋体" w:hAnsi="宋体" w:eastAsia="宋体" w:cs="宋体"/>
          <w:color w:val="auto"/>
          <w:spacing w:val="11"/>
          <w:w w:val="95"/>
          <w:kern w:val="2"/>
          <w:sz w:val="24"/>
          <w:szCs w:val="24"/>
          <w:highlight w:val="none"/>
          <w:lang w:val="en-US" w:eastAsia="zh-CN" w:bidi="ar-SA"/>
        </w:rPr>
        <w:t>万元，属于</w:t>
      </w:r>
      <w:r>
        <w:rPr>
          <w:rFonts w:hint="eastAsia" w:ascii="宋体" w:hAnsi="宋体" w:eastAsia="宋体" w:cs="宋体"/>
          <w:color w:val="auto"/>
          <w:spacing w:val="11"/>
          <w:w w:val="95"/>
          <w:kern w:val="2"/>
          <w:sz w:val="24"/>
          <w:szCs w:val="24"/>
          <w:highlight w:val="none"/>
          <w:u w:val="single"/>
          <w:lang w:val="en-US" w:eastAsia="zh-CN" w:bidi="ar-SA"/>
        </w:rPr>
        <w:t>（中型企业、小型企业、微型企业）</w:t>
      </w:r>
      <w:r>
        <w:rPr>
          <w:rFonts w:hint="eastAsia" w:ascii="宋体" w:hAnsi="宋体" w:eastAsia="宋体" w:cs="宋体"/>
          <w:color w:val="auto"/>
          <w:spacing w:val="11"/>
          <w:w w:val="95"/>
          <w:kern w:val="2"/>
          <w:sz w:val="24"/>
          <w:szCs w:val="24"/>
          <w:highlight w:val="none"/>
          <w:lang w:val="en-US" w:eastAsia="zh-CN" w:bidi="ar-SA"/>
        </w:rPr>
        <w:t>；</w:t>
      </w:r>
    </w:p>
    <w:p w14:paraId="21C5E310">
      <w:pPr>
        <w:pStyle w:val="9"/>
        <w:keepNext w:val="0"/>
        <w:keepLines w:val="0"/>
        <w:pageBreakBefore w:val="0"/>
        <w:widowControl w:val="0"/>
        <w:kinsoku/>
        <w:wordWrap/>
        <w:overflowPunct/>
        <w:topLinePunct w:val="0"/>
        <w:autoSpaceDE/>
        <w:autoSpaceDN/>
        <w:bidi w:val="0"/>
        <w:adjustRightInd/>
        <w:snapToGrid/>
        <w:spacing w:line="360" w:lineRule="exact"/>
        <w:ind w:left="860" w:firstLine="500" w:firstLineChars="200"/>
        <w:textAlignment w:val="auto"/>
        <w:rPr>
          <w:rFonts w:hint="eastAsia" w:ascii="宋体" w:hAnsi="宋体" w:eastAsia="宋体" w:cs="宋体"/>
          <w:color w:val="auto"/>
          <w:spacing w:val="11"/>
          <w:w w:val="95"/>
          <w:kern w:val="2"/>
          <w:sz w:val="24"/>
          <w:szCs w:val="24"/>
          <w:highlight w:val="none"/>
          <w:lang w:val="en-US" w:eastAsia="zh-CN" w:bidi="ar-SA"/>
        </w:rPr>
      </w:pPr>
      <w:r>
        <w:rPr>
          <w:rFonts w:hint="eastAsia" w:ascii="宋体" w:hAnsi="宋体" w:eastAsia="宋体" w:cs="宋体"/>
          <w:color w:val="auto"/>
          <w:spacing w:val="11"/>
          <w:w w:val="95"/>
          <w:kern w:val="2"/>
          <w:sz w:val="24"/>
          <w:szCs w:val="24"/>
          <w:highlight w:val="none"/>
          <w:lang w:val="en-US" w:eastAsia="zh-CN" w:bidi="ar-SA"/>
        </w:rPr>
        <w:t>……</w:t>
      </w:r>
    </w:p>
    <w:p w14:paraId="35CD635A">
      <w:pPr>
        <w:pStyle w:val="9"/>
        <w:keepNext w:val="0"/>
        <w:keepLines w:val="0"/>
        <w:pageBreakBefore w:val="0"/>
        <w:widowControl w:val="0"/>
        <w:kinsoku/>
        <w:wordWrap/>
        <w:overflowPunct/>
        <w:topLinePunct w:val="0"/>
        <w:autoSpaceDE/>
        <w:autoSpaceDN/>
        <w:bidi w:val="0"/>
        <w:adjustRightInd/>
        <w:snapToGrid/>
        <w:spacing w:before="105" w:line="360" w:lineRule="exact"/>
        <w:ind w:right="417" w:firstLine="500" w:firstLineChars="200"/>
        <w:jc w:val="both"/>
        <w:textAlignment w:val="auto"/>
        <w:rPr>
          <w:rFonts w:hint="eastAsia" w:ascii="宋体" w:hAnsi="宋体" w:eastAsia="宋体" w:cs="宋体"/>
          <w:color w:val="auto"/>
          <w:spacing w:val="11"/>
          <w:w w:val="95"/>
          <w:kern w:val="2"/>
          <w:sz w:val="24"/>
          <w:szCs w:val="24"/>
          <w:highlight w:val="none"/>
          <w:lang w:val="en-US" w:eastAsia="zh-CN" w:bidi="ar-SA"/>
        </w:rPr>
      </w:pPr>
      <w:r>
        <w:rPr>
          <w:rFonts w:hint="eastAsia" w:ascii="宋体" w:hAnsi="宋体" w:eastAsia="宋体" w:cs="宋体"/>
          <w:color w:val="auto"/>
          <w:spacing w:val="11"/>
          <w:w w:val="95"/>
          <w:kern w:val="2"/>
          <w:sz w:val="24"/>
          <w:szCs w:val="24"/>
          <w:highlight w:val="none"/>
          <w:lang w:val="en-US" w:eastAsia="zh-CN" w:bidi="ar-SA"/>
        </w:rPr>
        <w:t>以上企业，不属于大企业的分支机构，不存在控股股东为大企业的情形，也不存在与大企业的负责人为同一人的情形。</w:t>
      </w:r>
    </w:p>
    <w:p w14:paraId="1AFAD2A7">
      <w:pPr>
        <w:pStyle w:val="9"/>
        <w:keepNext w:val="0"/>
        <w:keepLines w:val="0"/>
        <w:pageBreakBefore w:val="0"/>
        <w:widowControl w:val="0"/>
        <w:kinsoku/>
        <w:wordWrap/>
        <w:overflowPunct/>
        <w:topLinePunct w:val="0"/>
        <w:autoSpaceDE/>
        <w:autoSpaceDN/>
        <w:bidi w:val="0"/>
        <w:adjustRightInd/>
        <w:snapToGrid/>
        <w:spacing w:line="360" w:lineRule="exact"/>
        <w:ind w:right="372" w:firstLine="500" w:firstLineChars="200"/>
        <w:textAlignment w:val="auto"/>
        <w:rPr>
          <w:rFonts w:hint="eastAsia" w:ascii="宋体" w:hAnsi="宋体" w:eastAsia="宋体" w:cs="宋体"/>
          <w:color w:val="auto"/>
          <w:spacing w:val="11"/>
          <w:w w:val="95"/>
          <w:kern w:val="2"/>
          <w:sz w:val="24"/>
          <w:szCs w:val="24"/>
          <w:highlight w:val="none"/>
          <w:lang w:val="en-US" w:eastAsia="zh-CN" w:bidi="ar-SA"/>
        </w:rPr>
      </w:pPr>
      <w:r>
        <w:rPr>
          <w:rFonts w:hint="eastAsia" w:ascii="宋体" w:hAnsi="宋体" w:eastAsia="宋体" w:cs="宋体"/>
          <w:color w:val="auto"/>
          <w:spacing w:val="11"/>
          <w:w w:val="95"/>
          <w:kern w:val="2"/>
          <w:sz w:val="24"/>
          <w:szCs w:val="24"/>
          <w:highlight w:val="none"/>
          <w:lang w:val="en-US" w:eastAsia="zh-CN" w:bidi="ar-SA"/>
        </w:rPr>
        <w:t>本企业对上述声明内容的真实性负责。如有虚假，将依法承担相应责任。</w:t>
      </w:r>
    </w:p>
    <w:p w14:paraId="3D77105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highlight w:val="none"/>
          <w:lang w:val="en-US" w:eastAsia="zh-CN"/>
        </w:rPr>
      </w:pPr>
    </w:p>
    <w:p w14:paraId="2D2DDA04">
      <w:pPr>
        <w:pStyle w:val="9"/>
        <w:keepNext w:val="0"/>
        <w:keepLines w:val="0"/>
        <w:pageBreakBefore w:val="0"/>
        <w:widowControl w:val="0"/>
        <w:kinsoku/>
        <w:wordWrap/>
        <w:overflowPunct/>
        <w:topLinePunct w:val="0"/>
        <w:autoSpaceDE/>
        <w:autoSpaceDN/>
        <w:bidi w:val="0"/>
        <w:adjustRightInd/>
        <w:snapToGrid/>
        <w:spacing w:line="360" w:lineRule="exact"/>
        <w:ind w:right="372" w:firstLine="3000" w:firstLineChars="1200"/>
        <w:textAlignment w:val="auto"/>
        <w:rPr>
          <w:rFonts w:hint="eastAsia" w:ascii="宋体" w:hAnsi="宋体" w:eastAsia="宋体" w:cs="宋体"/>
          <w:color w:val="auto"/>
          <w:spacing w:val="11"/>
          <w:w w:val="95"/>
          <w:kern w:val="2"/>
          <w:sz w:val="24"/>
          <w:szCs w:val="24"/>
          <w:highlight w:val="none"/>
          <w:lang w:val="en-US" w:eastAsia="zh-CN" w:bidi="ar-SA"/>
        </w:rPr>
      </w:pPr>
      <w:r>
        <w:rPr>
          <w:rFonts w:hint="eastAsia" w:cs="宋体"/>
          <w:color w:val="auto"/>
          <w:spacing w:val="11"/>
          <w:w w:val="95"/>
          <w:kern w:val="2"/>
          <w:sz w:val="24"/>
          <w:szCs w:val="24"/>
          <w:highlight w:val="none"/>
          <w:lang w:val="en-US" w:eastAsia="zh-CN" w:bidi="ar-SA"/>
        </w:rPr>
        <w:t>供应商</w:t>
      </w:r>
      <w:r>
        <w:rPr>
          <w:rFonts w:hint="eastAsia" w:ascii="宋体" w:hAnsi="宋体" w:eastAsia="宋体" w:cs="宋体"/>
          <w:color w:val="auto"/>
          <w:spacing w:val="11"/>
          <w:w w:val="95"/>
          <w:kern w:val="2"/>
          <w:sz w:val="24"/>
          <w:szCs w:val="24"/>
          <w:highlight w:val="none"/>
          <w:lang w:val="en-US" w:eastAsia="zh-CN" w:bidi="ar-SA"/>
        </w:rPr>
        <w:t>名称（盖章）：</w:t>
      </w:r>
      <w:r>
        <w:rPr>
          <w:rFonts w:hint="eastAsia" w:ascii="宋体" w:hAnsi="宋体" w:eastAsia="宋体" w:cs="宋体"/>
          <w:color w:val="auto"/>
          <w:spacing w:val="11"/>
          <w:w w:val="95"/>
          <w:kern w:val="2"/>
          <w:sz w:val="24"/>
          <w:szCs w:val="24"/>
          <w:highlight w:val="none"/>
          <w:u w:val="single"/>
          <w:lang w:val="en-US" w:eastAsia="zh-CN" w:bidi="ar-SA"/>
        </w:rPr>
        <w:t xml:space="preserve">                  </w:t>
      </w:r>
    </w:p>
    <w:p w14:paraId="7CEA4B3F">
      <w:pPr>
        <w:pStyle w:val="9"/>
        <w:keepNext w:val="0"/>
        <w:keepLines w:val="0"/>
        <w:pageBreakBefore w:val="0"/>
        <w:widowControl w:val="0"/>
        <w:kinsoku/>
        <w:wordWrap/>
        <w:overflowPunct/>
        <w:topLinePunct w:val="0"/>
        <w:autoSpaceDE/>
        <w:autoSpaceDN/>
        <w:bidi w:val="0"/>
        <w:adjustRightInd/>
        <w:snapToGrid/>
        <w:spacing w:line="360" w:lineRule="exact"/>
        <w:ind w:right="372" w:firstLine="3000" w:firstLineChars="1200"/>
        <w:textAlignment w:val="auto"/>
        <w:rPr>
          <w:rFonts w:hint="eastAsia" w:ascii="宋体" w:hAnsi="宋体" w:eastAsia="宋体" w:cs="宋体"/>
          <w:color w:val="auto"/>
          <w:spacing w:val="11"/>
          <w:w w:val="95"/>
          <w:kern w:val="2"/>
          <w:sz w:val="24"/>
          <w:szCs w:val="24"/>
          <w:highlight w:val="none"/>
          <w:lang w:val="en-US" w:eastAsia="zh-CN" w:bidi="ar-SA"/>
        </w:rPr>
      </w:pPr>
      <w:r>
        <w:rPr>
          <w:rFonts w:hint="eastAsia" w:ascii="宋体" w:hAnsi="宋体" w:eastAsia="宋体" w:cs="宋体"/>
          <w:color w:val="auto"/>
          <w:spacing w:val="11"/>
          <w:w w:val="95"/>
          <w:kern w:val="2"/>
          <w:sz w:val="24"/>
          <w:szCs w:val="24"/>
          <w:highlight w:val="none"/>
          <w:lang w:val="en-US" w:eastAsia="zh-CN" w:bidi="ar-SA"/>
        </w:rPr>
        <w:t>日期：</w:t>
      </w:r>
      <w:r>
        <w:rPr>
          <w:rFonts w:hint="eastAsia" w:ascii="宋体" w:hAnsi="宋体" w:eastAsia="宋体" w:cs="宋体"/>
          <w:color w:val="auto"/>
          <w:spacing w:val="11"/>
          <w:w w:val="95"/>
          <w:kern w:val="2"/>
          <w:sz w:val="24"/>
          <w:szCs w:val="24"/>
          <w:highlight w:val="none"/>
          <w:u w:val="single"/>
          <w:lang w:val="en-US" w:eastAsia="zh-CN" w:bidi="ar-SA"/>
        </w:rPr>
        <w:t xml:space="preserve">                     </w:t>
      </w:r>
    </w:p>
    <w:p w14:paraId="30821B76">
      <w:pPr>
        <w:rPr>
          <w:rFonts w:hint="eastAsia" w:ascii="宋体" w:hAnsi="宋体" w:eastAsia="宋体" w:cs="宋体"/>
          <w:color w:val="auto"/>
          <w:highlight w:val="none"/>
          <w:lang w:val="en-US" w:eastAsia="zh-CN"/>
        </w:rPr>
      </w:pPr>
    </w:p>
    <w:p w14:paraId="6AB25EA4">
      <w:pPr>
        <w:pStyle w:val="9"/>
        <w:keepNext w:val="0"/>
        <w:keepLines w:val="0"/>
        <w:pageBreakBefore w:val="0"/>
        <w:widowControl w:val="0"/>
        <w:kinsoku/>
        <w:wordWrap/>
        <w:overflowPunct/>
        <w:topLinePunct w:val="0"/>
        <w:autoSpaceDE/>
        <w:autoSpaceDN/>
        <w:bidi w:val="0"/>
        <w:adjustRightInd/>
        <w:snapToGrid/>
        <w:spacing w:line="520" w:lineRule="exact"/>
        <w:ind w:right="372"/>
        <w:textAlignment w:val="auto"/>
        <w:rPr>
          <w:rFonts w:hint="eastAsia" w:ascii="宋体" w:hAnsi="宋体" w:eastAsia="宋体" w:cs="宋体"/>
          <w:color w:val="auto"/>
          <w:spacing w:val="11"/>
          <w:w w:val="95"/>
          <w:kern w:val="2"/>
          <w:sz w:val="21"/>
          <w:szCs w:val="21"/>
          <w:highlight w:val="none"/>
          <w:lang w:val="en-US" w:eastAsia="zh-CN" w:bidi="ar-SA"/>
        </w:rPr>
      </w:pPr>
    </w:p>
    <w:p w14:paraId="2C450EB8">
      <w:pPr>
        <w:pStyle w:val="9"/>
        <w:keepNext w:val="0"/>
        <w:keepLines w:val="0"/>
        <w:pageBreakBefore w:val="0"/>
        <w:widowControl w:val="0"/>
        <w:kinsoku/>
        <w:wordWrap/>
        <w:overflowPunct/>
        <w:topLinePunct w:val="0"/>
        <w:autoSpaceDE/>
        <w:autoSpaceDN/>
        <w:bidi w:val="0"/>
        <w:adjustRightInd/>
        <w:snapToGrid/>
        <w:spacing w:line="520" w:lineRule="exact"/>
        <w:ind w:right="372"/>
        <w:textAlignment w:val="auto"/>
        <w:rPr>
          <w:rFonts w:hint="eastAsia" w:ascii="宋体" w:hAnsi="宋体" w:eastAsia="宋体" w:cs="宋体"/>
          <w:b/>
          <w:bCs/>
          <w:color w:val="auto"/>
          <w:spacing w:val="11"/>
          <w:w w:val="95"/>
          <w:kern w:val="2"/>
          <w:sz w:val="21"/>
          <w:szCs w:val="21"/>
          <w:highlight w:val="none"/>
          <w:lang w:val="en-US" w:eastAsia="zh-CN" w:bidi="ar-SA"/>
        </w:rPr>
      </w:pPr>
      <w:r>
        <w:rPr>
          <w:rFonts w:hint="eastAsia" w:ascii="宋体" w:hAnsi="宋体" w:eastAsia="宋体" w:cs="宋体"/>
          <w:b/>
          <w:bCs/>
          <w:color w:val="auto"/>
          <w:spacing w:val="11"/>
          <w:w w:val="95"/>
          <w:kern w:val="2"/>
          <w:sz w:val="21"/>
          <w:szCs w:val="21"/>
          <w:highlight w:val="none"/>
          <w:lang w:val="en-US" w:eastAsia="zh-CN" w:bidi="ar-SA"/>
        </w:rPr>
        <w:t>注：潜在投标企业属于中小微企业的，请在响应文件中提供“中小企业声明函”，如果未提供或提供虚假的“中小企业声明函”，投标企业将承担由此造成的一切不利后果。</w:t>
      </w:r>
    </w:p>
    <w:p w14:paraId="07A534C4">
      <w:pPr>
        <w:rPr>
          <w:rFonts w:hint="eastAsia" w:ascii="宋体" w:hAnsi="宋体" w:eastAsia="宋体" w:cs="宋体"/>
          <w:color w:val="auto"/>
          <w:sz w:val="22"/>
          <w:szCs w:val="22"/>
          <w:highlight w:val="none"/>
        </w:rPr>
      </w:pPr>
    </w:p>
    <w:p w14:paraId="6F854EA7">
      <w:pPr>
        <w:rPr>
          <w:rFonts w:hint="eastAsia" w:ascii="宋体" w:hAnsi="宋体" w:eastAsia="宋体" w:cs="宋体"/>
          <w:b/>
          <w:bCs/>
          <w:color w:val="auto"/>
          <w:kern w:val="2"/>
          <w:sz w:val="22"/>
          <w:szCs w:val="22"/>
          <w:highlight w:val="none"/>
        </w:rPr>
      </w:pPr>
      <w:bookmarkStart w:id="666" w:name="_Toc29115"/>
      <w:bookmarkStart w:id="667" w:name="_Toc10977"/>
      <w:bookmarkStart w:id="668" w:name="_Toc7018"/>
      <w:bookmarkStart w:id="669" w:name="_Toc752"/>
      <w:bookmarkStart w:id="670" w:name="_Toc11803"/>
      <w:bookmarkStart w:id="671" w:name="_Toc18860"/>
      <w:bookmarkStart w:id="672" w:name="_Toc26643"/>
      <w:bookmarkStart w:id="673" w:name="_Toc4543"/>
      <w:bookmarkStart w:id="674" w:name="_Toc28055"/>
      <w:bookmarkStart w:id="675" w:name="_Toc5609"/>
      <w:bookmarkStart w:id="676" w:name="_Toc515647824"/>
      <w:bookmarkStart w:id="677" w:name="_Toc12692"/>
      <w:bookmarkStart w:id="678" w:name="_Toc12060"/>
      <w:bookmarkStart w:id="679" w:name="_Toc2709"/>
      <w:bookmarkStart w:id="680" w:name="_Toc23508"/>
      <w:bookmarkStart w:id="681" w:name="_Toc22307"/>
      <w:r>
        <w:rPr>
          <w:rFonts w:hint="eastAsia" w:ascii="宋体" w:hAnsi="宋体" w:eastAsia="宋体" w:cs="宋体"/>
          <w:b/>
          <w:bCs/>
          <w:color w:val="auto"/>
          <w:kern w:val="2"/>
          <w:sz w:val="22"/>
          <w:szCs w:val="22"/>
          <w:highlight w:val="none"/>
        </w:rPr>
        <w:br w:type="page"/>
      </w:r>
    </w:p>
    <w:p w14:paraId="7C34D350">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附：</w:t>
      </w:r>
    </w:p>
    <w:p w14:paraId="755873C2">
      <w:pPr>
        <w:keepNext w:val="0"/>
        <w:keepLines w:val="0"/>
        <w:pageBreakBefore w:val="0"/>
        <w:kinsoku/>
        <w:wordWrap/>
        <w:overflowPunct/>
        <w:topLinePunct w:val="0"/>
        <w:autoSpaceDE/>
        <w:autoSpaceDN/>
        <w:bidi w:val="0"/>
        <w:adjustRightInd/>
        <w:spacing w:line="4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中小微企业划型标准</w:t>
      </w:r>
    </w:p>
    <w:tbl>
      <w:tblPr>
        <w:tblStyle w:val="24"/>
        <w:tblW w:w="9378" w:type="dxa"/>
        <w:jc w:val="center"/>
        <w:tblLayout w:type="fixed"/>
        <w:tblCellMar>
          <w:top w:w="0" w:type="dxa"/>
          <w:left w:w="108" w:type="dxa"/>
          <w:bottom w:w="0" w:type="dxa"/>
          <w:right w:w="108" w:type="dxa"/>
        </w:tblCellMar>
      </w:tblPr>
      <w:tblGrid>
        <w:gridCol w:w="1570"/>
        <w:gridCol w:w="1660"/>
        <w:gridCol w:w="1466"/>
        <w:gridCol w:w="1903"/>
        <w:gridCol w:w="1692"/>
        <w:gridCol w:w="1087"/>
      </w:tblGrid>
      <w:tr w14:paraId="7E432B8E">
        <w:tblPrEx>
          <w:tblCellMar>
            <w:top w:w="0" w:type="dxa"/>
            <w:left w:w="108" w:type="dxa"/>
            <w:bottom w:w="0" w:type="dxa"/>
            <w:right w:w="108" w:type="dxa"/>
          </w:tblCellMar>
        </w:tblPrEx>
        <w:trPr>
          <w:trHeight w:val="252" w:hRule="atLeast"/>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14:paraId="3831900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行业名称</w:t>
            </w:r>
          </w:p>
        </w:tc>
        <w:tc>
          <w:tcPr>
            <w:tcW w:w="1660" w:type="dxa"/>
            <w:tcBorders>
              <w:top w:val="single" w:color="auto" w:sz="4" w:space="0"/>
              <w:left w:val="nil"/>
              <w:bottom w:val="single" w:color="auto" w:sz="4" w:space="0"/>
              <w:right w:val="single" w:color="auto" w:sz="4" w:space="0"/>
            </w:tcBorders>
            <w:noWrap w:val="0"/>
            <w:vAlign w:val="center"/>
          </w:tcPr>
          <w:p w14:paraId="655254D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指标名称</w:t>
            </w:r>
          </w:p>
        </w:tc>
        <w:tc>
          <w:tcPr>
            <w:tcW w:w="1466" w:type="dxa"/>
            <w:tcBorders>
              <w:top w:val="single" w:color="auto" w:sz="4" w:space="0"/>
              <w:left w:val="nil"/>
              <w:bottom w:val="single" w:color="auto" w:sz="4" w:space="0"/>
              <w:right w:val="single" w:color="auto" w:sz="4" w:space="0"/>
            </w:tcBorders>
            <w:noWrap w:val="0"/>
            <w:vAlign w:val="center"/>
          </w:tcPr>
          <w:p w14:paraId="11AF1EF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计量单位</w:t>
            </w:r>
          </w:p>
        </w:tc>
        <w:tc>
          <w:tcPr>
            <w:tcW w:w="1903" w:type="dxa"/>
            <w:tcBorders>
              <w:top w:val="single" w:color="auto" w:sz="4" w:space="0"/>
              <w:left w:val="nil"/>
              <w:bottom w:val="single" w:color="auto" w:sz="4" w:space="0"/>
              <w:right w:val="single" w:color="auto" w:sz="4" w:space="0"/>
            </w:tcBorders>
            <w:noWrap w:val="0"/>
            <w:vAlign w:val="center"/>
          </w:tcPr>
          <w:p w14:paraId="7034B5F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中型</w:t>
            </w:r>
          </w:p>
        </w:tc>
        <w:tc>
          <w:tcPr>
            <w:tcW w:w="1692" w:type="dxa"/>
            <w:tcBorders>
              <w:top w:val="single" w:color="auto" w:sz="4" w:space="0"/>
              <w:left w:val="nil"/>
              <w:bottom w:val="single" w:color="auto" w:sz="4" w:space="0"/>
              <w:right w:val="single" w:color="auto" w:sz="4" w:space="0"/>
            </w:tcBorders>
            <w:noWrap w:val="0"/>
            <w:vAlign w:val="center"/>
          </w:tcPr>
          <w:p w14:paraId="7BFC920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小型</w:t>
            </w:r>
          </w:p>
        </w:tc>
        <w:tc>
          <w:tcPr>
            <w:tcW w:w="1087" w:type="dxa"/>
            <w:tcBorders>
              <w:top w:val="single" w:color="auto" w:sz="4" w:space="0"/>
              <w:left w:val="nil"/>
              <w:bottom w:val="single" w:color="auto" w:sz="4" w:space="0"/>
              <w:right w:val="single" w:color="auto" w:sz="4" w:space="0"/>
            </w:tcBorders>
            <w:noWrap w:val="0"/>
            <w:vAlign w:val="center"/>
          </w:tcPr>
          <w:p w14:paraId="2FD1A38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微型</w:t>
            </w:r>
          </w:p>
        </w:tc>
      </w:tr>
      <w:tr w14:paraId="3E3D000B">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573681C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农、林、牧、渔</w:t>
            </w:r>
          </w:p>
        </w:tc>
        <w:tc>
          <w:tcPr>
            <w:tcW w:w="1660" w:type="dxa"/>
            <w:tcBorders>
              <w:top w:val="nil"/>
              <w:left w:val="nil"/>
              <w:bottom w:val="single" w:color="auto" w:sz="4" w:space="0"/>
              <w:right w:val="single" w:color="auto" w:sz="4" w:space="0"/>
            </w:tcBorders>
            <w:noWrap w:val="0"/>
            <w:vAlign w:val="center"/>
          </w:tcPr>
          <w:p w14:paraId="6B93567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CA78C5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40B24C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6F5D126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50≤Y＜500</w:t>
            </w:r>
          </w:p>
        </w:tc>
        <w:tc>
          <w:tcPr>
            <w:tcW w:w="1087" w:type="dxa"/>
            <w:tcBorders>
              <w:top w:val="nil"/>
              <w:left w:val="nil"/>
              <w:bottom w:val="single" w:color="auto" w:sz="4" w:space="0"/>
              <w:right w:val="single" w:color="auto" w:sz="4" w:space="0"/>
            </w:tcBorders>
            <w:noWrap w:val="0"/>
            <w:vAlign w:val="center"/>
          </w:tcPr>
          <w:p w14:paraId="6397061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Y＜50</w:t>
            </w:r>
          </w:p>
        </w:tc>
      </w:tr>
      <w:tr w14:paraId="170F8C4A">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685634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工业</w:t>
            </w:r>
          </w:p>
        </w:tc>
        <w:tc>
          <w:tcPr>
            <w:tcW w:w="1660" w:type="dxa"/>
            <w:tcBorders>
              <w:top w:val="nil"/>
              <w:left w:val="nil"/>
              <w:bottom w:val="single" w:color="auto" w:sz="4" w:space="0"/>
              <w:right w:val="single" w:color="auto" w:sz="4" w:space="0"/>
            </w:tcBorders>
            <w:noWrap w:val="0"/>
            <w:vAlign w:val="center"/>
          </w:tcPr>
          <w:p w14:paraId="603CB12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558DFC9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927E69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5D1ACE1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11250D4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14:paraId="725E078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308C94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9B35F9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80720E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BE4413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2000≤Y＜40000</w:t>
            </w:r>
          </w:p>
        </w:tc>
        <w:tc>
          <w:tcPr>
            <w:tcW w:w="1692" w:type="dxa"/>
            <w:tcBorders>
              <w:top w:val="nil"/>
              <w:left w:val="nil"/>
              <w:bottom w:val="single" w:color="auto" w:sz="4" w:space="0"/>
              <w:right w:val="single" w:color="auto" w:sz="4" w:space="0"/>
            </w:tcBorders>
            <w:noWrap w:val="0"/>
            <w:vAlign w:val="center"/>
          </w:tcPr>
          <w:p w14:paraId="3400501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300≤Y＜2000</w:t>
            </w:r>
          </w:p>
        </w:tc>
        <w:tc>
          <w:tcPr>
            <w:tcW w:w="1087" w:type="dxa"/>
            <w:tcBorders>
              <w:top w:val="nil"/>
              <w:left w:val="nil"/>
              <w:bottom w:val="single" w:color="auto" w:sz="4" w:space="0"/>
              <w:right w:val="single" w:color="auto" w:sz="4" w:space="0"/>
            </w:tcBorders>
            <w:noWrap w:val="0"/>
            <w:vAlign w:val="center"/>
          </w:tcPr>
          <w:p w14:paraId="235292E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Y＜300</w:t>
            </w:r>
          </w:p>
        </w:tc>
      </w:tr>
      <w:tr w14:paraId="32BE725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6237C8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建筑业</w:t>
            </w:r>
          </w:p>
        </w:tc>
        <w:tc>
          <w:tcPr>
            <w:tcW w:w="1660" w:type="dxa"/>
            <w:tcBorders>
              <w:top w:val="nil"/>
              <w:left w:val="nil"/>
              <w:bottom w:val="single" w:color="auto" w:sz="4" w:space="0"/>
              <w:right w:val="single" w:color="auto" w:sz="4" w:space="0"/>
            </w:tcBorders>
            <w:noWrap w:val="0"/>
            <w:vAlign w:val="center"/>
          </w:tcPr>
          <w:p w14:paraId="74751D3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5696F90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1763AE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6000≤Y＜80000</w:t>
            </w:r>
          </w:p>
        </w:tc>
        <w:tc>
          <w:tcPr>
            <w:tcW w:w="1692" w:type="dxa"/>
            <w:tcBorders>
              <w:top w:val="nil"/>
              <w:left w:val="nil"/>
              <w:bottom w:val="single" w:color="auto" w:sz="4" w:space="0"/>
              <w:right w:val="single" w:color="auto" w:sz="4" w:space="0"/>
            </w:tcBorders>
            <w:noWrap w:val="0"/>
            <w:vAlign w:val="center"/>
          </w:tcPr>
          <w:p w14:paraId="1317493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300≤Y＜6000</w:t>
            </w:r>
          </w:p>
        </w:tc>
        <w:tc>
          <w:tcPr>
            <w:tcW w:w="1087" w:type="dxa"/>
            <w:tcBorders>
              <w:top w:val="nil"/>
              <w:left w:val="nil"/>
              <w:bottom w:val="single" w:color="auto" w:sz="4" w:space="0"/>
              <w:right w:val="single" w:color="auto" w:sz="4" w:space="0"/>
            </w:tcBorders>
            <w:noWrap w:val="0"/>
            <w:vAlign w:val="center"/>
          </w:tcPr>
          <w:p w14:paraId="0EB9C4D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Y＜300</w:t>
            </w:r>
          </w:p>
        </w:tc>
      </w:tr>
      <w:tr w14:paraId="7949452B">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ADF5BF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2E7CA43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3564F7D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1DF45D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5000≤Z＜80000</w:t>
            </w:r>
          </w:p>
        </w:tc>
        <w:tc>
          <w:tcPr>
            <w:tcW w:w="1692" w:type="dxa"/>
            <w:tcBorders>
              <w:top w:val="nil"/>
              <w:left w:val="nil"/>
              <w:bottom w:val="single" w:color="auto" w:sz="4" w:space="0"/>
              <w:right w:val="single" w:color="auto" w:sz="4" w:space="0"/>
            </w:tcBorders>
            <w:noWrap w:val="0"/>
            <w:vAlign w:val="center"/>
          </w:tcPr>
          <w:p w14:paraId="7735361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300≤Z＜5000</w:t>
            </w:r>
          </w:p>
        </w:tc>
        <w:tc>
          <w:tcPr>
            <w:tcW w:w="1087" w:type="dxa"/>
            <w:tcBorders>
              <w:top w:val="nil"/>
              <w:left w:val="nil"/>
              <w:bottom w:val="single" w:color="auto" w:sz="4" w:space="0"/>
              <w:right w:val="single" w:color="auto" w:sz="4" w:space="0"/>
            </w:tcBorders>
            <w:noWrap w:val="0"/>
            <w:vAlign w:val="center"/>
          </w:tcPr>
          <w:p w14:paraId="1117744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Z＜300</w:t>
            </w:r>
          </w:p>
        </w:tc>
      </w:tr>
      <w:tr w14:paraId="609B5906">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8E61A7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批发业</w:t>
            </w:r>
          </w:p>
        </w:tc>
        <w:tc>
          <w:tcPr>
            <w:tcW w:w="1660" w:type="dxa"/>
            <w:tcBorders>
              <w:top w:val="nil"/>
              <w:left w:val="nil"/>
              <w:bottom w:val="single" w:color="auto" w:sz="4" w:space="0"/>
              <w:right w:val="single" w:color="auto" w:sz="4" w:space="0"/>
            </w:tcBorders>
            <w:noWrap w:val="0"/>
            <w:vAlign w:val="center"/>
          </w:tcPr>
          <w:p w14:paraId="6A63420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5637BAB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787C2D8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20≤X＜200</w:t>
            </w:r>
          </w:p>
        </w:tc>
        <w:tc>
          <w:tcPr>
            <w:tcW w:w="1692" w:type="dxa"/>
            <w:tcBorders>
              <w:top w:val="nil"/>
              <w:left w:val="nil"/>
              <w:bottom w:val="single" w:color="auto" w:sz="4" w:space="0"/>
              <w:right w:val="single" w:color="auto" w:sz="4" w:space="0"/>
            </w:tcBorders>
            <w:noWrap w:val="0"/>
            <w:vAlign w:val="center"/>
          </w:tcPr>
          <w:p w14:paraId="3C2379E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5≤X＜20</w:t>
            </w:r>
          </w:p>
        </w:tc>
        <w:tc>
          <w:tcPr>
            <w:tcW w:w="1087" w:type="dxa"/>
            <w:tcBorders>
              <w:top w:val="nil"/>
              <w:left w:val="nil"/>
              <w:bottom w:val="single" w:color="auto" w:sz="4" w:space="0"/>
              <w:right w:val="single" w:color="auto" w:sz="4" w:space="0"/>
            </w:tcBorders>
            <w:noWrap w:val="0"/>
            <w:vAlign w:val="center"/>
          </w:tcPr>
          <w:p w14:paraId="65BA83B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X＜5</w:t>
            </w:r>
          </w:p>
        </w:tc>
      </w:tr>
      <w:tr w14:paraId="13542C57">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1E1093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717C853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FD1031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33B93BB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5000≤Y＜40000</w:t>
            </w:r>
          </w:p>
        </w:tc>
        <w:tc>
          <w:tcPr>
            <w:tcW w:w="1692" w:type="dxa"/>
            <w:tcBorders>
              <w:top w:val="nil"/>
              <w:left w:val="nil"/>
              <w:bottom w:val="single" w:color="auto" w:sz="4" w:space="0"/>
              <w:right w:val="single" w:color="auto" w:sz="4" w:space="0"/>
            </w:tcBorders>
            <w:noWrap w:val="0"/>
            <w:vAlign w:val="center"/>
          </w:tcPr>
          <w:p w14:paraId="123CDBD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1000≤Y＜5000</w:t>
            </w:r>
          </w:p>
        </w:tc>
        <w:tc>
          <w:tcPr>
            <w:tcW w:w="1087" w:type="dxa"/>
            <w:tcBorders>
              <w:top w:val="nil"/>
              <w:left w:val="nil"/>
              <w:bottom w:val="single" w:color="auto" w:sz="4" w:space="0"/>
              <w:right w:val="single" w:color="auto" w:sz="4" w:space="0"/>
            </w:tcBorders>
            <w:noWrap w:val="0"/>
            <w:vAlign w:val="center"/>
          </w:tcPr>
          <w:p w14:paraId="1F3BF10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Y＜1000</w:t>
            </w:r>
          </w:p>
        </w:tc>
      </w:tr>
      <w:tr w14:paraId="4789F899">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B1A0C6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零售业</w:t>
            </w:r>
          </w:p>
        </w:tc>
        <w:tc>
          <w:tcPr>
            <w:tcW w:w="1660" w:type="dxa"/>
            <w:tcBorders>
              <w:top w:val="nil"/>
              <w:left w:val="nil"/>
              <w:bottom w:val="single" w:color="auto" w:sz="4" w:space="0"/>
              <w:right w:val="single" w:color="auto" w:sz="4" w:space="0"/>
            </w:tcBorders>
            <w:noWrap w:val="0"/>
            <w:vAlign w:val="center"/>
          </w:tcPr>
          <w:p w14:paraId="2613F6A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775FE0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488071F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50≤X＜300</w:t>
            </w:r>
          </w:p>
        </w:tc>
        <w:tc>
          <w:tcPr>
            <w:tcW w:w="1692" w:type="dxa"/>
            <w:tcBorders>
              <w:top w:val="nil"/>
              <w:left w:val="nil"/>
              <w:bottom w:val="single" w:color="auto" w:sz="4" w:space="0"/>
              <w:right w:val="single" w:color="auto" w:sz="4" w:space="0"/>
            </w:tcBorders>
            <w:noWrap w:val="0"/>
            <w:vAlign w:val="center"/>
          </w:tcPr>
          <w:p w14:paraId="5C140F4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10≤X＜50</w:t>
            </w:r>
          </w:p>
        </w:tc>
        <w:tc>
          <w:tcPr>
            <w:tcW w:w="1087" w:type="dxa"/>
            <w:tcBorders>
              <w:top w:val="nil"/>
              <w:left w:val="nil"/>
              <w:bottom w:val="single" w:color="auto" w:sz="4" w:space="0"/>
              <w:right w:val="single" w:color="auto" w:sz="4" w:space="0"/>
            </w:tcBorders>
            <w:noWrap w:val="0"/>
            <w:vAlign w:val="center"/>
          </w:tcPr>
          <w:p w14:paraId="50D6A05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1565BB47">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CE0606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41FAFB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FA487C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B0F315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58B7736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100≤Y＜500</w:t>
            </w:r>
          </w:p>
        </w:tc>
        <w:tc>
          <w:tcPr>
            <w:tcW w:w="1087" w:type="dxa"/>
            <w:tcBorders>
              <w:top w:val="nil"/>
              <w:left w:val="nil"/>
              <w:bottom w:val="single" w:color="auto" w:sz="4" w:space="0"/>
              <w:right w:val="single" w:color="auto" w:sz="4" w:space="0"/>
            </w:tcBorders>
            <w:noWrap w:val="0"/>
            <w:vAlign w:val="center"/>
          </w:tcPr>
          <w:p w14:paraId="4604A69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6BA8EFB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BD9338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交通运输业</w:t>
            </w:r>
          </w:p>
        </w:tc>
        <w:tc>
          <w:tcPr>
            <w:tcW w:w="1660" w:type="dxa"/>
            <w:tcBorders>
              <w:top w:val="nil"/>
              <w:left w:val="nil"/>
              <w:bottom w:val="single" w:color="auto" w:sz="4" w:space="0"/>
              <w:right w:val="single" w:color="auto" w:sz="4" w:space="0"/>
            </w:tcBorders>
            <w:noWrap w:val="0"/>
            <w:vAlign w:val="center"/>
          </w:tcPr>
          <w:p w14:paraId="5CE59B2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B4CDB9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18E649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399418D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3B885E9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14:paraId="6AC12CA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07D81C1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77BD1F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053ED0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37FA984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3000≤Y＜30000</w:t>
            </w:r>
          </w:p>
        </w:tc>
        <w:tc>
          <w:tcPr>
            <w:tcW w:w="1692" w:type="dxa"/>
            <w:tcBorders>
              <w:top w:val="nil"/>
              <w:left w:val="nil"/>
              <w:bottom w:val="single" w:color="auto" w:sz="4" w:space="0"/>
              <w:right w:val="single" w:color="auto" w:sz="4" w:space="0"/>
            </w:tcBorders>
            <w:noWrap w:val="0"/>
            <w:vAlign w:val="center"/>
          </w:tcPr>
          <w:p w14:paraId="19D238C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200≤Y＜3000</w:t>
            </w:r>
          </w:p>
        </w:tc>
        <w:tc>
          <w:tcPr>
            <w:tcW w:w="1087" w:type="dxa"/>
            <w:tcBorders>
              <w:top w:val="nil"/>
              <w:left w:val="nil"/>
              <w:bottom w:val="single" w:color="auto" w:sz="4" w:space="0"/>
              <w:right w:val="single" w:color="auto" w:sz="4" w:space="0"/>
            </w:tcBorders>
            <w:noWrap w:val="0"/>
            <w:vAlign w:val="center"/>
          </w:tcPr>
          <w:p w14:paraId="4526E9F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Y＜200</w:t>
            </w:r>
          </w:p>
        </w:tc>
      </w:tr>
      <w:tr w14:paraId="23AACAEA">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7900D9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仓储业</w:t>
            </w:r>
          </w:p>
        </w:tc>
        <w:tc>
          <w:tcPr>
            <w:tcW w:w="1660" w:type="dxa"/>
            <w:tcBorders>
              <w:top w:val="nil"/>
              <w:left w:val="nil"/>
              <w:bottom w:val="single" w:color="auto" w:sz="4" w:space="0"/>
              <w:right w:val="single" w:color="auto" w:sz="4" w:space="0"/>
            </w:tcBorders>
            <w:noWrap w:val="0"/>
            <w:vAlign w:val="center"/>
          </w:tcPr>
          <w:p w14:paraId="7990EBE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2E39ED4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2037CB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100≤X＜200</w:t>
            </w:r>
          </w:p>
        </w:tc>
        <w:tc>
          <w:tcPr>
            <w:tcW w:w="1692" w:type="dxa"/>
            <w:tcBorders>
              <w:top w:val="nil"/>
              <w:left w:val="nil"/>
              <w:bottom w:val="single" w:color="auto" w:sz="4" w:space="0"/>
              <w:right w:val="single" w:color="auto" w:sz="4" w:space="0"/>
            </w:tcBorders>
            <w:noWrap w:val="0"/>
            <w:vAlign w:val="center"/>
          </w:tcPr>
          <w:p w14:paraId="6009921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20≤X＜100</w:t>
            </w:r>
          </w:p>
        </w:tc>
        <w:tc>
          <w:tcPr>
            <w:tcW w:w="1087" w:type="dxa"/>
            <w:tcBorders>
              <w:top w:val="nil"/>
              <w:left w:val="nil"/>
              <w:bottom w:val="single" w:color="auto" w:sz="4" w:space="0"/>
              <w:right w:val="single" w:color="auto" w:sz="4" w:space="0"/>
            </w:tcBorders>
            <w:noWrap w:val="0"/>
            <w:vAlign w:val="center"/>
          </w:tcPr>
          <w:p w14:paraId="3A46735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14:paraId="764F4D1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4CFA0E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2EA1BE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9E5C59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1852DA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1000≤Y＜30000</w:t>
            </w:r>
          </w:p>
        </w:tc>
        <w:tc>
          <w:tcPr>
            <w:tcW w:w="1692" w:type="dxa"/>
            <w:tcBorders>
              <w:top w:val="nil"/>
              <w:left w:val="nil"/>
              <w:bottom w:val="single" w:color="auto" w:sz="4" w:space="0"/>
              <w:right w:val="single" w:color="auto" w:sz="4" w:space="0"/>
            </w:tcBorders>
            <w:noWrap w:val="0"/>
            <w:vAlign w:val="center"/>
          </w:tcPr>
          <w:p w14:paraId="4C2DB57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16FBD31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49411F79">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E94A94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邮政业</w:t>
            </w:r>
          </w:p>
        </w:tc>
        <w:tc>
          <w:tcPr>
            <w:tcW w:w="1660" w:type="dxa"/>
            <w:tcBorders>
              <w:top w:val="nil"/>
              <w:left w:val="nil"/>
              <w:bottom w:val="single" w:color="auto" w:sz="4" w:space="0"/>
              <w:right w:val="single" w:color="auto" w:sz="4" w:space="0"/>
            </w:tcBorders>
            <w:noWrap w:val="0"/>
            <w:vAlign w:val="center"/>
          </w:tcPr>
          <w:p w14:paraId="4C55A0F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5EB1279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749F1F3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6C3D547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3773BD3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14:paraId="1D2A536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04828BB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72359F7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563AC9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788711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2000≤Y＜30000</w:t>
            </w:r>
          </w:p>
        </w:tc>
        <w:tc>
          <w:tcPr>
            <w:tcW w:w="1692" w:type="dxa"/>
            <w:tcBorders>
              <w:top w:val="nil"/>
              <w:left w:val="nil"/>
              <w:bottom w:val="single" w:color="auto" w:sz="4" w:space="0"/>
              <w:right w:val="single" w:color="auto" w:sz="4" w:space="0"/>
            </w:tcBorders>
            <w:noWrap w:val="0"/>
            <w:vAlign w:val="center"/>
          </w:tcPr>
          <w:p w14:paraId="0336B4C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5BF5B17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4202149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76804D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住宿业</w:t>
            </w:r>
          </w:p>
        </w:tc>
        <w:tc>
          <w:tcPr>
            <w:tcW w:w="1660" w:type="dxa"/>
            <w:tcBorders>
              <w:top w:val="nil"/>
              <w:left w:val="nil"/>
              <w:bottom w:val="single" w:color="auto" w:sz="4" w:space="0"/>
              <w:right w:val="single" w:color="auto" w:sz="4" w:space="0"/>
            </w:tcBorders>
            <w:noWrap w:val="0"/>
            <w:vAlign w:val="center"/>
          </w:tcPr>
          <w:p w14:paraId="57BE761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75F8D5A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03DBA6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11EF74F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155D9AE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0AC225E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F77F16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A91C63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69A16C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46F330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2E6D6A6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5C35EFA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0D78DCD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E8C7A8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餐饮业</w:t>
            </w:r>
          </w:p>
        </w:tc>
        <w:tc>
          <w:tcPr>
            <w:tcW w:w="1660" w:type="dxa"/>
            <w:tcBorders>
              <w:top w:val="nil"/>
              <w:left w:val="nil"/>
              <w:bottom w:val="single" w:color="auto" w:sz="4" w:space="0"/>
              <w:right w:val="single" w:color="auto" w:sz="4" w:space="0"/>
            </w:tcBorders>
            <w:noWrap w:val="0"/>
            <w:vAlign w:val="center"/>
          </w:tcPr>
          <w:p w14:paraId="7691758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495B77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8BFE1A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7AFE4A4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BE603E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41F501B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A29C72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E36900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8D57CC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168170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7CE35EC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49CF56F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53CA181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D01E01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信息传输业</w:t>
            </w:r>
          </w:p>
        </w:tc>
        <w:tc>
          <w:tcPr>
            <w:tcW w:w="1660" w:type="dxa"/>
            <w:tcBorders>
              <w:top w:val="nil"/>
              <w:left w:val="nil"/>
              <w:bottom w:val="single" w:color="auto" w:sz="4" w:space="0"/>
              <w:right w:val="single" w:color="auto" w:sz="4" w:space="0"/>
            </w:tcBorders>
            <w:noWrap w:val="0"/>
            <w:vAlign w:val="center"/>
          </w:tcPr>
          <w:p w14:paraId="5213D71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563814D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86EEF3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100≤X＜2000</w:t>
            </w:r>
          </w:p>
        </w:tc>
        <w:tc>
          <w:tcPr>
            <w:tcW w:w="1692" w:type="dxa"/>
            <w:tcBorders>
              <w:top w:val="nil"/>
              <w:left w:val="nil"/>
              <w:bottom w:val="single" w:color="auto" w:sz="4" w:space="0"/>
              <w:right w:val="single" w:color="auto" w:sz="4" w:space="0"/>
            </w:tcBorders>
            <w:noWrap w:val="0"/>
            <w:vAlign w:val="center"/>
          </w:tcPr>
          <w:p w14:paraId="2742FF2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3B811A7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47CECF3B">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09CD9A1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077C75E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5E5EDA0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3029E9D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1000≤Y＜100000</w:t>
            </w:r>
          </w:p>
        </w:tc>
        <w:tc>
          <w:tcPr>
            <w:tcW w:w="1692" w:type="dxa"/>
            <w:tcBorders>
              <w:top w:val="nil"/>
              <w:left w:val="nil"/>
              <w:bottom w:val="single" w:color="auto" w:sz="4" w:space="0"/>
              <w:right w:val="single" w:color="auto" w:sz="4" w:space="0"/>
            </w:tcBorders>
            <w:noWrap w:val="0"/>
            <w:vAlign w:val="center"/>
          </w:tcPr>
          <w:p w14:paraId="57D1E53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5928AA7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2C9BEEB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B1E600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软件和信息技术服务业</w:t>
            </w:r>
          </w:p>
        </w:tc>
        <w:tc>
          <w:tcPr>
            <w:tcW w:w="1660" w:type="dxa"/>
            <w:tcBorders>
              <w:top w:val="nil"/>
              <w:left w:val="nil"/>
              <w:bottom w:val="single" w:color="auto" w:sz="4" w:space="0"/>
              <w:right w:val="single" w:color="auto" w:sz="4" w:space="0"/>
            </w:tcBorders>
            <w:noWrap w:val="0"/>
            <w:vAlign w:val="center"/>
          </w:tcPr>
          <w:p w14:paraId="71D3429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6EB7A36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41AFE50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3226638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10B3F34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347601D7">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D50167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BC2DBA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5241043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0E3B0B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1000≤Y＜10000</w:t>
            </w:r>
          </w:p>
        </w:tc>
        <w:tc>
          <w:tcPr>
            <w:tcW w:w="1692" w:type="dxa"/>
            <w:tcBorders>
              <w:top w:val="nil"/>
              <w:left w:val="nil"/>
              <w:bottom w:val="single" w:color="auto" w:sz="4" w:space="0"/>
              <w:right w:val="single" w:color="auto" w:sz="4" w:space="0"/>
            </w:tcBorders>
            <w:noWrap w:val="0"/>
            <w:vAlign w:val="center"/>
          </w:tcPr>
          <w:p w14:paraId="0CE877D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50≤Y＜1000</w:t>
            </w:r>
          </w:p>
        </w:tc>
        <w:tc>
          <w:tcPr>
            <w:tcW w:w="1087" w:type="dxa"/>
            <w:tcBorders>
              <w:top w:val="nil"/>
              <w:left w:val="nil"/>
              <w:bottom w:val="single" w:color="auto" w:sz="4" w:space="0"/>
              <w:right w:val="single" w:color="auto" w:sz="4" w:space="0"/>
            </w:tcBorders>
            <w:noWrap w:val="0"/>
            <w:vAlign w:val="center"/>
          </w:tcPr>
          <w:p w14:paraId="37E2059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Y＜50</w:t>
            </w:r>
          </w:p>
        </w:tc>
      </w:tr>
      <w:tr w14:paraId="7C86849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C1C2AE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房地产开发经营</w:t>
            </w:r>
          </w:p>
        </w:tc>
        <w:tc>
          <w:tcPr>
            <w:tcW w:w="1660" w:type="dxa"/>
            <w:tcBorders>
              <w:top w:val="nil"/>
              <w:left w:val="nil"/>
              <w:bottom w:val="single" w:color="auto" w:sz="4" w:space="0"/>
              <w:right w:val="single" w:color="auto" w:sz="4" w:space="0"/>
            </w:tcBorders>
            <w:noWrap w:val="0"/>
            <w:vAlign w:val="center"/>
          </w:tcPr>
          <w:p w14:paraId="52E8E3E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3ADF164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47BBB8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1000≤Y＜200000</w:t>
            </w:r>
          </w:p>
        </w:tc>
        <w:tc>
          <w:tcPr>
            <w:tcW w:w="1692" w:type="dxa"/>
            <w:tcBorders>
              <w:top w:val="nil"/>
              <w:left w:val="nil"/>
              <w:bottom w:val="single" w:color="auto" w:sz="4" w:space="0"/>
              <w:right w:val="single" w:color="auto" w:sz="4" w:space="0"/>
            </w:tcBorders>
            <w:noWrap w:val="0"/>
            <w:vAlign w:val="center"/>
          </w:tcPr>
          <w:p w14:paraId="0EBE39D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100≤X＜1000</w:t>
            </w:r>
          </w:p>
        </w:tc>
        <w:tc>
          <w:tcPr>
            <w:tcW w:w="1087" w:type="dxa"/>
            <w:tcBorders>
              <w:top w:val="nil"/>
              <w:left w:val="nil"/>
              <w:bottom w:val="single" w:color="auto" w:sz="4" w:space="0"/>
              <w:right w:val="single" w:color="auto" w:sz="4" w:space="0"/>
            </w:tcBorders>
            <w:noWrap w:val="0"/>
            <w:vAlign w:val="center"/>
          </w:tcPr>
          <w:p w14:paraId="3968999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X＜100</w:t>
            </w:r>
          </w:p>
        </w:tc>
      </w:tr>
      <w:tr w14:paraId="0A4E9BF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17006C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DF745B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7945410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7B70BB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5000≤Z＜10000</w:t>
            </w:r>
          </w:p>
        </w:tc>
        <w:tc>
          <w:tcPr>
            <w:tcW w:w="1692" w:type="dxa"/>
            <w:tcBorders>
              <w:top w:val="nil"/>
              <w:left w:val="nil"/>
              <w:bottom w:val="single" w:color="auto" w:sz="4" w:space="0"/>
              <w:right w:val="single" w:color="auto" w:sz="4" w:space="0"/>
            </w:tcBorders>
            <w:noWrap w:val="0"/>
            <w:vAlign w:val="center"/>
          </w:tcPr>
          <w:p w14:paraId="6552D02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2000≤Y＜5000</w:t>
            </w:r>
          </w:p>
        </w:tc>
        <w:tc>
          <w:tcPr>
            <w:tcW w:w="1087" w:type="dxa"/>
            <w:tcBorders>
              <w:top w:val="nil"/>
              <w:left w:val="nil"/>
              <w:bottom w:val="single" w:color="auto" w:sz="4" w:space="0"/>
              <w:right w:val="single" w:color="auto" w:sz="4" w:space="0"/>
            </w:tcBorders>
            <w:noWrap w:val="0"/>
            <w:vAlign w:val="center"/>
          </w:tcPr>
          <w:p w14:paraId="68F1E1E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Y＜2000</w:t>
            </w:r>
          </w:p>
        </w:tc>
      </w:tr>
      <w:tr w14:paraId="61462AE5">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6AB099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物业管理</w:t>
            </w:r>
          </w:p>
        </w:tc>
        <w:tc>
          <w:tcPr>
            <w:tcW w:w="1660" w:type="dxa"/>
            <w:tcBorders>
              <w:top w:val="nil"/>
              <w:left w:val="nil"/>
              <w:bottom w:val="single" w:color="auto" w:sz="4" w:space="0"/>
              <w:right w:val="single" w:color="auto" w:sz="4" w:space="0"/>
            </w:tcBorders>
            <w:noWrap w:val="0"/>
            <w:vAlign w:val="center"/>
          </w:tcPr>
          <w:p w14:paraId="500CD24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222CE1F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68555FD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189BC3C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087" w:type="dxa"/>
            <w:tcBorders>
              <w:top w:val="nil"/>
              <w:left w:val="nil"/>
              <w:bottom w:val="single" w:color="auto" w:sz="4" w:space="0"/>
              <w:right w:val="single" w:color="auto" w:sz="4" w:space="0"/>
            </w:tcBorders>
            <w:noWrap w:val="0"/>
            <w:vAlign w:val="center"/>
          </w:tcPr>
          <w:p w14:paraId="1A285A0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X＜100</w:t>
            </w:r>
          </w:p>
        </w:tc>
      </w:tr>
      <w:tr w14:paraId="3126921B">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E79905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7E082E0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3868A48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357C051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1000≤Y＜5000</w:t>
            </w:r>
          </w:p>
        </w:tc>
        <w:tc>
          <w:tcPr>
            <w:tcW w:w="1692" w:type="dxa"/>
            <w:tcBorders>
              <w:top w:val="nil"/>
              <w:left w:val="nil"/>
              <w:bottom w:val="single" w:color="auto" w:sz="4" w:space="0"/>
              <w:right w:val="single" w:color="auto" w:sz="4" w:space="0"/>
            </w:tcBorders>
            <w:noWrap w:val="0"/>
            <w:vAlign w:val="center"/>
          </w:tcPr>
          <w:p w14:paraId="63445C2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500≤Y＜1000</w:t>
            </w:r>
          </w:p>
        </w:tc>
        <w:tc>
          <w:tcPr>
            <w:tcW w:w="1087" w:type="dxa"/>
            <w:tcBorders>
              <w:top w:val="nil"/>
              <w:left w:val="nil"/>
              <w:bottom w:val="single" w:color="auto" w:sz="4" w:space="0"/>
              <w:right w:val="single" w:color="auto" w:sz="4" w:space="0"/>
            </w:tcBorders>
            <w:noWrap w:val="0"/>
            <w:vAlign w:val="center"/>
          </w:tcPr>
          <w:p w14:paraId="7694C8E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Y＜500</w:t>
            </w:r>
          </w:p>
        </w:tc>
      </w:tr>
      <w:tr w14:paraId="281C8516">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45D136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租赁和商务服务业</w:t>
            </w:r>
          </w:p>
        </w:tc>
        <w:tc>
          <w:tcPr>
            <w:tcW w:w="1660" w:type="dxa"/>
            <w:tcBorders>
              <w:top w:val="nil"/>
              <w:left w:val="nil"/>
              <w:bottom w:val="single" w:color="auto" w:sz="4" w:space="0"/>
              <w:right w:val="single" w:color="auto" w:sz="4" w:space="0"/>
            </w:tcBorders>
            <w:noWrap w:val="0"/>
            <w:vAlign w:val="center"/>
          </w:tcPr>
          <w:p w14:paraId="02910A4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2C175A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44416BC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77AE5A1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76C7A70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4240F5E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324F7F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1D06E81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3953F13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CCB253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8000≤Z＜120000</w:t>
            </w:r>
          </w:p>
        </w:tc>
        <w:tc>
          <w:tcPr>
            <w:tcW w:w="1692" w:type="dxa"/>
            <w:tcBorders>
              <w:top w:val="nil"/>
              <w:left w:val="nil"/>
              <w:bottom w:val="single" w:color="auto" w:sz="4" w:space="0"/>
              <w:right w:val="single" w:color="auto" w:sz="4" w:space="0"/>
            </w:tcBorders>
            <w:noWrap w:val="0"/>
            <w:vAlign w:val="center"/>
          </w:tcPr>
          <w:p w14:paraId="0753869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100≤Z＜8000</w:t>
            </w:r>
          </w:p>
        </w:tc>
        <w:tc>
          <w:tcPr>
            <w:tcW w:w="1087" w:type="dxa"/>
            <w:tcBorders>
              <w:top w:val="nil"/>
              <w:left w:val="nil"/>
              <w:bottom w:val="single" w:color="auto" w:sz="4" w:space="0"/>
              <w:right w:val="single" w:color="auto" w:sz="4" w:space="0"/>
            </w:tcBorders>
            <w:noWrap w:val="0"/>
            <w:vAlign w:val="center"/>
          </w:tcPr>
          <w:p w14:paraId="6DB1FF2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6B89E4C5">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33A4DED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其他未列明行业</w:t>
            </w:r>
          </w:p>
        </w:tc>
        <w:tc>
          <w:tcPr>
            <w:tcW w:w="1660" w:type="dxa"/>
            <w:tcBorders>
              <w:top w:val="nil"/>
              <w:left w:val="nil"/>
              <w:bottom w:val="single" w:color="auto" w:sz="4" w:space="0"/>
              <w:right w:val="single" w:color="auto" w:sz="4" w:space="0"/>
            </w:tcBorders>
            <w:noWrap w:val="0"/>
            <w:vAlign w:val="center"/>
          </w:tcPr>
          <w:p w14:paraId="6BF7CE9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141F1A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6FA1FE1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3B70A0B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25A1185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bl>
    <w:p w14:paraId="2E5661F8">
      <w:pPr>
        <w:keepNext w:val="0"/>
        <w:keepLines w:val="0"/>
        <w:pageBreakBefore w:val="0"/>
        <w:kinsoku/>
        <w:wordWrap/>
        <w:overflowPunct/>
        <w:topLinePunct w:val="0"/>
        <w:autoSpaceDE/>
        <w:autoSpaceDN/>
        <w:bidi w:val="0"/>
        <w:adjustRightInd/>
        <w:snapToGrid w:val="0"/>
        <w:spacing w:line="400" w:lineRule="exact"/>
        <w:contextualSpacing/>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说明：</w:t>
      </w:r>
      <w:r>
        <w:rPr>
          <w:rFonts w:hint="eastAsia" w:ascii="宋体" w:hAnsi="宋体" w:eastAsia="宋体" w:cs="宋体"/>
          <w:color w:val="auto"/>
          <w:sz w:val="24"/>
          <w:szCs w:val="24"/>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67339BF2">
      <w:pPr>
        <w:keepNext w:val="0"/>
        <w:keepLines w:val="0"/>
        <w:pageBreakBefore w:val="0"/>
        <w:kinsoku/>
        <w:wordWrap/>
        <w:overflowPunct/>
        <w:topLinePunct w:val="0"/>
        <w:autoSpaceDE/>
        <w:autoSpaceDN/>
        <w:bidi w:val="0"/>
        <w:adjustRightInd/>
        <w:snapToGrid w:val="0"/>
        <w:spacing w:line="400" w:lineRule="exact"/>
        <w:ind w:firstLine="480" w:firstLineChars="200"/>
        <w:contextualSpacing/>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规定的中小企业扶持政策：</w:t>
      </w:r>
    </w:p>
    <w:p w14:paraId="6D04C6B1">
      <w:pPr>
        <w:keepNext w:val="0"/>
        <w:keepLines w:val="0"/>
        <w:pageBreakBefore w:val="0"/>
        <w:kinsoku/>
        <w:wordWrap/>
        <w:overflowPunct/>
        <w:topLinePunct w:val="0"/>
        <w:autoSpaceDE/>
        <w:autoSpaceDN/>
        <w:bidi w:val="0"/>
        <w:adjustRightInd/>
        <w:snapToGrid w:val="0"/>
        <w:spacing w:line="400" w:lineRule="exact"/>
        <w:ind w:firstLine="480" w:firstLineChars="200"/>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（1）在货物采购项目中，货物由中小企业制造，即货物由中小企业生产且使用该中小企业商号或者注册商标，不对其中涉及的工程承建商和服务的承接商作出要求；</w:t>
      </w:r>
    </w:p>
    <w:p w14:paraId="5E890854">
      <w:pPr>
        <w:keepNext w:val="0"/>
        <w:keepLines w:val="0"/>
        <w:pageBreakBefore w:val="0"/>
        <w:kinsoku/>
        <w:wordWrap/>
        <w:overflowPunct/>
        <w:topLinePunct w:val="0"/>
        <w:autoSpaceDE/>
        <w:autoSpaceDN/>
        <w:bidi w:val="0"/>
        <w:adjustRightInd/>
        <w:snapToGrid w:val="0"/>
        <w:spacing w:line="400" w:lineRule="exact"/>
        <w:ind w:firstLine="480" w:firstLineChars="200"/>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（2）在工程采购项目中，工程由中小企业承建，即工程施工单位为中小企业，不对其中涉及的货物的制造商和服务的承接商作出要求；</w:t>
      </w:r>
    </w:p>
    <w:p w14:paraId="6DBBF373">
      <w:pPr>
        <w:keepNext w:val="0"/>
        <w:keepLines w:val="0"/>
        <w:pageBreakBefore w:val="0"/>
        <w:kinsoku/>
        <w:wordWrap/>
        <w:overflowPunct/>
        <w:topLinePunct w:val="0"/>
        <w:autoSpaceDE/>
        <w:autoSpaceDN/>
        <w:bidi w:val="0"/>
        <w:adjustRightInd/>
        <w:snapToGrid w:val="0"/>
        <w:spacing w:line="400" w:lineRule="exact"/>
        <w:ind w:firstLine="480" w:firstLineChars="200"/>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765D65EE">
      <w:pPr>
        <w:keepNext w:val="0"/>
        <w:keepLines w:val="0"/>
        <w:pageBreakBefore w:val="0"/>
        <w:kinsoku/>
        <w:wordWrap/>
        <w:overflowPunct/>
        <w:topLinePunct w:val="0"/>
        <w:autoSpaceDE/>
        <w:autoSpaceDN/>
        <w:bidi w:val="0"/>
        <w:adjustRightInd/>
        <w:snapToGrid w:val="0"/>
        <w:spacing w:line="400" w:lineRule="exact"/>
        <w:ind w:firstLine="480" w:firstLineChars="200"/>
        <w:contextualSpacing/>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在货物采购项目中，供应商提供的货物既有中小企业制造货物，也有大型企业制造货物的，不享受本</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规定的中小企业扶持政策。以联合体形式参加政府采购活动，联合体各方均为中小企业的，联合体视同中小企业。其中，联合体各方均为小微企业的，联合体视同小微企业。</w:t>
      </w:r>
    </w:p>
    <w:p w14:paraId="5C86B962">
      <w:pPr>
        <w:ind w:firstLine="480" w:firstLineChars="200"/>
        <w:rPr>
          <w:rFonts w:hint="eastAsia" w:ascii="宋体" w:hAnsi="宋体" w:eastAsia="宋体" w:cs="宋体"/>
          <w:b/>
          <w:bCs/>
          <w:color w:val="auto"/>
          <w:kern w:val="2"/>
          <w:sz w:val="22"/>
          <w:szCs w:val="22"/>
          <w:highlight w:val="none"/>
        </w:rPr>
      </w:pPr>
      <w:r>
        <w:rPr>
          <w:rFonts w:hint="eastAsia" w:ascii="宋体" w:hAnsi="宋体" w:eastAsia="宋体" w:cs="宋体"/>
          <w:color w:val="auto"/>
          <w:sz w:val="24"/>
          <w:szCs w:val="24"/>
          <w:highlight w:val="none"/>
        </w:rPr>
        <w:t>依据本</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规定享受扶持政策获得政府采购合同的，小微企业不得将合同分包给大中型企业，中型企业不得将合同分包给大型企业。</w:t>
      </w:r>
      <w:r>
        <w:rPr>
          <w:rFonts w:hint="eastAsia" w:ascii="宋体" w:hAnsi="宋体" w:eastAsia="宋体" w:cs="宋体"/>
          <w:b/>
          <w:bCs/>
          <w:color w:val="auto"/>
          <w:kern w:val="2"/>
          <w:sz w:val="22"/>
          <w:szCs w:val="22"/>
          <w:highlight w:val="none"/>
        </w:rPr>
        <w:br w:type="page"/>
      </w:r>
    </w:p>
    <w:p w14:paraId="4AF9520F">
      <w:pPr>
        <w:pStyle w:val="3"/>
        <w:spacing w:before="0" w:line="240" w:lineRule="atLeast"/>
        <w:jc w:val="both"/>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 xml:space="preserve">6-2  </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Start w:id="682" w:name="_Toc14454"/>
      <w:bookmarkStart w:id="683" w:name="_Toc13947"/>
      <w:bookmarkStart w:id="684" w:name="_Toc26931"/>
      <w:bookmarkStart w:id="685" w:name="_Toc3420"/>
      <w:bookmarkStart w:id="686" w:name="_Toc24860"/>
      <w:bookmarkStart w:id="687" w:name="_Toc515647825"/>
      <w:bookmarkStart w:id="688" w:name="_Toc32586"/>
      <w:bookmarkStart w:id="689" w:name="_Toc15294"/>
      <w:bookmarkStart w:id="690" w:name="_Toc23068"/>
      <w:bookmarkStart w:id="691" w:name="_Toc19284"/>
      <w:bookmarkStart w:id="692" w:name="_Toc2621"/>
      <w:bookmarkStart w:id="693" w:name="_Toc4244"/>
      <w:bookmarkStart w:id="694" w:name="_Toc30849"/>
      <w:bookmarkStart w:id="695" w:name="_Toc732"/>
      <w:bookmarkStart w:id="696" w:name="OLE_LINK14"/>
      <w:bookmarkStart w:id="697" w:name="OLE_LINK13"/>
      <w:r>
        <w:rPr>
          <w:rFonts w:hint="eastAsia" w:ascii="宋体" w:hAnsi="宋体" w:eastAsia="宋体" w:cs="宋体"/>
          <w:b/>
          <w:bCs/>
          <w:color w:val="auto"/>
          <w:kern w:val="2"/>
          <w:sz w:val="24"/>
          <w:szCs w:val="24"/>
          <w:highlight w:val="none"/>
        </w:rPr>
        <w:t>残疾人福利性单位声明函</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bookmarkEnd w:id="696"/>
    <w:bookmarkEnd w:id="697"/>
    <w:p w14:paraId="4AE9AC28">
      <w:pPr>
        <w:spacing w:line="240" w:lineRule="atLeast"/>
        <w:ind w:left="1080" w:leftChars="257" w:hanging="540"/>
        <w:jc w:val="center"/>
        <w:rPr>
          <w:rFonts w:hint="eastAsia" w:ascii="宋体" w:hAnsi="宋体" w:eastAsia="宋体" w:cs="宋体"/>
          <w:color w:val="auto"/>
          <w:sz w:val="24"/>
          <w:szCs w:val="24"/>
          <w:highlight w:val="none"/>
        </w:rPr>
      </w:pPr>
    </w:p>
    <w:p w14:paraId="119EDEB2">
      <w:pPr>
        <w:spacing w:line="360" w:lineRule="auto"/>
        <w:ind w:firstLine="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，或者提供其他残疾人福利性单位制造的</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（不包括使用非残疾人福利性单位注册商标的</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w:t>
      </w:r>
    </w:p>
    <w:p w14:paraId="56DEAEB2">
      <w:pPr>
        <w:spacing w:line="360" w:lineRule="auto"/>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69DAA71F">
      <w:pPr>
        <w:spacing w:line="360" w:lineRule="auto"/>
        <w:ind w:left="1080" w:leftChars="257" w:hanging="540"/>
        <w:jc w:val="center"/>
        <w:rPr>
          <w:rFonts w:hint="eastAsia" w:ascii="宋体" w:hAnsi="宋体" w:eastAsia="宋体" w:cs="宋体"/>
          <w:color w:val="auto"/>
          <w:sz w:val="24"/>
          <w:szCs w:val="24"/>
          <w:highlight w:val="none"/>
        </w:rPr>
      </w:pPr>
    </w:p>
    <w:p w14:paraId="08058230">
      <w:pPr>
        <w:spacing w:line="360" w:lineRule="auto"/>
        <w:ind w:left="1080" w:leftChars="257" w:hanging="540"/>
        <w:jc w:val="center"/>
        <w:rPr>
          <w:rFonts w:hint="eastAsia" w:ascii="宋体" w:hAnsi="宋体" w:eastAsia="宋体" w:cs="宋体"/>
          <w:color w:val="auto"/>
          <w:sz w:val="24"/>
          <w:szCs w:val="24"/>
          <w:highlight w:val="none"/>
        </w:rPr>
      </w:pPr>
    </w:p>
    <w:p w14:paraId="1C2146C9">
      <w:pPr>
        <w:spacing w:line="360" w:lineRule="auto"/>
        <w:ind w:left="1080" w:leftChars="257" w:hanging="540"/>
        <w:jc w:val="center"/>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 xml:space="preserve">              残疾人福利性单位名称（公章）：</w:t>
      </w:r>
      <w:r>
        <w:rPr>
          <w:rFonts w:hint="eastAsia" w:ascii="宋体" w:hAnsi="宋体" w:eastAsia="宋体" w:cs="宋体"/>
          <w:color w:val="auto"/>
          <w:sz w:val="24"/>
          <w:szCs w:val="24"/>
          <w:highlight w:val="none"/>
          <w:u w:val="single"/>
          <w:lang w:val="en-US" w:eastAsia="zh-CN"/>
        </w:rPr>
        <w:t xml:space="preserve">               </w:t>
      </w:r>
    </w:p>
    <w:p w14:paraId="5D413101">
      <w:pPr>
        <w:spacing w:line="360" w:lineRule="auto"/>
        <w:ind w:left="1080" w:leftChars="257" w:hanging="540"/>
        <w:jc w:val="center"/>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 xml:space="preserve">         日  期：</w:t>
      </w:r>
      <w:r>
        <w:rPr>
          <w:rFonts w:hint="eastAsia" w:ascii="宋体" w:hAnsi="宋体" w:eastAsia="宋体" w:cs="宋体"/>
          <w:color w:val="auto"/>
          <w:sz w:val="24"/>
          <w:szCs w:val="24"/>
          <w:highlight w:val="none"/>
          <w:u w:val="single"/>
          <w:lang w:val="en-US" w:eastAsia="zh-CN"/>
        </w:rPr>
        <w:t xml:space="preserve">                </w:t>
      </w:r>
    </w:p>
    <w:p w14:paraId="3A35FBF7">
      <w:pPr>
        <w:spacing w:line="360" w:lineRule="auto"/>
        <w:ind w:left="1080" w:leftChars="257" w:hanging="540"/>
        <w:jc w:val="center"/>
        <w:rPr>
          <w:rFonts w:hint="eastAsia" w:ascii="宋体" w:hAnsi="宋体" w:eastAsia="宋体" w:cs="宋体"/>
          <w:color w:val="auto"/>
          <w:sz w:val="24"/>
          <w:szCs w:val="24"/>
          <w:highlight w:val="none"/>
        </w:rPr>
      </w:pPr>
    </w:p>
    <w:p w14:paraId="1AEE33EC">
      <w:pPr>
        <w:keepNext w:val="0"/>
        <w:keepLines w:val="0"/>
        <w:widowControl/>
        <w:suppressLineNumbers w:val="0"/>
        <w:jc w:val="left"/>
        <w:rPr>
          <w:rFonts w:hint="eastAsia" w:ascii="宋体" w:hAnsi="宋体" w:eastAsia="宋体" w:cs="宋体"/>
          <w:b/>
          <w:bCs/>
          <w:color w:val="000000"/>
          <w:kern w:val="0"/>
          <w:sz w:val="24"/>
          <w:szCs w:val="24"/>
          <w:highlight w:val="none"/>
          <w:lang w:val="en-US" w:eastAsia="zh-CN" w:bidi="ar"/>
        </w:rPr>
      </w:pPr>
    </w:p>
    <w:p w14:paraId="0930800B">
      <w:pPr>
        <w:keepNext w:val="0"/>
        <w:keepLines w:val="0"/>
        <w:widowControl/>
        <w:suppressLineNumbers w:val="0"/>
        <w:jc w:val="left"/>
        <w:rPr>
          <w:rFonts w:hint="eastAsia" w:ascii="宋体" w:hAnsi="宋体" w:eastAsia="宋体" w:cs="宋体"/>
          <w:b/>
          <w:bCs/>
          <w:color w:val="000000"/>
          <w:kern w:val="0"/>
          <w:sz w:val="24"/>
          <w:szCs w:val="24"/>
          <w:highlight w:val="none"/>
          <w:lang w:val="en-US" w:eastAsia="zh-CN" w:bidi="ar"/>
        </w:rPr>
      </w:pPr>
    </w:p>
    <w:p w14:paraId="76FE06A1">
      <w:pPr>
        <w:keepNext w:val="0"/>
        <w:keepLines w:val="0"/>
        <w:widowControl/>
        <w:suppressLineNumbers w:val="0"/>
        <w:jc w:val="left"/>
        <w:rPr>
          <w:rFonts w:hint="eastAsia" w:ascii="宋体" w:hAnsi="宋体" w:eastAsia="宋体" w:cs="宋体"/>
          <w:b/>
          <w:bCs/>
          <w:color w:val="000000"/>
          <w:kern w:val="0"/>
          <w:sz w:val="24"/>
          <w:szCs w:val="24"/>
          <w:highlight w:val="none"/>
          <w:lang w:val="en-US" w:eastAsia="zh-CN" w:bidi="ar"/>
        </w:rPr>
      </w:pPr>
    </w:p>
    <w:p w14:paraId="253EE5B8">
      <w:pP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br w:type="page"/>
      </w:r>
    </w:p>
    <w:p w14:paraId="49A5777B">
      <w:pPr>
        <w:keepNext w:val="0"/>
        <w:keepLines w:val="0"/>
        <w:widowControl/>
        <w:suppressLineNumbers w:val="0"/>
        <w:jc w:val="left"/>
        <w:outlineLvl w:val="1"/>
        <w:rPr>
          <w:rFonts w:hint="eastAsia" w:ascii="宋体" w:hAnsi="宋体" w:eastAsia="宋体" w:cs="宋体"/>
          <w:highlight w:val="none"/>
        </w:rPr>
      </w:pPr>
      <w:r>
        <w:rPr>
          <w:rFonts w:hint="eastAsia" w:ascii="宋体" w:hAnsi="宋体" w:eastAsia="宋体" w:cs="宋体"/>
          <w:b/>
          <w:bCs/>
          <w:color w:val="000000"/>
          <w:kern w:val="0"/>
          <w:sz w:val="24"/>
          <w:szCs w:val="24"/>
          <w:highlight w:val="none"/>
          <w:lang w:val="en-US" w:eastAsia="zh-CN" w:bidi="ar"/>
        </w:rPr>
        <w:t>6-3</w:t>
      </w:r>
      <w:r>
        <w:rPr>
          <w:rFonts w:hint="eastAsia" w:ascii="宋体" w:hAnsi="宋体" w:cs="宋体"/>
          <w:b/>
          <w:bCs/>
          <w:color w:val="000000"/>
          <w:kern w:val="0"/>
          <w:sz w:val="24"/>
          <w:szCs w:val="24"/>
          <w:highlight w:val="none"/>
          <w:lang w:val="en-US" w:eastAsia="zh-CN" w:bidi="ar"/>
        </w:rPr>
        <w:t xml:space="preserve"> </w:t>
      </w:r>
      <w:r>
        <w:rPr>
          <w:rFonts w:hint="eastAsia" w:ascii="宋体" w:hAnsi="宋体" w:eastAsia="宋体" w:cs="宋体"/>
          <w:b/>
          <w:bCs/>
          <w:color w:val="000000"/>
          <w:kern w:val="0"/>
          <w:sz w:val="24"/>
          <w:szCs w:val="24"/>
          <w:highlight w:val="none"/>
          <w:lang w:val="en-US" w:eastAsia="zh-CN" w:bidi="ar"/>
        </w:rPr>
        <w:t xml:space="preserve">监狱企业声明函 </w:t>
      </w:r>
    </w:p>
    <w:p w14:paraId="655CBE6B">
      <w:pPr>
        <w:keepNext w:val="0"/>
        <w:keepLines w:val="0"/>
        <w:widowControl/>
        <w:suppressLineNumbers w:val="0"/>
        <w:jc w:val="center"/>
        <w:rPr>
          <w:rFonts w:hint="eastAsia" w:ascii="宋体" w:hAnsi="宋体" w:eastAsia="宋体" w:cs="宋体"/>
          <w:highlight w:val="none"/>
        </w:rPr>
      </w:pPr>
      <w:r>
        <w:rPr>
          <w:rFonts w:hint="eastAsia" w:ascii="宋体" w:hAnsi="宋体" w:eastAsia="宋体" w:cs="宋体"/>
          <w:b/>
          <w:bCs/>
          <w:color w:val="000000"/>
          <w:kern w:val="0"/>
          <w:sz w:val="24"/>
          <w:szCs w:val="24"/>
          <w:highlight w:val="none"/>
          <w:lang w:val="en-US" w:eastAsia="zh-CN" w:bidi="ar"/>
        </w:rPr>
        <w:t>《监狱企业声明函》</w:t>
      </w:r>
    </w:p>
    <w:p w14:paraId="15F3C031">
      <w:pPr>
        <w:keepNext w:val="0"/>
        <w:keepLines w:val="0"/>
        <w:widowControl/>
        <w:suppressLineNumbers w:val="0"/>
        <w:ind w:firstLine="480" w:firstLineChars="200"/>
        <w:jc w:val="left"/>
        <w:rPr>
          <w:rFonts w:hint="eastAsia" w:ascii="宋体" w:hAnsi="宋体" w:eastAsia="宋体" w:cs="宋体"/>
          <w:color w:val="000000"/>
          <w:kern w:val="0"/>
          <w:sz w:val="24"/>
          <w:szCs w:val="24"/>
          <w:highlight w:val="none"/>
          <w:lang w:val="en-US" w:eastAsia="zh-CN" w:bidi="ar"/>
        </w:rPr>
      </w:pPr>
    </w:p>
    <w:p w14:paraId="65CA15D6">
      <w:pPr>
        <w:keepNext w:val="0"/>
        <w:keepLines w:val="0"/>
        <w:widowControl/>
        <w:suppressLineNumbers w:val="0"/>
        <w:spacing w:line="360" w:lineRule="auto"/>
        <w:ind w:firstLine="480" w:firstLineChars="200"/>
        <w:jc w:val="left"/>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 xml:space="preserve">本公司郑重声明，根据《财政部司法部关于政府采购支持监狱企业发展有关问题的通知》（财库〔2014〕68 号）的规定，本单位为符合条件的监狱企业福利性单位，本单位参加 </w:t>
      </w:r>
      <w:r>
        <w:rPr>
          <w:rFonts w:hint="eastAsia" w:ascii="宋体" w:hAnsi="宋体" w:eastAsia="宋体" w:cs="宋体"/>
          <w:color w:val="000000"/>
          <w:kern w:val="0"/>
          <w:sz w:val="24"/>
          <w:szCs w:val="24"/>
          <w:highlight w:val="none"/>
          <w:u w:val="single"/>
          <w:lang w:val="en-US" w:eastAsia="zh-CN" w:bidi="ar"/>
        </w:rPr>
        <w:t xml:space="preserve">（单位名称） </w:t>
      </w:r>
      <w:r>
        <w:rPr>
          <w:rFonts w:hint="eastAsia" w:ascii="宋体" w:hAnsi="宋体" w:eastAsia="宋体" w:cs="宋体"/>
          <w:color w:val="000000"/>
          <w:kern w:val="0"/>
          <w:sz w:val="24"/>
          <w:szCs w:val="24"/>
          <w:highlight w:val="none"/>
          <w:lang w:val="en-US" w:eastAsia="zh-CN" w:bidi="ar"/>
        </w:rPr>
        <w:t>的</w:t>
      </w:r>
      <w:r>
        <w:rPr>
          <w:rFonts w:hint="eastAsia" w:ascii="宋体" w:hAnsi="宋体" w:eastAsia="宋体" w:cs="宋体"/>
          <w:color w:val="000000"/>
          <w:kern w:val="0"/>
          <w:sz w:val="24"/>
          <w:szCs w:val="24"/>
          <w:highlight w:val="none"/>
          <w:u w:val="single"/>
          <w:lang w:val="en-US" w:eastAsia="zh-CN" w:bidi="ar"/>
        </w:rPr>
        <w:t xml:space="preserve"> （项目名称） </w:t>
      </w:r>
      <w:r>
        <w:rPr>
          <w:rFonts w:hint="eastAsia" w:ascii="宋体" w:hAnsi="宋体" w:eastAsia="宋体" w:cs="宋体"/>
          <w:color w:val="000000"/>
          <w:kern w:val="0"/>
          <w:sz w:val="24"/>
          <w:szCs w:val="24"/>
          <w:highlight w:val="none"/>
          <w:lang w:val="en-US" w:eastAsia="zh-CN" w:bidi="ar"/>
        </w:rPr>
        <w:t>采购活动，</w:t>
      </w:r>
      <w:r>
        <w:rPr>
          <w:rFonts w:hint="eastAsia" w:ascii="宋体" w:hAnsi="宋体" w:eastAsia="宋体" w:cs="宋体"/>
          <w:color w:val="000000"/>
          <w:kern w:val="0"/>
          <w:sz w:val="24"/>
          <w:szCs w:val="24"/>
          <w:highlight w:val="none"/>
          <w:u w:val="single"/>
          <w:lang w:val="en-US" w:eastAsia="zh-CN" w:bidi="ar"/>
        </w:rPr>
        <w:t>货物/施工/服务</w:t>
      </w:r>
      <w:r>
        <w:rPr>
          <w:rFonts w:hint="eastAsia" w:ascii="宋体" w:hAnsi="宋体" w:eastAsia="宋体" w:cs="宋体"/>
          <w:color w:val="000000"/>
          <w:kern w:val="0"/>
          <w:sz w:val="24"/>
          <w:szCs w:val="24"/>
          <w:highlight w:val="none"/>
          <w:lang w:val="en-US" w:eastAsia="zh-CN" w:bidi="ar"/>
        </w:rPr>
        <w:t xml:space="preserve">全部由符合政策要求的监狱企业承接。 </w:t>
      </w:r>
    </w:p>
    <w:p w14:paraId="2FF59D61">
      <w:pPr>
        <w:keepNext w:val="0"/>
        <w:keepLines w:val="0"/>
        <w:widowControl/>
        <w:suppressLineNumbers w:val="0"/>
        <w:spacing w:line="360" w:lineRule="auto"/>
        <w:ind w:firstLine="480" w:firstLineChars="200"/>
        <w:jc w:val="left"/>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 xml:space="preserve">相关监狱企业的具体情况如下： </w:t>
      </w:r>
    </w:p>
    <w:p w14:paraId="0D06E585">
      <w:pPr>
        <w:keepNext w:val="0"/>
        <w:keepLines w:val="0"/>
        <w:widowControl/>
        <w:suppressLineNumbers w:val="0"/>
        <w:spacing w:line="360" w:lineRule="auto"/>
        <w:jc w:val="left"/>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u w:val="single"/>
          <w:lang w:val="en-US" w:eastAsia="zh-CN" w:bidi="ar"/>
        </w:rPr>
        <w:t>（标的名称）</w:t>
      </w:r>
      <w:r>
        <w:rPr>
          <w:rFonts w:hint="eastAsia" w:ascii="宋体" w:hAnsi="宋体" w:eastAsia="宋体" w:cs="宋体"/>
          <w:color w:val="000000"/>
          <w:kern w:val="0"/>
          <w:sz w:val="24"/>
          <w:szCs w:val="24"/>
          <w:highlight w:val="none"/>
          <w:lang w:val="en-US" w:eastAsia="zh-CN" w:bidi="ar"/>
        </w:rPr>
        <w:t>，承接单位为</w:t>
      </w:r>
      <w:r>
        <w:rPr>
          <w:rFonts w:hint="eastAsia" w:ascii="宋体" w:hAnsi="宋体" w:eastAsia="宋体" w:cs="宋体"/>
          <w:color w:val="000000"/>
          <w:kern w:val="0"/>
          <w:sz w:val="24"/>
          <w:szCs w:val="24"/>
          <w:highlight w:val="none"/>
          <w:u w:val="single"/>
          <w:lang w:val="en-US" w:eastAsia="zh-CN" w:bidi="ar"/>
        </w:rPr>
        <w:t>（企业名称）</w:t>
      </w:r>
      <w:r>
        <w:rPr>
          <w:rFonts w:hint="eastAsia" w:ascii="宋体" w:hAnsi="宋体" w:eastAsia="宋体" w:cs="宋体"/>
          <w:color w:val="000000"/>
          <w:kern w:val="0"/>
          <w:sz w:val="24"/>
          <w:szCs w:val="24"/>
          <w:highlight w:val="none"/>
          <w:lang w:val="en-US" w:eastAsia="zh-CN" w:bidi="ar"/>
        </w:rPr>
        <w:t xml:space="preserve">，属于监狱企业； </w:t>
      </w:r>
    </w:p>
    <w:p w14:paraId="27E0503F">
      <w:pPr>
        <w:keepNext w:val="0"/>
        <w:keepLines w:val="0"/>
        <w:widowControl/>
        <w:suppressLineNumbers w:val="0"/>
        <w:spacing w:line="360" w:lineRule="auto"/>
        <w:jc w:val="left"/>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u w:val="single"/>
          <w:lang w:val="en-US" w:eastAsia="zh-CN" w:bidi="ar"/>
        </w:rPr>
        <w:t>（标的名称）</w:t>
      </w:r>
      <w:r>
        <w:rPr>
          <w:rFonts w:hint="eastAsia" w:ascii="宋体" w:hAnsi="宋体" w:eastAsia="宋体" w:cs="宋体"/>
          <w:color w:val="000000"/>
          <w:kern w:val="0"/>
          <w:sz w:val="24"/>
          <w:szCs w:val="24"/>
          <w:highlight w:val="none"/>
          <w:lang w:val="en-US" w:eastAsia="zh-CN" w:bidi="ar"/>
        </w:rPr>
        <w:t>，承接单位为</w:t>
      </w:r>
      <w:r>
        <w:rPr>
          <w:rFonts w:hint="eastAsia" w:ascii="宋体" w:hAnsi="宋体" w:eastAsia="宋体" w:cs="宋体"/>
          <w:color w:val="000000"/>
          <w:kern w:val="0"/>
          <w:sz w:val="24"/>
          <w:szCs w:val="24"/>
          <w:highlight w:val="none"/>
          <w:u w:val="single"/>
          <w:lang w:val="en-US" w:eastAsia="zh-CN" w:bidi="ar"/>
        </w:rPr>
        <w:t>（企业名称）</w:t>
      </w:r>
      <w:r>
        <w:rPr>
          <w:rFonts w:hint="eastAsia" w:ascii="宋体" w:hAnsi="宋体" w:eastAsia="宋体" w:cs="宋体"/>
          <w:color w:val="000000"/>
          <w:kern w:val="0"/>
          <w:sz w:val="24"/>
          <w:szCs w:val="24"/>
          <w:highlight w:val="none"/>
          <w:lang w:val="en-US" w:eastAsia="zh-CN" w:bidi="ar"/>
        </w:rPr>
        <w:t xml:space="preserve">，属于监狱企业。 </w:t>
      </w:r>
    </w:p>
    <w:p w14:paraId="756BF270">
      <w:pPr>
        <w:keepNext w:val="0"/>
        <w:keepLines w:val="0"/>
        <w:widowControl/>
        <w:suppressLineNumbers w:val="0"/>
        <w:spacing w:line="360" w:lineRule="auto"/>
        <w:jc w:val="left"/>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 xml:space="preserve">…… </w:t>
      </w:r>
    </w:p>
    <w:p w14:paraId="3938A535">
      <w:pPr>
        <w:keepNext w:val="0"/>
        <w:keepLines w:val="0"/>
        <w:widowControl/>
        <w:suppressLineNumbers w:val="0"/>
        <w:spacing w:line="360" w:lineRule="auto"/>
        <w:ind w:firstLine="480" w:firstLineChars="200"/>
        <w:jc w:val="left"/>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 xml:space="preserve">本单位对上述声明的真实性负责。如有虚假，依法承担相应责任。 </w:t>
      </w:r>
    </w:p>
    <w:p w14:paraId="28EC201E">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附：省级以上监狱管理局、戒毒管理局（含新疆生产建设兵团）出具的监狱企业证明文件。</w:t>
      </w:r>
    </w:p>
    <w:p w14:paraId="44AF4028">
      <w:pPr>
        <w:pStyle w:val="9"/>
        <w:keepNext w:val="0"/>
        <w:keepLines w:val="0"/>
        <w:pageBreakBefore w:val="0"/>
        <w:widowControl w:val="0"/>
        <w:kinsoku/>
        <w:wordWrap/>
        <w:overflowPunct/>
        <w:topLinePunct w:val="0"/>
        <w:autoSpaceDE/>
        <w:autoSpaceDN/>
        <w:bidi w:val="0"/>
        <w:adjustRightInd/>
        <w:snapToGrid/>
        <w:spacing w:line="360" w:lineRule="exact"/>
        <w:ind w:right="372" w:firstLine="3000" w:firstLineChars="1200"/>
        <w:textAlignment w:val="auto"/>
        <w:rPr>
          <w:rFonts w:hint="eastAsia" w:ascii="宋体" w:hAnsi="宋体" w:eastAsia="宋体" w:cs="宋体"/>
          <w:color w:val="auto"/>
          <w:spacing w:val="11"/>
          <w:w w:val="95"/>
          <w:kern w:val="2"/>
          <w:sz w:val="24"/>
          <w:szCs w:val="24"/>
          <w:highlight w:val="none"/>
          <w:lang w:val="en-US" w:eastAsia="zh-CN" w:bidi="ar-SA"/>
        </w:rPr>
      </w:pPr>
      <w:r>
        <w:rPr>
          <w:rFonts w:hint="eastAsia" w:cs="宋体"/>
          <w:color w:val="auto"/>
          <w:spacing w:val="11"/>
          <w:w w:val="95"/>
          <w:kern w:val="2"/>
          <w:sz w:val="24"/>
          <w:szCs w:val="24"/>
          <w:highlight w:val="none"/>
          <w:lang w:val="en-US" w:eastAsia="zh-CN" w:bidi="ar-SA"/>
        </w:rPr>
        <w:t>供应商</w:t>
      </w:r>
      <w:r>
        <w:rPr>
          <w:rFonts w:hint="eastAsia" w:ascii="宋体" w:hAnsi="宋体" w:eastAsia="宋体" w:cs="宋体"/>
          <w:color w:val="auto"/>
          <w:spacing w:val="11"/>
          <w:w w:val="95"/>
          <w:kern w:val="2"/>
          <w:sz w:val="24"/>
          <w:szCs w:val="24"/>
          <w:highlight w:val="none"/>
          <w:lang w:val="en-US" w:eastAsia="zh-CN" w:bidi="ar-SA"/>
        </w:rPr>
        <w:t>名称（盖章）：</w:t>
      </w:r>
      <w:r>
        <w:rPr>
          <w:rFonts w:hint="eastAsia" w:ascii="宋体" w:hAnsi="宋体" w:eastAsia="宋体" w:cs="宋体"/>
          <w:color w:val="auto"/>
          <w:spacing w:val="11"/>
          <w:w w:val="95"/>
          <w:kern w:val="2"/>
          <w:sz w:val="24"/>
          <w:szCs w:val="24"/>
          <w:highlight w:val="none"/>
          <w:u w:val="single"/>
          <w:lang w:val="en-US" w:eastAsia="zh-CN" w:bidi="ar-SA"/>
        </w:rPr>
        <w:t xml:space="preserve">                  </w:t>
      </w:r>
    </w:p>
    <w:p w14:paraId="2689A1BC">
      <w:pPr>
        <w:pStyle w:val="9"/>
        <w:keepNext w:val="0"/>
        <w:keepLines w:val="0"/>
        <w:pageBreakBefore w:val="0"/>
        <w:widowControl w:val="0"/>
        <w:kinsoku/>
        <w:wordWrap/>
        <w:overflowPunct/>
        <w:topLinePunct w:val="0"/>
        <w:autoSpaceDE/>
        <w:autoSpaceDN/>
        <w:bidi w:val="0"/>
        <w:adjustRightInd/>
        <w:snapToGrid/>
        <w:spacing w:line="360" w:lineRule="exact"/>
        <w:ind w:right="372" w:firstLine="3000" w:firstLineChars="1200"/>
        <w:textAlignment w:val="auto"/>
        <w:rPr>
          <w:rFonts w:hint="eastAsia" w:ascii="宋体" w:hAnsi="宋体" w:eastAsia="宋体" w:cs="宋体"/>
          <w:color w:val="auto"/>
          <w:spacing w:val="11"/>
          <w:w w:val="95"/>
          <w:kern w:val="2"/>
          <w:sz w:val="24"/>
          <w:szCs w:val="24"/>
          <w:highlight w:val="none"/>
          <w:lang w:val="en-US" w:eastAsia="zh-CN" w:bidi="ar-SA"/>
        </w:rPr>
      </w:pPr>
      <w:r>
        <w:rPr>
          <w:rFonts w:hint="eastAsia" w:ascii="宋体" w:hAnsi="宋体" w:eastAsia="宋体" w:cs="宋体"/>
          <w:color w:val="auto"/>
          <w:spacing w:val="11"/>
          <w:w w:val="95"/>
          <w:kern w:val="2"/>
          <w:sz w:val="24"/>
          <w:szCs w:val="24"/>
          <w:highlight w:val="none"/>
          <w:lang w:val="en-US" w:eastAsia="zh-CN" w:bidi="ar-SA"/>
        </w:rPr>
        <w:t>日期：</w:t>
      </w:r>
      <w:r>
        <w:rPr>
          <w:rFonts w:hint="eastAsia" w:ascii="宋体" w:hAnsi="宋体" w:eastAsia="宋体" w:cs="宋体"/>
          <w:color w:val="auto"/>
          <w:spacing w:val="11"/>
          <w:w w:val="95"/>
          <w:kern w:val="2"/>
          <w:sz w:val="24"/>
          <w:szCs w:val="24"/>
          <w:highlight w:val="none"/>
          <w:u w:val="single"/>
          <w:lang w:val="en-US" w:eastAsia="zh-CN" w:bidi="ar-SA"/>
        </w:rPr>
        <w:t xml:space="preserve">                     </w:t>
      </w:r>
    </w:p>
    <w:p w14:paraId="59CB65B6">
      <w:pPr>
        <w:rPr>
          <w:rFonts w:hint="eastAsia" w:ascii="宋体" w:hAnsi="宋体" w:eastAsia="宋体" w:cs="宋体"/>
          <w:color w:val="auto"/>
          <w:highlight w:val="none"/>
          <w:lang w:val="en-US" w:eastAsia="zh-CN"/>
        </w:rPr>
      </w:pPr>
    </w:p>
    <w:p w14:paraId="5E479750">
      <w:pPr>
        <w:pStyle w:val="23"/>
        <w:rPr>
          <w:rFonts w:hint="eastAsia"/>
          <w:highlight w:val="none"/>
        </w:rPr>
      </w:pPr>
    </w:p>
    <w:p w14:paraId="249AA9A8">
      <w:pPr>
        <w:spacing w:line="240" w:lineRule="atLeast"/>
        <w:ind w:left="1080" w:leftChars="257" w:hanging="540"/>
        <w:jc w:val="both"/>
        <w:rPr>
          <w:rFonts w:hint="eastAsia" w:ascii="宋体" w:hAnsi="宋体" w:eastAsia="宋体" w:cs="宋体"/>
          <w:color w:val="auto"/>
          <w:sz w:val="24"/>
          <w:szCs w:val="24"/>
          <w:highlight w:val="none"/>
        </w:rPr>
      </w:pPr>
    </w:p>
    <w:p w14:paraId="40B2AE05">
      <w:pPr>
        <w:pStyle w:val="6"/>
        <w:rPr>
          <w:rFonts w:hint="eastAsia" w:ascii="宋体" w:hAnsi="宋体" w:eastAsia="宋体" w:cs="宋体"/>
          <w:color w:val="auto"/>
          <w:kern w:val="2"/>
          <w:highlight w:val="none"/>
        </w:rPr>
      </w:pPr>
    </w:p>
    <w:p w14:paraId="4BE2D5BF">
      <w:pPr>
        <w:spacing w:line="240" w:lineRule="atLeast"/>
        <w:ind w:left="1080" w:leftChars="257" w:hanging="540"/>
        <w:jc w:val="center"/>
        <w:rPr>
          <w:rFonts w:hint="eastAsia" w:ascii="宋体" w:hAnsi="宋体" w:eastAsia="宋体" w:cs="宋体"/>
          <w:color w:val="auto"/>
          <w:sz w:val="24"/>
          <w:szCs w:val="24"/>
          <w:highlight w:val="none"/>
        </w:rPr>
      </w:pPr>
    </w:p>
    <w:p w14:paraId="0B7A2191">
      <w:pPr>
        <w:pStyle w:val="23"/>
        <w:rPr>
          <w:rFonts w:hint="eastAsia"/>
          <w:highlight w:val="none"/>
        </w:rPr>
      </w:pPr>
    </w:p>
    <w:p w14:paraId="6B455510">
      <w:pPr>
        <w:rPr>
          <w:rFonts w:hint="eastAsia" w:ascii="宋体" w:hAnsi="宋体" w:eastAsia="宋体" w:cs="宋体"/>
          <w:b/>
          <w:bCs/>
          <w:color w:val="auto"/>
          <w:kern w:val="2"/>
          <w:sz w:val="24"/>
          <w:szCs w:val="24"/>
          <w:highlight w:val="none"/>
        </w:rPr>
      </w:pPr>
      <w:bookmarkStart w:id="698" w:name="_Toc22561"/>
      <w:bookmarkStart w:id="699" w:name="_Toc6004"/>
      <w:bookmarkStart w:id="700" w:name="_Toc11868"/>
      <w:bookmarkStart w:id="701" w:name="_Toc30946"/>
      <w:bookmarkStart w:id="702" w:name="_Toc26133"/>
      <w:bookmarkStart w:id="703" w:name="_Toc6009"/>
      <w:bookmarkStart w:id="704" w:name="_Toc5527"/>
      <w:bookmarkStart w:id="705" w:name="_Toc5813"/>
      <w:bookmarkStart w:id="706" w:name="_Toc1185"/>
      <w:bookmarkStart w:id="707" w:name="_Toc515647827"/>
      <w:bookmarkStart w:id="708" w:name="_Toc2304"/>
      <w:bookmarkStart w:id="709" w:name="_Toc19223"/>
      <w:bookmarkStart w:id="710" w:name="_Toc22378"/>
      <w:bookmarkStart w:id="711" w:name="_Toc28099"/>
      <w:bookmarkStart w:id="712" w:name="_Toc5568"/>
      <w:bookmarkStart w:id="713" w:name="_Toc30795"/>
      <w:r>
        <w:rPr>
          <w:rFonts w:hint="eastAsia" w:ascii="宋体" w:hAnsi="宋体" w:eastAsia="宋体" w:cs="宋体"/>
          <w:b/>
          <w:bCs/>
          <w:color w:val="auto"/>
          <w:kern w:val="2"/>
          <w:sz w:val="24"/>
          <w:szCs w:val="24"/>
          <w:highlight w:val="none"/>
        </w:rPr>
        <w:br w:type="page"/>
      </w:r>
    </w:p>
    <w:p w14:paraId="7D1AA8D0">
      <w:pPr>
        <w:pStyle w:val="3"/>
        <w:spacing w:before="0" w:line="240" w:lineRule="atLeast"/>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7</w:t>
      </w:r>
      <w:r>
        <w:rPr>
          <w:rFonts w:hint="eastAsia" w:ascii="宋体" w:hAnsi="宋体" w:eastAsia="宋体" w:cs="宋体"/>
          <w:b/>
          <w:bCs/>
          <w:color w:val="auto"/>
          <w:kern w:val="2"/>
          <w:sz w:val="24"/>
          <w:szCs w:val="24"/>
          <w:highlight w:val="none"/>
          <w:lang w:val="en-US" w:eastAsia="zh-CN"/>
        </w:rPr>
        <w:t>、</w:t>
      </w:r>
      <w:r>
        <w:rPr>
          <w:rFonts w:hint="eastAsia" w:ascii="宋体" w:hAnsi="宋体" w:eastAsia="宋体" w:cs="宋体"/>
          <w:b/>
          <w:bCs/>
          <w:color w:val="auto"/>
          <w:kern w:val="2"/>
          <w:sz w:val="24"/>
          <w:szCs w:val="24"/>
          <w:highlight w:val="none"/>
        </w:rPr>
        <w:t>供应商关联单位的说明</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14:paraId="0AF1D9A0">
      <w:pPr>
        <w:pStyle w:val="6"/>
        <w:jc w:val="center"/>
        <w:rPr>
          <w:rFonts w:hint="eastAsia" w:ascii="宋体" w:hAnsi="宋体" w:eastAsia="宋体" w:cs="宋体"/>
          <w:color w:val="auto"/>
          <w:kern w:val="2"/>
          <w:highlight w:val="none"/>
        </w:rPr>
      </w:pPr>
    </w:p>
    <w:p w14:paraId="7352F7C6">
      <w:pPr>
        <w:pStyle w:val="6"/>
        <w:ind w:firstLine="480" w:firstLineChars="200"/>
        <w:rPr>
          <w:rFonts w:hint="eastAsia" w:ascii="宋体" w:hAnsi="宋体" w:eastAsia="宋体" w:cs="宋体"/>
          <w:color w:val="auto"/>
          <w:kern w:val="2"/>
          <w:highlight w:val="none"/>
        </w:rPr>
      </w:pPr>
      <w:r>
        <w:rPr>
          <w:rFonts w:hint="eastAsia" w:ascii="宋体" w:hAnsi="宋体" w:eastAsia="宋体" w:cs="宋体"/>
          <w:color w:val="auto"/>
          <w:kern w:val="2"/>
          <w:highlight w:val="none"/>
        </w:rPr>
        <w:t>说明：供应商应当如实披露与本单位存在下列关联关系的单位名称：</w:t>
      </w:r>
    </w:p>
    <w:p w14:paraId="21F52F36">
      <w:pPr>
        <w:pStyle w:val="6"/>
        <w:ind w:firstLine="960" w:firstLineChars="400"/>
        <w:rPr>
          <w:rFonts w:hint="eastAsia" w:ascii="宋体" w:hAnsi="宋体" w:eastAsia="宋体" w:cs="宋体"/>
          <w:color w:val="auto"/>
          <w:kern w:val="2"/>
          <w:highlight w:val="none"/>
          <w:lang w:eastAsia="zh-CN"/>
        </w:rPr>
      </w:pPr>
      <w:r>
        <w:rPr>
          <w:rFonts w:hint="eastAsia" w:ascii="宋体" w:hAnsi="宋体" w:eastAsia="宋体" w:cs="宋体"/>
          <w:color w:val="auto"/>
          <w:kern w:val="2"/>
          <w:highlight w:val="none"/>
        </w:rPr>
        <w:t>（1）与供应商单位负责人为同一人的其他单位；</w:t>
      </w:r>
    </w:p>
    <w:p w14:paraId="13406B57">
      <w:pPr>
        <w:pStyle w:val="6"/>
        <w:ind w:firstLine="480" w:firstLineChars="200"/>
        <w:rPr>
          <w:rFonts w:hint="eastAsia" w:ascii="宋体" w:hAnsi="宋体" w:eastAsia="宋体" w:cs="宋体"/>
          <w:color w:val="auto"/>
          <w:kern w:val="2"/>
          <w:highlight w:val="none"/>
        </w:rPr>
      </w:pPr>
      <w:r>
        <w:rPr>
          <w:rFonts w:hint="eastAsia" w:ascii="宋体" w:hAnsi="宋体" w:eastAsia="宋体" w:cs="宋体"/>
          <w:color w:val="auto"/>
          <w:kern w:val="2"/>
          <w:highlight w:val="none"/>
        </w:rPr>
        <w:t xml:space="preserve">    （2）与供应商存在直接控股、管理关系的其他单位。</w:t>
      </w:r>
    </w:p>
    <w:p w14:paraId="5054DAF4">
      <w:pPr>
        <w:pStyle w:val="6"/>
        <w:ind w:firstLineChars="200"/>
        <w:rPr>
          <w:rFonts w:hint="eastAsia" w:ascii="宋体" w:hAnsi="宋体" w:eastAsia="宋体" w:cs="宋体"/>
          <w:color w:val="auto"/>
          <w:kern w:val="2"/>
          <w:sz w:val="21"/>
          <w:szCs w:val="21"/>
          <w:highlight w:val="none"/>
          <w:lang w:val="en-US" w:eastAsia="zh-CN" w:bidi="ar-SA"/>
        </w:rPr>
      </w:pPr>
    </w:p>
    <w:p w14:paraId="67EC2B4B">
      <w:pPr>
        <w:pStyle w:val="6"/>
        <w:rPr>
          <w:rFonts w:hint="eastAsia" w:ascii="宋体" w:hAnsi="宋体" w:eastAsia="宋体" w:cs="宋体"/>
          <w:color w:val="auto"/>
          <w:kern w:val="2"/>
          <w:sz w:val="21"/>
          <w:szCs w:val="21"/>
          <w:highlight w:val="none"/>
          <w:lang w:val="en-US" w:eastAsia="zh-CN" w:bidi="ar-SA"/>
        </w:rPr>
      </w:pPr>
    </w:p>
    <w:p w14:paraId="38DBF825">
      <w:pPr>
        <w:pStyle w:val="6"/>
        <w:rPr>
          <w:rFonts w:hint="eastAsia" w:ascii="宋体" w:hAnsi="宋体" w:eastAsia="宋体" w:cs="宋体"/>
          <w:color w:val="auto"/>
          <w:kern w:val="2"/>
          <w:sz w:val="21"/>
          <w:szCs w:val="21"/>
          <w:highlight w:val="none"/>
          <w:lang w:val="en-US" w:eastAsia="zh-CN" w:bidi="ar-SA"/>
        </w:rPr>
      </w:pPr>
    </w:p>
    <w:p w14:paraId="63FE5E9E">
      <w:pPr>
        <w:pStyle w:val="6"/>
        <w:rPr>
          <w:rFonts w:hint="eastAsia" w:ascii="宋体" w:hAnsi="宋体" w:eastAsia="宋体" w:cs="宋体"/>
          <w:color w:val="auto"/>
          <w:kern w:val="2"/>
          <w:sz w:val="21"/>
          <w:szCs w:val="21"/>
          <w:highlight w:val="none"/>
          <w:lang w:val="en-US" w:eastAsia="zh-CN" w:bidi="ar-SA"/>
        </w:rPr>
      </w:pPr>
    </w:p>
    <w:p w14:paraId="50C4DD52">
      <w:pPr>
        <w:spacing w:before="0" w:line="240" w:lineRule="atLeast"/>
        <w:ind w:left="1080" w:leftChars="257" w:hanging="540"/>
        <w:jc w:val="left"/>
        <w:outlineLvl w:val="9"/>
        <w:rPr>
          <w:rFonts w:hint="eastAsia" w:ascii="宋体" w:hAnsi="宋体" w:eastAsia="宋体" w:cs="宋体"/>
          <w:b/>
          <w:bCs/>
          <w:color w:val="auto"/>
          <w:kern w:val="2"/>
          <w:sz w:val="24"/>
          <w:szCs w:val="24"/>
          <w:highlight w:val="none"/>
          <w:lang w:val="en-US" w:eastAsia="zh-CN"/>
        </w:rPr>
      </w:pPr>
    </w:p>
    <w:p w14:paraId="78D844AC">
      <w:pPr>
        <w:pStyle w:val="3"/>
        <w:spacing w:before="0" w:line="240" w:lineRule="atLeast"/>
        <w:jc w:val="left"/>
        <w:rPr>
          <w:rFonts w:hint="eastAsia" w:ascii="宋体" w:hAnsi="宋体" w:eastAsia="宋体" w:cs="宋体"/>
          <w:b/>
          <w:bCs/>
          <w:color w:val="auto"/>
          <w:kern w:val="2"/>
          <w:sz w:val="24"/>
          <w:szCs w:val="24"/>
          <w:highlight w:val="none"/>
          <w:lang w:val="en-US" w:eastAsia="zh-CN"/>
        </w:rPr>
      </w:pPr>
      <w:bookmarkStart w:id="714" w:name="_Toc29367"/>
      <w:bookmarkStart w:id="715" w:name="_Toc17333"/>
      <w:bookmarkStart w:id="716" w:name="_Toc515647828"/>
      <w:bookmarkStart w:id="717" w:name="_Toc7414"/>
      <w:bookmarkStart w:id="718" w:name="_Toc10352"/>
      <w:bookmarkStart w:id="719" w:name="_Toc5115"/>
      <w:bookmarkStart w:id="720" w:name="_Toc6932"/>
      <w:bookmarkStart w:id="721" w:name="_Toc7966"/>
      <w:bookmarkStart w:id="722" w:name="_Toc12486"/>
      <w:bookmarkStart w:id="723" w:name="_Toc17843"/>
      <w:bookmarkStart w:id="724" w:name="_Toc25126"/>
      <w:bookmarkStart w:id="725" w:name="_Toc8903"/>
      <w:bookmarkStart w:id="726" w:name="_Toc20015"/>
      <w:bookmarkStart w:id="727" w:name="_Toc8658"/>
      <w:bookmarkStart w:id="728" w:name="_Toc31226"/>
      <w:bookmarkStart w:id="729" w:name="_Toc15535"/>
      <w:bookmarkStart w:id="730" w:name="_Toc23897"/>
      <w:r>
        <w:rPr>
          <w:rFonts w:hint="eastAsia" w:ascii="宋体" w:hAnsi="宋体" w:eastAsia="宋体" w:cs="宋体"/>
          <w:b/>
          <w:bCs/>
          <w:color w:val="auto"/>
          <w:kern w:val="2"/>
          <w:sz w:val="24"/>
          <w:szCs w:val="24"/>
          <w:highlight w:val="none"/>
          <w:lang w:val="en-US" w:eastAsia="zh-CN"/>
        </w:rPr>
        <w:t>8</w:t>
      </w:r>
      <w:bookmarkEnd w:id="714"/>
      <w:bookmarkEnd w:id="715"/>
      <w:bookmarkEnd w:id="716"/>
      <w:bookmarkEnd w:id="717"/>
      <w:bookmarkEnd w:id="718"/>
      <w:bookmarkStart w:id="731" w:name="_Toc27058"/>
      <w:r>
        <w:rPr>
          <w:rFonts w:hint="eastAsia" w:ascii="宋体" w:hAnsi="宋体" w:eastAsia="宋体" w:cs="宋体"/>
          <w:b/>
          <w:bCs/>
          <w:color w:val="auto"/>
          <w:kern w:val="2"/>
          <w:sz w:val="24"/>
          <w:szCs w:val="24"/>
          <w:highlight w:val="none"/>
          <w:lang w:val="en-US" w:eastAsia="zh-CN"/>
        </w:rPr>
        <w:t>、供应商可提供有利于投标的其他资格证明材料</w:t>
      </w:r>
      <w:bookmarkEnd w:id="719"/>
      <w:bookmarkEnd w:id="720"/>
      <w:bookmarkEnd w:id="721"/>
      <w:bookmarkEnd w:id="722"/>
      <w:bookmarkEnd w:id="723"/>
      <w:bookmarkEnd w:id="724"/>
      <w:bookmarkEnd w:id="725"/>
      <w:bookmarkEnd w:id="726"/>
      <w:bookmarkEnd w:id="727"/>
      <w:bookmarkEnd w:id="728"/>
      <w:bookmarkEnd w:id="729"/>
      <w:bookmarkEnd w:id="730"/>
      <w:bookmarkEnd w:id="731"/>
    </w:p>
    <w:p w14:paraId="0F82EB68">
      <w:pPr>
        <w:spacing w:line="240" w:lineRule="atLeast"/>
        <w:jc w:val="left"/>
        <w:rPr>
          <w:rFonts w:hint="eastAsia" w:ascii="宋体" w:hAnsi="宋体" w:eastAsia="宋体" w:cs="宋体"/>
          <w:color w:val="auto"/>
          <w:sz w:val="24"/>
          <w:szCs w:val="24"/>
          <w:highlight w:val="none"/>
        </w:rPr>
      </w:pPr>
    </w:p>
    <w:p w14:paraId="7640DBB3">
      <w:pPr>
        <w:pStyle w:val="6"/>
        <w:rPr>
          <w:rFonts w:hint="eastAsia" w:ascii="宋体" w:hAnsi="宋体" w:eastAsia="宋体" w:cs="宋体"/>
          <w:color w:val="auto"/>
          <w:highlight w:val="none"/>
        </w:rPr>
      </w:pPr>
    </w:p>
    <w:p w14:paraId="7DEE4159">
      <w:pPr>
        <w:pStyle w:val="32"/>
        <w:rPr>
          <w:rFonts w:hint="eastAsia" w:ascii="宋体" w:hAnsi="宋体" w:eastAsia="宋体" w:cs="宋体"/>
          <w:color w:val="auto"/>
          <w:highlight w:val="none"/>
        </w:rPr>
      </w:pPr>
    </w:p>
    <w:p w14:paraId="5442FB57">
      <w:pPr>
        <w:pStyle w:val="32"/>
        <w:rPr>
          <w:rFonts w:hint="eastAsia" w:ascii="宋体" w:hAnsi="宋体" w:eastAsia="宋体" w:cs="宋体"/>
          <w:color w:val="auto"/>
          <w:highlight w:val="none"/>
        </w:rPr>
      </w:pPr>
    </w:p>
    <w:p w14:paraId="4D561D9D">
      <w:pPr>
        <w:pStyle w:val="32"/>
        <w:rPr>
          <w:rFonts w:hint="eastAsia" w:ascii="宋体" w:hAnsi="宋体" w:eastAsia="宋体" w:cs="宋体"/>
          <w:color w:val="auto"/>
          <w:highlight w:val="none"/>
        </w:rPr>
      </w:pPr>
    </w:p>
    <w:p w14:paraId="3BDD63FB">
      <w:pPr>
        <w:pStyle w:val="32"/>
        <w:rPr>
          <w:rFonts w:hint="eastAsia" w:ascii="宋体" w:hAnsi="宋体" w:eastAsia="宋体" w:cs="宋体"/>
          <w:color w:val="auto"/>
          <w:highlight w:val="none"/>
        </w:rPr>
      </w:pPr>
    </w:p>
    <w:p w14:paraId="56BF93E2">
      <w:pPr>
        <w:pStyle w:val="32"/>
        <w:rPr>
          <w:rFonts w:hint="eastAsia" w:ascii="宋体" w:hAnsi="宋体" w:eastAsia="宋体" w:cs="宋体"/>
          <w:color w:val="auto"/>
          <w:highlight w:val="none"/>
        </w:rPr>
      </w:pPr>
    </w:p>
    <w:p w14:paraId="7C7044A1">
      <w:pPr>
        <w:pStyle w:val="32"/>
        <w:rPr>
          <w:rFonts w:hint="eastAsia" w:ascii="宋体" w:hAnsi="宋体" w:eastAsia="宋体" w:cs="宋体"/>
          <w:color w:val="auto"/>
          <w:highlight w:val="none"/>
        </w:rPr>
      </w:pPr>
    </w:p>
    <w:p w14:paraId="65CC12F8">
      <w:pPr>
        <w:pStyle w:val="32"/>
        <w:rPr>
          <w:rFonts w:hint="eastAsia" w:ascii="宋体" w:hAnsi="宋体" w:eastAsia="宋体" w:cs="宋体"/>
          <w:color w:val="auto"/>
          <w:highlight w:val="none"/>
        </w:rPr>
      </w:pPr>
    </w:p>
    <w:p w14:paraId="0F2703B2">
      <w:pPr>
        <w:pStyle w:val="32"/>
        <w:rPr>
          <w:rFonts w:hint="eastAsia" w:ascii="宋体" w:hAnsi="宋体" w:eastAsia="宋体" w:cs="宋体"/>
          <w:color w:val="auto"/>
          <w:highlight w:val="none"/>
        </w:rPr>
      </w:pPr>
    </w:p>
    <w:p w14:paraId="1D14C165">
      <w:pPr>
        <w:pStyle w:val="32"/>
        <w:rPr>
          <w:rFonts w:hint="eastAsia" w:ascii="宋体" w:hAnsi="宋体" w:eastAsia="宋体" w:cs="宋体"/>
          <w:color w:val="auto"/>
          <w:highlight w:val="none"/>
        </w:rPr>
      </w:pPr>
    </w:p>
    <w:p w14:paraId="11F607CF">
      <w:pPr>
        <w:pStyle w:val="32"/>
        <w:rPr>
          <w:rFonts w:hint="eastAsia" w:ascii="宋体" w:hAnsi="宋体" w:eastAsia="宋体" w:cs="宋体"/>
          <w:color w:val="auto"/>
          <w:highlight w:val="none"/>
        </w:rPr>
      </w:pPr>
    </w:p>
    <w:p w14:paraId="34DFD4F8">
      <w:pPr>
        <w:pStyle w:val="32"/>
        <w:rPr>
          <w:rFonts w:hint="eastAsia" w:ascii="宋体" w:hAnsi="宋体" w:eastAsia="宋体" w:cs="宋体"/>
          <w:color w:val="auto"/>
          <w:highlight w:val="none"/>
        </w:rPr>
      </w:pPr>
    </w:p>
    <w:p w14:paraId="4A0ED790">
      <w:pPr>
        <w:pStyle w:val="32"/>
        <w:rPr>
          <w:rFonts w:hint="eastAsia" w:ascii="宋体" w:hAnsi="宋体" w:eastAsia="宋体" w:cs="宋体"/>
          <w:color w:val="auto"/>
          <w:highlight w:val="none"/>
        </w:rPr>
      </w:pPr>
    </w:p>
    <w:p w14:paraId="231A91D1">
      <w:pPr>
        <w:pStyle w:val="32"/>
        <w:rPr>
          <w:rFonts w:hint="eastAsia" w:ascii="宋体" w:hAnsi="宋体" w:eastAsia="宋体" w:cs="宋体"/>
          <w:color w:val="auto"/>
          <w:highlight w:val="none"/>
        </w:rPr>
      </w:pPr>
    </w:p>
    <w:p w14:paraId="6D60C6FE">
      <w:pPr>
        <w:pStyle w:val="32"/>
        <w:rPr>
          <w:rFonts w:hint="eastAsia" w:ascii="宋体" w:hAnsi="宋体" w:eastAsia="宋体" w:cs="宋体"/>
          <w:color w:val="auto"/>
          <w:highlight w:val="none"/>
        </w:rPr>
      </w:pPr>
    </w:p>
    <w:p w14:paraId="572B7EEF">
      <w:pPr>
        <w:rPr>
          <w:rFonts w:hint="eastAsia" w:ascii="宋体" w:hAnsi="宋体" w:eastAsia="宋体" w:cs="宋体"/>
          <w:b/>
          <w:color w:val="auto"/>
          <w:kern w:val="0"/>
          <w:sz w:val="24"/>
          <w:szCs w:val="20"/>
          <w:highlight w:val="none"/>
        </w:rPr>
      </w:pPr>
      <w:r>
        <w:rPr>
          <w:rFonts w:hint="eastAsia" w:ascii="宋体" w:hAnsi="宋体" w:eastAsia="宋体" w:cs="宋体"/>
          <w:color w:val="auto"/>
          <w:highlight w:val="none"/>
        </w:rPr>
        <w:br w:type="page"/>
      </w:r>
      <w:bookmarkStart w:id="732" w:name="_Toc25807"/>
      <w:bookmarkStart w:id="733" w:name="_Toc23424"/>
      <w:bookmarkStart w:id="734" w:name="_Toc31381"/>
      <w:bookmarkStart w:id="735" w:name="_Toc17947"/>
      <w:bookmarkStart w:id="736" w:name="_Toc19009"/>
      <w:bookmarkStart w:id="737" w:name="_Toc16684"/>
      <w:bookmarkStart w:id="738" w:name="_Toc16628"/>
      <w:bookmarkStart w:id="739" w:name="_Toc17701"/>
      <w:bookmarkStart w:id="740" w:name="_Toc5533"/>
      <w:bookmarkStart w:id="741" w:name="_Toc2969"/>
      <w:r>
        <w:rPr>
          <w:rFonts w:hint="eastAsia" w:ascii="宋体" w:hAnsi="宋体" w:eastAsia="宋体" w:cs="宋体"/>
          <w:b/>
          <w:color w:val="auto"/>
          <w:kern w:val="0"/>
          <w:sz w:val="24"/>
          <w:szCs w:val="20"/>
          <w:highlight w:val="none"/>
          <w:lang w:val="en-US" w:eastAsia="zh-CN"/>
        </w:rPr>
        <w:t>9、</w:t>
      </w:r>
      <w:r>
        <w:rPr>
          <w:rFonts w:hint="eastAsia" w:ascii="宋体" w:hAnsi="宋体" w:eastAsia="宋体" w:cs="宋体"/>
          <w:b/>
          <w:color w:val="auto"/>
          <w:kern w:val="0"/>
          <w:sz w:val="24"/>
          <w:szCs w:val="20"/>
          <w:highlight w:val="none"/>
          <w:lang w:eastAsia="zh-CN"/>
        </w:rPr>
        <w:t>响应文件</w:t>
      </w:r>
      <w:r>
        <w:rPr>
          <w:rFonts w:hint="eastAsia" w:ascii="宋体" w:hAnsi="宋体" w:eastAsia="宋体" w:cs="宋体"/>
          <w:b/>
          <w:color w:val="auto"/>
          <w:kern w:val="0"/>
          <w:sz w:val="24"/>
          <w:szCs w:val="20"/>
          <w:highlight w:val="none"/>
        </w:rPr>
        <w:t>格式范本</w:t>
      </w:r>
      <w:bookmarkEnd w:id="732"/>
      <w:bookmarkEnd w:id="733"/>
      <w:bookmarkEnd w:id="734"/>
      <w:bookmarkEnd w:id="735"/>
      <w:bookmarkEnd w:id="736"/>
      <w:bookmarkEnd w:id="737"/>
      <w:bookmarkEnd w:id="738"/>
      <w:bookmarkEnd w:id="739"/>
      <w:bookmarkEnd w:id="740"/>
      <w:bookmarkEnd w:id="741"/>
    </w:p>
    <w:tbl>
      <w:tblPr>
        <w:tblStyle w:val="24"/>
        <w:tblpPr w:leftFromText="180" w:rightFromText="180" w:vertAnchor="text" w:horzAnchor="page" w:tblpX="1380" w:tblpY="440"/>
        <w:tblOverlap w:val="never"/>
        <w:tblW w:w="9520"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520"/>
      </w:tblGrid>
      <w:tr w14:paraId="4F7908A4">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2335" w:hRule="atLeast"/>
        </w:trPr>
        <w:tc>
          <w:tcPr>
            <w:tcW w:w="9520" w:type="dxa"/>
            <w:shd w:val="clear" w:color="auto" w:fill="FCFEEA"/>
          </w:tcPr>
          <w:p w14:paraId="70616353">
            <w:pPr>
              <w:pStyle w:val="9"/>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（正本</w:t>
            </w:r>
            <w:r>
              <w:rPr>
                <w:rFonts w:hint="eastAsia" w:cs="宋体"/>
                <w:b/>
                <w:bCs/>
                <w:color w:val="auto"/>
                <w:sz w:val="28"/>
                <w:szCs w:val="28"/>
                <w:highlight w:val="none"/>
                <w:lang w:val="en-US" w:eastAsia="zh-CN"/>
              </w:rPr>
              <w:t>/</w:t>
            </w:r>
            <w:r>
              <w:rPr>
                <w:rFonts w:hint="eastAsia" w:ascii="宋体" w:hAnsi="宋体" w:eastAsia="宋体" w:cs="宋体"/>
                <w:b/>
                <w:bCs/>
                <w:color w:val="auto"/>
                <w:sz w:val="28"/>
                <w:szCs w:val="28"/>
                <w:highlight w:val="none"/>
              </w:rPr>
              <w:t>副本）</w:t>
            </w:r>
          </w:p>
          <w:p w14:paraId="495D64A5">
            <w:pPr>
              <w:pStyle w:val="9"/>
              <w:ind w:firstLine="4216" w:firstLineChars="1500"/>
              <w:rPr>
                <w:rFonts w:hint="eastAsia" w:ascii="宋体" w:hAnsi="宋体" w:eastAsia="宋体" w:cs="宋体"/>
                <w:b/>
                <w:bCs/>
                <w:color w:val="auto"/>
                <w:sz w:val="28"/>
                <w:szCs w:val="28"/>
                <w:highlight w:val="none"/>
              </w:rPr>
            </w:pPr>
          </w:p>
          <w:p w14:paraId="3A5153AE">
            <w:pPr>
              <w:pStyle w:val="9"/>
              <w:ind w:firstLine="4216" w:firstLineChars="1500"/>
              <w:rPr>
                <w:rFonts w:hint="eastAsia" w:ascii="宋体" w:hAnsi="宋体" w:eastAsia="宋体" w:cs="宋体"/>
                <w:b/>
                <w:bCs/>
                <w:color w:val="auto"/>
                <w:sz w:val="28"/>
                <w:szCs w:val="28"/>
                <w:highlight w:val="none"/>
              </w:rPr>
            </w:pPr>
          </w:p>
          <w:p w14:paraId="4AC5D4D3">
            <w:pPr>
              <w:pStyle w:val="9"/>
              <w:rPr>
                <w:rFonts w:hint="eastAsia" w:ascii="宋体" w:hAnsi="宋体" w:eastAsia="宋体" w:cs="宋体"/>
                <w:b/>
                <w:bCs/>
                <w:color w:val="auto"/>
                <w:sz w:val="28"/>
                <w:szCs w:val="28"/>
                <w:highlight w:val="none"/>
              </w:rPr>
            </w:pPr>
          </w:p>
          <w:p w14:paraId="584780DA">
            <w:pPr>
              <w:pStyle w:val="9"/>
              <w:ind w:firstLine="1897" w:firstLineChars="900"/>
              <w:rPr>
                <w:rFonts w:hint="eastAsia" w:ascii="宋体" w:hAnsi="宋体" w:eastAsia="宋体" w:cs="宋体"/>
                <w:b/>
                <w:bCs/>
                <w:color w:val="auto"/>
                <w:sz w:val="28"/>
                <w:szCs w:val="28"/>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8"/>
                <w:szCs w:val="28"/>
                <w:highlight w:val="none"/>
              </w:rPr>
              <w:t xml:space="preserve">   项目</w:t>
            </w:r>
          </w:p>
          <w:p w14:paraId="4E184426">
            <w:pPr>
              <w:pStyle w:val="9"/>
              <w:jc w:val="center"/>
              <w:rPr>
                <w:rFonts w:hint="eastAsia" w:ascii="宋体" w:hAnsi="宋体" w:eastAsia="宋体" w:cs="宋体"/>
                <w:b/>
                <w:bCs/>
                <w:color w:val="auto"/>
                <w:sz w:val="21"/>
                <w:szCs w:val="21"/>
                <w:highlight w:val="none"/>
              </w:rPr>
            </w:pPr>
          </w:p>
          <w:p w14:paraId="71E86AB3">
            <w:pPr>
              <w:pStyle w:val="9"/>
              <w:ind w:firstLine="3162" w:firstLineChars="15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编号＊＊＊＊＊＊   包号＊＊＊＊＊</w:t>
            </w:r>
          </w:p>
          <w:p w14:paraId="3C615C5B">
            <w:pPr>
              <w:pStyle w:val="9"/>
              <w:jc w:val="center"/>
              <w:rPr>
                <w:rFonts w:hint="eastAsia" w:ascii="宋体" w:hAnsi="宋体" w:eastAsia="宋体" w:cs="宋体"/>
                <w:b/>
                <w:bCs/>
                <w:color w:val="auto"/>
                <w:sz w:val="48"/>
                <w:highlight w:val="none"/>
              </w:rPr>
            </w:pPr>
          </w:p>
          <w:p w14:paraId="7B43C740">
            <w:pPr>
              <w:pStyle w:val="9"/>
              <w:jc w:val="center"/>
              <w:rPr>
                <w:rFonts w:hint="eastAsia" w:ascii="宋体" w:hAnsi="宋体" w:eastAsia="宋体" w:cs="宋体"/>
                <w:b/>
                <w:bCs/>
                <w:color w:val="auto"/>
                <w:sz w:val="48"/>
                <w:highlight w:val="none"/>
              </w:rPr>
            </w:pPr>
            <w:r>
              <w:rPr>
                <w:rFonts w:hint="eastAsia" w:ascii="宋体" w:hAnsi="宋体" w:eastAsia="宋体" w:cs="宋体"/>
                <w:b/>
                <w:bCs/>
                <w:color w:val="auto"/>
                <w:sz w:val="48"/>
                <w:highlight w:val="none"/>
                <w:lang w:eastAsia="zh-CN"/>
              </w:rPr>
              <w:t>响</w:t>
            </w:r>
            <w:r>
              <w:rPr>
                <w:rFonts w:hint="eastAsia" w:ascii="宋体" w:hAnsi="宋体" w:eastAsia="宋体" w:cs="宋体"/>
                <w:b/>
                <w:bCs/>
                <w:color w:val="auto"/>
                <w:sz w:val="48"/>
                <w:highlight w:val="none"/>
                <w:lang w:val="en-US" w:eastAsia="zh-CN"/>
              </w:rPr>
              <w:t xml:space="preserve"> </w:t>
            </w:r>
            <w:r>
              <w:rPr>
                <w:rFonts w:hint="eastAsia" w:ascii="宋体" w:hAnsi="宋体" w:eastAsia="宋体" w:cs="宋体"/>
                <w:b/>
                <w:bCs/>
                <w:color w:val="auto"/>
                <w:sz w:val="48"/>
                <w:highlight w:val="none"/>
                <w:lang w:eastAsia="zh-CN"/>
              </w:rPr>
              <w:t>应</w:t>
            </w:r>
            <w:r>
              <w:rPr>
                <w:rFonts w:hint="eastAsia" w:ascii="宋体" w:hAnsi="宋体" w:eastAsia="宋体" w:cs="宋体"/>
                <w:b/>
                <w:bCs/>
                <w:color w:val="auto"/>
                <w:sz w:val="48"/>
                <w:highlight w:val="none"/>
              </w:rPr>
              <w:t xml:space="preserve"> 文 件</w:t>
            </w:r>
          </w:p>
          <w:p w14:paraId="5A011712">
            <w:pPr>
              <w:jc w:val="center"/>
              <w:rPr>
                <w:rFonts w:hint="eastAsia" w:ascii="宋体" w:hAnsi="宋体" w:eastAsia="宋体" w:cs="宋体"/>
                <w:b/>
                <w:color w:val="auto"/>
                <w:sz w:val="32"/>
                <w:highlight w:val="none"/>
              </w:rPr>
            </w:pPr>
          </w:p>
          <w:p w14:paraId="1A3F135C">
            <w:pPr>
              <w:pStyle w:val="6"/>
              <w:rPr>
                <w:rFonts w:hint="eastAsia" w:ascii="宋体" w:hAnsi="宋体" w:eastAsia="宋体" w:cs="宋体"/>
                <w:b/>
                <w:color w:val="auto"/>
                <w:sz w:val="32"/>
                <w:highlight w:val="none"/>
              </w:rPr>
            </w:pPr>
          </w:p>
          <w:p w14:paraId="58259B9A">
            <w:pPr>
              <w:pStyle w:val="6"/>
              <w:rPr>
                <w:rFonts w:hint="eastAsia" w:ascii="宋体" w:hAnsi="宋体" w:eastAsia="宋体" w:cs="宋体"/>
                <w:b/>
                <w:color w:val="auto"/>
                <w:sz w:val="32"/>
                <w:highlight w:val="none"/>
              </w:rPr>
            </w:pPr>
          </w:p>
          <w:p w14:paraId="0D97DD20">
            <w:pPr>
              <w:spacing w:line="360" w:lineRule="auto"/>
              <w:ind w:left="176" w:leftChars="84"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单位：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（公章）</w:t>
            </w:r>
          </w:p>
          <w:p w14:paraId="29108CCC">
            <w:pPr>
              <w:spacing w:line="360" w:lineRule="auto"/>
              <w:ind w:left="176" w:leftChars="84" w:firstLine="840" w:firstLineChars="4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p>
          <w:p w14:paraId="3F244831">
            <w:pPr>
              <w:spacing w:line="360" w:lineRule="auto"/>
              <w:ind w:left="176" w:leftChars="84" w:firstLine="840" w:firstLineChars="4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rPr>
              <w:t xml:space="preserve">                                        </w:t>
            </w:r>
          </w:p>
          <w:p w14:paraId="09C82D0C">
            <w:pPr>
              <w:spacing w:line="360" w:lineRule="auto"/>
              <w:ind w:left="176" w:leftChars="84" w:firstLine="840" w:firstLineChars="4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联 系 人：</w:t>
            </w:r>
            <w:r>
              <w:rPr>
                <w:rFonts w:hint="eastAsia" w:ascii="宋体" w:hAnsi="宋体" w:eastAsia="宋体" w:cs="宋体"/>
                <w:color w:val="auto"/>
                <w:szCs w:val="21"/>
                <w:highlight w:val="none"/>
                <w:u w:val="single"/>
              </w:rPr>
              <w:t xml:space="preserve">                                        </w:t>
            </w:r>
          </w:p>
          <w:p w14:paraId="10881CD7">
            <w:pPr>
              <w:spacing w:line="360" w:lineRule="auto"/>
              <w:ind w:left="176" w:leftChars="84"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 xml:space="preserve">                                        </w:t>
            </w:r>
          </w:p>
          <w:p w14:paraId="5566EDC9">
            <w:pPr>
              <w:spacing w:line="360" w:lineRule="auto"/>
              <w:ind w:left="176" w:leftChars="84" w:firstLine="840" w:firstLineChars="4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地    址  ： </w:t>
            </w:r>
            <w:r>
              <w:rPr>
                <w:rFonts w:hint="eastAsia" w:ascii="宋体" w:hAnsi="宋体" w:eastAsia="宋体" w:cs="宋体"/>
                <w:color w:val="auto"/>
                <w:szCs w:val="21"/>
                <w:highlight w:val="none"/>
                <w:u w:val="single"/>
              </w:rPr>
              <w:t xml:space="preserve">                                    </w:t>
            </w:r>
          </w:p>
          <w:p w14:paraId="7CDEF58C">
            <w:pPr>
              <w:spacing w:line="360" w:lineRule="auto"/>
              <w:ind w:left="176" w:leftChars="84" w:firstLine="960" w:firstLineChars="400"/>
              <w:rPr>
                <w:rFonts w:hint="eastAsia" w:ascii="宋体" w:hAnsi="宋体" w:eastAsia="宋体" w:cs="宋体"/>
                <w:color w:val="auto"/>
                <w:sz w:val="24"/>
                <w:highlight w:val="none"/>
              </w:rPr>
            </w:pPr>
          </w:p>
          <w:p w14:paraId="16B24A90">
            <w:pPr>
              <w:jc w:val="center"/>
              <w:rPr>
                <w:rFonts w:hint="eastAsia" w:ascii="宋体" w:hAnsi="宋体" w:eastAsia="宋体" w:cs="宋体"/>
                <w:b/>
                <w:bCs/>
                <w:color w:val="auto"/>
                <w:highlight w:val="none"/>
              </w:rPr>
            </w:pPr>
          </w:p>
          <w:p w14:paraId="44E27DBE">
            <w:pPr>
              <w:jc w:val="center"/>
              <w:rPr>
                <w:rFonts w:hint="eastAsia" w:ascii="宋体" w:hAnsi="宋体" w:eastAsia="宋体" w:cs="宋体"/>
                <w:b/>
                <w:bCs/>
                <w:color w:val="auto"/>
                <w:highlight w:val="none"/>
              </w:rPr>
            </w:pPr>
          </w:p>
          <w:p w14:paraId="466F8BC9">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注：   在20</w:t>
            </w:r>
            <w:r>
              <w:rPr>
                <w:rFonts w:hint="eastAsia" w:ascii="宋体" w:hAnsi="宋体" w:cs="宋体"/>
                <w:b/>
                <w:bCs/>
                <w:color w:val="auto"/>
                <w:highlight w:val="none"/>
                <w:lang w:val="en-US" w:eastAsia="zh-CN"/>
              </w:rPr>
              <w:t>**</w:t>
            </w:r>
            <w:r>
              <w:rPr>
                <w:rFonts w:hint="eastAsia" w:ascii="宋体" w:hAnsi="宋体" w:eastAsia="宋体" w:cs="宋体"/>
                <w:b/>
                <w:bCs/>
                <w:color w:val="auto"/>
                <w:highlight w:val="none"/>
              </w:rPr>
              <w:t>年</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highlight w:val="none"/>
              </w:rPr>
              <w:t>月</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highlight w:val="none"/>
              </w:rPr>
              <w:t xml:space="preserve">日 </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highlight w:val="none"/>
              </w:rPr>
              <w:t>午</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highlight w:val="none"/>
                <w:lang w:eastAsia="zh-CN"/>
              </w:rPr>
              <w:t>点</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highlight w:val="none"/>
                <w:lang w:eastAsia="zh-CN"/>
              </w:rPr>
              <w:t>分</w:t>
            </w:r>
            <w:r>
              <w:rPr>
                <w:rFonts w:hint="eastAsia" w:ascii="宋体" w:hAnsi="宋体" w:eastAsia="宋体" w:cs="宋体"/>
                <w:b/>
                <w:bCs/>
                <w:color w:val="auto"/>
                <w:highlight w:val="none"/>
              </w:rPr>
              <w:t>之前不得启封</w:t>
            </w:r>
          </w:p>
          <w:p w14:paraId="4CACC882">
            <w:pPr>
              <w:jc w:val="center"/>
              <w:rPr>
                <w:rFonts w:hint="eastAsia" w:ascii="宋体" w:hAnsi="宋体" w:eastAsia="宋体" w:cs="宋体"/>
                <w:b/>
                <w:bCs/>
                <w:color w:val="auto"/>
                <w:highlight w:val="none"/>
              </w:rPr>
            </w:pPr>
          </w:p>
        </w:tc>
      </w:tr>
    </w:tbl>
    <w:p w14:paraId="510BBE9B">
      <w:pPr>
        <w:spacing w:line="240" w:lineRule="atLeast"/>
        <w:rPr>
          <w:rFonts w:hint="eastAsia" w:ascii="宋体" w:hAnsi="宋体" w:eastAsia="宋体" w:cs="宋体"/>
          <w:b/>
          <w:color w:val="auto"/>
          <w:sz w:val="44"/>
          <w:szCs w:val="44"/>
          <w:highlight w:val="none"/>
          <w:lang w:eastAsia="zh-CN"/>
        </w:rPr>
      </w:pPr>
      <w:r>
        <w:rPr>
          <w:rFonts w:hint="eastAsia" w:ascii="宋体" w:hAnsi="宋体" w:eastAsia="宋体" w:cs="宋体"/>
          <w:color w:val="auto"/>
          <w:sz w:val="24"/>
          <w:highlight w:val="none"/>
        </w:rPr>
        <w:br w:type="page"/>
      </w:r>
    </w:p>
    <w:p w14:paraId="1E541681">
      <w:pPr>
        <w:spacing w:line="240" w:lineRule="atLeast"/>
        <w:jc w:val="center"/>
        <w:rPr>
          <w:rFonts w:hint="eastAsia" w:ascii="宋体" w:hAnsi="宋体" w:eastAsia="宋体" w:cs="宋体"/>
          <w:b/>
          <w:color w:val="auto"/>
          <w:sz w:val="44"/>
          <w:szCs w:val="44"/>
          <w:highlight w:val="none"/>
          <w:lang w:eastAsia="zh-CN"/>
        </w:rPr>
      </w:pPr>
    </w:p>
    <w:p w14:paraId="3975900C">
      <w:pPr>
        <w:spacing w:line="240" w:lineRule="atLeast"/>
        <w:jc w:val="center"/>
        <w:rPr>
          <w:rFonts w:hint="eastAsia" w:ascii="宋体" w:hAnsi="宋体" w:eastAsia="宋体" w:cs="宋体"/>
          <w:b/>
          <w:color w:val="auto"/>
          <w:sz w:val="44"/>
          <w:szCs w:val="44"/>
          <w:highlight w:val="none"/>
          <w:lang w:eastAsia="zh-CN"/>
        </w:rPr>
      </w:pPr>
    </w:p>
    <w:p w14:paraId="3B14DBAF">
      <w:pPr>
        <w:spacing w:line="240" w:lineRule="atLeast"/>
        <w:jc w:val="center"/>
        <w:rPr>
          <w:rFonts w:hint="eastAsia" w:ascii="宋体" w:hAnsi="宋体" w:eastAsia="宋体" w:cs="宋体"/>
          <w:b/>
          <w:color w:val="auto"/>
          <w:sz w:val="44"/>
          <w:szCs w:val="44"/>
          <w:highlight w:val="none"/>
          <w:lang w:eastAsia="zh-CN"/>
        </w:rPr>
      </w:pPr>
    </w:p>
    <w:p w14:paraId="591ED071">
      <w:pPr>
        <w:spacing w:line="240" w:lineRule="atLeast"/>
        <w:jc w:val="center"/>
        <w:rPr>
          <w:rFonts w:hint="eastAsia" w:ascii="宋体" w:hAnsi="宋体" w:eastAsia="宋体" w:cs="宋体"/>
          <w:b/>
          <w:color w:val="auto"/>
          <w:sz w:val="44"/>
          <w:szCs w:val="44"/>
          <w:highlight w:val="none"/>
          <w:lang w:eastAsia="zh-CN"/>
        </w:rPr>
      </w:pPr>
    </w:p>
    <w:p w14:paraId="55EF3EB3">
      <w:pPr>
        <w:spacing w:line="240" w:lineRule="atLeast"/>
        <w:jc w:val="center"/>
        <w:rPr>
          <w:rFonts w:hint="eastAsia" w:ascii="宋体" w:hAnsi="宋体" w:eastAsia="宋体" w:cs="宋体"/>
          <w:b/>
          <w:color w:val="auto"/>
          <w:sz w:val="44"/>
          <w:szCs w:val="44"/>
          <w:highlight w:val="none"/>
          <w:lang w:eastAsia="zh-CN"/>
        </w:rPr>
      </w:pPr>
    </w:p>
    <w:p w14:paraId="1B6BC481">
      <w:pPr>
        <w:spacing w:line="240" w:lineRule="atLeast"/>
        <w:jc w:val="center"/>
        <w:rPr>
          <w:rFonts w:hint="eastAsia" w:ascii="宋体" w:hAnsi="宋体" w:eastAsia="宋体" w:cs="宋体"/>
          <w:b/>
          <w:color w:val="auto"/>
          <w:sz w:val="44"/>
          <w:szCs w:val="44"/>
          <w:highlight w:val="none"/>
          <w:lang w:eastAsia="zh-CN"/>
        </w:rPr>
      </w:pPr>
    </w:p>
    <w:p w14:paraId="253E59E9">
      <w:pPr>
        <w:spacing w:line="240" w:lineRule="atLeast"/>
        <w:jc w:val="center"/>
        <w:rPr>
          <w:rFonts w:hint="eastAsia" w:ascii="宋体" w:hAnsi="宋体" w:eastAsia="宋体" w:cs="宋体"/>
          <w:b/>
          <w:color w:val="auto"/>
          <w:sz w:val="44"/>
          <w:szCs w:val="44"/>
          <w:highlight w:val="none"/>
          <w:lang w:eastAsia="zh-CN"/>
        </w:rPr>
      </w:pPr>
    </w:p>
    <w:p w14:paraId="3D8DA0FC">
      <w:pPr>
        <w:spacing w:line="240" w:lineRule="atLeast"/>
        <w:jc w:val="center"/>
        <w:rPr>
          <w:rFonts w:hint="eastAsia"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lang w:eastAsia="zh-CN"/>
        </w:rPr>
        <w:t>磋 商 文 件</w:t>
      </w:r>
    </w:p>
    <w:p w14:paraId="0AE4E2BD">
      <w:pPr>
        <w:spacing w:line="240" w:lineRule="atLeast"/>
        <w:jc w:val="center"/>
        <w:rPr>
          <w:rFonts w:hint="eastAsia" w:ascii="宋体" w:hAnsi="宋体" w:eastAsia="宋体" w:cs="宋体"/>
          <w:b/>
          <w:color w:val="auto"/>
          <w:sz w:val="40"/>
          <w:szCs w:val="40"/>
          <w:highlight w:val="none"/>
        </w:rPr>
      </w:pPr>
    </w:p>
    <w:p w14:paraId="506FC19D">
      <w:pPr>
        <w:spacing w:line="240" w:lineRule="atLeast"/>
        <w:jc w:val="center"/>
        <w:rPr>
          <w:rFonts w:hint="default" w:ascii="宋体" w:hAnsi="宋体" w:eastAsia="宋体" w:cs="宋体"/>
          <w:b/>
          <w:color w:val="auto"/>
          <w:sz w:val="32"/>
          <w:highlight w:val="none"/>
          <w:lang w:val="en-US" w:eastAsia="zh-CN"/>
        </w:rPr>
      </w:pPr>
      <w:r>
        <w:rPr>
          <w:rFonts w:hint="eastAsia" w:ascii="宋体" w:hAnsi="宋体" w:eastAsia="宋体" w:cs="宋体"/>
          <w:b/>
          <w:color w:val="auto"/>
          <w:sz w:val="40"/>
          <w:szCs w:val="40"/>
          <w:highlight w:val="none"/>
        </w:rPr>
        <w:t>项目编号：</w:t>
      </w:r>
      <w:r>
        <w:rPr>
          <w:rFonts w:hint="eastAsia" w:ascii="宋体" w:hAnsi="宋体" w:cs="宋体"/>
          <w:b/>
          <w:color w:val="auto"/>
          <w:sz w:val="40"/>
          <w:szCs w:val="40"/>
          <w:highlight w:val="none"/>
          <w:lang w:eastAsia="zh-CN"/>
        </w:rPr>
        <w:t>XJHM-(CG)ZB-202</w:t>
      </w:r>
      <w:r>
        <w:rPr>
          <w:rFonts w:hint="eastAsia" w:ascii="宋体" w:hAnsi="宋体" w:cs="宋体"/>
          <w:b/>
          <w:color w:val="auto"/>
          <w:sz w:val="40"/>
          <w:szCs w:val="40"/>
          <w:highlight w:val="none"/>
          <w:lang w:val="en-US" w:eastAsia="zh-CN"/>
        </w:rPr>
        <w:t>5</w:t>
      </w:r>
      <w:r>
        <w:rPr>
          <w:rFonts w:hint="eastAsia" w:ascii="宋体" w:hAnsi="宋体" w:cs="宋体"/>
          <w:b/>
          <w:color w:val="auto"/>
          <w:sz w:val="40"/>
          <w:szCs w:val="40"/>
          <w:highlight w:val="none"/>
          <w:lang w:eastAsia="zh-CN"/>
        </w:rPr>
        <w:t>-0</w:t>
      </w:r>
      <w:r>
        <w:rPr>
          <w:rFonts w:hint="eastAsia" w:ascii="宋体" w:hAnsi="宋体" w:cs="宋体"/>
          <w:b/>
          <w:color w:val="auto"/>
          <w:sz w:val="40"/>
          <w:szCs w:val="40"/>
          <w:highlight w:val="none"/>
          <w:lang w:val="en-US" w:eastAsia="zh-CN"/>
        </w:rPr>
        <w:t>03</w:t>
      </w:r>
    </w:p>
    <w:p w14:paraId="5F34B553">
      <w:pPr>
        <w:spacing w:line="240" w:lineRule="atLeast"/>
        <w:jc w:val="center"/>
        <w:rPr>
          <w:rFonts w:hint="eastAsia" w:ascii="宋体" w:hAnsi="宋体" w:eastAsia="宋体" w:cs="宋体"/>
          <w:b/>
          <w:color w:val="auto"/>
          <w:sz w:val="32"/>
          <w:highlight w:val="none"/>
        </w:rPr>
      </w:pPr>
    </w:p>
    <w:p w14:paraId="342E4D92">
      <w:pPr>
        <w:spacing w:line="240" w:lineRule="atLeast"/>
        <w:jc w:val="center"/>
        <w:rPr>
          <w:rFonts w:hint="eastAsia" w:ascii="宋体" w:hAnsi="宋体" w:eastAsia="宋体" w:cs="宋体"/>
          <w:b/>
          <w:color w:val="auto"/>
          <w:sz w:val="44"/>
          <w:szCs w:val="36"/>
          <w:highlight w:val="none"/>
        </w:rPr>
      </w:pPr>
      <w:r>
        <w:rPr>
          <w:rFonts w:hint="eastAsia" w:ascii="宋体" w:hAnsi="宋体" w:eastAsia="宋体" w:cs="宋体"/>
          <w:b/>
          <w:color w:val="auto"/>
          <w:sz w:val="44"/>
          <w:szCs w:val="36"/>
          <w:highlight w:val="none"/>
        </w:rPr>
        <w:t>第 二 册</w:t>
      </w:r>
    </w:p>
    <w:p w14:paraId="76D8B550">
      <w:pPr>
        <w:spacing w:line="240" w:lineRule="atLeast"/>
        <w:jc w:val="center"/>
        <w:rPr>
          <w:rFonts w:hint="eastAsia" w:ascii="宋体" w:hAnsi="宋体" w:eastAsia="宋体" w:cs="宋体"/>
          <w:b/>
          <w:color w:val="auto"/>
          <w:sz w:val="32"/>
          <w:highlight w:val="none"/>
        </w:rPr>
      </w:pPr>
    </w:p>
    <w:p w14:paraId="73C16412">
      <w:pPr>
        <w:spacing w:line="240" w:lineRule="atLeas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 xml:space="preserve">  </w:t>
      </w:r>
    </w:p>
    <w:p w14:paraId="69788C88">
      <w:pPr>
        <w:spacing w:line="240" w:lineRule="atLeast"/>
        <w:ind w:left="1080" w:leftChars="257" w:hanging="540"/>
        <w:rPr>
          <w:rFonts w:hint="eastAsia" w:ascii="宋体" w:hAnsi="宋体" w:eastAsia="宋体" w:cs="宋体"/>
          <w:b/>
          <w:color w:val="auto"/>
          <w:sz w:val="28"/>
          <w:highlight w:val="none"/>
        </w:rPr>
      </w:pPr>
    </w:p>
    <w:p w14:paraId="086C6567">
      <w:pPr>
        <w:spacing w:line="240" w:lineRule="atLeast"/>
        <w:ind w:left="1080" w:leftChars="257" w:hanging="540"/>
        <w:rPr>
          <w:rFonts w:hint="eastAsia" w:ascii="宋体" w:hAnsi="宋体" w:eastAsia="宋体" w:cs="宋体"/>
          <w:b/>
          <w:color w:val="auto"/>
          <w:sz w:val="28"/>
          <w:highlight w:val="none"/>
        </w:rPr>
      </w:pPr>
    </w:p>
    <w:p w14:paraId="058AAF31">
      <w:pPr>
        <w:spacing w:line="240" w:lineRule="atLeast"/>
        <w:ind w:left="1080" w:leftChars="257" w:hanging="540"/>
        <w:rPr>
          <w:rFonts w:hint="eastAsia" w:ascii="宋体" w:hAnsi="宋体" w:eastAsia="宋体" w:cs="宋体"/>
          <w:b/>
          <w:color w:val="auto"/>
          <w:sz w:val="28"/>
          <w:highlight w:val="none"/>
        </w:rPr>
      </w:pPr>
    </w:p>
    <w:p w14:paraId="26FB0A03">
      <w:pPr>
        <w:spacing w:line="240" w:lineRule="atLeast"/>
        <w:ind w:left="1080" w:leftChars="257" w:hanging="540"/>
        <w:jc w:val="center"/>
        <w:rPr>
          <w:rFonts w:hint="eastAsia" w:ascii="宋体" w:hAnsi="宋体" w:eastAsia="宋体" w:cs="宋体"/>
          <w:b/>
          <w:color w:val="auto"/>
          <w:sz w:val="52"/>
          <w:highlight w:val="none"/>
        </w:rPr>
      </w:pPr>
    </w:p>
    <w:p w14:paraId="2D188D5A">
      <w:pPr>
        <w:spacing w:line="240" w:lineRule="atLeast"/>
        <w:ind w:left="1080" w:leftChars="257" w:hanging="540"/>
        <w:jc w:val="center"/>
        <w:rPr>
          <w:rFonts w:hint="eastAsia" w:ascii="宋体" w:hAnsi="宋体" w:eastAsia="宋体" w:cs="宋体"/>
          <w:b/>
          <w:color w:val="auto"/>
          <w:sz w:val="52"/>
          <w:highlight w:val="none"/>
        </w:rPr>
      </w:pPr>
    </w:p>
    <w:p w14:paraId="1834DF31">
      <w:pPr>
        <w:spacing w:line="240" w:lineRule="atLeast"/>
        <w:ind w:left="1080" w:leftChars="257" w:hanging="540"/>
        <w:jc w:val="center"/>
        <w:rPr>
          <w:rFonts w:hint="eastAsia" w:ascii="宋体" w:hAnsi="宋体" w:eastAsia="宋体" w:cs="宋体"/>
          <w:b/>
          <w:color w:val="auto"/>
          <w:sz w:val="52"/>
          <w:highlight w:val="none"/>
        </w:rPr>
      </w:pPr>
    </w:p>
    <w:p w14:paraId="532C24B1">
      <w:pPr>
        <w:pStyle w:val="2"/>
        <w:jc w:val="both"/>
        <w:rPr>
          <w:rFonts w:hint="eastAsia" w:ascii="宋体" w:hAnsi="宋体" w:eastAsia="宋体" w:cs="宋体"/>
          <w:color w:val="auto"/>
          <w:highlight w:val="none"/>
        </w:rPr>
        <w:sectPr>
          <w:footerReference r:id="rId8" w:type="default"/>
          <w:pgSz w:w="11906" w:h="16838"/>
          <w:pgMar w:top="1440" w:right="1797" w:bottom="1440" w:left="1797" w:header="851" w:footer="992" w:gutter="0"/>
          <w:pgNumType w:fmt="decimal"/>
          <w:cols w:space="720" w:num="1"/>
          <w:docGrid w:linePitch="312" w:charSpace="0"/>
        </w:sectPr>
      </w:pPr>
    </w:p>
    <w:p w14:paraId="1360155E">
      <w:pPr>
        <w:pStyle w:val="2"/>
        <w:tabs>
          <w:tab w:val="left" w:pos="0"/>
        </w:tabs>
        <w:spacing w:before="0" w:after="0" w:line="240" w:lineRule="atLeast"/>
        <w:jc w:val="center"/>
        <w:rPr>
          <w:rFonts w:hint="eastAsia" w:ascii="宋体" w:hAnsi="宋体" w:eastAsia="宋体" w:cs="宋体"/>
          <w:color w:val="auto"/>
          <w:highlight w:val="none"/>
        </w:rPr>
      </w:pPr>
      <w:bookmarkStart w:id="742" w:name="_Toc216582822"/>
      <w:bookmarkStart w:id="743" w:name="_Toc218935350"/>
      <w:bookmarkStart w:id="744" w:name="_Toc6161"/>
      <w:bookmarkStart w:id="745" w:name="_Toc28765"/>
      <w:bookmarkStart w:id="746" w:name="_Toc219175634"/>
      <w:bookmarkStart w:id="747" w:name="_Toc515647829"/>
      <w:bookmarkStart w:id="748" w:name="_Toc507399902"/>
      <w:bookmarkStart w:id="749" w:name="_Toc16370"/>
      <w:bookmarkStart w:id="750" w:name="_Toc29715"/>
      <w:r>
        <w:rPr>
          <w:rFonts w:hint="eastAsia" w:ascii="宋体" w:hAnsi="宋体" w:eastAsia="宋体" w:cs="宋体"/>
          <w:color w:val="auto"/>
          <w:highlight w:val="none"/>
          <w:lang w:val="en-US" w:eastAsia="zh-CN"/>
        </w:rPr>
        <w:t>第3章</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邀请</w:t>
      </w:r>
      <w:bookmarkEnd w:id="742"/>
      <w:bookmarkEnd w:id="743"/>
      <w:bookmarkEnd w:id="744"/>
      <w:bookmarkEnd w:id="745"/>
      <w:bookmarkEnd w:id="746"/>
      <w:bookmarkEnd w:id="747"/>
      <w:bookmarkEnd w:id="748"/>
      <w:bookmarkEnd w:id="749"/>
      <w:bookmarkEnd w:id="750"/>
      <w:bookmarkStart w:id="751" w:name="_Toc507399903"/>
      <w:bookmarkStart w:id="752" w:name="_Toc515647830"/>
      <w:bookmarkStart w:id="753" w:name="_Toc5272"/>
      <w:bookmarkStart w:id="754" w:name="_Toc216582823"/>
      <w:bookmarkStart w:id="755" w:name="_Toc31583"/>
      <w:bookmarkStart w:id="756" w:name="_Toc10488"/>
      <w:bookmarkStart w:id="757" w:name="_Toc512937850"/>
    </w:p>
    <w:bookmarkEnd w:id="751"/>
    <w:bookmarkEnd w:id="752"/>
    <w:bookmarkEnd w:id="753"/>
    <w:bookmarkEnd w:id="754"/>
    <w:bookmarkEnd w:id="755"/>
    <w:bookmarkEnd w:id="756"/>
    <w:bookmarkEnd w:id="757"/>
    <w:p w14:paraId="435A4573">
      <w:pPr>
        <w:keepNext/>
        <w:keepLines/>
        <w:pageBreakBefore w:val="0"/>
        <w:widowControl w:val="0"/>
        <w:tabs>
          <w:tab w:val="left" w:pos="0"/>
        </w:tabs>
        <w:kinsoku/>
        <w:wordWrap/>
        <w:overflowPunct/>
        <w:topLinePunct w:val="0"/>
        <w:autoSpaceDE w:val="0"/>
        <w:autoSpaceDN w:val="0"/>
        <w:bidi w:val="0"/>
        <w:adjustRightInd w:val="0"/>
        <w:snapToGrid/>
        <w:spacing w:before="0" w:after="0" w:line="500" w:lineRule="exact"/>
        <w:jc w:val="center"/>
        <w:textAlignment w:val="auto"/>
        <w:outlineLvl w:val="9"/>
        <w:rPr>
          <w:rFonts w:hint="eastAsia" w:ascii="宋体" w:hAnsi="宋体" w:eastAsia="宋体" w:cs="宋体"/>
          <w:b/>
          <w:bCs/>
          <w:color w:val="auto"/>
          <w:sz w:val="36"/>
          <w:szCs w:val="36"/>
          <w:highlight w:val="none"/>
        </w:rPr>
      </w:pPr>
      <w:bookmarkStart w:id="758" w:name="_Toc8815"/>
      <w:bookmarkStart w:id="759" w:name="_Toc14011"/>
      <w:bookmarkStart w:id="760" w:name="_Toc25737"/>
      <w:bookmarkStart w:id="761" w:name="_Toc32647"/>
      <w:bookmarkStart w:id="762" w:name="_Toc7971"/>
      <w:bookmarkStart w:id="763" w:name="_Toc21806"/>
      <w:bookmarkStart w:id="764" w:name="_Toc13655"/>
      <w:bookmarkStart w:id="765" w:name="_Toc16036"/>
      <w:bookmarkStart w:id="766" w:name="_Toc216582826"/>
      <w:bookmarkStart w:id="767" w:name="_Toc22216"/>
      <w:bookmarkStart w:id="768" w:name="_Toc507399907"/>
      <w:bookmarkStart w:id="769" w:name="_Toc28539"/>
      <w:bookmarkStart w:id="770" w:name="_Toc28803"/>
      <w:bookmarkStart w:id="771" w:name="_Toc515647832"/>
      <w:bookmarkStart w:id="772" w:name="_Toc26226"/>
      <w:bookmarkStart w:id="773" w:name="_Toc218935355"/>
      <w:bookmarkStart w:id="774" w:name="_Toc23395"/>
      <w:bookmarkStart w:id="775" w:name="_Toc219175639"/>
      <w:bookmarkStart w:id="776" w:name="_Toc13846"/>
      <w:r>
        <w:rPr>
          <w:rFonts w:hint="eastAsia" w:ascii="宋体" w:hAnsi="宋体" w:eastAsia="宋体" w:cs="宋体"/>
          <w:b/>
          <w:bCs/>
          <w:color w:val="auto"/>
          <w:sz w:val="36"/>
          <w:szCs w:val="36"/>
          <w:highlight w:val="none"/>
          <w:lang w:val="en-US" w:eastAsia="zh-CN"/>
        </w:rPr>
        <w:t>伽师县英买里镇2025年入户路建设项目磋商</w:t>
      </w:r>
      <w:r>
        <w:rPr>
          <w:rFonts w:hint="eastAsia" w:ascii="宋体" w:hAnsi="宋体" w:eastAsia="宋体" w:cs="宋体"/>
          <w:b/>
          <w:bCs/>
          <w:color w:val="auto"/>
          <w:sz w:val="36"/>
          <w:szCs w:val="36"/>
          <w:highlight w:val="none"/>
        </w:rPr>
        <w:t>公告</w:t>
      </w:r>
      <w:bookmarkEnd w:id="758"/>
      <w:bookmarkEnd w:id="759"/>
    </w:p>
    <w:p w14:paraId="0F3AFFE0">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项目概况</w:t>
      </w:r>
    </w:p>
    <w:p w14:paraId="49FC754F">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single"/>
          <w:lang w:eastAsia="zh-CN"/>
        </w:rPr>
        <w:t>伽师县英买里镇2025年入户路建设项目</w:t>
      </w:r>
      <w:r>
        <w:rPr>
          <w:rFonts w:hint="eastAsia" w:ascii="宋体" w:hAnsi="宋体" w:eastAsia="宋体" w:cs="宋体"/>
          <w:color w:val="auto"/>
          <w:sz w:val="24"/>
          <w:szCs w:val="24"/>
          <w:highlight w:val="none"/>
          <w:u w:val="none"/>
          <w:lang w:eastAsia="zh-CN"/>
        </w:rPr>
        <w:t>的潜在供应商应在</w:t>
      </w:r>
      <w:r>
        <w:rPr>
          <w:rFonts w:hint="eastAsia" w:ascii="宋体" w:hAnsi="宋体" w:eastAsia="宋体" w:cs="宋体"/>
          <w:color w:val="auto"/>
          <w:sz w:val="24"/>
          <w:szCs w:val="24"/>
          <w:highlight w:val="none"/>
          <w:u w:val="single"/>
          <w:lang w:eastAsia="zh-CN"/>
        </w:rPr>
        <w:t>政采云平台</w:t>
      </w:r>
      <w:r>
        <w:rPr>
          <w:rFonts w:hint="eastAsia" w:ascii="宋体" w:hAnsi="宋体" w:eastAsia="宋体" w:cs="宋体"/>
          <w:color w:val="auto"/>
          <w:sz w:val="24"/>
          <w:szCs w:val="24"/>
          <w:highlight w:val="none"/>
          <w:u w:val="none"/>
          <w:lang w:eastAsia="zh-CN"/>
        </w:rPr>
        <w:t>获取</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u w:val="none"/>
          <w:lang w:eastAsia="zh-CN"/>
        </w:rPr>
        <w:t>，并于</w:t>
      </w:r>
      <w:r>
        <w:rPr>
          <w:rFonts w:hint="eastAsia" w:ascii="宋体" w:hAnsi="宋体" w:cs="宋体"/>
          <w:color w:val="auto"/>
          <w:sz w:val="24"/>
          <w:szCs w:val="24"/>
          <w:highlight w:val="none"/>
          <w:u w:val="single"/>
          <w:lang w:eastAsia="zh-CN"/>
        </w:rPr>
        <w:t>20</w:t>
      </w:r>
      <w:r>
        <w:rPr>
          <w:rFonts w:hint="eastAsia" w:ascii="宋体" w:hAnsi="宋体" w:cs="宋体"/>
          <w:color w:val="000000" w:themeColor="text1"/>
          <w:sz w:val="24"/>
          <w:szCs w:val="24"/>
          <w:highlight w:val="none"/>
          <w:u w:val="single"/>
          <w:lang w:eastAsia="zh-CN"/>
          <w14:textFill>
            <w14:solidFill>
              <w14:schemeClr w14:val="tx1"/>
            </w14:solidFill>
          </w14:textFill>
        </w:rPr>
        <w:t>2</w:t>
      </w:r>
      <w:r>
        <w:rPr>
          <w:rFonts w:hint="eastAsia" w:ascii="宋体" w:hAnsi="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cs="宋体"/>
          <w:color w:val="000000" w:themeColor="text1"/>
          <w:sz w:val="24"/>
          <w:szCs w:val="24"/>
          <w:highlight w:val="none"/>
          <w:u w:val="single"/>
          <w:lang w:eastAsia="zh-CN"/>
          <w14:textFill>
            <w14:solidFill>
              <w14:schemeClr w14:val="tx1"/>
            </w14:solidFill>
          </w14:textFill>
        </w:rPr>
        <w:t>年</w:t>
      </w:r>
      <w:r>
        <w:rPr>
          <w:rFonts w:hint="eastAsia" w:ascii="宋体" w:hAnsi="宋体" w:cs="宋体"/>
          <w:color w:val="000000" w:themeColor="text1"/>
          <w:sz w:val="24"/>
          <w:szCs w:val="24"/>
          <w:highlight w:val="none"/>
          <w:u w:val="single"/>
          <w:lang w:val="en-US" w:eastAsia="zh-CN"/>
          <w14:textFill>
            <w14:solidFill>
              <w14:schemeClr w14:val="tx1"/>
            </w14:solidFill>
          </w14:textFill>
        </w:rPr>
        <w:t>02</w:t>
      </w:r>
      <w:r>
        <w:rPr>
          <w:rFonts w:hint="eastAsia" w:ascii="宋体" w:hAnsi="宋体" w:cs="宋体"/>
          <w:color w:val="000000" w:themeColor="text1"/>
          <w:sz w:val="24"/>
          <w:szCs w:val="24"/>
          <w:highlight w:val="none"/>
          <w:u w:val="single"/>
          <w:lang w:eastAsia="zh-CN"/>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08</w:t>
      </w:r>
      <w:r>
        <w:rPr>
          <w:rFonts w:hint="eastAsia" w:ascii="宋体" w:hAnsi="宋体" w:cs="宋体"/>
          <w:color w:val="000000" w:themeColor="text1"/>
          <w:sz w:val="24"/>
          <w:szCs w:val="24"/>
          <w:highlight w:val="none"/>
          <w:u w:val="single"/>
          <w:lang w:eastAsia="zh-CN"/>
          <w14:textFill>
            <w14:solidFill>
              <w14:schemeClr w14:val="tx1"/>
            </w14:solidFill>
          </w14:textFill>
        </w:rPr>
        <w:t>日</w:t>
      </w:r>
      <w:r>
        <w:rPr>
          <w:rFonts w:hint="eastAsia" w:ascii="宋体" w:hAnsi="宋体" w:cs="宋体"/>
          <w:color w:val="000000" w:themeColor="text1"/>
          <w:sz w:val="24"/>
          <w:szCs w:val="24"/>
          <w:highlight w:val="none"/>
          <w:u w:val="single"/>
          <w:lang w:val="en-US" w:eastAsia="zh-CN"/>
          <w14:textFill>
            <w14:solidFill>
              <w14:schemeClr w14:val="tx1"/>
            </w14:solidFill>
          </w14:textFill>
        </w:rPr>
        <w:t>11</w:t>
      </w:r>
      <w:r>
        <w:rPr>
          <w:rFonts w:hint="eastAsia" w:ascii="宋体" w:hAnsi="宋体" w:cs="宋体"/>
          <w:color w:val="auto"/>
          <w:sz w:val="24"/>
          <w:szCs w:val="24"/>
          <w:highlight w:val="none"/>
          <w:u w:val="single"/>
          <w:lang w:eastAsia="zh-CN"/>
        </w:rPr>
        <w:t>点</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u w:val="single"/>
          <w:lang w:eastAsia="zh-CN"/>
        </w:rPr>
        <w:t>分（北京时间）</w:t>
      </w:r>
      <w:r>
        <w:rPr>
          <w:rFonts w:hint="eastAsia" w:ascii="宋体" w:hAnsi="宋体" w:eastAsia="宋体" w:cs="宋体"/>
          <w:color w:val="auto"/>
          <w:sz w:val="24"/>
          <w:szCs w:val="24"/>
          <w:highlight w:val="none"/>
          <w:u w:val="none"/>
          <w:lang w:eastAsia="zh-CN"/>
        </w:rPr>
        <w:t>前递交</w:t>
      </w:r>
      <w:r>
        <w:rPr>
          <w:rFonts w:hint="eastAsia" w:ascii="宋体" w:hAnsi="宋体" w:eastAsia="宋体" w:cs="宋体"/>
          <w:bCs/>
          <w:color w:val="auto"/>
          <w:sz w:val="24"/>
          <w:szCs w:val="24"/>
          <w:highlight w:val="none"/>
          <w:lang w:val="en-US" w:eastAsia="zh-CN"/>
        </w:rPr>
        <w:t>响应文件</w:t>
      </w:r>
      <w:r>
        <w:rPr>
          <w:rFonts w:hint="eastAsia" w:ascii="宋体" w:hAnsi="宋体" w:eastAsia="宋体" w:cs="宋体"/>
          <w:color w:val="auto"/>
          <w:sz w:val="24"/>
          <w:szCs w:val="24"/>
          <w:highlight w:val="none"/>
          <w:u w:val="none"/>
          <w:lang w:eastAsia="zh-CN"/>
        </w:rPr>
        <w:t>。</w:t>
      </w:r>
    </w:p>
    <w:p w14:paraId="761DB311">
      <w:pPr>
        <w:pStyle w:val="9"/>
        <w:spacing w:before="97" w:line="360" w:lineRule="auto"/>
        <w:ind w:left="96"/>
        <w:rPr>
          <w:rFonts w:hint="eastAsia" w:ascii="宋体" w:hAnsi="宋体" w:eastAsia="宋体" w:cs="宋体"/>
          <w:sz w:val="24"/>
          <w:szCs w:val="24"/>
          <w:highlight w:val="none"/>
        </w:rPr>
      </w:pPr>
      <w:r>
        <w:rPr>
          <w:rFonts w:hint="eastAsia" w:ascii="宋体" w:hAnsi="宋体" w:eastAsia="宋体" w:cs="宋体"/>
          <w:b/>
          <w:bCs/>
          <w:spacing w:val="8"/>
          <w:sz w:val="24"/>
          <w:szCs w:val="24"/>
          <w:highlight w:val="none"/>
        </w:rPr>
        <w:t>一、项目基本情况</w:t>
      </w:r>
    </w:p>
    <w:p w14:paraId="160A3408">
      <w:pPr>
        <w:pStyle w:val="9"/>
        <w:keepNext w:val="0"/>
        <w:keepLines w:val="0"/>
        <w:pageBreakBefore w:val="0"/>
        <w:widowControl w:val="0"/>
        <w:kinsoku/>
        <w:wordWrap w:val="0"/>
        <w:overflowPunct/>
        <w:topLinePunct w:val="0"/>
        <w:autoSpaceDE/>
        <w:autoSpaceDN/>
        <w:bidi w:val="0"/>
        <w:adjustRightInd/>
        <w:snapToGrid/>
        <w:spacing w:before="102" w:line="360" w:lineRule="auto"/>
        <w:ind w:left="573"/>
        <w:textAlignment w:val="auto"/>
        <w:rPr>
          <w:rFonts w:hint="eastAsia" w:ascii="宋体" w:hAnsi="宋体" w:eastAsia="宋体" w:cs="宋体"/>
          <w:sz w:val="24"/>
          <w:szCs w:val="24"/>
          <w:highlight w:val="none"/>
          <w:lang w:eastAsia="zh-CN"/>
        </w:rPr>
      </w:pPr>
      <w:r>
        <w:rPr>
          <w:rFonts w:hint="eastAsia" w:ascii="宋体" w:hAnsi="宋体" w:eastAsia="宋体" w:cs="宋体"/>
          <w:spacing w:val="7"/>
          <w:sz w:val="24"/>
          <w:szCs w:val="24"/>
          <w:highlight w:val="none"/>
        </w:rPr>
        <w:t>项目编号：</w:t>
      </w:r>
      <w:r>
        <w:rPr>
          <w:rFonts w:hint="eastAsia" w:cs="宋体"/>
          <w:spacing w:val="8"/>
          <w:sz w:val="24"/>
          <w:szCs w:val="24"/>
          <w:highlight w:val="none"/>
          <w:lang w:eastAsia="zh-CN"/>
        </w:rPr>
        <w:t xml:space="preserve"> XJHM-(CG)ZB-2025-00</w:t>
      </w:r>
      <w:r>
        <w:rPr>
          <w:rFonts w:hint="eastAsia" w:cs="宋体"/>
          <w:spacing w:val="8"/>
          <w:sz w:val="24"/>
          <w:szCs w:val="24"/>
          <w:highlight w:val="none"/>
          <w:lang w:val="en-US" w:eastAsia="zh-CN"/>
        </w:rPr>
        <w:t>3</w:t>
      </w:r>
      <w:r>
        <w:rPr>
          <w:rFonts w:hint="eastAsia" w:cs="宋体"/>
          <w:spacing w:val="-26"/>
          <w:sz w:val="24"/>
          <w:szCs w:val="24"/>
          <w:highlight w:val="none"/>
          <w:lang w:val="en-US" w:eastAsia="zh-CN"/>
        </w:rPr>
        <w:tab/>
      </w:r>
    </w:p>
    <w:p w14:paraId="5BAF4B5B">
      <w:pPr>
        <w:pStyle w:val="9"/>
        <w:spacing w:before="98" w:line="360" w:lineRule="auto"/>
        <w:ind w:left="570"/>
        <w:rPr>
          <w:rFonts w:hint="eastAsia" w:ascii="宋体" w:hAnsi="宋体" w:eastAsia="宋体" w:cs="宋体"/>
          <w:sz w:val="24"/>
          <w:szCs w:val="24"/>
          <w:highlight w:val="none"/>
          <w:lang w:eastAsia="zh-CN"/>
        </w:rPr>
      </w:pPr>
      <w:r>
        <w:rPr>
          <w:rFonts w:hint="eastAsia" w:ascii="宋体" w:hAnsi="宋体" w:eastAsia="宋体" w:cs="宋体"/>
          <w:spacing w:val="8"/>
          <w:sz w:val="24"/>
          <w:szCs w:val="24"/>
          <w:highlight w:val="none"/>
        </w:rPr>
        <w:t>项目名称：</w:t>
      </w:r>
      <w:r>
        <w:rPr>
          <w:rFonts w:hint="eastAsia" w:ascii="宋体" w:hAnsi="宋体" w:eastAsia="宋体" w:cs="宋体"/>
          <w:spacing w:val="-13"/>
          <w:sz w:val="24"/>
          <w:szCs w:val="24"/>
          <w:highlight w:val="none"/>
        </w:rPr>
        <w:t xml:space="preserve"> 伽师县英买里镇2025年入户路建设项目</w:t>
      </w:r>
    </w:p>
    <w:p w14:paraId="1DDE1FA5">
      <w:pPr>
        <w:pStyle w:val="9"/>
        <w:spacing w:before="102" w:line="360" w:lineRule="auto"/>
        <w:ind w:left="572"/>
        <w:rPr>
          <w:rFonts w:hint="eastAsia" w:ascii="宋体" w:hAnsi="宋体" w:eastAsia="宋体" w:cs="宋体"/>
          <w:spacing w:val="9"/>
          <w:sz w:val="24"/>
          <w:szCs w:val="24"/>
          <w:highlight w:val="none"/>
        </w:rPr>
      </w:pPr>
      <w:r>
        <w:rPr>
          <w:rFonts w:hint="eastAsia" w:ascii="宋体" w:hAnsi="宋体" w:eastAsia="宋体" w:cs="宋体"/>
          <w:spacing w:val="9"/>
          <w:sz w:val="24"/>
          <w:szCs w:val="24"/>
          <w:highlight w:val="none"/>
        </w:rPr>
        <w:t>采购方式：竞争性磋商</w:t>
      </w:r>
    </w:p>
    <w:p w14:paraId="3F43AB03">
      <w:pPr>
        <w:pStyle w:val="9"/>
        <w:spacing w:before="102" w:line="360" w:lineRule="auto"/>
        <w:ind w:left="572"/>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预算金额（元</w:t>
      </w:r>
      <w:r>
        <w:rPr>
          <w:rFonts w:hint="eastAsia" w:ascii="宋体" w:hAnsi="宋体" w:eastAsia="宋体" w:cs="宋体"/>
          <w:spacing w:val="3"/>
          <w:sz w:val="24"/>
          <w:szCs w:val="24"/>
          <w:highlight w:val="none"/>
        </w:rPr>
        <w:t>）：</w:t>
      </w:r>
      <w:r>
        <w:rPr>
          <w:rFonts w:hint="eastAsia" w:cs="宋体"/>
          <w:spacing w:val="3"/>
          <w:sz w:val="24"/>
          <w:szCs w:val="24"/>
          <w:highlight w:val="none"/>
          <w:lang w:val="en-US" w:eastAsia="zh-CN"/>
        </w:rPr>
        <w:t>3526354.00</w:t>
      </w:r>
      <w:r>
        <w:rPr>
          <w:rFonts w:hint="eastAsia" w:ascii="宋体" w:hAnsi="宋体" w:eastAsia="宋体" w:cs="宋体"/>
          <w:spacing w:val="2"/>
          <w:sz w:val="24"/>
          <w:szCs w:val="24"/>
          <w:highlight w:val="none"/>
        </w:rPr>
        <w:t>元</w:t>
      </w:r>
      <w:r>
        <w:rPr>
          <w:rFonts w:hint="eastAsia" w:ascii="宋体" w:hAnsi="宋体" w:eastAsia="宋体" w:cs="宋体"/>
          <w:sz w:val="24"/>
          <w:szCs w:val="24"/>
          <w:highlight w:val="none"/>
        </w:rPr>
        <w:t xml:space="preserve"> </w:t>
      </w:r>
    </w:p>
    <w:p w14:paraId="28FEC405">
      <w:pPr>
        <w:pStyle w:val="9"/>
        <w:spacing w:before="102" w:line="360" w:lineRule="auto"/>
        <w:ind w:left="572"/>
        <w:rPr>
          <w:rFonts w:hint="eastAsia" w:ascii="宋体" w:hAnsi="宋体" w:eastAsia="宋体" w:cs="宋体"/>
          <w:sz w:val="24"/>
          <w:szCs w:val="24"/>
          <w:highlight w:val="yellow"/>
        </w:rPr>
      </w:pPr>
      <w:r>
        <w:rPr>
          <w:rFonts w:hint="eastAsia" w:ascii="宋体" w:hAnsi="宋体" w:eastAsia="宋体" w:cs="宋体"/>
          <w:spacing w:val="2"/>
          <w:sz w:val="24"/>
          <w:szCs w:val="24"/>
          <w:highlight w:val="none"/>
        </w:rPr>
        <w:t>最高</w:t>
      </w:r>
      <w:r>
        <w:rPr>
          <w:rFonts w:hint="eastAsia" w:cs="宋体"/>
          <w:spacing w:val="2"/>
          <w:sz w:val="24"/>
          <w:szCs w:val="24"/>
          <w:highlight w:val="none"/>
          <w:lang w:eastAsia="zh-CN"/>
        </w:rPr>
        <w:t>限价</w:t>
      </w:r>
      <w:r>
        <w:rPr>
          <w:rFonts w:hint="eastAsia" w:ascii="宋体" w:hAnsi="宋体" w:eastAsia="宋体" w:cs="宋体"/>
          <w:spacing w:val="2"/>
          <w:sz w:val="24"/>
          <w:szCs w:val="24"/>
          <w:highlight w:val="none"/>
        </w:rPr>
        <w:t>（元</w:t>
      </w:r>
      <w:r>
        <w:rPr>
          <w:rFonts w:hint="eastAsia" w:ascii="宋体" w:hAnsi="宋体" w:eastAsia="宋体" w:cs="宋体"/>
          <w:spacing w:val="3"/>
          <w:sz w:val="24"/>
          <w:szCs w:val="24"/>
          <w:highlight w:val="none"/>
        </w:rPr>
        <w:t>）：</w:t>
      </w:r>
      <w:r>
        <w:rPr>
          <w:rFonts w:hint="eastAsia" w:cs="宋体"/>
          <w:spacing w:val="3"/>
          <w:sz w:val="24"/>
          <w:szCs w:val="24"/>
          <w:highlight w:val="none"/>
          <w:lang w:val="en-US" w:eastAsia="zh-CN"/>
        </w:rPr>
        <w:t>3526354.00</w:t>
      </w:r>
      <w:r>
        <w:rPr>
          <w:rFonts w:hint="eastAsia" w:ascii="宋体" w:hAnsi="宋体" w:eastAsia="宋体" w:cs="宋体"/>
          <w:spacing w:val="2"/>
          <w:sz w:val="24"/>
          <w:szCs w:val="24"/>
          <w:highlight w:val="none"/>
        </w:rPr>
        <w:t>元</w:t>
      </w:r>
    </w:p>
    <w:p w14:paraId="375F5BA2">
      <w:pPr>
        <w:pStyle w:val="9"/>
        <w:spacing w:before="13" w:line="360" w:lineRule="auto"/>
        <w:ind w:left="572"/>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采购需求：</w:t>
      </w:r>
      <w:r>
        <w:rPr>
          <w:rFonts w:hint="eastAsia" w:cs="宋体"/>
          <w:spacing w:val="8"/>
          <w:sz w:val="24"/>
          <w:szCs w:val="24"/>
          <w:highlight w:val="none"/>
          <w:lang w:eastAsia="zh-CN"/>
        </w:rPr>
        <w:t>新建入户路 32250平方米，工程量清单及施工图设计图纸内全部工作内容。</w:t>
      </w:r>
      <w:r>
        <w:rPr>
          <w:rFonts w:hint="eastAsia" w:ascii="宋体" w:hAnsi="宋体" w:eastAsia="宋体" w:cs="宋体"/>
          <w:spacing w:val="8"/>
          <w:sz w:val="24"/>
          <w:szCs w:val="24"/>
          <w:highlight w:val="none"/>
        </w:rPr>
        <w:t>（详见工程量清单</w:t>
      </w:r>
      <w:r>
        <w:rPr>
          <w:rFonts w:hint="eastAsia" w:cs="宋体"/>
          <w:spacing w:val="8"/>
          <w:sz w:val="24"/>
          <w:szCs w:val="24"/>
          <w:highlight w:val="none"/>
          <w:lang w:eastAsia="zh-CN"/>
        </w:rPr>
        <w:t>及图纸</w:t>
      </w:r>
      <w:r>
        <w:rPr>
          <w:rFonts w:hint="eastAsia" w:ascii="宋体" w:hAnsi="宋体" w:eastAsia="宋体" w:cs="宋体"/>
          <w:spacing w:val="8"/>
          <w:sz w:val="24"/>
          <w:szCs w:val="24"/>
          <w:highlight w:val="none"/>
        </w:rPr>
        <w:t>）</w:t>
      </w:r>
    </w:p>
    <w:p w14:paraId="0D0C9750">
      <w:pPr>
        <w:pStyle w:val="9"/>
        <w:spacing w:before="13" w:line="360" w:lineRule="auto"/>
        <w:ind w:left="572"/>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合同履约期限：</w:t>
      </w:r>
      <w:r>
        <w:rPr>
          <w:rFonts w:hint="eastAsia" w:cs="宋体"/>
          <w:spacing w:val="3"/>
          <w:sz w:val="24"/>
          <w:szCs w:val="24"/>
          <w:highlight w:val="none"/>
          <w:lang w:val="en-US" w:eastAsia="zh-CN"/>
        </w:rPr>
        <w:t>90</w:t>
      </w:r>
      <w:r>
        <w:rPr>
          <w:rFonts w:hint="eastAsia" w:ascii="宋体" w:hAnsi="宋体" w:eastAsia="宋体" w:cs="宋体"/>
          <w:spacing w:val="3"/>
          <w:sz w:val="24"/>
          <w:szCs w:val="24"/>
          <w:highlight w:val="none"/>
        </w:rPr>
        <w:t>日历天。（具体</w:t>
      </w:r>
      <w:r>
        <w:rPr>
          <w:rFonts w:hint="eastAsia" w:cs="宋体"/>
          <w:spacing w:val="3"/>
          <w:sz w:val="24"/>
          <w:szCs w:val="24"/>
          <w:highlight w:val="none"/>
          <w:lang w:eastAsia="zh-CN"/>
        </w:rPr>
        <w:t>时间</w:t>
      </w:r>
      <w:r>
        <w:rPr>
          <w:rFonts w:hint="eastAsia" w:ascii="宋体" w:hAnsi="宋体" w:eastAsia="宋体" w:cs="宋体"/>
          <w:spacing w:val="3"/>
          <w:sz w:val="24"/>
          <w:szCs w:val="24"/>
          <w:highlight w:val="none"/>
        </w:rPr>
        <w:t>以签订合同为准）</w:t>
      </w:r>
      <w:r>
        <w:rPr>
          <w:rFonts w:hint="eastAsia" w:ascii="宋体" w:hAnsi="宋体" w:eastAsia="宋体" w:cs="宋体"/>
          <w:sz w:val="24"/>
          <w:szCs w:val="24"/>
          <w:highlight w:val="none"/>
        </w:rPr>
        <w:t xml:space="preserve"> </w:t>
      </w:r>
    </w:p>
    <w:p w14:paraId="35BF69D6">
      <w:pPr>
        <w:pStyle w:val="9"/>
        <w:spacing w:before="13" w:line="360" w:lineRule="auto"/>
        <w:ind w:left="572"/>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本项目（否）接受联合体投标。</w:t>
      </w:r>
    </w:p>
    <w:p w14:paraId="1C81D360">
      <w:pPr>
        <w:pStyle w:val="9"/>
        <w:spacing w:before="18" w:line="360" w:lineRule="auto"/>
        <w:ind w:left="96"/>
        <w:rPr>
          <w:rFonts w:hint="eastAsia" w:ascii="宋体" w:hAnsi="宋体" w:eastAsia="宋体" w:cs="宋体"/>
          <w:sz w:val="24"/>
          <w:szCs w:val="24"/>
          <w:highlight w:val="none"/>
        </w:rPr>
      </w:pPr>
      <w:r>
        <w:rPr>
          <w:rFonts w:hint="eastAsia" w:ascii="宋体" w:hAnsi="宋体" w:eastAsia="宋体" w:cs="宋体"/>
          <w:b/>
          <w:bCs/>
          <w:spacing w:val="6"/>
          <w:sz w:val="24"/>
          <w:szCs w:val="24"/>
          <w:highlight w:val="none"/>
        </w:rPr>
        <w:t>二、</w:t>
      </w:r>
      <w:r>
        <w:rPr>
          <w:rFonts w:hint="eastAsia" w:ascii="宋体" w:hAnsi="宋体" w:eastAsia="宋体" w:cs="宋体"/>
          <w:b/>
          <w:bCs/>
          <w:spacing w:val="-37"/>
          <w:sz w:val="24"/>
          <w:szCs w:val="24"/>
          <w:highlight w:val="none"/>
        </w:rPr>
        <w:t xml:space="preserve"> </w:t>
      </w:r>
      <w:r>
        <w:rPr>
          <w:rFonts w:hint="eastAsia" w:ascii="宋体" w:hAnsi="宋体" w:eastAsia="宋体" w:cs="宋体"/>
          <w:b/>
          <w:bCs/>
          <w:spacing w:val="6"/>
          <w:sz w:val="24"/>
          <w:szCs w:val="24"/>
          <w:highlight w:val="none"/>
        </w:rPr>
        <w:t>申请人的资格要求</w:t>
      </w:r>
    </w:p>
    <w:p w14:paraId="43214727">
      <w:pPr>
        <w:pStyle w:val="9"/>
        <w:spacing w:before="99" w:line="360" w:lineRule="auto"/>
        <w:ind w:left="594"/>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1.满足《中华人民共和国政府采购法》第二十二条规定；</w:t>
      </w:r>
    </w:p>
    <w:p w14:paraId="5D7C7CDD">
      <w:pPr>
        <w:pStyle w:val="9"/>
        <w:spacing w:before="101" w:line="360" w:lineRule="auto"/>
        <w:ind w:left="583"/>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2.落实政府采购政策需满足的资格要求：供应商为中小企业；</w:t>
      </w:r>
    </w:p>
    <w:p w14:paraId="51334F2E">
      <w:pPr>
        <w:pStyle w:val="9"/>
        <w:spacing w:before="54" w:line="360" w:lineRule="auto"/>
        <w:ind w:left="90" w:right="8" w:firstLine="495"/>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3.本项目的特定资格要求：</w:t>
      </w:r>
    </w:p>
    <w:p w14:paraId="0245D3A3">
      <w:pPr>
        <w:pStyle w:val="9"/>
        <w:spacing w:before="54" w:line="360" w:lineRule="auto"/>
        <w:ind w:left="90" w:right="8" w:firstLine="495"/>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（1）具有有效的独立法定代表人营业执照；</w:t>
      </w:r>
    </w:p>
    <w:p w14:paraId="55571449">
      <w:pPr>
        <w:pStyle w:val="9"/>
        <w:spacing w:before="54" w:line="360" w:lineRule="auto"/>
        <w:ind w:left="90" w:right="8" w:firstLine="495"/>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w:t>
      </w:r>
      <w:r>
        <w:rPr>
          <w:rFonts w:hint="eastAsia" w:cs="宋体"/>
          <w:color w:val="auto"/>
          <w:spacing w:val="-4"/>
          <w:sz w:val="24"/>
          <w:szCs w:val="24"/>
          <w:highlight w:val="none"/>
          <w:lang w:eastAsia="zh-CN"/>
        </w:rPr>
        <w:t>法定代表人需提供法定代表人身份证明扫描件加盖公章，被授权委托人需提供法人授权委托书扫描件加盖公章、法人身份证复印件及被授权委托人身份证扫描件加盖公章，被授权委托人必须是本单位正式员工</w:t>
      </w:r>
      <w:r>
        <w:rPr>
          <w:rFonts w:hint="eastAsia" w:ascii="宋体" w:hAnsi="宋体" w:eastAsia="宋体" w:cs="宋体"/>
          <w:color w:val="auto"/>
          <w:spacing w:val="-4"/>
          <w:sz w:val="24"/>
          <w:szCs w:val="24"/>
          <w:highlight w:val="none"/>
        </w:rPr>
        <w:t>；</w:t>
      </w:r>
    </w:p>
    <w:p w14:paraId="5716F211">
      <w:pPr>
        <w:pStyle w:val="9"/>
        <w:spacing w:before="54" w:line="360" w:lineRule="auto"/>
        <w:ind w:left="90" w:right="8" w:firstLine="495"/>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（3）近两年任意一年的财务审计报告，包括资产负债表、现金流量表、利润表等（新成立公司需提供银行资信证明）；</w:t>
      </w:r>
    </w:p>
    <w:p w14:paraId="4D7E1949">
      <w:pPr>
        <w:pStyle w:val="9"/>
        <w:spacing w:before="54" w:line="360" w:lineRule="auto"/>
        <w:ind w:left="90" w:right="8" w:firstLine="495"/>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（4）</w:t>
      </w:r>
      <w:r>
        <w:rPr>
          <w:rFonts w:hint="eastAsia" w:cs="宋体"/>
          <w:color w:val="auto"/>
          <w:spacing w:val="-4"/>
          <w:sz w:val="24"/>
          <w:szCs w:val="24"/>
          <w:highlight w:val="none"/>
          <w:lang w:eastAsia="zh-CN"/>
        </w:rPr>
        <w:t>提供本单位缴纳的近六个月内任意一个月社保缴纳证明及明细</w:t>
      </w:r>
      <w:r>
        <w:rPr>
          <w:rFonts w:hint="eastAsia" w:ascii="宋体" w:hAnsi="宋体" w:eastAsia="宋体" w:cs="宋体"/>
          <w:color w:val="auto"/>
          <w:spacing w:val="-4"/>
          <w:sz w:val="24"/>
          <w:szCs w:val="24"/>
          <w:highlight w:val="none"/>
        </w:rPr>
        <w:t>；</w:t>
      </w:r>
    </w:p>
    <w:p w14:paraId="33BA2848">
      <w:pPr>
        <w:pStyle w:val="9"/>
        <w:spacing w:before="54" w:line="360" w:lineRule="auto"/>
        <w:ind w:left="90" w:right="8" w:firstLine="495"/>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（5）提供税务部门出具的近六个月任意一个月的完税证明；</w:t>
      </w:r>
    </w:p>
    <w:p w14:paraId="4FF1D11B">
      <w:pPr>
        <w:pStyle w:val="9"/>
        <w:spacing w:before="54" w:line="360" w:lineRule="auto"/>
        <w:ind w:left="90" w:right="8" w:firstLine="495"/>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（6）</w:t>
      </w:r>
      <w:r>
        <w:rPr>
          <w:rFonts w:hint="eastAsia" w:cs="宋体"/>
          <w:color w:val="auto"/>
          <w:spacing w:val="-4"/>
          <w:sz w:val="24"/>
          <w:szCs w:val="24"/>
          <w:highlight w:val="none"/>
          <w:lang w:eastAsia="zh-CN"/>
        </w:rPr>
        <w:t>供应商须具备[公路工程施工总承包叁级]（含）以上资质，且具有效的安全生产许可证；项目负责人须具备公路工程专业二级（含）以上注册建造师执业资格, 具备有效的安全生产考核合格证书，近 3 个月有效的社保证明，且未担任其他在施建设项目的项目负责人</w:t>
      </w:r>
      <w:r>
        <w:rPr>
          <w:rFonts w:hint="eastAsia" w:ascii="宋体" w:hAnsi="宋体" w:eastAsia="宋体" w:cs="宋体"/>
          <w:color w:val="auto"/>
          <w:spacing w:val="-4"/>
          <w:sz w:val="24"/>
          <w:szCs w:val="24"/>
          <w:highlight w:val="none"/>
        </w:rPr>
        <w:t>。</w:t>
      </w:r>
    </w:p>
    <w:p w14:paraId="416A16B2">
      <w:pPr>
        <w:pStyle w:val="9"/>
        <w:keepNext w:val="0"/>
        <w:keepLines w:val="0"/>
        <w:pageBreakBefore w:val="0"/>
        <w:widowControl/>
        <w:kinsoku/>
        <w:wordWrap w:val="0"/>
        <w:overflowPunct/>
        <w:topLinePunct w:val="0"/>
        <w:autoSpaceDE/>
        <w:autoSpaceDN/>
        <w:bidi w:val="0"/>
        <w:adjustRightInd w:val="0"/>
        <w:snapToGrid w:val="0"/>
        <w:spacing w:before="54" w:line="360" w:lineRule="auto"/>
        <w:ind w:left="91" w:right="6" w:firstLine="493"/>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（7）供应商在“信用中国 ”网站（www.creditchina.gov.cn）中查询“严重失信、经营异常”；“中国政府采购网”网站（http://www.ccgp.gov.cn/search/cr/）中查询“严重违法失信行为”；“国家企业信用信息公示系统”（http://www.gsxt.gov.cn）中查询“严重违法失信名单、经营异常名录”，尚在处罚期内的将拒绝其参加本次招标活动（请各供应商提供以上网站完整查询结果，并加盖本单位公章）；</w:t>
      </w:r>
    </w:p>
    <w:p w14:paraId="7FBEF951">
      <w:pPr>
        <w:pStyle w:val="9"/>
        <w:spacing w:before="54" w:line="360" w:lineRule="auto"/>
        <w:ind w:left="90" w:right="8" w:firstLine="495"/>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（8）参与政府采购活动前3年内未被列入失信、重大税收违法案件、财政部门禁止参加政府采购活动的承诺书；</w:t>
      </w:r>
    </w:p>
    <w:p w14:paraId="7E80D8AA">
      <w:pPr>
        <w:pStyle w:val="9"/>
        <w:spacing w:before="54" w:line="360" w:lineRule="auto"/>
        <w:ind w:left="90" w:right="8" w:firstLine="495"/>
        <w:rPr>
          <w:rFonts w:hint="eastAsia" w:ascii="宋体" w:hAnsi="宋体" w:eastAsia="宋体" w:cs="宋体"/>
          <w:color w:val="auto"/>
          <w:spacing w:val="6"/>
          <w:sz w:val="24"/>
          <w:szCs w:val="24"/>
          <w:highlight w:val="none"/>
        </w:rPr>
      </w:pPr>
      <w:r>
        <w:rPr>
          <w:rFonts w:hint="eastAsia" w:ascii="宋体" w:hAnsi="宋体" w:eastAsia="宋体" w:cs="宋体"/>
          <w:color w:val="auto"/>
          <w:spacing w:val="-4"/>
          <w:sz w:val="24"/>
          <w:szCs w:val="24"/>
          <w:highlight w:val="none"/>
        </w:rPr>
        <w:t>（9）提供针对本次项目《反商业贿赂承诺书》</w:t>
      </w:r>
      <w:r>
        <w:rPr>
          <w:rFonts w:hint="eastAsia" w:ascii="宋体" w:hAnsi="宋体" w:eastAsia="宋体" w:cs="宋体"/>
          <w:color w:val="auto"/>
          <w:spacing w:val="6"/>
          <w:sz w:val="24"/>
          <w:szCs w:val="24"/>
          <w:highlight w:val="none"/>
        </w:rPr>
        <w:t>。</w:t>
      </w:r>
    </w:p>
    <w:p w14:paraId="401065FD">
      <w:pPr>
        <w:ind w:firstLine="504" w:firstLineChars="200"/>
        <w:rPr>
          <w:rFonts w:hint="default" w:eastAsia="宋体"/>
          <w:lang w:val="en-US" w:eastAsia="zh-CN"/>
        </w:rPr>
      </w:pPr>
      <w:r>
        <w:rPr>
          <w:rFonts w:hint="eastAsia" w:ascii="宋体" w:hAnsi="宋体" w:cs="宋体"/>
          <w:color w:val="auto"/>
          <w:spacing w:val="6"/>
          <w:sz w:val="24"/>
          <w:szCs w:val="24"/>
          <w:highlight w:val="none"/>
          <w:lang w:eastAsia="zh-CN"/>
        </w:rPr>
        <w:t>（</w:t>
      </w:r>
      <w:r>
        <w:rPr>
          <w:rFonts w:hint="eastAsia" w:ascii="宋体" w:hAnsi="宋体" w:cs="宋体"/>
          <w:color w:val="auto"/>
          <w:spacing w:val="6"/>
          <w:sz w:val="24"/>
          <w:szCs w:val="24"/>
          <w:highlight w:val="none"/>
          <w:lang w:val="en-US" w:eastAsia="zh-CN"/>
        </w:rPr>
        <w:t>10</w:t>
      </w:r>
      <w:r>
        <w:rPr>
          <w:rFonts w:hint="eastAsia" w:ascii="宋体" w:hAnsi="宋体" w:cs="宋体"/>
          <w:color w:val="auto"/>
          <w:spacing w:val="6"/>
          <w:sz w:val="24"/>
          <w:szCs w:val="24"/>
          <w:highlight w:val="none"/>
          <w:lang w:eastAsia="zh-CN"/>
        </w:rPr>
        <w:t>）</w:t>
      </w:r>
      <w:r>
        <w:rPr>
          <w:rFonts w:hint="eastAsia" w:ascii="宋体" w:hAnsi="宋体" w:cs="宋体"/>
          <w:color w:val="auto"/>
          <w:spacing w:val="6"/>
          <w:sz w:val="24"/>
          <w:szCs w:val="24"/>
          <w:highlight w:val="none"/>
          <w:lang w:val="en-US" w:eastAsia="zh-CN"/>
        </w:rPr>
        <w:t>中小企业声明函。</w:t>
      </w:r>
    </w:p>
    <w:p w14:paraId="57E33B58">
      <w:pPr>
        <w:pStyle w:val="9"/>
        <w:spacing w:before="56" w:line="360" w:lineRule="auto"/>
        <w:ind w:left="96"/>
        <w:rPr>
          <w:rFonts w:hint="eastAsia" w:ascii="宋体" w:hAnsi="宋体" w:eastAsia="宋体" w:cs="宋体"/>
          <w:sz w:val="24"/>
          <w:szCs w:val="24"/>
          <w:highlight w:val="none"/>
        </w:rPr>
      </w:pPr>
      <w:r>
        <w:rPr>
          <w:rFonts w:hint="eastAsia" w:ascii="宋体" w:hAnsi="宋体" w:eastAsia="宋体" w:cs="宋体"/>
          <w:b/>
          <w:bCs/>
          <w:spacing w:val="9"/>
          <w:sz w:val="24"/>
          <w:szCs w:val="24"/>
          <w:highlight w:val="none"/>
        </w:rPr>
        <w:t>三、获取采购文件</w:t>
      </w:r>
    </w:p>
    <w:p w14:paraId="61D7A0EA">
      <w:pPr>
        <w:pStyle w:val="9"/>
        <w:spacing w:before="100" w:line="360" w:lineRule="auto"/>
        <w:ind w:left="94" w:right="90" w:firstLine="487"/>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时间</w:t>
      </w:r>
      <w:r>
        <w:rPr>
          <w:rFonts w:hint="eastAsia" w:ascii="宋体" w:hAnsi="宋体" w:eastAsia="宋体" w:cs="宋体"/>
          <w:spacing w:val="-16"/>
          <w:sz w:val="24"/>
          <w:szCs w:val="24"/>
          <w:highlight w:val="none"/>
        </w:rPr>
        <w:t xml:space="preserve"> </w:t>
      </w:r>
      <w:r>
        <w:rPr>
          <w:rFonts w:hint="eastAsia" w:ascii="宋体" w:hAnsi="宋体" w:eastAsia="宋体" w:cs="宋体"/>
          <w:spacing w:val="-1"/>
          <w:sz w:val="24"/>
          <w:szCs w:val="24"/>
          <w:highlight w:val="none"/>
        </w:rPr>
        <w:t>：202</w:t>
      </w:r>
      <w:r>
        <w:rPr>
          <w:rFonts w:hint="eastAsia" w:cs="宋体"/>
          <w:spacing w:val="-1"/>
          <w:sz w:val="24"/>
          <w:szCs w:val="24"/>
          <w:highlight w:val="none"/>
          <w:lang w:val="en-US" w:eastAsia="zh-CN"/>
        </w:rPr>
        <w:t>5</w:t>
      </w:r>
      <w:r>
        <w:rPr>
          <w:rFonts w:hint="eastAsia" w:ascii="宋体" w:hAnsi="宋体" w:eastAsia="宋体" w:cs="宋体"/>
          <w:spacing w:val="-1"/>
          <w:sz w:val="24"/>
          <w:szCs w:val="24"/>
          <w:highlight w:val="none"/>
        </w:rPr>
        <w:t>年</w:t>
      </w:r>
      <w:r>
        <w:rPr>
          <w:rFonts w:hint="eastAsia" w:cs="宋体"/>
          <w:spacing w:val="-1"/>
          <w:sz w:val="24"/>
          <w:szCs w:val="24"/>
          <w:highlight w:val="none"/>
          <w:lang w:val="en-US" w:eastAsia="zh-CN"/>
        </w:rPr>
        <w:t>1</w:t>
      </w:r>
      <w:r>
        <w:rPr>
          <w:rFonts w:hint="eastAsia" w:ascii="宋体" w:hAnsi="宋体" w:eastAsia="宋体" w:cs="宋体"/>
          <w:spacing w:val="-1"/>
          <w:sz w:val="24"/>
          <w:szCs w:val="24"/>
          <w:highlight w:val="none"/>
        </w:rPr>
        <w:t>月</w:t>
      </w:r>
      <w:r>
        <w:rPr>
          <w:rFonts w:hint="eastAsia" w:cs="宋体"/>
          <w:spacing w:val="-1"/>
          <w:sz w:val="24"/>
          <w:szCs w:val="24"/>
          <w:highlight w:val="none"/>
          <w:lang w:val="en-US" w:eastAsia="zh-CN"/>
        </w:rPr>
        <w:t>24</w:t>
      </w:r>
      <w:r>
        <w:rPr>
          <w:rFonts w:hint="eastAsia" w:ascii="宋体" w:hAnsi="宋体" w:eastAsia="宋体" w:cs="宋体"/>
          <w:spacing w:val="-1"/>
          <w:sz w:val="24"/>
          <w:szCs w:val="24"/>
          <w:highlight w:val="none"/>
        </w:rPr>
        <w:t>日至202</w:t>
      </w:r>
      <w:r>
        <w:rPr>
          <w:rFonts w:hint="eastAsia" w:cs="宋体"/>
          <w:spacing w:val="-1"/>
          <w:sz w:val="24"/>
          <w:szCs w:val="24"/>
          <w:highlight w:val="none"/>
          <w:lang w:val="en-US" w:eastAsia="zh-CN"/>
        </w:rPr>
        <w:t>5</w:t>
      </w:r>
      <w:r>
        <w:rPr>
          <w:rFonts w:hint="eastAsia" w:ascii="宋体" w:hAnsi="宋体" w:eastAsia="宋体" w:cs="宋体"/>
          <w:spacing w:val="-1"/>
          <w:sz w:val="24"/>
          <w:szCs w:val="24"/>
          <w:highlight w:val="none"/>
        </w:rPr>
        <w:t>年</w:t>
      </w:r>
      <w:r>
        <w:rPr>
          <w:rFonts w:hint="eastAsia" w:cs="宋体"/>
          <w:spacing w:val="-1"/>
          <w:sz w:val="24"/>
          <w:szCs w:val="24"/>
          <w:highlight w:val="none"/>
          <w:lang w:val="en-US" w:eastAsia="zh-CN"/>
        </w:rPr>
        <w:t xml:space="preserve"> 2</w:t>
      </w:r>
      <w:r>
        <w:rPr>
          <w:rFonts w:hint="eastAsia" w:ascii="宋体" w:hAnsi="宋体" w:eastAsia="宋体" w:cs="宋体"/>
          <w:spacing w:val="-1"/>
          <w:sz w:val="24"/>
          <w:szCs w:val="24"/>
          <w:highlight w:val="none"/>
        </w:rPr>
        <w:t>月</w:t>
      </w:r>
      <w:r>
        <w:rPr>
          <w:rFonts w:hint="eastAsia" w:cs="宋体"/>
          <w:spacing w:val="-1"/>
          <w:sz w:val="24"/>
          <w:szCs w:val="24"/>
          <w:highlight w:val="none"/>
          <w:lang w:val="en-US" w:eastAsia="zh-CN"/>
        </w:rPr>
        <w:t>7</w:t>
      </w:r>
      <w:r>
        <w:rPr>
          <w:rFonts w:hint="eastAsia" w:ascii="宋体" w:hAnsi="宋体" w:eastAsia="宋体" w:cs="宋体"/>
          <w:spacing w:val="-1"/>
          <w:sz w:val="24"/>
          <w:szCs w:val="24"/>
          <w:highlight w:val="none"/>
        </w:rPr>
        <w:t>日（上午</w:t>
      </w:r>
      <w:r>
        <w:rPr>
          <w:rFonts w:hint="eastAsia" w:cs="宋体"/>
          <w:spacing w:val="-1"/>
          <w:sz w:val="24"/>
          <w:szCs w:val="24"/>
          <w:highlight w:val="none"/>
          <w:lang w:val="en-US" w:eastAsia="zh-CN"/>
        </w:rPr>
        <w:t>00</w:t>
      </w:r>
      <w:r>
        <w:rPr>
          <w:rFonts w:hint="eastAsia" w:ascii="宋体" w:hAnsi="宋体" w:eastAsia="宋体" w:cs="宋体"/>
          <w:spacing w:val="-1"/>
          <w:sz w:val="24"/>
          <w:szCs w:val="24"/>
          <w:highlight w:val="none"/>
        </w:rPr>
        <w:t>:00-1</w:t>
      </w:r>
      <w:r>
        <w:rPr>
          <w:rFonts w:hint="eastAsia" w:cs="宋体"/>
          <w:spacing w:val="-1"/>
          <w:sz w:val="24"/>
          <w:szCs w:val="24"/>
          <w:highlight w:val="none"/>
          <w:lang w:val="en-US" w:eastAsia="zh-CN"/>
        </w:rPr>
        <w:t>2</w:t>
      </w:r>
      <w:r>
        <w:rPr>
          <w:rFonts w:hint="eastAsia" w:ascii="宋体" w:hAnsi="宋体" w:eastAsia="宋体" w:cs="宋体"/>
          <w:spacing w:val="-1"/>
          <w:sz w:val="24"/>
          <w:szCs w:val="24"/>
          <w:highlight w:val="none"/>
        </w:rPr>
        <w:t>:00，下午</w:t>
      </w:r>
      <w:r>
        <w:rPr>
          <w:rFonts w:hint="eastAsia" w:cs="宋体"/>
          <w:spacing w:val="-1"/>
          <w:sz w:val="24"/>
          <w:szCs w:val="24"/>
          <w:highlight w:val="none"/>
          <w:lang w:val="en-US" w:eastAsia="zh-CN"/>
        </w:rPr>
        <w:t>12</w:t>
      </w:r>
      <w:r>
        <w:rPr>
          <w:rFonts w:hint="eastAsia" w:ascii="宋体" w:hAnsi="宋体" w:eastAsia="宋体" w:cs="宋体"/>
          <w:spacing w:val="-1"/>
          <w:sz w:val="24"/>
          <w:szCs w:val="24"/>
          <w:highlight w:val="none"/>
        </w:rPr>
        <w:t>:00-2</w:t>
      </w:r>
      <w:r>
        <w:rPr>
          <w:rFonts w:hint="eastAsia" w:cs="宋体"/>
          <w:spacing w:val="-1"/>
          <w:sz w:val="24"/>
          <w:szCs w:val="24"/>
          <w:highlight w:val="none"/>
          <w:lang w:val="en-US" w:eastAsia="zh-CN"/>
        </w:rPr>
        <w:t>3</w:t>
      </w:r>
      <w:r>
        <w:rPr>
          <w:rFonts w:hint="eastAsia" w:ascii="宋体" w:hAnsi="宋体" w:eastAsia="宋体" w:cs="宋体"/>
          <w:spacing w:val="-1"/>
          <w:sz w:val="24"/>
          <w:szCs w:val="24"/>
          <w:highlight w:val="none"/>
        </w:rPr>
        <w:t>:</w:t>
      </w:r>
      <w:r>
        <w:rPr>
          <w:rFonts w:hint="eastAsia" w:cs="宋体"/>
          <w:spacing w:val="-1"/>
          <w:sz w:val="24"/>
          <w:szCs w:val="24"/>
          <w:highlight w:val="none"/>
          <w:lang w:val="en-US" w:eastAsia="zh-CN"/>
        </w:rPr>
        <w:t>59</w:t>
      </w:r>
      <w:r>
        <w:rPr>
          <w:rFonts w:hint="eastAsia" w:ascii="宋体" w:hAnsi="宋体" w:eastAsia="宋体" w:cs="宋体"/>
          <w:spacing w:val="-1"/>
          <w:sz w:val="24"/>
          <w:szCs w:val="24"/>
          <w:highlight w:val="none"/>
        </w:rPr>
        <w:t>）</w:t>
      </w:r>
    </w:p>
    <w:p w14:paraId="6F8AC2E4">
      <w:pPr>
        <w:pStyle w:val="9"/>
        <w:spacing w:before="1" w:line="360" w:lineRule="auto"/>
        <w:ind w:left="570"/>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地点：</w:t>
      </w:r>
      <w:r>
        <w:rPr>
          <w:rFonts w:hint="eastAsia" w:ascii="宋体" w:hAnsi="宋体" w:eastAsia="宋体" w:cs="宋体"/>
          <w:spacing w:val="-31"/>
          <w:sz w:val="24"/>
          <w:szCs w:val="24"/>
          <w:highlight w:val="none"/>
        </w:rPr>
        <w:t xml:space="preserve"> </w:t>
      </w:r>
      <w:r>
        <w:rPr>
          <w:rFonts w:hint="eastAsia" w:ascii="宋体" w:hAnsi="宋体" w:eastAsia="宋体" w:cs="宋体"/>
          <w:spacing w:val="5"/>
          <w:sz w:val="24"/>
          <w:szCs w:val="24"/>
          <w:highlight w:val="none"/>
        </w:rPr>
        <w:t>政采云平台</w:t>
      </w:r>
    </w:p>
    <w:p w14:paraId="7E671AA3">
      <w:pPr>
        <w:pStyle w:val="9"/>
        <w:spacing w:before="56" w:line="360" w:lineRule="auto"/>
        <w:ind w:left="124" w:right="89" w:firstLine="446"/>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 xml:space="preserve">方式：供应商登录政采云平台 </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"https://www.zcygov.cn/"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https</w:t>
      </w:r>
      <w:r>
        <w:rPr>
          <w:rFonts w:hint="eastAsia" w:ascii="宋体" w:hAnsi="宋体" w:eastAsia="宋体" w:cs="宋体"/>
          <w:spacing w:val="4"/>
          <w:sz w:val="24"/>
          <w:szCs w:val="24"/>
          <w:highlight w:val="none"/>
        </w:rPr>
        <w:t>://</w:t>
      </w:r>
      <w:r>
        <w:rPr>
          <w:rFonts w:hint="eastAsia" w:ascii="宋体" w:hAnsi="宋体" w:eastAsia="宋体" w:cs="宋体"/>
          <w:sz w:val="24"/>
          <w:szCs w:val="24"/>
          <w:highlight w:val="none"/>
        </w:rPr>
        <w:t>www</w:t>
      </w:r>
      <w:r>
        <w:rPr>
          <w:rFonts w:hint="eastAsia" w:ascii="宋体" w:hAnsi="宋体" w:eastAsia="宋体" w:cs="宋体"/>
          <w:spacing w:val="4"/>
          <w:sz w:val="24"/>
          <w:szCs w:val="24"/>
          <w:highlight w:val="none"/>
        </w:rPr>
        <w:t>.</w:t>
      </w:r>
      <w:r>
        <w:rPr>
          <w:rFonts w:hint="eastAsia" w:ascii="宋体" w:hAnsi="宋体" w:eastAsia="宋体" w:cs="宋体"/>
          <w:sz w:val="24"/>
          <w:szCs w:val="24"/>
          <w:highlight w:val="none"/>
        </w:rPr>
        <w:t>zcygov</w:t>
      </w:r>
      <w:r>
        <w:rPr>
          <w:rFonts w:hint="eastAsia" w:ascii="宋体" w:hAnsi="宋体" w:eastAsia="宋体" w:cs="宋体"/>
          <w:spacing w:val="4"/>
          <w:sz w:val="24"/>
          <w:szCs w:val="24"/>
          <w:highlight w:val="none"/>
        </w:rPr>
        <w:t>.</w:t>
      </w:r>
      <w:r>
        <w:rPr>
          <w:rFonts w:hint="eastAsia" w:ascii="宋体" w:hAnsi="宋体" w:eastAsia="宋体" w:cs="宋体"/>
          <w:sz w:val="24"/>
          <w:szCs w:val="24"/>
          <w:highlight w:val="none"/>
        </w:rPr>
        <w:t>cn</w:t>
      </w:r>
      <w:r>
        <w:rPr>
          <w:rFonts w:hint="eastAsia" w:ascii="宋体" w:hAnsi="宋体" w:eastAsia="宋体" w:cs="宋体"/>
          <w:spacing w:val="4"/>
          <w:sz w:val="24"/>
          <w:szCs w:val="24"/>
          <w:highlight w:val="none"/>
        </w:rPr>
        <w:t>/</w:t>
      </w:r>
      <w:r>
        <w:rPr>
          <w:rFonts w:hint="eastAsia" w:ascii="宋体" w:hAnsi="宋体" w:eastAsia="宋体" w:cs="宋体"/>
          <w:spacing w:val="4"/>
          <w:sz w:val="24"/>
          <w:szCs w:val="24"/>
          <w:highlight w:val="none"/>
        </w:rPr>
        <w:fldChar w:fldCharType="end"/>
      </w:r>
      <w:r>
        <w:rPr>
          <w:rFonts w:hint="eastAsia" w:ascii="宋体" w:hAnsi="宋体" w:eastAsia="宋体" w:cs="宋体"/>
          <w:spacing w:val="4"/>
          <w:sz w:val="24"/>
          <w:szCs w:val="24"/>
          <w:highlight w:val="none"/>
        </w:rPr>
        <w:t>在线申请获取采购文件（进入“项</w:t>
      </w:r>
      <w:r>
        <w:rPr>
          <w:rFonts w:hint="eastAsia" w:ascii="宋体" w:hAnsi="宋体" w:eastAsia="宋体" w:cs="宋体"/>
          <w:spacing w:val="7"/>
          <w:sz w:val="24"/>
          <w:szCs w:val="24"/>
          <w:highlight w:val="none"/>
        </w:rPr>
        <w:t>目采购”应用，在获取采购文件菜单中选择项目，申请获取采购文件）</w:t>
      </w:r>
    </w:p>
    <w:p w14:paraId="2A285C06">
      <w:pPr>
        <w:pStyle w:val="9"/>
        <w:spacing w:before="59" w:line="360" w:lineRule="auto"/>
        <w:ind w:left="570"/>
        <w:rPr>
          <w:rFonts w:hint="eastAsia" w:ascii="宋体" w:hAnsi="宋体" w:eastAsia="宋体" w:cs="宋体"/>
          <w:sz w:val="24"/>
          <w:szCs w:val="24"/>
          <w:highlight w:val="none"/>
        </w:rPr>
      </w:pPr>
      <w:r>
        <w:rPr>
          <w:rFonts w:hint="eastAsia" w:ascii="宋体" w:hAnsi="宋体" w:eastAsia="宋体" w:cs="宋体"/>
          <w:sz w:val="24"/>
          <w:szCs w:val="24"/>
          <w:highlight w:val="none"/>
        </w:rPr>
        <w:t>售价（元）：0</w:t>
      </w:r>
    </w:p>
    <w:p w14:paraId="6D1CE94C">
      <w:pPr>
        <w:pStyle w:val="9"/>
        <w:spacing w:before="99" w:line="360" w:lineRule="auto"/>
        <w:ind w:left="103"/>
        <w:rPr>
          <w:rFonts w:hint="eastAsia" w:ascii="宋体" w:hAnsi="宋体" w:eastAsia="宋体" w:cs="宋体"/>
          <w:sz w:val="24"/>
          <w:szCs w:val="24"/>
          <w:highlight w:val="none"/>
        </w:rPr>
      </w:pPr>
      <w:r>
        <w:rPr>
          <w:rFonts w:hint="eastAsia" w:ascii="宋体" w:hAnsi="宋体" w:eastAsia="宋体" w:cs="宋体"/>
          <w:b/>
          <w:bCs/>
          <w:spacing w:val="8"/>
          <w:sz w:val="24"/>
          <w:szCs w:val="24"/>
          <w:highlight w:val="none"/>
        </w:rPr>
        <w:t>四、响应文件提交</w:t>
      </w:r>
    </w:p>
    <w:p w14:paraId="4BB2108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截止时间：202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日11:00（北京时间）</w:t>
      </w:r>
    </w:p>
    <w:p w14:paraId="39DA7557">
      <w:pPr>
        <w:pStyle w:val="9"/>
        <w:spacing w:before="99" w:line="360" w:lineRule="auto"/>
        <w:ind w:left="481"/>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地点：</w:t>
      </w:r>
      <w:r>
        <w:rPr>
          <w:rFonts w:hint="eastAsia" w:ascii="宋体" w:hAnsi="宋体" w:eastAsia="宋体" w:cs="宋体"/>
          <w:spacing w:val="-23"/>
          <w:sz w:val="24"/>
          <w:szCs w:val="24"/>
          <w:highlight w:val="none"/>
        </w:rPr>
        <w:t xml:space="preserve"> </w:t>
      </w:r>
      <w:r>
        <w:rPr>
          <w:rFonts w:hint="eastAsia" w:ascii="宋体" w:hAnsi="宋体" w:eastAsia="宋体" w:cs="宋体"/>
          <w:spacing w:val="7"/>
          <w:sz w:val="24"/>
          <w:szCs w:val="24"/>
          <w:highlight w:val="none"/>
        </w:rPr>
        <w:t>请登录政采云投标客户端投标</w:t>
      </w:r>
    </w:p>
    <w:p w14:paraId="1841A411">
      <w:pPr>
        <w:pStyle w:val="9"/>
        <w:spacing w:before="99" w:line="360" w:lineRule="auto"/>
        <w:ind w:left="4"/>
        <w:rPr>
          <w:rFonts w:hint="eastAsia" w:ascii="宋体" w:hAnsi="宋体" w:eastAsia="宋体" w:cs="宋体"/>
          <w:sz w:val="24"/>
          <w:szCs w:val="24"/>
          <w:highlight w:val="none"/>
        </w:rPr>
      </w:pPr>
      <w:r>
        <w:rPr>
          <w:rFonts w:hint="eastAsia" w:ascii="宋体" w:hAnsi="宋体" w:eastAsia="宋体" w:cs="宋体"/>
          <w:b/>
          <w:bCs/>
          <w:spacing w:val="9"/>
          <w:sz w:val="24"/>
          <w:szCs w:val="24"/>
          <w:highlight w:val="none"/>
        </w:rPr>
        <w:t>五、响应文件开启</w:t>
      </w:r>
    </w:p>
    <w:p w14:paraId="66636070">
      <w:pPr>
        <w:pStyle w:val="9"/>
        <w:spacing w:before="100" w:line="360" w:lineRule="auto"/>
        <w:ind w:left="484"/>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开启时间： 202</w:t>
      </w:r>
      <w:r>
        <w:rPr>
          <w:rFonts w:hint="eastAsia" w:cs="宋体"/>
          <w:spacing w:val="-1"/>
          <w:sz w:val="24"/>
          <w:szCs w:val="24"/>
          <w:highlight w:val="none"/>
          <w:lang w:val="en-US" w:eastAsia="zh-CN"/>
        </w:rPr>
        <w:t>5</w:t>
      </w:r>
      <w:r>
        <w:rPr>
          <w:rFonts w:hint="eastAsia" w:ascii="宋体" w:hAnsi="宋体" w:eastAsia="宋体" w:cs="宋体"/>
          <w:spacing w:val="-1"/>
          <w:sz w:val="24"/>
          <w:szCs w:val="24"/>
          <w:highlight w:val="none"/>
        </w:rPr>
        <w:t>年</w:t>
      </w:r>
      <w:r>
        <w:rPr>
          <w:rFonts w:hint="eastAsia" w:cs="宋体"/>
          <w:spacing w:val="-1"/>
          <w:sz w:val="24"/>
          <w:szCs w:val="24"/>
          <w:highlight w:val="none"/>
          <w:lang w:val="en-US" w:eastAsia="zh-CN"/>
        </w:rPr>
        <w:t>2</w:t>
      </w:r>
      <w:r>
        <w:rPr>
          <w:rFonts w:hint="eastAsia" w:ascii="宋体" w:hAnsi="宋体" w:eastAsia="宋体" w:cs="宋体"/>
          <w:spacing w:val="-1"/>
          <w:sz w:val="24"/>
          <w:szCs w:val="24"/>
          <w:highlight w:val="none"/>
        </w:rPr>
        <w:t>月</w:t>
      </w:r>
      <w:r>
        <w:rPr>
          <w:rFonts w:hint="eastAsia" w:cs="宋体"/>
          <w:spacing w:val="-1"/>
          <w:sz w:val="24"/>
          <w:szCs w:val="24"/>
          <w:highlight w:val="none"/>
          <w:lang w:val="en-US" w:eastAsia="zh-CN"/>
        </w:rPr>
        <w:t>8</w:t>
      </w:r>
      <w:r>
        <w:rPr>
          <w:rFonts w:hint="eastAsia" w:ascii="宋体" w:hAnsi="宋体" w:eastAsia="宋体" w:cs="宋体"/>
          <w:spacing w:val="-1"/>
          <w:sz w:val="24"/>
          <w:szCs w:val="24"/>
          <w:highlight w:val="none"/>
        </w:rPr>
        <w:t>日 11:00</w:t>
      </w:r>
      <w:r>
        <w:rPr>
          <w:rFonts w:hint="eastAsia" w:ascii="宋体" w:hAnsi="宋体" w:eastAsia="宋体" w:cs="宋体"/>
          <w:spacing w:val="23"/>
          <w:sz w:val="24"/>
          <w:szCs w:val="24"/>
          <w:highlight w:val="none"/>
        </w:rPr>
        <w:t xml:space="preserve"> </w:t>
      </w:r>
      <w:r>
        <w:rPr>
          <w:rFonts w:hint="eastAsia" w:ascii="宋体" w:hAnsi="宋体" w:eastAsia="宋体" w:cs="宋体"/>
          <w:spacing w:val="-1"/>
          <w:sz w:val="24"/>
          <w:szCs w:val="24"/>
          <w:highlight w:val="none"/>
        </w:rPr>
        <w:t>（北京时间）</w:t>
      </w:r>
    </w:p>
    <w:p w14:paraId="2E28BA1A">
      <w:pPr>
        <w:pStyle w:val="9"/>
        <w:spacing w:before="57" w:line="360" w:lineRule="auto"/>
        <w:ind w:left="481"/>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地点：</w:t>
      </w:r>
      <w:r>
        <w:rPr>
          <w:rFonts w:hint="eastAsia" w:ascii="宋体" w:hAnsi="宋体" w:eastAsia="宋体" w:cs="宋体"/>
          <w:spacing w:val="-29"/>
          <w:sz w:val="24"/>
          <w:szCs w:val="24"/>
          <w:highlight w:val="none"/>
        </w:rPr>
        <w:t xml:space="preserve"> </w:t>
      </w:r>
      <w:r>
        <w:rPr>
          <w:rFonts w:hint="eastAsia" w:ascii="宋体" w:hAnsi="宋体" w:eastAsia="宋体" w:cs="宋体"/>
          <w:spacing w:val="7"/>
          <w:sz w:val="24"/>
          <w:szCs w:val="24"/>
          <w:highlight w:val="none"/>
        </w:rPr>
        <w:t>政采云平台（</w:t>
      </w:r>
      <w:r>
        <w:rPr>
          <w:rFonts w:hint="eastAsia" w:ascii="宋体" w:hAnsi="宋体" w:eastAsia="宋体" w:cs="宋体"/>
          <w:spacing w:val="-26"/>
          <w:sz w:val="24"/>
          <w:szCs w:val="24"/>
          <w:highlight w:val="none"/>
        </w:rPr>
        <w:t xml:space="preserve"> </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"https://www.zcygov.cn/"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https</w:t>
      </w:r>
      <w:r>
        <w:rPr>
          <w:rFonts w:hint="eastAsia" w:ascii="宋体" w:hAnsi="宋体" w:eastAsia="宋体" w:cs="宋体"/>
          <w:spacing w:val="7"/>
          <w:sz w:val="24"/>
          <w:szCs w:val="24"/>
          <w:highlight w:val="none"/>
        </w:rPr>
        <w:t>://</w:t>
      </w:r>
      <w:r>
        <w:rPr>
          <w:rFonts w:hint="eastAsia" w:ascii="宋体" w:hAnsi="宋体" w:eastAsia="宋体" w:cs="宋体"/>
          <w:sz w:val="24"/>
          <w:szCs w:val="24"/>
          <w:highlight w:val="none"/>
        </w:rPr>
        <w:t>www</w:t>
      </w:r>
      <w:r>
        <w:rPr>
          <w:rFonts w:hint="eastAsia" w:ascii="宋体" w:hAnsi="宋体" w:eastAsia="宋体" w:cs="宋体"/>
          <w:spacing w:val="7"/>
          <w:sz w:val="24"/>
          <w:szCs w:val="24"/>
          <w:highlight w:val="none"/>
        </w:rPr>
        <w:t>.</w:t>
      </w:r>
      <w:r>
        <w:rPr>
          <w:rFonts w:hint="eastAsia" w:ascii="宋体" w:hAnsi="宋体" w:eastAsia="宋体" w:cs="宋体"/>
          <w:sz w:val="24"/>
          <w:szCs w:val="24"/>
          <w:highlight w:val="none"/>
        </w:rPr>
        <w:t>zcygov</w:t>
      </w:r>
      <w:r>
        <w:rPr>
          <w:rFonts w:hint="eastAsia" w:ascii="宋体" w:hAnsi="宋体" w:eastAsia="宋体" w:cs="宋体"/>
          <w:spacing w:val="7"/>
          <w:sz w:val="24"/>
          <w:szCs w:val="24"/>
          <w:highlight w:val="none"/>
        </w:rPr>
        <w:t>.</w:t>
      </w:r>
      <w:r>
        <w:rPr>
          <w:rFonts w:hint="eastAsia" w:ascii="宋体" w:hAnsi="宋体" w:eastAsia="宋体" w:cs="宋体"/>
          <w:sz w:val="24"/>
          <w:szCs w:val="24"/>
          <w:highlight w:val="none"/>
        </w:rPr>
        <w:t>cn</w:t>
      </w:r>
      <w:r>
        <w:rPr>
          <w:rFonts w:hint="eastAsia" w:ascii="宋体" w:hAnsi="宋体" w:eastAsia="宋体" w:cs="宋体"/>
          <w:spacing w:val="7"/>
          <w:sz w:val="24"/>
          <w:szCs w:val="24"/>
          <w:highlight w:val="none"/>
        </w:rPr>
        <w:t>/</w:t>
      </w:r>
      <w:r>
        <w:rPr>
          <w:rFonts w:hint="eastAsia" w:ascii="宋体" w:hAnsi="宋体" w:eastAsia="宋体" w:cs="宋体"/>
          <w:spacing w:val="7"/>
          <w:sz w:val="24"/>
          <w:szCs w:val="24"/>
          <w:highlight w:val="none"/>
        </w:rPr>
        <w:fldChar w:fldCharType="end"/>
      </w:r>
      <w:r>
        <w:rPr>
          <w:rFonts w:hint="eastAsia" w:ascii="宋体" w:hAnsi="宋体" w:eastAsia="宋体" w:cs="宋体"/>
          <w:spacing w:val="7"/>
          <w:sz w:val="24"/>
          <w:szCs w:val="24"/>
          <w:highlight w:val="none"/>
        </w:rPr>
        <w:t>）不见面开标</w:t>
      </w:r>
    </w:p>
    <w:p w14:paraId="418ECD8E">
      <w:pPr>
        <w:pStyle w:val="9"/>
        <w:spacing w:before="96" w:line="360" w:lineRule="auto"/>
        <w:ind w:left="2"/>
        <w:rPr>
          <w:rFonts w:hint="eastAsia" w:ascii="宋体" w:hAnsi="宋体" w:eastAsia="宋体" w:cs="宋体"/>
          <w:sz w:val="24"/>
          <w:szCs w:val="24"/>
          <w:highlight w:val="none"/>
        </w:rPr>
      </w:pPr>
      <w:r>
        <w:rPr>
          <w:rFonts w:hint="eastAsia" w:ascii="宋体" w:hAnsi="宋体" w:eastAsia="宋体" w:cs="宋体"/>
          <w:b/>
          <w:bCs/>
          <w:spacing w:val="9"/>
          <w:sz w:val="24"/>
          <w:szCs w:val="24"/>
          <w:highlight w:val="none"/>
        </w:rPr>
        <w:t>六、公告期限</w:t>
      </w:r>
    </w:p>
    <w:p w14:paraId="10E5336D">
      <w:pPr>
        <w:pStyle w:val="9"/>
        <w:spacing w:before="99" w:line="360" w:lineRule="auto"/>
        <w:ind w:left="508"/>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自本公告发布之日起 5 个工作日。</w:t>
      </w:r>
    </w:p>
    <w:p w14:paraId="480957D0">
      <w:pPr>
        <w:pStyle w:val="9"/>
        <w:spacing w:before="101" w:line="360" w:lineRule="auto"/>
        <w:ind w:left="4"/>
        <w:rPr>
          <w:rFonts w:hint="eastAsia" w:ascii="宋体" w:hAnsi="宋体" w:eastAsia="宋体" w:cs="宋体"/>
          <w:sz w:val="24"/>
          <w:szCs w:val="24"/>
          <w:highlight w:val="none"/>
        </w:rPr>
      </w:pPr>
      <w:r>
        <w:rPr>
          <w:rFonts w:hint="eastAsia" w:ascii="宋体" w:hAnsi="宋体" w:eastAsia="宋体" w:cs="宋体"/>
          <w:b/>
          <w:bCs/>
          <w:spacing w:val="9"/>
          <w:sz w:val="24"/>
          <w:szCs w:val="24"/>
          <w:highlight w:val="none"/>
        </w:rPr>
        <w:t>七、其他补充事宜</w:t>
      </w:r>
    </w:p>
    <w:p w14:paraId="6B1AA9DE">
      <w:pPr>
        <w:pStyle w:val="9"/>
        <w:spacing w:before="97" w:line="360" w:lineRule="auto"/>
        <w:ind w:left="2" w:firstLine="501"/>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 xml:space="preserve">1.本项目为电子招投标，供应商需要使用 </w:t>
      </w:r>
      <w:r>
        <w:rPr>
          <w:rFonts w:hint="eastAsia" w:ascii="宋体" w:hAnsi="宋体" w:eastAsia="宋体" w:cs="宋体"/>
          <w:sz w:val="24"/>
          <w:szCs w:val="24"/>
          <w:highlight w:val="none"/>
        </w:rPr>
        <w:t>CA</w:t>
      </w:r>
      <w:r>
        <w:rPr>
          <w:rFonts w:hint="eastAsia" w:ascii="宋体" w:hAnsi="宋体" w:eastAsia="宋体" w:cs="宋体"/>
          <w:spacing w:val="8"/>
          <w:sz w:val="24"/>
          <w:szCs w:val="24"/>
          <w:highlight w:val="none"/>
        </w:rPr>
        <w:t xml:space="preserve"> 加密设备，凡参加本项</w:t>
      </w:r>
      <w:r>
        <w:rPr>
          <w:rFonts w:hint="eastAsia" w:ascii="宋体" w:hAnsi="宋体" w:eastAsia="宋体" w:cs="宋体"/>
          <w:spacing w:val="7"/>
          <w:sz w:val="24"/>
          <w:szCs w:val="24"/>
          <w:highlight w:val="none"/>
        </w:rPr>
        <w:t>目必须可自主通过新</w:t>
      </w:r>
      <w:r>
        <w:rPr>
          <w:rFonts w:hint="eastAsia" w:ascii="宋体" w:hAnsi="宋体" w:eastAsia="宋体" w:cs="宋体"/>
          <w:spacing w:val="8"/>
          <w:sz w:val="24"/>
          <w:szCs w:val="24"/>
          <w:highlight w:val="none"/>
        </w:rPr>
        <w:t xml:space="preserve">疆 </w:t>
      </w:r>
      <w:r>
        <w:rPr>
          <w:rFonts w:hint="eastAsia" w:ascii="宋体" w:hAnsi="宋体" w:eastAsia="宋体" w:cs="宋体"/>
          <w:sz w:val="24"/>
          <w:szCs w:val="24"/>
          <w:highlight w:val="none"/>
        </w:rPr>
        <w:t>CA</w:t>
      </w:r>
      <w:r>
        <w:rPr>
          <w:rFonts w:hint="eastAsia" w:ascii="宋体" w:hAnsi="宋体" w:eastAsia="宋体" w:cs="宋体"/>
          <w:spacing w:val="8"/>
          <w:sz w:val="24"/>
          <w:szCs w:val="24"/>
          <w:highlight w:val="none"/>
        </w:rPr>
        <w:t xml:space="preserve"> 申领渠道“新疆政务通”申请政采云平台可使用的 </w:t>
      </w:r>
      <w:r>
        <w:rPr>
          <w:rFonts w:hint="eastAsia" w:ascii="宋体" w:hAnsi="宋体" w:eastAsia="宋体" w:cs="宋体"/>
          <w:sz w:val="24"/>
          <w:szCs w:val="24"/>
          <w:highlight w:val="none"/>
        </w:rPr>
        <w:t>CA</w:t>
      </w:r>
      <w:r>
        <w:rPr>
          <w:rFonts w:hint="eastAsia" w:ascii="宋体" w:hAnsi="宋体" w:eastAsia="宋体" w:cs="宋体"/>
          <w:spacing w:val="8"/>
          <w:sz w:val="24"/>
          <w:szCs w:val="24"/>
          <w:highlight w:val="none"/>
        </w:rPr>
        <w:t xml:space="preserve"> 设备，如原有兵</w:t>
      </w:r>
      <w:r>
        <w:rPr>
          <w:rFonts w:hint="eastAsia" w:ascii="宋体" w:hAnsi="宋体" w:eastAsia="宋体" w:cs="宋体"/>
          <w:spacing w:val="7"/>
          <w:sz w:val="24"/>
          <w:szCs w:val="24"/>
          <w:highlight w:val="none"/>
        </w:rPr>
        <w:t xml:space="preserve">团或公共资源使用的 </w:t>
      </w:r>
      <w:r>
        <w:rPr>
          <w:rFonts w:hint="eastAsia" w:ascii="宋体" w:hAnsi="宋体" w:eastAsia="宋体" w:cs="宋体"/>
          <w:sz w:val="24"/>
          <w:szCs w:val="24"/>
          <w:highlight w:val="none"/>
        </w:rPr>
        <w:t>CA</w:t>
      </w:r>
      <w:r>
        <w:rPr>
          <w:rFonts w:hint="eastAsia" w:ascii="宋体" w:hAnsi="宋体" w:eastAsia="宋体" w:cs="宋体"/>
          <w:spacing w:val="7"/>
          <w:sz w:val="24"/>
          <w:szCs w:val="24"/>
          <w:highlight w:val="none"/>
        </w:rPr>
        <w:t xml:space="preserve">，可与新疆 </w:t>
      </w:r>
      <w:r>
        <w:rPr>
          <w:rFonts w:hint="eastAsia" w:ascii="宋体" w:hAnsi="宋体" w:eastAsia="宋体" w:cs="宋体"/>
          <w:sz w:val="24"/>
          <w:szCs w:val="24"/>
          <w:highlight w:val="none"/>
        </w:rPr>
        <w:t>CA</w:t>
      </w:r>
      <w:r>
        <w:rPr>
          <w:rFonts w:hint="eastAsia" w:ascii="宋体" w:hAnsi="宋体" w:eastAsia="宋体" w:cs="宋体"/>
          <w:spacing w:val="7"/>
          <w:sz w:val="24"/>
          <w:szCs w:val="24"/>
          <w:highlight w:val="none"/>
        </w:rPr>
        <w:t xml:space="preserve"> 联系，申请增加电子证书即可，无需重复申领。</w:t>
      </w:r>
    </w:p>
    <w:p w14:paraId="5FB92154">
      <w:pPr>
        <w:pStyle w:val="9"/>
        <w:spacing w:before="3" w:line="360" w:lineRule="auto"/>
        <w:ind w:left="2" w:firstLine="491"/>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 xml:space="preserve">2.本项目实行网上投标，采用电子投标文件(供应商须使用 </w:t>
      </w:r>
      <w:r>
        <w:rPr>
          <w:rFonts w:hint="eastAsia" w:ascii="宋体" w:hAnsi="宋体" w:eastAsia="宋体" w:cs="宋体"/>
          <w:sz w:val="24"/>
          <w:szCs w:val="24"/>
          <w:highlight w:val="none"/>
        </w:rPr>
        <w:t>CA</w:t>
      </w:r>
      <w:r>
        <w:rPr>
          <w:rFonts w:hint="eastAsia" w:ascii="宋体" w:hAnsi="宋体" w:eastAsia="宋体" w:cs="宋体"/>
          <w:spacing w:val="6"/>
          <w:sz w:val="24"/>
          <w:szCs w:val="24"/>
          <w:highlight w:val="none"/>
        </w:rPr>
        <w:t xml:space="preserve"> 加密设备通过政采云电子投</w:t>
      </w:r>
      <w:r>
        <w:rPr>
          <w:rFonts w:hint="eastAsia" w:ascii="宋体" w:hAnsi="宋体" w:eastAsia="宋体" w:cs="宋体"/>
          <w:spacing w:val="8"/>
          <w:sz w:val="24"/>
          <w:szCs w:val="24"/>
          <w:highlight w:val="none"/>
        </w:rPr>
        <w:t>标客户端制作投标文件)。若供应商参与投标，自行承担投标一切费用。</w:t>
      </w:r>
    </w:p>
    <w:p w14:paraId="4484AC11">
      <w:pPr>
        <w:pStyle w:val="9"/>
        <w:spacing w:before="75" w:line="360" w:lineRule="auto"/>
        <w:ind w:left="3" w:firstLine="492"/>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 xml:space="preserve">3.各供应商应在开标前应确保成为新疆政府采购网正式注册入库供应商，并完成 </w:t>
      </w:r>
      <w:r>
        <w:rPr>
          <w:rFonts w:hint="eastAsia" w:ascii="宋体" w:hAnsi="宋体" w:eastAsia="宋体" w:cs="宋体"/>
          <w:sz w:val="24"/>
          <w:szCs w:val="24"/>
          <w:highlight w:val="none"/>
        </w:rPr>
        <w:t>CA</w:t>
      </w:r>
      <w:r>
        <w:rPr>
          <w:rFonts w:hint="eastAsia" w:ascii="宋体" w:hAnsi="宋体" w:eastAsia="宋体" w:cs="宋体"/>
          <w:spacing w:val="8"/>
          <w:sz w:val="24"/>
          <w:szCs w:val="24"/>
          <w:highlight w:val="none"/>
        </w:rPr>
        <w:t xml:space="preserve"> 数字证书申领。因未注册入库、未办理 </w:t>
      </w:r>
      <w:r>
        <w:rPr>
          <w:rFonts w:hint="eastAsia" w:ascii="宋体" w:hAnsi="宋体" w:eastAsia="宋体" w:cs="宋体"/>
          <w:sz w:val="24"/>
          <w:szCs w:val="24"/>
          <w:highlight w:val="none"/>
        </w:rPr>
        <w:t>CA</w:t>
      </w:r>
      <w:r>
        <w:rPr>
          <w:rFonts w:hint="eastAsia" w:ascii="宋体" w:hAnsi="宋体" w:eastAsia="宋体" w:cs="宋体"/>
          <w:spacing w:val="8"/>
          <w:sz w:val="24"/>
          <w:szCs w:val="24"/>
          <w:highlight w:val="none"/>
        </w:rPr>
        <w:t xml:space="preserve"> 数字证书等原因造</w:t>
      </w:r>
      <w:r>
        <w:rPr>
          <w:rFonts w:hint="eastAsia" w:ascii="宋体" w:hAnsi="宋体" w:eastAsia="宋体" w:cs="宋体"/>
          <w:spacing w:val="7"/>
          <w:sz w:val="24"/>
          <w:szCs w:val="24"/>
          <w:highlight w:val="none"/>
        </w:rPr>
        <w:t>成无法投标或投标失败等后果由供应</w:t>
      </w:r>
      <w:r>
        <w:rPr>
          <w:rFonts w:hint="eastAsia" w:ascii="宋体" w:hAnsi="宋体" w:eastAsia="宋体" w:cs="宋体"/>
          <w:sz w:val="24"/>
          <w:szCs w:val="24"/>
          <w:highlight w:val="none"/>
        </w:rPr>
        <w:t>商自行承担。</w:t>
      </w:r>
    </w:p>
    <w:p w14:paraId="729B565A">
      <w:pPr>
        <w:pStyle w:val="9"/>
        <w:spacing w:before="8" w:line="360" w:lineRule="auto"/>
        <w:ind w:left="2" w:firstLine="479"/>
        <w:jc w:val="both"/>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 xml:space="preserve">4.供应商将政采云电子交易客户端下载、安装完成后，可通过账号密码或 </w:t>
      </w:r>
      <w:r>
        <w:rPr>
          <w:rFonts w:hint="eastAsia" w:ascii="宋体" w:hAnsi="宋体" w:eastAsia="宋体" w:cs="宋体"/>
          <w:sz w:val="24"/>
          <w:szCs w:val="24"/>
          <w:highlight w:val="none"/>
        </w:rPr>
        <w:t>CA</w:t>
      </w:r>
      <w:r>
        <w:rPr>
          <w:rFonts w:hint="eastAsia" w:ascii="宋体" w:hAnsi="宋体" w:eastAsia="宋体" w:cs="宋体"/>
          <w:spacing w:val="8"/>
          <w:sz w:val="24"/>
          <w:szCs w:val="24"/>
          <w:highlight w:val="none"/>
        </w:rPr>
        <w:t xml:space="preserve"> 登录客户端</w:t>
      </w:r>
      <w:r>
        <w:rPr>
          <w:rFonts w:hint="eastAsia" w:ascii="宋体" w:hAnsi="宋体" w:eastAsia="宋体" w:cs="宋体"/>
          <w:spacing w:val="9"/>
          <w:sz w:val="24"/>
          <w:szCs w:val="24"/>
          <w:highlight w:val="none"/>
        </w:rPr>
        <w:t>进行投标文件制作。在使用政采云投标客户端时，建议使用</w:t>
      </w:r>
      <w:r>
        <w:rPr>
          <w:rFonts w:hint="eastAsia" w:ascii="宋体" w:hAnsi="宋体" w:eastAsia="宋体" w:cs="宋体"/>
          <w:sz w:val="24"/>
          <w:szCs w:val="24"/>
          <w:highlight w:val="none"/>
        </w:rPr>
        <w:t>WIN</w:t>
      </w:r>
      <w:r>
        <w:rPr>
          <w:rFonts w:hint="eastAsia" w:ascii="宋体" w:hAnsi="宋体" w:eastAsia="宋体" w:cs="宋体"/>
          <w:spacing w:val="9"/>
          <w:sz w:val="24"/>
          <w:szCs w:val="24"/>
          <w:highlight w:val="none"/>
        </w:rPr>
        <w:t>7及以上操作系统。客户端</w:t>
      </w:r>
      <w:r>
        <w:rPr>
          <w:rFonts w:hint="eastAsia" w:ascii="宋体" w:hAnsi="宋体" w:eastAsia="宋体" w:cs="宋体"/>
          <w:spacing w:val="8"/>
          <w:sz w:val="24"/>
          <w:szCs w:val="24"/>
          <w:highlight w:val="none"/>
        </w:rPr>
        <w:t>请至新疆政府采购网（</w:t>
      </w:r>
      <w:r>
        <w:rPr>
          <w:rFonts w:hint="eastAsia" w:ascii="宋体" w:hAnsi="宋体" w:eastAsia="宋体" w:cs="宋体"/>
          <w:spacing w:val="-22"/>
          <w:sz w:val="24"/>
          <w:szCs w:val="24"/>
          <w:highlight w:val="none"/>
        </w:rPr>
        <w:t xml:space="preserve"> </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"http://www.ccgp-xinjiang.gov.cn/"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http</w:t>
      </w:r>
      <w:r>
        <w:rPr>
          <w:rFonts w:hint="eastAsia" w:ascii="宋体" w:hAnsi="宋体" w:eastAsia="宋体" w:cs="宋体"/>
          <w:spacing w:val="8"/>
          <w:sz w:val="24"/>
          <w:szCs w:val="24"/>
          <w:highlight w:val="none"/>
        </w:rPr>
        <w:t>://</w:t>
      </w:r>
      <w:r>
        <w:rPr>
          <w:rFonts w:hint="eastAsia" w:ascii="宋体" w:hAnsi="宋体" w:eastAsia="宋体" w:cs="宋体"/>
          <w:sz w:val="24"/>
          <w:szCs w:val="24"/>
          <w:highlight w:val="none"/>
        </w:rPr>
        <w:t>www</w:t>
      </w:r>
      <w:r>
        <w:rPr>
          <w:rFonts w:hint="eastAsia" w:ascii="宋体" w:hAnsi="宋体" w:eastAsia="宋体" w:cs="宋体"/>
          <w:spacing w:val="8"/>
          <w:sz w:val="24"/>
          <w:szCs w:val="24"/>
          <w:highlight w:val="none"/>
        </w:rPr>
        <w:t>.</w:t>
      </w:r>
      <w:r>
        <w:rPr>
          <w:rFonts w:hint="eastAsia" w:ascii="宋体" w:hAnsi="宋体" w:eastAsia="宋体" w:cs="宋体"/>
          <w:sz w:val="24"/>
          <w:szCs w:val="24"/>
          <w:highlight w:val="none"/>
        </w:rPr>
        <w:t>ccgp</w:t>
      </w:r>
      <w:r>
        <w:rPr>
          <w:rFonts w:hint="eastAsia" w:ascii="宋体" w:hAnsi="宋体" w:eastAsia="宋体" w:cs="宋体"/>
          <w:spacing w:val="8"/>
          <w:sz w:val="24"/>
          <w:szCs w:val="24"/>
          <w:highlight w:val="none"/>
        </w:rPr>
        <w:t>-</w:t>
      </w:r>
      <w:r>
        <w:rPr>
          <w:rFonts w:hint="eastAsia" w:ascii="宋体" w:hAnsi="宋体" w:eastAsia="宋体" w:cs="宋体"/>
          <w:sz w:val="24"/>
          <w:szCs w:val="24"/>
          <w:highlight w:val="none"/>
        </w:rPr>
        <w:t>xinjiang</w:t>
      </w:r>
      <w:r>
        <w:rPr>
          <w:rFonts w:hint="eastAsia" w:ascii="宋体" w:hAnsi="宋体" w:eastAsia="宋体" w:cs="宋体"/>
          <w:spacing w:val="8"/>
          <w:sz w:val="24"/>
          <w:szCs w:val="24"/>
          <w:highlight w:val="none"/>
        </w:rPr>
        <w:t>.</w:t>
      </w:r>
      <w:r>
        <w:rPr>
          <w:rFonts w:hint="eastAsia" w:ascii="宋体" w:hAnsi="宋体" w:eastAsia="宋体" w:cs="宋体"/>
          <w:sz w:val="24"/>
          <w:szCs w:val="24"/>
          <w:highlight w:val="none"/>
        </w:rPr>
        <w:t>gov</w:t>
      </w:r>
      <w:r>
        <w:rPr>
          <w:rFonts w:hint="eastAsia" w:ascii="宋体" w:hAnsi="宋体" w:eastAsia="宋体" w:cs="宋体"/>
          <w:spacing w:val="8"/>
          <w:sz w:val="24"/>
          <w:szCs w:val="24"/>
          <w:highlight w:val="none"/>
        </w:rPr>
        <w:t>.</w:t>
      </w:r>
      <w:r>
        <w:rPr>
          <w:rFonts w:hint="eastAsia" w:ascii="宋体" w:hAnsi="宋体" w:eastAsia="宋体" w:cs="宋体"/>
          <w:sz w:val="24"/>
          <w:szCs w:val="24"/>
          <w:highlight w:val="none"/>
        </w:rPr>
        <w:t>cn</w:t>
      </w:r>
      <w:r>
        <w:rPr>
          <w:rFonts w:hint="eastAsia" w:ascii="宋体" w:hAnsi="宋体" w:eastAsia="宋体" w:cs="宋体"/>
          <w:spacing w:val="8"/>
          <w:sz w:val="24"/>
          <w:szCs w:val="24"/>
          <w:highlight w:val="none"/>
        </w:rPr>
        <w:t>/</w:t>
      </w:r>
      <w:r>
        <w:rPr>
          <w:rFonts w:hint="eastAsia" w:ascii="宋体" w:hAnsi="宋体" w:eastAsia="宋体" w:cs="宋体"/>
          <w:spacing w:val="8"/>
          <w:sz w:val="24"/>
          <w:szCs w:val="24"/>
          <w:highlight w:val="none"/>
        </w:rPr>
        <w:fldChar w:fldCharType="end"/>
      </w:r>
      <w:r>
        <w:rPr>
          <w:rFonts w:hint="eastAsia" w:ascii="宋体" w:hAnsi="宋体" w:eastAsia="宋体" w:cs="宋体"/>
          <w:spacing w:val="8"/>
          <w:sz w:val="24"/>
          <w:szCs w:val="24"/>
          <w:highlight w:val="none"/>
        </w:rPr>
        <w:t>）下载专区查看，如有问题可拨打</w:t>
      </w:r>
      <w:r>
        <w:rPr>
          <w:rFonts w:hint="eastAsia" w:ascii="宋体" w:hAnsi="宋体" w:eastAsia="宋体" w:cs="宋体"/>
          <w:spacing w:val="4"/>
          <w:sz w:val="24"/>
          <w:szCs w:val="24"/>
          <w:highlight w:val="none"/>
        </w:rPr>
        <w:t>政采云客户服务热线 95763 进行咨询。</w:t>
      </w:r>
    </w:p>
    <w:p w14:paraId="5A642487">
      <w:pPr>
        <w:pStyle w:val="9"/>
        <w:spacing w:before="45" w:line="360" w:lineRule="auto"/>
        <w:ind w:left="3" w:firstLine="496"/>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 xml:space="preserve">5.供应商在开标时须使用制作加密电子投标文件所使用的 </w:t>
      </w:r>
      <w:r>
        <w:rPr>
          <w:rFonts w:hint="eastAsia" w:ascii="宋体" w:hAnsi="宋体" w:eastAsia="宋体" w:cs="宋体"/>
          <w:sz w:val="24"/>
          <w:szCs w:val="24"/>
          <w:highlight w:val="none"/>
        </w:rPr>
        <w:t>CA</w:t>
      </w:r>
      <w:r>
        <w:rPr>
          <w:rFonts w:hint="eastAsia" w:ascii="宋体" w:hAnsi="宋体" w:eastAsia="宋体" w:cs="宋体"/>
          <w:spacing w:val="8"/>
          <w:sz w:val="24"/>
          <w:szCs w:val="24"/>
          <w:highlight w:val="none"/>
        </w:rPr>
        <w:t xml:space="preserve"> 锁及电脑，电脑</w:t>
      </w:r>
      <w:r>
        <w:rPr>
          <w:rFonts w:hint="eastAsia" w:ascii="宋体" w:hAnsi="宋体" w:eastAsia="宋体" w:cs="宋体"/>
          <w:spacing w:val="7"/>
          <w:sz w:val="24"/>
          <w:szCs w:val="24"/>
          <w:highlight w:val="none"/>
        </w:rPr>
        <w:t>须提前配置好浏览器（建议使用谷歌浏览器或 360 浏览器</w:t>
      </w:r>
      <w:r>
        <w:rPr>
          <w:rFonts w:hint="eastAsia" w:ascii="宋体" w:hAnsi="宋体" w:eastAsia="宋体" w:cs="宋体"/>
          <w:spacing w:val="6"/>
          <w:sz w:val="24"/>
          <w:szCs w:val="24"/>
          <w:highlight w:val="none"/>
        </w:rPr>
        <w:t>），</w:t>
      </w:r>
      <w:r>
        <w:rPr>
          <w:rFonts w:hint="eastAsia" w:ascii="宋体" w:hAnsi="宋体" w:eastAsia="宋体" w:cs="宋体"/>
          <w:spacing w:val="7"/>
          <w:sz w:val="24"/>
          <w:szCs w:val="24"/>
          <w:highlight w:val="none"/>
        </w:rPr>
        <w:t>以便开标</w:t>
      </w:r>
      <w:r>
        <w:rPr>
          <w:rFonts w:hint="eastAsia" w:ascii="宋体" w:hAnsi="宋体" w:eastAsia="宋体" w:cs="宋体"/>
          <w:spacing w:val="6"/>
          <w:sz w:val="24"/>
          <w:szCs w:val="24"/>
          <w:highlight w:val="none"/>
        </w:rPr>
        <w:t>时解锁。</w:t>
      </w:r>
    </w:p>
    <w:p w14:paraId="37CE2597">
      <w:pPr>
        <w:pStyle w:val="9"/>
        <w:spacing w:before="6" w:line="360" w:lineRule="auto"/>
        <w:ind w:left="1" w:firstLine="491"/>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6.投标保证金缴纳及确认时间：凡拟参加本次招标项目的供应商，必须在</w:t>
      </w:r>
      <w:r>
        <w:rPr>
          <w:rFonts w:hint="eastAsia" w:ascii="宋体" w:hAnsi="宋体" w:eastAsia="宋体" w:cs="宋体"/>
          <w:spacing w:val="7"/>
          <w:sz w:val="24"/>
          <w:szCs w:val="24"/>
          <w:highlight w:val="none"/>
        </w:rPr>
        <w:t>开标前将投标保</w:t>
      </w:r>
      <w:r>
        <w:rPr>
          <w:rFonts w:hint="eastAsia" w:ascii="宋体" w:hAnsi="宋体" w:eastAsia="宋体" w:cs="宋体"/>
          <w:spacing w:val="8"/>
          <w:sz w:val="24"/>
          <w:szCs w:val="24"/>
          <w:highlight w:val="none"/>
        </w:rPr>
        <w:t>证金汇入指定账户。投标保证金汇款凭证上用途栏应注明:招标项目名称</w:t>
      </w:r>
      <w:r>
        <w:rPr>
          <w:rFonts w:hint="eastAsia" w:ascii="宋体" w:hAnsi="宋体" w:eastAsia="宋体" w:cs="宋体"/>
          <w:spacing w:val="-33"/>
          <w:sz w:val="24"/>
          <w:szCs w:val="24"/>
          <w:highlight w:val="none"/>
        </w:rPr>
        <w:t xml:space="preserve"> </w:t>
      </w:r>
      <w:r>
        <w:rPr>
          <w:rFonts w:hint="eastAsia" w:ascii="宋体" w:hAnsi="宋体" w:eastAsia="宋体" w:cs="宋体"/>
          <w:spacing w:val="8"/>
          <w:sz w:val="24"/>
          <w:szCs w:val="24"/>
          <w:highlight w:val="none"/>
        </w:rPr>
        <w:t>+标项号</w:t>
      </w:r>
      <w:r>
        <w:rPr>
          <w:rFonts w:hint="eastAsia" w:ascii="宋体" w:hAnsi="宋体" w:eastAsia="宋体" w:cs="宋体"/>
          <w:spacing w:val="-38"/>
          <w:sz w:val="24"/>
          <w:szCs w:val="24"/>
          <w:highlight w:val="none"/>
        </w:rPr>
        <w:t xml:space="preserve"> </w:t>
      </w:r>
      <w:r>
        <w:rPr>
          <w:rFonts w:hint="eastAsia" w:ascii="宋体" w:hAnsi="宋体" w:eastAsia="宋体" w:cs="宋体"/>
          <w:spacing w:val="8"/>
          <w:sz w:val="24"/>
          <w:szCs w:val="24"/>
          <w:highlight w:val="none"/>
        </w:rPr>
        <w:t>+投标保证</w:t>
      </w:r>
      <w:r>
        <w:rPr>
          <w:rFonts w:hint="eastAsia" w:ascii="宋体" w:hAnsi="宋体" w:eastAsia="宋体" w:cs="宋体"/>
          <w:spacing w:val="6"/>
          <w:sz w:val="24"/>
          <w:szCs w:val="24"/>
          <w:highlight w:val="none"/>
        </w:rPr>
        <w:t>金。否则，届时其投标将被拒绝。</w:t>
      </w:r>
    </w:p>
    <w:p w14:paraId="79AD6489">
      <w:pPr>
        <w:pStyle w:val="9"/>
        <w:keepNext w:val="0"/>
        <w:keepLines w:val="0"/>
        <w:pageBreakBefore w:val="0"/>
        <w:widowControl/>
        <w:kinsoku/>
        <w:wordWrap w:val="0"/>
        <w:overflowPunct/>
        <w:topLinePunct w:val="0"/>
        <w:autoSpaceDE/>
        <w:autoSpaceDN/>
        <w:bidi w:val="0"/>
        <w:adjustRightInd w:val="0"/>
        <w:snapToGrid w:val="0"/>
        <w:spacing w:before="8" w:line="360" w:lineRule="auto"/>
        <w:ind w:left="492"/>
        <w:textAlignment w:val="baseline"/>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7.供应商对不见面开评标系统的技术操作咨询，可通过</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"https://edu.zcygov.cn/luban/xinjiang-e-biding"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https</w:t>
      </w:r>
      <w:r>
        <w:rPr>
          <w:rFonts w:hint="eastAsia" w:ascii="宋体" w:hAnsi="宋体" w:eastAsia="宋体" w:cs="宋体"/>
          <w:spacing w:val="12"/>
          <w:sz w:val="24"/>
          <w:szCs w:val="24"/>
          <w:highlight w:val="none"/>
        </w:rPr>
        <w:t>://</w:t>
      </w:r>
      <w:r>
        <w:rPr>
          <w:rFonts w:hint="eastAsia" w:ascii="宋体" w:hAnsi="宋体" w:eastAsia="宋体" w:cs="宋体"/>
          <w:sz w:val="24"/>
          <w:szCs w:val="24"/>
          <w:highlight w:val="none"/>
        </w:rPr>
        <w:t>edu</w:t>
      </w:r>
      <w:r>
        <w:rPr>
          <w:rFonts w:hint="eastAsia" w:ascii="宋体" w:hAnsi="宋体" w:eastAsia="宋体" w:cs="宋体"/>
          <w:spacing w:val="12"/>
          <w:sz w:val="24"/>
          <w:szCs w:val="24"/>
          <w:highlight w:val="none"/>
        </w:rPr>
        <w:t>.</w:t>
      </w:r>
      <w:r>
        <w:rPr>
          <w:rFonts w:hint="eastAsia" w:ascii="宋体" w:hAnsi="宋体" w:eastAsia="宋体" w:cs="宋体"/>
          <w:sz w:val="24"/>
          <w:szCs w:val="24"/>
          <w:highlight w:val="none"/>
        </w:rPr>
        <w:t>zcygov</w:t>
      </w:r>
      <w:r>
        <w:rPr>
          <w:rFonts w:hint="eastAsia" w:ascii="宋体" w:hAnsi="宋体" w:eastAsia="宋体" w:cs="宋体"/>
          <w:spacing w:val="12"/>
          <w:sz w:val="24"/>
          <w:szCs w:val="24"/>
          <w:highlight w:val="none"/>
        </w:rPr>
        <w:t>.</w:t>
      </w:r>
      <w:r>
        <w:rPr>
          <w:rFonts w:hint="eastAsia" w:ascii="宋体" w:hAnsi="宋体" w:eastAsia="宋体" w:cs="宋体"/>
          <w:sz w:val="24"/>
          <w:szCs w:val="24"/>
          <w:highlight w:val="none"/>
        </w:rPr>
        <w:t>cn</w:t>
      </w:r>
      <w:r>
        <w:rPr>
          <w:rFonts w:hint="eastAsia" w:ascii="宋体" w:hAnsi="宋体" w:eastAsia="宋体" w:cs="宋体"/>
          <w:spacing w:val="12"/>
          <w:sz w:val="24"/>
          <w:szCs w:val="24"/>
          <w:highlight w:val="none"/>
        </w:rPr>
        <w:t>/</w:t>
      </w:r>
      <w:r>
        <w:rPr>
          <w:rFonts w:hint="eastAsia" w:ascii="宋体" w:hAnsi="宋体" w:eastAsia="宋体" w:cs="宋体"/>
          <w:sz w:val="24"/>
          <w:szCs w:val="24"/>
          <w:highlight w:val="none"/>
        </w:rPr>
        <w:t>luban</w:t>
      </w:r>
      <w:r>
        <w:rPr>
          <w:rFonts w:hint="eastAsia" w:ascii="宋体" w:hAnsi="宋体" w:eastAsia="宋体" w:cs="宋体"/>
          <w:spacing w:val="12"/>
          <w:sz w:val="24"/>
          <w:szCs w:val="24"/>
          <w:highlight w:val="none"/>
        </w:rPr>
        <w:t>/</w:t>
      </w:r>
      <w:r>
        <w:rPr>
          <w:rFonts w:hint="eastAsia" w:ascii="宋体" w:hAnsi="宋体" w:eastAsia="宋体" w:cs="宋体"/>
          <w:sz w:val="24"/>
          <w:szCs w:val="24"/>
          <w:highlight w:val="none"/>
        </w:rPr>
        <w:t>xinjiang</w:t>
      </w:r>
      <w:r>
        <w:rPr>
          <w:rFonts w:hint="eastAsia" w:ascii="宋体" w:hAnsi="宋体" w:eastAsia="宋体" w:cs="宋体"/>
          <w:spacing w:val="12"/>
          <w:sz w:val="24"/>
          <w:szCs w:val="24"/>
          <w:highlight w:val="none"/>
        </w:rPr>
        <w:t>-e-</w:t>
      </w:r>
      <w:r>
        <w:rPr>
          <w:rFonts w:hint="eastAsia" w:ascii="宋体" w:hAnsi="宋体" w:eastAsia="宋体" w:cs="宋体"/>
          <w:sz w:val="24"/>
          <w:szCs w:val="24"/>
          <w:highlight w:val="none"/>
        </w:rPr>
        <w:t>biding</w:t>
      </w:r>
      <w:r>
        <w:rPr>
          <w:rFonts w:hint="eastAsia" w:ascii="宋体" w:hAnsi="宋体" w:eastAsia="宋体" w:cs="宋体"/>
          <w:sz w:val="24"/>
          <w:szCs w:val="24"/>
          <w:highlight w:val="none"/>
        </w:rPr>
        <w:fldChar w:fldCharType="end"/>
      </w:r>
      <w:r>
        <w:rPr>
          <w:rFonts w:hint="eastAsia" w:ascii="宋体" w:hAnsi="宋体" w:eastAsia="宋体" w:cs="宋体"/>
          <w:spacing w:val="22"/>
          <w:sz w:val="24"/>
          <w:szCs w:val="24"/>
          <w:highlight w:val="none"/>
        </w:rPr>
        <w:t xml:space="preserve"> </w:t>
      </w:r>
      <w:r>
        <w:rPr>
          <w:rFonts w:hint="eastAsia" w:ascii="宋体" w:hAnsi="宋体" w:eastAsia="宋体" w:cs="宋体"/>
          <w:spacing w:val="12"/>
          <w:sz w:val="24"/>
          <w:szCs w:val="24"/>
          <w:highlight w:val="none"/>
        </w:rPr>
        <w:t>自助查询，也可在政采</w:t>
      </w:r>
      <w:r>
        <w:rPr>
          <w:rFonts w:hint="eastAsia" w:ascii="宋体" w:hAnsi="宋体" w:eastAsia="宋体" w:cs="宋体"/>
          <w:spacing w:val="11"/>
          <w:sz w:val="24"/>
          <w:szCs w:val="24"/>
          <w:highlight w:val="none"/>
        </w:rPr>
        <w:t>云帮助中心常见问</w:t>
      </w:r>
      <w:r>
        <w:rPr>
          <w:rFonts w:hint="eastAsia" w:ascii="宋体" w:hAnsi="宋体" w:eastAsia="宋体" w:cs="宋体"/>
          <w:spacing w:val="5"/>
          <w:sz w:val="24"/>
          <w:szCs w:val="24"/>
          <w:highlight w:val="none"/>
        </w:rPr>
        <w:t>题解答和操作流程讲解视频中自助查询，网址为：</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"https://service.zcygov.cn/#/help"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https</w:t>
      </w:r>
      <w:r>
        <w:rPr>
          <w:rFonts w:hint="eastAsia" w:ascii="宋体" w:hAnsi="宋体" w:eastAsia="宋体" w:cs="宋体"/>
          <w:spacing w:val="5"/>
          <w:sz w:val="24"/>
          <w:szCs w:val="24"/>
          <w:highlight w:val="none"/>
        </w:rPr>
        <w:t>://</w:t>
      </w:r>
      <w:r>
        <w:rPr>
          <w:rFonts w:hint="eastAsia" w:ascii="宋体" w:hAnsi="宋体" w:eastAsia="宋体" w:cs="宋体"/>
          <w:sz w:val="24"/>
          <w:szCs w:val="24"/>
          <w:highlight w:val="none"/>
        </w:rPr>
        <w:t>service</w:t>
      </w:r>
      <w:r>
        <w:rPr>
          <w:rFonts w:hint="eastAsia" w:ascii="宋体" w:hAnsi="宋体" w:eastAsia="宋体" w:cs="宋体"/>
          <w:spacing w:val="5"/>
          <w:sz w:val="24"/>
          <w:szCs w:val="24"/>
          <w:highlight w:val="none"/>
        </w:rPr>
        <w:t>.</w:t>
      </w:r>
      <w:r>
        <w:rPr>
          <w:rFonts w:hint="eastAsia" w:ascii="宋体" w:hAnsi="宋体" w:eastAsia="宋体" w:cs="宋体"/>
          <w:sz w:val="24"/>
          <w:szCs w:val="24"/>
          <w:highlight w:val="none"/>
        </w:rPr>
        <w:t>zcygov</w:t>
      </w:r>
      <w:r>
        <w:rPr>
          <w:rFonts w:hint="eastAsia" w:ascii="宋体" w:hAnsi="宋体" w:eastAsia="宋体" w:cs="宋体"/>
          <w:spacing w:val="5"/>
          <w:sz w:val="24"/>
          <w:szCs w:val="24"/>
          <w:highlight w:val="none"/>
        </w:rPr>
        <w:t>.</w:t>
      </w:r>
      <w:r>
        <w:rPr>
          <w:rFonts w:hint="eastAsia" w:ascii="宋体" w:hAnsi="宋体" w:eastAsia="宋体" w:cs="宋体"/>
          <w:sz w:val="24"/>
          <w:szCs w:val="24"/>
          <w:highlight w:val="none"/>
        </w:rPr>
        <w:t>cn</w:t>
      </w:r>
      <w:r>
        <w:rPr>
          <w:rFonts w:hint="eastAsia" w:ascii="宋体" w:hAnsi="宋体" w:eastAsia="宋体" w:cs="宋体"/>
          <w:spacing w:val="5"/>
          <w:sz w:val="24"/>
          <w:szCs w:val="24"/>
          <w:highlight w:val="none"/>
        </w:rPr>
        <w:t>/#/</w:t>
      </w:r>
      <w:r>
        <w:rPr>
          <w:rFonts w:hint="eastAsia" w:ascii="宋体" w:hAnsi="宋体" w:eastAsia="宋体" w:cs="宋体"/>
          <w:sz w:val="24"/>
          <w:szCs w:val="24"/>
          <w:highlight w:val="none"/>
        </w:rPr>
        <w:t>help</w:t>
      </w:r>
      <w:r>
        <w:rPr>
          <w:rFonts w:hint="eastAsia" w:ascii="宋体" w:hAnsi="宋体" w:eastAsia="宋体" w:cs="宋体"/>
          <w:sz w:val="24"/>
          <w:szCs w:val="24"/>
          <w:highlight w:val="none"/>
        </w:rPr>
        <w:fldChar w:fldCharType="end"/>
      </w:r>
      <w:r>
        <w:rPr>
          <w:rFonts w:hint="eastAsia" w:ascii="宋体" w:hAnsi="宋体" w:eastAsia="宋体" w:cs="宋体"/>
          <w:spacing w:val="-32"/>
          <w:sz w:val="24"/>
          <w:szCs w:val="24"/>
          <w:highlight w:val="none"/>
        </w:rPr>
        <w:t xml:space="preserve"> </w:t>
      </w:r>
      <w:r>
        <w:rPr>
          <w:rFonts w:hint="eastAsia" w:ascii="宋体" w:hAnsi="宋体" w:eastAsia="宋体" w:cs="宋体"/>
          <w:spacing w:val="5"/>
          <w:sz w:val="24"/>
          <w:szCs w:val="24"/>
          <w:highlight w:val="none"/>
        </w:rPr>
        <w:t>，“项</w:t>
      </w:r>
      <w:r>
        <w:rPr>
          <w:rFonts w:hint="eastAsia" w:ascii="宋体" w:hAnsi="宋体" w:eastAsia="宋体" w:cs="宋体"/>
          <w:spacing w:val="7"/>
          <w:sz w:val="24"/>
          <w:szCs w:val="24"/>
          <w:highlight w:val="none"/>
        </w:rPr>
        <w:t>目采购”—“操作流程-电子招投标”—“政府采购项目电子交易管理操作指南-供应商”版面</w:t>
      </w:r>
      <w:r>
        <w:rPr>
          <w:rFonts w:hint="eastAsia" w:ascii="宋体" w:hAnsi="宋体" w:eastAsia="宋体" w:cs="宋体"/>
          <w:spacing w:val="10"/>
          <w:sz w:val="24"/>
          <w:szCs w:val="24"/>
          <w:highlight w:val="none"/>
        </w:rPr>
        <w:t>获取操作指南，同时对自助查询无法解决的问题可通过钉钉群及政采云在线客服获取</w:t>
      </w:r>
      <w:r>
        <w:rPr>
          <w:rFonts w:hint="eastAsia" w:ascii="宋体" w:hAnsi="宋体" w:eastAsia="宋体" w:cs="宋体"/>
          <w:spacing w:val="9"/>
          <w:sz w:val="24"/>
          <w:szCs w:val="24"/>
          <w:highlight w:val="none"/>
        </w:rPr>
        <w:t>服务支</w:t>
      </w:r>
      <w:r>
        <w:rPr>
          <w:rFonts w:hint="eastAsia" w:ascii="宋体" w:hAnsi="宋体" w:eastAsia="宋体" w:cs="宋体"/>
          <w:spacing w:val="5"/>
          <w:sz w:val="24"/>
          <w:szCs w:val="24"/>
          <w:highlight w:val="none"/>
        </w:rPr>
        <w:t>持。供应商钉钉群号：政采云新疆供应商服务1号群：30349928</w:t>
      </w:r>
      <w:r>
        <w:rPr>
          <w:rFonts w:hint="eastAsia" w:ascii="宋体" w:hAnsi="宋体" w:eastAsia="宋体" w:cs="宋体"/>
          <w:spacing w:val="-20"/>
          <w:sz w:val="24"/>
          <w:szCs w:val="24"/>
          <w:highlight w:val="none"/>
          <w:lang w:val="en-US" w:eastAsia="zh-CN"/>
        </w:rPr>
        <w:t>.</w:t>
      </w:r>
      <w:r>
        <w:rPr>
          <w:rFonts w:hint="eastAsia" w:ascii="宋体" w:hAnsi="宋体" w:eastAsia="宋体" w:cs="宋体"/>
          <w:spacing w:val="5"/>
          <w:sz w:val="24"/>
          <w:szCs w:val="24"/>
          <w:highlight w:val="none"/>
        </w:rPr>
        <w:t>（如已加入1-11群，无需</w:t>
      </w:r>
      <w:r>
        <w:rPr>
          <w:rFonts w:hint="eastAsia" w:ascii="宋体" w:hAnsi="宋体" w:eastAsia="宋体" w:cs="宋体"/>
          <w:spacing w:val="9"/>
          <w:sz w:val="24"/>
          <w:szCs w:val="24"/>
          <w:highlight w:val="none"/>
        </w:rPr>
        <w:t>重复加入，十一个群联动直播</w:t>
      </w:r>
      <w:r>
        <w:rPr>
          <w:rFonts w:hint="eastAsia" w:ascii="宋体" w:hAnsi="宋体" w:eastAsia="宋体" w:cs="宋体"/>
          <w:spacing w:val="-13"/>
          <w:sz w:val="24"/>
          <w:szCs w:val="24"/>
          <w:highlight w:val="none"/>
        </w:rPr>
        <w:t>），</w:t>
      </w:r>
      <w:r>
        <w:rPr>
          <w:rFonts w:hint="eastAsia" w:ascii="宋体" w:hAnsi="宋体" w:eastAsia="宋体" w:cs="宋体"/>
          <w:spacing w:val="9"/>
          <w:sz w:val="24"/>
          <w:szCs w:val="24"/>
          <w:highlight w:val="none"/>
        </w:rPr>
        <w:t>钉钉工具软件</w:t>
      </w:r>
      <w:r>
        <w:rPr>
          <w:rFonts w:hint="eastAsia" w:ascii="宋体" w:hAnsi="宋体" w:eastAsia="宋体" w:cs="宋体"/>
          <w:spacing w:val="8"/>
          <w:sz w:val="24"/>
          <w:szCs w:val="24"/>
          <w:highlight w:val="none"/>
        </w:rPr>
        <w:t>具有回放功能，直播培训结束后可在钉钉群中</w:t>
      </w:r>
      <w:r>
        <w:rPr>
          <w:rFonts w:hint="eastAsia" w:ascii="宋体" w:hAnsi="宋体" w:eastAsia="宋体" w:cs="宋体"/>
          <w:spacing w:val="2"/>
          <w:sz w:val="24"/>
          <w:szCs w:val="24"/>
          <w:highlight w:val="none"/>
        </w:rPr>
        <w:t>回放观看学习。</w:t>
      </w:r>
    </w:p>
    <w:p w14:paraId="29FFDDF7">
      <w:pPr>
        <w:pStyle w:val="9"/>
        <w:spacing w:before="46" w:line="360" w:lineRule="auto"/>
        <w:rPr>
          <w:rFonts w:hint="eastAsia" w:ascii="宋体" w:hAnsi="宋体" w:eastAsia="宋体" w:cs="宋体"/>
          <w:b/>
          <w:bCs/>
          <w:spacing w:val="-1"/>
          <w:sz w:val="24"/>
          <w:szCs w:val="24"/>
          <w:highlight w:val="none"/>
        </w:rPr>
      </w:pPr>
      <w:r>
        <w:rPr>
          <w:rFonts w:hint="eastAsia" w:ascii="宋体" w:hAnsi="宋体" w:eastAsia="宋体" w:cs="宋体"/>
          <w:b/>
          <w:bCs/>
          <w:spacing w:val="-1"/>
          <w:sz w:val="24"/>
          <w:szCs w:val="24"/>
          <w:highlight w:val="none"/>
        </w:rPr>
        <w:t>特别提示：</w:t>
      </w:r>
    </w:p>
    <w:p w14:paraId="645B7208">
      <w:pPr>
        <w:pStyle w:val="9"/>
        <w:spacing w:before="46" w:line="360" w:lineRule="auto"/>
        <w:rPr>
          <w:rFonts w:hint="eastAsia" w:ascii="宋体" w:hAnsi="宋体" w:eastAsia="宋体" w:cs="宋体"/>
          <w:b/>
          <w:bCs/>
          <w:spacing w:val="-1"/>
          <w:sz w:val="24"/>
          <w:szCs w:val="24"/>
          <w:highlight w:val="none"/>
        </w:rPr>
      </w:pPr>
      <w:r>
        <w:rPr>
          <w:rFonts w:hint="eastAsia" w:ascii="宋体" w:hAnsi="宋体" w:eastAsia="宋体" w:cs="宋体"/>
          <w:b/>
          <w:bCs/>
          <w:spacing w:val="-1"/>
          <w:sz w:val="24"/>
          <w:szCs w:val="24"/>
          <w:highlight w:val="none"/>
        </w:rPr>
        <w:t>1、采购限额标准以上，200万元以下的货物和服务采购项目、400万元以下的工程采购项目，适宜由中小企业提供的，采购人应当专门面向中小企业采购。</w:t>
      </w:r>
    </w:p>
    <w:p w14:paraId="20F51593">
      <w:pPr>
        <w:pStyle w:val="9"/>
        <w:spacing w:before="46" w:line="360" w:lineRule="auto"/>
        <w:rPr>
          <w:rFonts w:hint="eastAsia" w:ascii="宋体" w:hAnsi="宋体" w:eastAsia="宋体" w:cs="宋体"/>
          <w:b/>
          <w:bCs/>
          <w:spacing w:val="-1"/>
          <w:sz w:val="24"/>
          <w:szCs w:val="24"/>
          <w:highlight w:val="none"/>
        </w:rPr>
      </w:pPr>
      <w:r>
        <w:rPr>
          <w:rFonts w:hint="eastAsia" w:ascii="宋体" w:hAnsi="宋体" w:eastAsia="宋体" w:cs="宋体"/>
          <w:b/>
          <w:bCs/>
          <w:spacing w:val="-1"/>
          <w:sz w:val="24"/>
          <w:szCs w:val="24"/>
          <w:highlight w:val="none"/>
        </w:rPr>
        <w:t>2、超过200万元的货物和服务采购项目，预留该部分采购项目预算总额的30%以上专门面向中小企业采购，其中预留给小微企业的比例不低于60%。</w:t>
      </w:r>
    </w:p>
    <w:p w14:paraId="57743D8C">
      <w:pPr>
        <w:pStyle w:val="9"/>
        <w:spacing w:before="46" w:line="360" w:lineRule="auto"/>
        <w:rPr>
          <w:rFonts w:hint="eastAsia" w:ascii="宋体" w:hAnsi="宋体" w:eastAsia="宋体" w:cs="宋体"/>
          <w:b/>
          <w:bCs/>
          <w:spacing w:val="-1"/>
          <w:sz w:val="24"/>
          <w:szCs w:val="24"/>
          <w:highlight w:val="none"/>
        </w:rPr>
      </w:pPr>
      <w:r>
        <w:rPr>
          <w:rFonts w:hint="eastAsia" w:ascii="宋体" w:hAnsi="宋体" w:eastAsia="宋体" w:cs="宋体"/>
          <w:b/>
          <w:bCs/>
          <w:spacing w:val="-1"/>
          <w:sz w:val="24"/>
          <w:szCs w:val="24"/>
          <w:highlight w:val="none"/>
        </w:rPr>
        <w:t>3、超过400万元的工程采购项目中适宜由中小企业提供的，预留该部分采购项目预算总额的40%以上专门面向中小企业采购，其中预留给小微企业的比例不低于60%。</w:t>
      </w:r>
    </w:p>
    <w:p w14:paraId="601ABAB3">
      <w:pPr>
        <w:pStyle w:val="9"/>
        <w:spacing w:before="46" w:line="360" w:lineRule="auto"/>
        <w:rPr>
          <w:rFonts w:hint="eastAsia" w:ascii="宋体" w:hAnsi="宋体" w:eastAsia="宋体" w:cs="宋体"/>
          <w:b/>
          <w:bCs/>
          <w:spacing w:val="-1"/>
          <w:sz w:val="24"/>
          <w:szCs w:val="24"/>
          <w:highlight w:val="none"/>
        </w:rPr>
      </w:pPr>
      <w:r>
        <w:rPr>
          <w:rFonts w:hint="eastAsia" w:ascii="宋体" w:hAnsi="宋体" w:eastAsia="宋体" w:cs="宋体"/>
          <w:b/>
          <w:bCs/>
          <w:spacing w:val="-1"/>
          <w:sz w:val="24"/>
          <w:szCs w:val="24"/>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4EA2AF6">
      <w:pPr>
        <w:pStyle w:val="9"/>
        <w:spacing w:before="46" w:line="360" w:lineRule="auto"/>
        <w:rPr>
          <w:rFonts w:hint="eastAsia" w:ascii="宋体" w:hAnsi="宋体" w:eastAsia="宋体" w:cs="宋体"/>
          <w:b/>
          <w:bCs/>
          <w:spacing w:val="-1"/>
          <w:sz w:val="24"/>
          <w:szCs w:val="24"/>
          <w:highlight w:val="none"/>
        </w:rPr>
      </w:pPr>
      <w:r>
        <w:rPr>
          <w:rFonts w:hint="eastAsia" w:ascii="宋体" w:hAnsi="宋体" w:eastAsia="宋体" w:cs="宋体"/>
          <w:b/>
          <w:bCs/>
          <w:spacing w:val="-1"/>
          <w:sz w:val="24"/>
          <w:szCs w:val="24"/>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83948DF">
      <w:pPr>
        <w:pStyle w:val="9"/>
        <w:spacing w:before="46" w:line="360" w:lineRule="auto"/>
        <w:rPr>
          <w:rFonts w:hint="eastAsia" w:ascii="宋体" w:hAnsi="宋体" w:eastAsia="宋体" w:cs="宋体"/>
          <w:sz w:val="24"/>
          <w:szCs w:val="24"/>
          <w:highlight w:val="none"/>
        </w:rPr>
      </w:pPr>
      <w:r>
        <w:rPr>
          <w:rFonts w:hint="eastAsia" w:ascii="宋体" w:hAnsi="宋体" w:eastAsia="宋体" w:cs="宋体"/>
          <w:b/>
          <w:bCs/>
          <w:spacing w:val="9"/>
          <w:sz w:val="24"/>
          <w:szCs w:val="24"/>
          <w:highlight w:val="none"/>
        </w:rPr>
        <w:t>八、凡对本次招标提出询问，请按以下方式联系</w:t>
      </w:r>
    </w:p>
    <w:p w14:paraId="6B1CBE7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sz w:val="24"/>
          <w:szCs w:val="24"/>
          <w:highlight w:val="none"/>
        </w:rPr>
      </w:pPr>
      <w:bookmarkStart w:id="777" w:name="_Toc28359096"/>
      <w:bookmarkStart w:id="778" w:name="_Toc35393806"/>
      <w:bookmarkStart w:id="779" w:name="_Toc28359019"/>
      <w:bookmarkStart w:id="780" w:name="_Toc35393637"/>
      <w:bookmarkStart w:id="781" w:name="_Toc28359097"/>
      <w:bookmarkStart w:id="782" w:name="_Toc35393638"/>
      <w:bookmarkStart w:id="783" w:name="_Toc28359020"/>
      <w:bookmarkStart w:id="784" w:name="_Toc35393807"/>
      <w:r>
        <w:rPr>
          <w:rFonts w:hint="eastAsia" w:ascii="宋体" w:hAnsi="宋体" w:eastAsia="宋体" w:cs="宋体"/>
          <w:color w:val="auto"/>
          <w:sz w:val="24"/>
          <w:szCs w:val="24"/>
          <w:highlight w:val="none"/>
        </w:rPr>
        <w:t>1.采购人信息</w:t>
      </w:r>
      <w:bookmarkEnd w:id="777"/>
      <w:bookmarkEnd w:id="778"/>
      <w:bookmarkEnd w:id="779"/>
      <w:bookmarkEnd w:id="780"/>
    </w:p>
    <w:p w14:paraId="267CD1E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名    称：</w:t>
      </w:r>
      <w:r>
        <w:rPr>
          <w:rFonts w:hint="eastAsia" w:ascii="宋体" w:hAnsi="宋体" w:cs="宋体"/>
          <w:color w:val="auto"/>
          <w:sz w:val="24"/>
          <w:szCs w:val="24"/>
          <w:highlight w:val="none"/>
          <w:lang w:eastAsia="zh-CN"/>
        </w:rPr>
        <w:t>伽师县英买里镇人民政府</w:t>
      </w:r>
      <w:r>
        <w:rPr>
          <w:rFonts w:hint="eastAsia" w:ascii="宋体" w:hAnsi="宋体" w:eastAsia="宋体" w:cs="宋体"/>
          <w:color w:val="auto"/>
          <w:sz w:val="24"/>
          <w:szCs w:val="24"/>
          <w:highlight w:val="none"/>
          <w:lang w:val="en-US" w:eastAsia="zh-CN"/>
        </w:rPr>
        <w:t xml:space="preserve"> </w:t>
      </w:r>
    </w:p>
    <w:p w14:paraId="31FF4D6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lang w:eastAsia="zh-CN"/>
        </w:rPr>
        <w:t>伽师县英买里镇</w:t>
      </w:r>
      <w:r>
        <w:rPr>
          <w:rFonts w:hint="eastAsia" w:ascii="宋体" w:hAnsi="宋体" w:eastAsia="宋体" w:cs="宋体"/>
          <w:color w:val="auto"/>
          <w:sz w:val="24"/>
          <w:szCs w:val="24"/>
          <w:highlight w:val="none"/>
        </w:rPr>
        <w:t>　　　　　　　　　</w:t>
      </w:r>
    </w:p>
    <w:p w14:paraId="1A7F4BF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r>
        <w:rPr>
          <w:rFonts w:hint="eastAsia" w:ascii="宋体" w:hAnsi="宋体" w:cs="宋体"/>
          <w:color w:val="auto"/>
          <w:sz w:val="24"/>
          <w:szCs w:val="24"/>
          <w:highlight w:val="none"/>
          <w:lang w:val="en-US" w:eastAsia="zh-CN"/>
        </w:rPr>
        <w:t>陆子超</w:t>
      </w:r>
      <w:r>
        <w:rPr>
          <w:rFonts w:hint="eastAsia" w:ascii="宋体" w:hAnsi="宋体" w:eastAsia="宋体" w:cs="宋体"/>
          <w:color w:val="auto"/>
          <w:sz w:val="24"/>
          <w:szCs w:val="24"/>
          <w:highlight w:val="none"/>
        </w:rPr>
        <w:t>　　　　　　　　　　</w:t>
      </w:r>
    </w:p>
    <w:p w14:paraId="4B376A1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r>
        <w:rPr>
          <w:rFonts w:hint="eastAsia" w:ascii="宋体" w:hAnsi="宋体" w:cs="宋体"/>
          <w:color w:val="auto"/>
          <w:sz w:val="24"/>
          <w:szCs w:val="24"/>
          <w:highlight w:val="none"/>
          <w:lang w:val="en-US" w:eastAsia="zh-CN"/>
        </w:rPr>
        <w:t>13279700016</w:t>
      </w:r>
    </w:p>
    <w:p w14:paraId="7C27535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bookmarkEnd w:id="781"/>
      <w:bookmarkEnd w:id="782"/>
      <w:bookmarkEnd w:id="783"/>
      <w:bookmarkEnd w:id="784"/>
    </w:p>
    <w:p w14:paraId="0597892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eastAsia="zh-CN"/>
        </w:rPr>
        <w:t>新疆合铭项目管理有限公司</w:t>
      </w:r>
    </w:p>
    <w:p w14:paraId="668611E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eastAsia="zh-CN"/>
        </w:rPr>
        <w:t>新疆乌鲁木齐市米东区米东南路华旗龙湾</w:t>
      </w:r>
    </w:p>
    <w:p w14:paraId="4891990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r>
        <w:rPr>
          <w:rFonts w:hint="eastAsia" w:ascii="宋体" w:hAnsi="宋体" w:cs="宋体"/>
          <w:color w:val="auto"/>
          <w:sz w:val="24"/>
          <w:szCs w:val="24"/>
          <w:highlight w:val="none"/>
          <w:lang w:eastAsia="zh-CN"/>
        </w:rPr>
        <w:t>何燕平、</w:t>
      </w:r>
      <w:r>
        <w:rPr>
          <w:rFonts w:hint="eastAsia" w:ascii="宋体" w:hAnsi="宋体" w:cs="宋体"/>
          <w:color w:val="auto"/>
          <w:sz w:val="24"/>
          <w:szCs w:val="24"/>
          <w:highlight w:val="none"/>
          <w:lang w:val="en-US" w:eastAsia="zh-CN"/>
        </w:rPr>
        <w:t>董瑞</w:t>
      </w:r>
      <w:r>
        <w:rPr>
          <w:rFonts w:hint="eastAsia" w:ascii="宋体" w:hAnsi="宋体" w:eastAsia="宋体" w:cs="宋体"/>
          <w:color w:val="auto"/>
          <w:sz w:val="24"/>
          <w:szCs w:val="24"/>
          <w:highlight w:val="none"/>
        </w:rPr>
        <w:t xml:space="preserve">     </w:t>
      </w:r>
    </w:p>
    <w:p w14:paraId="7822E51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eastAsia="zh-CN"/>
        </w:rPr>
        <w:t>17799762638</w:t>
      </w:r>
    </w:p>
    <w:p w14:paraId="318FB96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right"/>
        <w:textAlignment w:val="auto"/>
        <w:outlineLvl w:val="9"/>
        <w:rPr>
          <w:rFonts w:hint="eastAsia" w:ascii="宋体" w:hAnsi="宋体" w:eastAsia="宋体" w:cs="宋体"/>
          <w:color w:val="auto"/>
          <w:sz w:val="24"/>
          <w:szCs w:val="24"/>
          <w:highlight w:val="none"/>
        </w:rPr>
      </w:pPr>
    </w:p>
    <w:p w14:paraId="4D86AE6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righ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新疆合铭项目管理有限公司</w:t>
      </w:r>
    </w:p>
    <w:p w14:paraId="46E60143">
      <w:pPr>
        <w:keepNext w:val="0"/>
        <w:keepLines w:val="0"/>
        <w:pageBreakBefore w:val="0"/>
        <w:kinsoku/>
        <w:wordWrap/>
        <w:overflowPunct/>
        <w:topLinePunct w:val="0"/>
        <w:autoSpaceDE/>
        <w:autoSpaceDN/>
        <w:bidi w:val="0"/>
        <w:adjustRightInd/>
        <w:spacing w:line="360" w:lineRule="auto"/>
        <w:jc w:val="right"/>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rPr>
        <w:t>日</w:t>
      </w:r>
    </w:p>
    <w:p w14:paraId="5BA305DB">
      <w:pPr>
        <w:jc w:val="right"/>
        <w:rPr>
          <w:rFonts w:hint="eastAsia" w:ascii="宋体" w:hAnsi="宋体" w:eastAsia="宋体" w:cs="宋体"/>
          <w:highlight w:val="none"/>
        </w:rPr>
      </w:pPr>
    </w:p>
    <w:p w14:paraId="7BAAF56C">
      <w:pPr>
        <w:outlineLvl w:val="9"/>
        <w:rPr>
          <w:rFonts w:hint="eastAsia" w:ascii="宋体" w:hAnsi="宋体" w:eastAsia="宋体" w:cs="宋体"/>
          <w:sz w:val="24"/>
          <w:szCs w:val="24"/>
          <w:highlight w:val="none"/>
        </w:rPr>
      </w:pPr>
    </w:p>
    <w:p w14:paraId="34EFA0DE">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453748FC">
      <w:pPr>
        <w:pStyle w:val="2"/>
        <w:tabs>
          <w:tab w:val="left" w:pos="0"/>
        </w:tabs>
        <w:spacing w:before="0" w:after="0" w:line="240" w:lineRule="atLeast"/>
        <w:jc w:val="center"/>
        <w:rPr>
          <w:rFonts w:hint="eastAsia" w:ascii="宋体" w:hAnsi="宋体" w:eastAsia="宋体" w:cs="宋体"/>
          <w:color w:val="auto"/>
          <w:highlight w:val="none"/>
        </w:rPr>
      </w:pPr>
      <w:bookmarkStart w:id="785" w:name="_Toc32560"/>
      <w:r>
        <w:rPr>
          <w:rFonts w:hint="eastAsia" w:ascii="宋体" w:hAnsi="宋体" w:eastAsia="宋体" w:cs="宋体"/>
          <w:color w:val="auto"/>
          <w:highlight w:val="none"/>
          <w:lang w:val="en-US" w:eastAsia="zh-CN"/>
        </w:rPr>
        <w:t xml:space="preserve">第4章 </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须知资料表</w:t>
      </w:r>
      <w:bookmarkEnd w:id="785"/>
    </w:p>
    <w:p w14:paraId="13F41401">
      <w:pPr>
        <w:spacing w:line="240" w:lineRule="atLeas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本表是本招标项目的具体资料，是对</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须知的具体补充和修改，如有矛盾，应以本资料表为准。</w:t>
      </w:r>
    </w:p>
    <w:tbl>
      <w:tblPr>
        <w:tblStyle w:val="24"/>
        <w:tblW w:w="9599" w:type="dxa"/>
        <w:tblInd w:w="-29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84"/>
        <w:gridCol w:w="8715"/>
      </w:tblGrid>
      <w:tr w14:paraId="07EB36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0" w:hRule="atLeast"/>
        </w:trPr>
        <w:tc>
          <w:tcPr>
            <w:tcW w:w="884" w:type="dxa"/>
            <w:vAlign w:val="center"/>
          </w:tcPr>
          <w:p w14:paraId="6C2DEFC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条款号</w:t>
            </w:r>
          </w:p>
        </w:tc>
        <w:tc>
          <w:tcPr>
            <w:tcW w:w="8715" w:type="dxa"/>
            <w:vAlign w:val="center"/>
          </w:tcPr>
          <w:p w14:paraId="2E3EE21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内      容</w:t>
            </w:r>
          </w:p>
        </w:tc>
      </w:tr>
      <w:tr w14:paraId="6E4E6B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884" w:type="dxa"/>
            <w:vAlign w:val="center"/>
          </w:tcPr>
          <w:p w14:paraId="237CF7B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8715" w:type="dxa"/>
            <w:vAlign w:val="center"/>
          </w:tcPr>
          <w:p w14:paraId="0B9AE97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采购人：</w:t>
            </w:r>
            <w:r>
              <w:rPr>
                <w:rFonts w:hint="eastAsia" w:ascii="宋体" w:hAnsi="宋体" w:cs="宋体"/>
                <w:color w:val="auto"/>
                <w:sz w:val="24"/>
                <w:highlight w:val="none"/>
                <w:u w:val="single"/>
                <w:lang w:val="en-US" w:eastAsia="zh-CN"/>
              </w:rPr>
              <w:t xml:space="preserve"> 伽师县英买里镇人民政府  </w:t>
            </w:r>
            <w:r>
              <w:rPr>
                <w:rFonts w:hint="eastAsia" w:ascii="宋体" w:hAnsi="宋体" w:eastAsia="宋体" w:cs="宋体"/>
                <w:color w:val="auto"/>
                <w:sz w:val="24"/>
                <w:highlight w:val="none"/>
                <w:lang w:val="en-US" w:eastAsia="zh-CN"/>
              </w:rPr>
              <w:t>　</w:t>
            </w:r>
          </w:p>
          <w:p w14:paraId="1E15257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联系人：</w:t>
            </w:r>
            <w:r>
              <w:rPr>
                <w:rFonts w:hint="eastAsia" w:ascii="宋体" w:hAnsi="宋体" w:eastAsia="宋体" w:cs="宋体"/>
                <w:color w:val="auto"/>
                <w:sz w:val="24"/>
                <w:highlight w:val="none"/>
                <w:u w:val="single"/>
                <w:lang w:val="en-US" w:eastAsia="zh-CN"/>
              </w:rPr>
              <w:t xml:space="preserve">陆子超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联系电话：</w:t>
            </w:r>
            <w:r>
              <w:rPr>
                <w:rFonts w:hint="eastAsia" w:ascii="宋体" w:hAnsi="宋体" w:eastAsia="宋体" w:cs="宋体"/>
                <w:color w:val="auto"/>
                <w:sz w:val="24"/>
                <w:highlight w:val="none"/>
                <w:u w:val="single"/>
              </w:rPr>
              <w:t>13279700016</w:t>
            </w:r>
          </w:p>
        </w:tc>
      </w:tr>
      <w:tr w14:paraId="054056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3" w:hRule="atLeast"/>
        </w:trPr>
        <w:tc>
          <w:tcPr>
            <w:tcW w:w="884" w:type="dxa"/>
            <w:vAlign w:val="center"/>
          </w:tcPr>
          <w:p w14:paraId="39FB64E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8715" w:type="dxa"/>
            <w:vAlign w:val="center"/>
          </w:tcPr>
          <w:p w14:paraId="2BAEA83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采购代理机构：</w:t>
            </w:r>
            <w:r>
              <w:rPr>
                <w:rFonts w:hint="eastAsia" w:ascii="宋体" w:hAnsi="宋体" w:cs="宋体"/>
                <w:color w:val="auto"/>
                <w:sz w:val="24"/>
                <w:highlight w:val="none"/>
                <w:u w:val="single"/>
                <w:lang w:eastAsia="zh-CN"/>
              </w:rPr>
              <w:t>新疆合铭项目管理有限公司</w:t>
            </w:r>
            <w:r>
              <w:rPr>
                <w:rFonts w:hint="eastAsia" w:ascii="宋体" w:hAnsi="宋体" w:eastAsia="宋体" w:cs="宋体"/>
                <w:color w:val="auto"/>
                <w:sz w:val="24"/>
                <w:highlight w:val="none"/>
              </w:rPr>
              <w:t xml:space="preserve">  </w:t>
            </w:r>
          </w:p>
          <w:p w14:paraId="59B5139F">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地址：</w:t>
            </w:r>
            <w:r>
              <w:rPr>
                <w:rFonts w:hint="eastAsia" w:ascii="宋体" w:hAnsi="宋体" w:cs="宋体"/>
                <w:color w:val="auto"/>
                <w:sz w:val="24"/>
                <w:szCs w:val="24"/>
                <w:highlight w:val="none"/>
                <w:u w:val="single"/>
                <w:lang w:eastAsia="zh-CN"/>
              </w:rPr>
              <w:t>新疆乌鲁木齐市米东区米东南路华旗龙湾</w:t>
            </w:r>
          </w:p>
          <w:p w14:paraId="1AC6AEA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业务联系人：</w:t>
            </w:r>
            <w:r>
              <w:rPr>
                <w:rFonts w:hint="eastAsia" w:ascii="宋体" w:hAnsi="宋体" w:cs="宋体"/>
                <w:color w:val="auto"/>
                <w:sz w:val="24"/>
                <w:highlight w:val="none"/>
                <w:u w:val="single"/>
                <w:lang w:val="en-US" w:eastAsia="zh-CN"/>
              </w:rPr>
              <w:t>何燕平、董瑞</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 xml:space="preserve">   联系电话： </w:t>
            </w:r>
            <w:r>
              <w:rPr>
                <w:rFonts w:hint="eastAsia" w:ascii="宋体" w:hAnsi="宋体" w:cs="宋体"/>
                <w:color w:val="auto"/>
                <w:sz w:val="24"/>
                <w:highlight w:val="none"/>
                <w:u w:val="single"/>
                <w:lang w:eastAsia="zh-CN"/>
              </w:rPr>
              <w:t>17799762638</w:t>
            </w:r>
          </w:p>
        </w:tc>
      </w:tr>
      <w:tr w14:paraId="336A52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84" w:type="dxa"/>
            <w:vAlign w:val="center"/>
          </w:tcPr>
          <w:p w14:paraId="7CE9644F">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1.3.4</w:t>
            </w:r>
          </w:p>
        </w:tc>
        <w:tc>
          <w:tcPr>
            <w:tcW w:w="8715" w:type="dxa"/>
            <w:vAlign w:val="center"/>
          </w:tcPr>
          <w:p w14:paraId="774E5B44">
            <w:pPr>
              <w:spacing w:line="400" w:lineRule="exac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合格供应商的其他资格要求（</w:t>
            </w:r>
            <w:r>
              <w:rPr>
                <w:rFonts w:hint="eastAsia" w:ascii="宋体" w:hAnsi="宋体" w:eastAsia="宋体" w:cs="宋体"/>
                <w:b/>
                <w:bCs/>
                <w:color w:val="auto"/>
                <w:kern w:val="0"/>
                <w:sz w:val="24"/>
                <w:szCs w:val="24"/>
                <w:highlight w:val="none"/>
                <w:lang w:eastAsia="zh-CN"/>
              </w:rPr>
              <w:t>磋商</w:t>
            </w:r>
            <w:r>
              <w:rPr>
                <w:rFonts w:hint="eastAsia" w:ascii="宋体" w:hAnsi="宋体" w:eastAsia="宋体" w:cs="宋体"/>
                <w:b/>
                <w:bCs/>
                <w:color w:val="auto"/>
                <w:kern w:val="0"/>
                <w:sz w:val="24"/>
                <w:szCs w:val="24"/>
                <w:highlight w:val="none"/>
              </w:rPr>
              <w:t>现场须携带</w:t>
            </w:r>
            <w:r>
              <w:rPr>
                <w:rFonts w:hint="eastAsia" w:ascii="宋体" w:hAnsi="宋体" w:eastAsia="宋体" w:cs="宋体"/>
                <w:b/>
                <w:bCs/>
                <w:color w:val="auto"/>
                <w:kern w:val="0"/>
                <w:sz w:val="24"/>
                <w:szCs w:val="24"/>
                <w:highlight w:val="none"/>
                <w:lang w:val="en-US" w:eastAsia="zh-CN"/>
              </w:rPr>
              <w:t>以下资料证明原件或加盖公章的复印件，复印件必须清晰</w:t>
            </w:r>
            <w:r>
              <w:rPr>
                <w:rFonts w:hint="eastAsia" w:ascii="宋体" w:hAnsi="宋体" w:eastAsia="宋体" w:cs="宋体"/>
                <w:b/>
                <w:bCs/>
                <w:color w:val="auto"/>
                <w:kern w:val="0"/>
                <w:sz w:val="24"/>
                <w:szCs w:val="24"/>
                <w:highlight w:val="none"/>
              </w:rPr>
              <w:t>）：</w:t>
            </w:r>
          </w:p>
          <w:p w14:paraId="7F0C80D0">
            <w:pPr>
              <w:widowControl/>
              <w:snapToGrid w:val="0"/>
              <w:spacing w:line="440" w:lineRule="exact"/>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（1）具有有效的独立法定代表人营业执照；</w:t>
            </w:r>
          </w:p>
          <w:p w14:paraId="24456BD0">
            <w:pPr>
              <w:widowControl/>
              <w:snapToGrid w:val="0"/>
              <w:spacing w:line="440" w:lineRule="exact"/>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r>
              <w:rPr>
                <w:rFonts w:hint="eastAsia" w:ascii="宋体" w:hAnsi="宋体" w:cs="宋体"/>
                <w:b/>
                <w:bCs/>
                <w:color w:val="auto"/>
                <w:sz w:val="24"/>
                <w:szCs w:val="24"/>
                <w:highlight w:val="none"/>
                <w:lang w:val="en-US" w:eastAsia="zh-CN"/>
              </w:rPr>
              <w:t>法定代表人需提供法定代表人身份证明扫描件加盖公章，被授权委托人需提供法人授权委托书扫描件加盖公章、法人身份证复印件及被授权委托人身份证扫描件加盖公章，被授权委托人必须是本单位正式员工</w:t>
            </w:r>
            <w:r>
              <w:rPr>
                <w:rFonts w:hint="eastAsia" w:ascii="宋体" w:hAnsi="宋体" w:eastAsia="宋体" w:cs="宋体"/>
                <w:b/>
                <w:bCs/>
                <w:color w:val="auto"/>
                <w:sz w:val="24"/>
                <w:szCs w:val="24"/>
                <w:highlight w:val="none"/>
                <w:lang w:val="en-US" w:eastAsia="zh-CN"/>
              </w:rPr>
              <w:t>；</w:t>
            </w:r>
          </w:p>
          <w:p w14:paraId="39305B86">
            <w:pPr>
              <w:widowControl/>
              <w:snapToGrid w:val="0"/>
              <w:spacing w:line="440" w:lineRule="exact"/>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（3）近两年任意一年的财务审计报告，包括资产负债表、现金流量表、利润表等（新成立公司需提供银行资信证明）；</w:t>
            </w:r>
          </w:p>
          <w:p w14:paraId="572F46F4">
            <w:pPr>
              <w:widowControl/>
              <w:snapToGrid w:val="0"/>
              <w:spacing w:line="440" w:lineRule="exact"/>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w:t>
            </w:r>
            <w:r>
              <w:rPr>
                <w:rFonts w:hint="eastAsia" w:ascii="宋体" w:hAnsi="宋体" w:cs="宋体"/>
                <w:b/>
                <w:bCs/>
                <w:color w:val="auto"/>
                <w:sz w:val="24"/>
                <w:szCs w:val="24"/>
                <w:highlight w:val="none"/>
                <w:lang w:val="en-US" w:eastAsia="zh-CN"/>
              </w:rPr>
              <w:t>提供本单位缴纳的近六个月内任意一个月社保缴纳证明及明细</w:t>
            </w:r>
            <w:r>
              <w:rPr>
                <w:rFonts w:hint="eastAsia" w:ascii="宋体" w:hAnsi="宋体" w:eastAsia="宋体" w:cs="宋体"/>
                <w:b/>
                <w:bCs/>
                <w:color w:val="auto"/>
                <w:sz w:val="24"/>
                <w:szCs w:val="24"/>
                <w:highlight w:val="none"/>
                <w:lang w:val="en-US" w:eastAsia="zh-CN"/>
              </w:rPr>
              <w:t>；</w:t>
            </w:r>
          </w:p>
          <w:p w14:paraId="6B57E876">
            <w:pPr>
              <w:widowControl/>
              <w:snapToGrid w:val="0"/>
              <w:spacing w:line="440" w:lineRule="exact"/>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（5）提供税务部门出具的近六个月任意一个月的完税证明；</w:t>
            </w:r>
          </w:p>
          <w:p w14:paraId="7CE2C461">
            <w:pPr>
              <w:widowControl/>
              <w:snapToGrid w:val="0"/>
              <w:spacing w:line="440" w:lineRule="exact"/>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w:t>
            </w:r>
            <w:r>
              <w:rPr>
                <w:rFonts w:hint="eastAsia" w:ascii="宋体" w:hAnsi="宋体" w:cs="宋体"/>
                <w:b/>
                <w:bCs/>
                <w:color w:val="auto"/>
                <w:sz w:val="24"/>
                <w:szCs w:val="24"/>
                <w:highlight w:val="none"/>
                <w:lang w:val="en-US" w:eastAsia="zh-CN"/>
              </w:rPr>
              <w:t>供应商须具备[公路工程施工总承包叁级]（含）以上资质，且具有效的安全生产许可证；项目负责人须具备公路工程专业二级（含）以上注册建造师执业资格, 具备有效的安全生产考核合格证书，近 3 个月有效的社保证明，且未担任其他在施建设项目的项目负责人；</w:t>
            </w:r>
          </w:p>
          <w:p w14:paraId="4EBF9623">
            <w:pPr>
              <w:widowControl/>
              <w:snapToGrid w:val="0"/>
              <w:spacing w:line="440" w:lineRule="exact"/>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（7）供应商在“信用中国 ”网站（www.creditchina.gov.cn）中查询“严重失信、经营异常”；“中国政府采购网”网站（http://www.ccgp.gov.cn/search/cr/）中查询“严重违法失信行为”；“国家企业信用信息公示系统”（http://www.gsxt.gov.cn）中查询“严重违法失信名单、经营异常名录”，尚在处罚期内的将拒绝其参加本次招标活动（请各供应商提供以上网站完整查询结果，并加盖本单位公章）；</w:t>
            </w:r>
          </w:p>
          <w:p w14:paraId="6C7DDFB9">
            <w:pPr>
              <w:widowControl/>
              <w:snapToGrid w:val="0"/>
              <w:spacing w:line="440" w:lineRule="exact"/>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（8）参与政府采购活动前3年内未被列入失信、重大税收违法案件、财政部门禁止参加政府采购活动的承诺书；</w:t>
            </w:r>
          </w:p>
          <w:p w14:paraId="1BEACBE3">
            <w:pPr>
              <w:widowControl/>
              <w:snapToGrid w:val="0"/>
              <w:spacing w:line="440" w:lineRule="exact"/>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（9）提供针对本次项目《反商业贿赂承诺书》。</w:t>
            </w:r>
          </w:p>
          <w:p w14:paraId="08982891">
            <w:pPr>
              <w:widowControl/>
              <w:snapToGrid w:val="0"/>
              <w:spacing w:line="440" w:lineRule="exact"/>
              <w:textAlignment w:val="baseline"/>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lang w:val="en-US" w:eastAsia="zh-CN"/>
              </w:rPr>
              <w:t>缴纳磋商保证金有效凭证。</w:t>
            </w:r>
          </w:p>
          <w:p w14:paraId="51C250A7">
            <w:pPr>
              <w:widowControl/>
              <w:snapToGrid w:val="0"/>
              <w:spacing w:line="440" w:lineRule="exact"/>
              <w:textAlignment w:val="baseline"/>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（11）中小企业声明函。</w:t>
            </w:r>
          </w:p>
          <w:p w14:paraId="6F953728">
            <w:pPr>
              <w:widowControl/>
              <w:snapToGrid w:val="0"/>
              <w:spacing w:line="440" w:lineRule="exac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1、“提供税务部门出具的近六个月任意一个月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供应商注意！</w:t>
            </w:r>
          </w:p>
          <w:p w14:paraId="003A124E">
            <w:pPr>
              <w:widowControl/>
              <w:snapToGrid w:val="0"/>
              <w:spacing w:line="440" w:lineRule="exact"/>
              <w:textAlignment w:val="baseline"/>
              <w:rPr>
                <w:rFonts w:hint="eastAsia" w:ascii="宋体" w:hAnsi="宋体" w:eastAsia="宋体" w:cs="宋体"/>
                <w:color w:val="auto"/>
                <w:szCs w:val="24"/>
                <w:highlight w:val="none"/>
              </w:rPr>
            </w:pPr>
            <w:r>
              <w:rPr>
                <w:rFonts w:hint="eastAsia" w:ascii="宋体" w:hAnsi="宋体" w:eastAsia="宋体" w:cs="宋体"/>
                <w:b/>
                <w:bCs/>
                <w:color w:val="auto"/>
                <w:sz w:val="24"/>
                <w:szCs w:val="24"/>
                <w:highlight w:val="none"/>
              </w:rPr>
              <w:t>2、提示：上述资质</w:t>
            </w:r>
            <w:r>
              <w:rPr>
                <w:rFonts w:hint="eastAsia" w:ascii="宋体" w:hAnsi="宋体" w:eastAsia="宋体" w:cs="宋体"/>
                <w:b/>
                <w:bCs/>
                <w:color w:val="auto"/>
                <w:sz w:val="24"/>
                <w:szCs w:val="24"/>
                <w:highlight w:val="none"/>
                <w:lang w:eastAsia="zh-CN"/>
              </w:rPr>
              <w:t>磋商现场</w:t>
            </w:r>
            <w:r>
              <w:rPr>
                <w:rFonts w:hint="eastAsia" w:ascii="宋体" w:hAnsi="宋体" w:eastAsia="宋体" w:cs="宋体"/>
                <w:b/>
                <w:bCs/>
                <w:color w:val="auto"/>
                <w:sz w:val="24"/>
                <w:szCs w:val="24"/>
                <w:highlight w:val="none"/>
              </w:rPr>
              <w:t>能够通过官方网络查证的，均视为合格供应商。未通过资格审查的供应商不进入</w:t>
            </w:r>
            <w:r>
              <w:rPr>
                <w:rFonts w:hint="eastAsia" w:ascii="宋体" w:hAnsi="宋体" w:eastAsia="宋体" w:cs="宋体"/>
                <w:b/>
                <w:bCs/>
                <w:color w:val="auto"/>
                <w:sz w:val="24"/>
                <w:szCs w:val="24"/>
                <w:highlight w:val="none"/>
                <w:lang w:eastAsia="zh-CN"/>
              </w:rPr>
              <w:t>评审</w:t>
            </w:r>
            <w:r>
              <w:rPr>
                <w:rFonts w:hint="eastAsia" w:ascii="宋体" w:hAnsi="宋体" w:eastAsia="宋体" w:cs="宋体"/>
                <w:b/>
                <w:bCs/>
                <w:color w:val="auto"/>
                <w:sz w:val="24"/>
                <w:szCs w:val="24"/>
                <w:highlight w:val="none"/>
              </w:rPr>
              <w:t>；通过资格审查的供应商少于不足三家的，不得</w:t>
            </w:r>
            <w:r>
              <w:rPr>
                <w:rFonts w:hint="eastAsia" w:ascii="宋体" w:hAnsi="宋体" w:eastAsia="宋体" w:cs="宋体"/>
                <w:b/>
                <w:bCs/>
                <w:color w:val="auto"/>
                <w:sz w:val="24"/>
                <w:szCs w:val="24"/>
                <w:highlight w:val="none"/>
                <w:lang w:eastAsia="zh-CN"/>
              </w:rPr>
              <w:t>评审</w:t>
            </w:r>
            <w:r>
              <w:rPr>
                <w:rFonts w:hint="eastAsia" w:ascii="宋体" w:hAnsi="宋体" w:eastAsia="宋体" w:cs="宋体"/>
                <w:b/>
                <w:bCs/>
                <w:color w:val="auto"/>
                <w:sz w:val="24"/>
                <w:szCs w:val="24"/>
                <w:highlight w:val="none"/>
              </w:rPr>
              <w:t>。</w:t>
            </w:r>
          </w:p>
        </w:tc>
      </w:tr>
      <w:tr w14:paraId="040C18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884" w:type="dxa"/>
            <w:vAlign w:val="center"/>
          </w:tcPr>
          <w:p w14:paraId="100BD92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1.3.5   </w:t>
            </w:r>
          </w:p>
        </w:tc>
        <w:tc>
          <w:tcPr>
            <w:tcW w:w="8715" w:type="dxa"/>
            <w:vAlign w:val="center"/>
          </w:tcPr>
          <w:p w14:paraId="54C4935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highlight w:val="none"/>
                <w:lang w:eastAsia="zh-CN"/>
              </w:rPr>
            </w:pPr>
            <w:r>
              <w:rPr>
                <w:rFonts w:hint="eastAsia" w:ascii="宋体" w:hAnsi="宋体" w:eastAsia="宋体" w:cs="宋体"/>
                <w:b w:val="0"/>
                <w:bCs w:val="0"/>
                <w:color w:val="auto"/>
                <w:sz w:val="24"/>
                <w:highlight w:val="none"/>
              </w:rPr>
              <w:t>是否允许采购进口产品：</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u w:val="single"/>
                <w:lang w:val="en-US" w:eastAsia="zh-CN"/>
              </w:rPr>
              <w:t>否</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（是、否）</w:t>
            </w:r>
          </w:p>
        </w:tc>
      </w:tr>
      <w:tr w14:paraId="54F9C2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884" w:type="dxa"/>
            <w:vMerge w:val="restart"/>
            <w:vAlign w:val="center"/>
          </w:tcPr>
          <w:p w14:paraId="637FCD0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1.3.6</w:t>
            </w:r>
          </w:p>
        </w:tc>
        <w:tc>
          <w:tcPr>
            <w:tcW w:w="8715" w:type="dxa"/>
            <w:vAlign w:val="center"/>
          </w:tcPr>
          <w:p w14:paraId="585A542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是否为专门面向中小企业采购：</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是</w:t>
            </w:r>
            <w:r>
              <w:rPr>
                <w:rFonts w:hint="eastAsia" w:ascii="宋体" w:hAnsi="宋体" w:eastAsia="宋体" w:cs="宋体"/>
                <w:color w:val="auto"/>
                <w:sz w:val="24"/>
                <w:highlight w:val="none"/>
                <w:u w:val="single"/>
              </w:rPr>
              <w:t xml:space="preserve">  </w:t>
            </w:r>
            <w:r>
              <w:rPr>
                <w:rFonts w:hint="eastAsia" w:ascii="宋体" w:hAnsi="宋体" w:eastAsia="宋体" w:cs="宋体"/>
                <w:i/>
                <w:color w:val="auto"/>
                <w:sz w:val="24"/>
                <w:highlight w:val="none"/>
              </w:rPr>
              <w:t>（是、否）</w:t>
            </w:r>
          </w:p>
        </w:tc>
      </w:tr>
      <w:tr w14:paraId="4F10E5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884" w:type="dxa"/>
            <w:vMerge w:val="continue"/>
            <w:vAlign w:val="center"/>
          </w:tcPr>
          <w:p w14:paraId="07DCBA9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highlight w:val="none"/>
              </w:rPr>
            </w:pPr>
          </w:p>
        </w:tc>
        <w:tc>
          <w:tcPr>
            <w:tcW w:w="8715" w:type="dxa"/>
            <w:vAlign w:val="center"/>
          </w:tcPr>
          <w:p w14:paraId="00550C90">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所属行业：</w:t>
            </w:r>
            <w:r>
              <w:rPr>
                <w:rFonts w:hint="eastAsia" w:ascii="宋体" w:hAnsi="宋体" w:cs="宋体"/>
                <w:b/>
                <w:bCs/>
                <w:color w:val="auto"/>
                <w:sz w:val="24"/>
                <w:highlight w:val="none"/>
                <w:lang w:val="en-US" w:eastAsia="zh-CN"/>
              </w:rPr>
              <w:t>本项目属于建筑业</w:t>
            </w:r>
          </w:p>
        </w:tc>
      </w:tr>
      <w:tr w14:paraId="35C248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884" w:type="dxa"/>
            <w:vAlign w:val="center"/>
          </w:tcPr>
          <w:p w14:paraId="265F6C6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8715" w:type="dxa"/>
            <w:vAlign w:val="center"/>
          </w:tcPr>
          <w:p w14:paraId="5ED2635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是否允许联合体投标：</w:t>
            </w:r>
            <w:r>
              <w:rPr>
                <w:rFonts w:hint="eastAsia" w:ascii="宋体" w:hAnsi="宋体" w:eastAsia="宋体" w:cs="宋体"/>
                <w:color w:val="auto"/>
                <w:sz w:val="24"/>
                <w:highlight w:val="none"/>
                <w:u w:val="single"/>
              </w:rPr>
              <w:t xml:space="preserve">  否  </w:t>
            </w:r>
            <w:r>
              <w:rPr>
                <w:rFonts w:hint="eastAsia" w:ascii="宋体" w:hAnsi="宋体" w:eastAsia="宋体" w:cs="宋体"/>
                <w:i/>
                <w:color w:val="auto"/>
                <w:sz w:val="24"/>
                <w:highlight w:val="none"/>
              </w:rPr>
              <w:t>（是、否）</w:t>
            </w:r>
          </w:p>
        </w:tc>
      </w:tr>
      <w:tr w14:paraId="071E00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884" w:type="dxa"/>
            <w:vAlign w:val="center"/>
          </w:tcPr>
          <w:p w14:paraId="3C04693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1.4.8</w:t>
            </w:r>
          </w:p>
        </w:tc>
        <w:tc>
          <w:tcPr>
            <w:tcW w:w="8715" w:type="dxa"/>
            <w:vAlign w:val="center"/>
          </w:tcPr>
          <w:p w14:paraId="572762E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联合体的其他资格要求：无</w:t>
            </w:r>
          </w:p>
        </w:tc>
      </w:tr>
      <w:tr w14:paraId="1267CF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0" w:hRule="atLeast"/>
        </w:trPr>
        <w:tc>
          <w:tcPr>
            <w:tcW w:w="884" w:type="dxa"/>
            <w:vAlign w:val="center"/>
          </w:tcPr>
          <w:p w14:paraId="6846BE1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p>
        </w:tc>
        <w:tc>
          <w:tcPr>
            <w:tcW w:w="8715" w:type="dxa"/>
            <w:vAlign w:val="center"/>
          </w:tcPr>
          <w:p w14:paraId="17FCF55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预算金额（元）：3526354.00元</w:t>
            </w:r>
            <w:r>
              <w:rPr>
                <w:rFonts w:hint="eastAsia" w:ascii="宋体" w:hAnsi="宋体" w:cs="宋体"/>
                <w:b/>
                <w:bCs/>
                <w:color w:val="auto"/>
                <w:sz w:val="24"/>
                <w:highlight w:val="none"/>
                <w:lang w:val="en-US" w:eastAsia="zh-CN"/>
              </w:rPr>
              <w:t>；</w:t>
            </w:r>
          </w:p>
          <w:p w14:paraId="491D6CB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sz w:val="24"/>
                <w:highlight w:val="none"/>
                <w:lang w:val="en-US" w:eastAsia="zh-CN"/>
              </w:rPr>
              <w:t>最高限价（元）：3526354.00元</w:t>
            </w:r>
            <w:r>
              <w:rPr>
                <w:rFonts w:hint="eastAsia" w:ascii="宋体" w:hAnsi="宋体" w:cs="宋体"/>
                <w:b/>
                <w:bCs/>
                <w:color w:val="auto"/>
                <w:spacing w:val="-2"/>
                <w:sz w:val="24"/>
                <w:szCs w:val="24"/>
                <w:highlight w:val="none"/>
                <w:lang w:eastAsia="zh-CN"/>
              </w:rPr>
              <w:t>。</w:t>
            </w:r>
          </w:p>
        </w:tc>
      </w:tr>
      <w:tr w14:paraId="14B468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01" w:hRule="atLeast"/>
        </w:trPr>
        <w:tc>
          <w:tcPr>
            <w:tcW w:w="884" w:type="dxa"/>
            <w:vAlign w:val="center"/>
          </w:tcPr>
          <w:p w14:paraId="089A3A8D">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12.1</w:t>
            </w:r>
          </w:p>
        </w:tc>
        <w:tc>
          <w:tcPr>
            <w:tcW w:w="8715" w:type="dxa"/>
            <w:vAlign w:val="center"/>
          </w:tcPr>
          <w:p w14:paraId="295E5FA9">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根据《政府采购</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rPr>
              <w:t>和服务招标投标管理办法》 财政部87号令第三十八条：</w:t>
            </w:r>
          </w:p>
          <w:p w14:paraId="4BE3ECE7">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磋商保证金</w:t>
            </w:r>
            <w:r>
              <w:rPr>
                <w:rFonts w:hint="eastAsia" w:ascii="宋体" w:hAnsi="宋体" w:eastAsia="宋体" w:cs="宋体"/>
                <w:color w:val="auto"/>
                <w:sz w:val="24"/>
                <w:highlight w:val="none"/>
              </w:rPr>
              <w:t>形式：保函</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电汇</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支票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对公转账  </w:t>
            </w:r>
          </w:p>
          <w:p w14:paraId="45391040">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磋商保证金</w:t>
            </w:r>
            <w:r>
              <w:rPr>
                <w:rFonts w:hint="eastAsia" w:ascii="宋体" w:hAnsi="宋体" w:eastAsia="宋体" w:cs="宋体"/>
                <w:color w:val="auto"/>
                <w:sz w:val="24"/>
                <w:highlight w:val="none"/>
              </w:rPr>
              <w:t>数额</w:t>
            </w:r>
            <w:r>
              <w:rPr>
                <w:rFonts w:hint="eastAsia" w:ascii="宋体" w:hAnsi="宋体" w:eastAsia="宋体" w:cs="宋体"/>
                <w:color w:val="auto"/>
                <w:sz w:val="24"/>
                <w:highlight w:val="none"/>
                <w:u w:val="none"/>
              </w:rPr>
              <w:t>：</w:t>
            </w:r>
            <w:r>
              <w:rPr>
                <w:rFonts w:hint="eastAsia" w:ascii="宋体" w:hAnsi="宋体" w:eastAsia="宋体" w:cs="宋体"/>
                <w:b/>
                <w:bCs/>
                <w:color w:val="auto"/>
                <w:sz w:val="24"/>
                <w:highlight w:val="none"/>
                <w:u w:val="single"/>
              </w:rPr>
              <w:t>¥</w:t>
            </w:r>
            <w:r>
              <w:rPr>
                <w:rFonts w:hint="eastAsia" w:ascii="宋体" w:hAnsi="宋体" w:cs="宋体"/>
                <w:b/>
                <w:bCs/>
                <w:color w:val="auto"/>
                <w:sz w:val="24"/>
                <w:highlight w:val="none"/>
                <w:u w:val="single"/>
                <w:lang w:val="en-US" w:eastAsia="zh-CN"/>
              </w:rPr>
              <w:t>70000</w:t>
            </w:r>
            <w:r>
              <w:rPr>
                <w:rFonts w:hint="eastAsia" w:ascii="宋体" w:hAnsi="宋体" w:eastAsia="宋体" w:cs="宋体"/>
                <w:b/>
                <w:bCs/>
                <w:color w:val="auto"/>
                <w:sz w:val="24"/>
                <w:highlight w:val="none"/>
                <w:u w:val="single"/>
              </w:rPr>
              <w:t>元（人民币</w:t>
            </w:r>
            <w:r>
              <w:rPr>
                <w:rFonts w:hint="eastAsia" w:ascii="宋体" w:hAnsi="宋体" w:cs="宋体"/>
                <w:b/>
                <w:bCs/>
                <w:color w:val="auto"/>
                <w:sz w:val="24"/>
                <w:highlight w:val="none"/>
                <w:u w:val="single"/>
                <w:lang w:val="en-US" w:eastAsia="zh-CN"/>
              </w:rPr>
              <w:t>柒万元整</w:t>
            </w:r>
            <w:r>
              <w:rPr>
                <w:rFonts w:hint="eastAsia" w:ascii="宋体" w:hAnsi="宋体" w:eastAsia="宋体" w:cs="宋体"/>
                <w:b/>
                <w:bCs/>
                <w:color w:val="auto"/>
                <w:sz w:val="24"/>
                <w:highlight w:val="none"/>
                <w:u w:val="single"/>
              </w:rPr>
              <w:t>）；</w:t>
            </w:r>
          </w:p>
          <w:p w14:paraId="1331E6C3">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（按照预算金额2%以内的整数计算）</w:t>
            </w:r>
          </w:p>
          <w:p w14:paraId="4A84AD92">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保证金收款人：</w:t>
            </w:r>
          </w:p>
          <w:p w14:paraId="2095C488">
            <w:pPr>
              <w:spacing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单位名称：</w:t>
            </w:r>
            <w:r>
              <w:rPr>
                <w:rFonts w:hint="eastAsia" w:ascii="宋体" w:hAnsi="宋体" w:cs="宋体"/>
                <w:b/>
                <w:bCs/>
                <w:color w:val="auto"/>
                <w:sz w:val="24"/>
                <w:highlight w:val="none"/>
                <w:lang w:eastAsia="zh-CN"/>
              </w:rPr>
              <w:t>新疆合铭项目管理有限公司</w:t>
            </w:r>
          </w:p>
          <w:p w14:paraId="4D42FE8C">
            <w:pPr>
              <w:spacing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开 户 行：</w:t>
            </w:r>
            <w:r>
              <w:rPr>
                <w:rFonts w:hint="eastAsia" w:ascii="宋体" w:hAnsi="宋体" w:eastAsia="宋体" w:cs="宋体"/>
                <w:b/>
                <w:bCs/>
                <w:color w:val="auto"/>
                <w:sz w:val="24"/>
                <w:highlight w:val="none"/>
                <w:lang w:val="en-US" w:eastAsia="zh-CN"/>
              </w:rPr>
              <w:t>中国农业银行股份有限公司乌鲁木齐苏州路支行</w:t>
            </w:r>
          </w:p>
          <w:p w14:paraId="5DF09956">
            <w:pPr>
              <w:spacing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账    号：</w:t>
            </w:r>
            <w:r>
              <w:rPr>
                <w:rFonts w:hint="eastAsia" w:ascii="宋体" w:hAnsi="宋体" w:eastAsia="宋体" w:cs="宋体"/>
                <w:b/>
                <w:bCs/>
                <w:color w:val="auto"/>
                <w:sz w:val="24"/>
                <w:highlight w:val="none"/>
                <w:lang w:val="en-US" w:eastAsia="zh-CN"/>
              </w:rPr>
              <w:t>3000 6601 0400 11412</w:t>
            </w:r>
            <w:r>
              <w:rPr>
                <w:rFonts w:hint="eastAsia" w:ascii="宋体" w:hAnsi="宋体" w:eastAsia="宋体" w:cs="宋体"/>
                <w:b/>
                <w:bCs/>
                <w:color w:val="auto"/>
                <w:sz w:val="24"/>
                <w:szCs w:val="24"/>
                <w:highlight w:val="none"/>
              </w:rPr>
              <w:t>（电汇时请在汇款备注栏注明项目名称及包号（如有），并注明是</w:t>
            </w:r>
            <w:r>
              <w:rPr>
                <w:rFonts w:hint="eastAsia" w:ascii="宋体" w:hAnsi="宋体" w:eastAsia="宋体" w:cs="宋体"/>
                <w:b/>
                <w:bCs/>
                <w:color w:val="auto"/>
                <w:sz w:val="24"/>
                <w:szCs w:val="24"/>
                <w:highlight w:val="none"/>
                <w:lang w:eastAsia="zh-CN"/>
              </w:rPr>
              <w:t>磋商保证金</w:t>
            </w:r>
            <w:r>
              <w:rPr>
                <w:rFonts w:hint="eastAsia" w:ascii="宋体" w:hAnsi="宋体" w:eastAsia="宋体" w:cs="宋体"/>
                <w:b/>
                <w:bCs/>
                <w:color w:val="auto"/>
                <w:sz w:val="24"/>
                <w:szCs w:val="24"/>
                <w:highlight w:val="none"/>
              </w:rPr>
              <w:t>，否则视为无效</w:t>
            </w:r>
            <w:r>
              <w:rPr>
                <w:rFonts w:hint="eastAsia" w:ascii="宋体" w:hAnsi="宋体" w:eastAsia="宋体" w:cs="宋体"/>
                <w:b/>
                <w:bCs/>
                <w:color w:val="auto"/>
                <w:sz w:val="24"/>
                <w:szCs w:val="24"/>
                <w:highlight w:val="none"/>
                <w:lang w:eastAsia="zh-CN"/>
              </w:rPr>
              <w:t>磋商保证金</w:t>
            </w:r>
            <w:r>
              <w:rPr>
                <w:rFonts w:hint="eastAsia" w:ascii="宋体" w:hAnsi="宋体" w:eastAsia="宋体" w:cs="宋体"/>
                <w:b/>
                <w:bCs/>
                <w:color w:val="auto"/>
                <w:sz w:val="24"/>
                <w:szCs w:val="24"/>
                <w:highlight w:val="none"/>
              </w:rPr>
              <w:t>。）  </w:t>
            </w:r>
            <w:r>
              <w:rPr>
                <w:rFonts w:hint="eastAsia" w:ascii="宋体" w:hAnsi="宋体" w:eastAsia="宋体" w:cs="宋体"/>
                <w:b/>
                <w:bCs/>
                <w:color w:val="auto"/>
                <w:sz w:val="24"/>
                <w:highlight w:val="none"/>
              </w:rPr>
              <w:t>  </w:t>
            </w:r>
          </w:p>
          <w:p w14:paraId="7B8E6735">
            <w:pPr>
              <w:spacing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行  号：</w:t>
            </w:r>
            <w:r>
              <w:rPr>
                <w:rFonts w:hint="eastAsia" w:ascii="宋体" w:hAnsi="宋体" w:cs="宋体"/>
                <w:b/>
                <w:bCs/>
                <w:color w:val="auto"/>
                <w:sz w:val="24"/>
                <w:highlight w:val="none"/>
                <w:lang w:val="en-US" w:eastAsia="zh-CN"/>
              </w:rPr>
              <w:t>103881000662</w:t>
            </w:r>
          </w:p>
          <w:p w14:paraId="5CEAD358">
            <w:pPr>
              <w:spacing w:line="400" w:lineRule="exact"/>
              <w:jc w:val="left"/>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财务室联系人及联系方式：</w:t>
            </w:r>
            <w:r>
              <w:rPr>
                <w:rFonts w:hint="eastAsia" w:ascii="宋体" w:hAnsi="宋体" w:cs="宋体"/>
                <w:b/>
                <w:bCs/>
                <w:color w:val="auto"/>
                <w:sz w:val="24"/>
                <w:highlight w:val="none"/>
                <w:lang w:eastAsia="zh-CN"/>
              </w:rPr>
              <w:t>17799762638</w:t>
            </w:r>
          </w:p>
          <w:p w14:paraId="57445B3C">
            <w:pPr>
              <w:spacing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A:缴纳磋商保证金要求：供应商向银行办理磋商保证金汇（转）款时，应在用途栏（备注栏）注明项目名称及包号（如有），并注明是磋商保证金字样，如填写字数有要求可简写项目名称与包号（如有），由于未按要求注明信息而导致的一切后果由供应商自行承担。</w:t>
            </w:r>
          </w:p>
          <w:p w14:paraId="6B0787C1">
            <w:pPr>
              <w:spacing w:line="400" w:lineRule="exact"/>
              <w:jc w:val="left"/>
              <w:rPr>
                <w:rFonts w:hint="eastAsia" w:ascii="宋体" w:hAnsi="宋体" w:eastAsia="宋体" w:cs="宋体"/>
                <w:color w:val="auto"/>
                <w:sz w:val="24"/>
                <w:highlight w:val="none"/>
              </w:rPr>
            </w:pPr>
            <w:r>
              <w:rPr>
                <w:rFonts w:hint="eastAsia" w:ascii="宋体" w:hAnsi="宋体" w:eastAsia="宋体" w:cs="宋体"/>
                <w:b/>
                <w:bCs/>
                <w:color w:val="auto"/>
                <w:sz w:val="24"/>
                <w:szCs w:val="24"/>
                <w:highlight w:val="none"/>
              </w:rPr>
              <w:t>B：退磋商保证金：（1）开</w:t>
            </w:r>
            <w:r>
              <w:rPr>
                <w:rFonts w:hint="eastAsia" w:ascii="宋体" w:hAnsi="宋体" w:eastAsia="宋体" w:cs="宋体"/>
                <w:b/>
                <w:bCs/>
                <w:color w:val="auto"/>
                <w:sz w:val="24"/>
                <w:szCs w:val="24"/>
                <w:highlight w:val="none"/>
                <w:lang w:eastAsia="zh-CN"/>
              </w:rPr>
              <w:t>评审</w:t>
            </w:r>
            <w:r>
              <w:rPr>
                <w:rFonts w:hint="eastAsia" w:ascii="宋体" w:hAnsi="宋体" w:eastAsia="宋体" w:cs="宋体"/>
                <w:b/>
                <w:bCs/>
                <w:color w:val="auto"/>
                <w:sz w:val="24"/>
                <w:szCs w:val="24"/>
                <w:highlight w:val="none"/>
              </w:rPr>
              <w:t>结束后，未成交供应商的磋商保证金将在5个工作日内退回原账户，供应商不需办理任何手续。（2）</w:t>
            </w:r>
            <w:r>
              <w:rPr>
                <w:rFonts w:hint="eastAsia" w:ascii="宋体" w:hAnsi="宋体" w:eastAsia="宋体" w:cs="宋体"/>
                <w:b/>
                <w:bCs/>
                <w:color w:val="auto"/>
                <w:sz w:val="24"/>
                <w:szCs w:val="24"/>
                <w:highlight w:val="none"/>
                <w:lang w:eastAsia="zh-CN"/>
              </w:rPr>
              <w:t>成交</w:t>
            </w:r>
            <w:r>
              <w:rPr>
                <w:rFonts w:hint="eastAsia" w:ascii="宋体" w:hAnsi="宋体" w:eastAsia="宋体" w:cs="宋体"/>
                <w:b/>
                <w:bCs/>
                <w:color w:val="auto"/>
                <w:sz w:val="24"/>
                <w:szCs w:val="24"/>
                <w:highlight w:val="none"/>
              </w:rPr>
              <w:t>供应商的保证金在与采购人签订合同后，把合同扫描件发送至邮箱</w:t>
            </w:r>
            <w:r>
              <w:rPr>
                <w:rFonts w:hint="eastAsia" w:ascii="宋体" w:hAnsi="宋体" w:cs="宋体"/>
                <w:b/>
                <w:bCs/>
                <w:color w:val="auto"/>
                <w:sz w:val="24"/>
                <w:szCs w:val="24"/>
                <w:highlight w:val="none"/>
                <w:lang w:val="en-US" w:eastAsia="zh-CN"/>
              </w:rPr>
              <w:t>1728757865</w:t>
            </w:r>
            <w:r>
              <w:rPr>
                <w:rFonts w:hint="eastAsia" w:ascii="宋体" w:hAnsi="宋体" w:eastAsia="宋体" w:cs="宋体"/>
                <w:b/>
                <w:bCs/>
                <w:color w:val="auto"/>
                <w:sz w:val="24"/>
                <w:szCs w:val="24"/>
                <w:highlight w:val="none"/>
              </w:rPr>
              <w:t>@qq.com</w:t>
            </w:r>
            <w:r>
              <w:rPr>
                <w:rFonts w:hint="eastAsia" w:ascii="宋体" w:hAnsi="宋体" w:cs="宋体"/>
                <w:b/>
                <w:bCs/>
                <w:color w:val="auto"/>
                <w:sz w:val="24"/>
                <w:szCs w:val="24"/>
                <w:highlight w:val="none"/>
                <w:lang w:eastAsia="zh-CN"/>
              </w:rPr>
              <w:t>，待合同公示完成后，</w:t>
            </w:r>
            <w:r>
              <w:rPr>
                <w:rFonts w:hint="eastAsia" w:ascii="宋体" w:hAnsi="宋体" w:eastAsia="宋体" w:cs="宋体"/>
                <w:b/>
                <w:bCs/>
                <w:color w:val="auto"/>
                <w:sz w:val="24"/>
                <w:szCs w:val="24"/>
                <w:highlight w:val="none"/>
              </w:rPr>
              <w:t>当日或次日原账户退回。</w:t>
            </w:r>
          </w:p>
        </w:tc>
      </w:tr>
      <w:tr w14:paraId="190C78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884" w:type="dxa"/>
            <w:vAlign w:val="center"/>
          </w:tcPr>
          <w:p w14:paraId="2A49446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13.1</w:t>
            </w:r>
          </w:p>
        </w:tc>
        <w:tc>
          <w:tcPr>
            <w:tcW w:w="8715" w:type="dxa"/>
            <w:vAlign w:val="center"/>
          </w:tcPr>
          <w:p w14:paraId="73C5ACAA">
            <w:pPr>
              <w:spacing w:line="4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投标有效期：</w:t>
            </w:r>
            <w:r>
              <w:rPr>
                <w:rFonts w:hint="eastAsia" w:ascii="宋体" w:hAnsi="宋体" w:eastAsia="宋体" w:cs="宋体"/>
                <w:color w:val="auto"/>
                <w:sz w:val="24"/>
                <w:highlight w:val="none"/>
                <w:u w:val="single"/>
              </w:rPr>
              <w:t>　60　</w:t>
            </w:r>
            <w:r>
              <w:rPr>
                <w:rFonts w:hint="eastAsia" w:ascii="宋体" w:hAnsi="宋体" w:eastAsia="宋体" w:cs="宋体"/>
                <w:color w:val="auto"/>
                <w:sz w:val="24"/>
                <w:highlight w:val="none"/>
              </w:rPr>
              <w:t>日历日</w:t>
            </w:r>
          </w:p>
        </w:tc>
      </w:tr>
      <w:tr w14:paraId="2A4C3A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77" w:hRule="atLeast"/>
        </w:trPr>
        <w:tc>
          <w:tcPr>
            <w:tcW w:w="884" w:type="dxa"/>
            <w:vAlign w:val="center"/>
          </w:tcPr>
          <w:p w14:paraId="5CB614C1">
            <w:pPr>
              <w:keepNext w:val="0"/>
              <w:keepLines w:val="0"/>
              <w:pageBreakBefore w:val="0"/>
              <w:widowControl w:val="0"/>
              <w:kinsoku/>
              <w:wordWrap/>
              <w:overflowPunct/>
              <w:topLinePunct w:val="0"/>
              <w:bidi w:val="0"/>
              <w:snapToGrid/>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14.1</w:t>
            </w:r>
          </w:p>
        </w:tc>
        <w:tc>
          <w:tcPr>
            <w:tcW w:w="8715" w:type="dxa"/>
            <w:vAlign w:val="center"/>
          </w:tcPr>
          <w:p w14:paraId="371B163D">
            <w:pPr>
              <w:keepNext w:val="0"/>
              <w:keepLines w:val="0"/>
              <w:pageBreakBefore w:val="0"/>
              <w:widowControl w:val="0"/>
              <w:kinsoku/>
              <w:wordWrap/>
              <w:overflowPunct/>
              <w:topLinePunct w:val="0"/>
              <w:bidi w:val="0"/>
              <w:snapToGrid/>
              <w:spacing w:line="440" w:lineRule="exact"/>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1.本项目为电子招投标，供应商需要使用 CA 加密设备，凡参加本项目必须可自主通过新疆 CA 申领渠道“新疆政务通”申请政采云平台可使用的 CA 设备，如原有兵团或公共资源使用的 CA，可与新疆 CA 联系，申请增加电子证书即可，无需重复申领。</w:t>
            </w:r>
          </w:p>
          <w:p w14:paraId="7791CD0B">
            <w:pPr>
              <w:keepNext w:val="0"/>
              <w:keepLines w:val="0"/>
              <w:pageBreakBefore w:val="0"/>
              <w:widowControl w:val="0"/>
              <w:kinsoku/>
              <w:wordWrap/>
              <w:overflowPunct/>
              <w:topLinePunct w:val="0"/>
              <w:bidi w:val="0"/>
              <w:snapToGrid/>
              <w:spacing w:line="440" w:lineRule="exact"/>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2.本项目实行网上投标，采用电子投标文件(供应商须使用 CA 加密设备通过政采云电子投标客户端制作投标文件)。若供应商参与投标，自行承担投标一切费用。</w:t>
            </w:r>
          </w:p>
          <w:p w14:paraId="46F3106E">
            <w:pPr>
              <w:keepNext w:val="0"/>
              <w:keepLines w:val="0"/>
              <w:pageBreakBefore w:val="0"/>
              <w:widowControl w:val="0"/>
              <w:kinsoku/>
              <w:wordWrap/>
              <w:overflowPunct/>
              <w:topLinePunct w:val="0"/>
              <w:bidi w:val="0"/>
              <w:snapToGrid/>
              <w:spacing w:line="440" w:lineRule="exact"/>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3.各供应商应在开标前应确保成为新疆政府采购网正式注册入库供应商，并完成 CA 数字证书申领。因未注册入库、未办理 CA 数字证书等原因造成无法投标或投标失败等后果由供应商自行承担。</w:t>
            </w:r>
          </w:p>
          <w:p w14:paraId="15DD15B8">
            <w:pPr>
              <w:keepNext w:val="0"/>
              <w:keepLines w:val="0"/>
              <w:pageBreakBefore w:val="0"/>
              <w:widowControl w:val="0"/>
              <w:kinsoku/>
              <w:wordWrap/>
              <w:overflowPunct/>
              <w:topLinePunct w:val="0"/>
              <w:bidi w:val="0"/>
              <w:snapToGrid/>
              <w:spacing w:line="440" w:lineRule="exact"/>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4.供应商将政采云电子交易客户端下载、安装完成后，可通过账号密码或 CA 登录客户端进行投标文件制作。在使用政采云投标客户端时，建议使用WIN7及以上操作系统。客户端请至新疆政府采购网（http://www.ccgp-xinjiang.gov.cn/）下载专区查看，如有问题可拨打政采云客户服务热线 95763 进行咨询。</w:t>
            </w:r>
          </w:p>
          <w:p w14:paraId="71077433">
            <w:pPr>
              <w:keepNext w:val="0"/>
              <w:keepLines w:val="0"/>
              <w:pageBreakBefore w:val="0"/>
              <w:widowControl w:val="0"/>
              <w:kinsoku/>
              <w:wordWrap/>
              <w:overflowPunct/>
              <w:topLinePunct w:val="0"/>
              <w:bidi w:val="0"/>
              <w:snapToGrid/>
              <w:spacing w:line="440" w:lineRule="exact"/>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5.供应商在开标时须使用制作加密电子投标文件所使用的 CA 锁及电脑，电脑须提前配置好浏览器（建议使用谷歌浏览器或 360 浏览器），以便开标时解锁。</w:t>
            </w:r>
          </w:p>
          <w:p w14:paraId="347EE479">
            <w:pPr>
              <w:keepNext w:val="0"/>
              <w:keepLines w:val="0"/>
              <w:pageBreakBefore w:val="0"/>
              <w:widowControl w:val="0"/>
              <w:kinsoku/>
              <w:wordWrap/>
              <w:overflowPunct/>
              <w:topLinePunct w:val="0"/>
              <w:bidi w:val="0"/>
              <w:snapToGrid/>
              <w:spacing w:line="440" w:lineRule="exact"/>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6.投标保证金缴纳及确认时间：凡拟参加本次招标项目的供应商，必须在开标前将投标保证金汇入指定账户。投标保证金汇款凭证上用途栏应注明:招标项目名称 +标项号 +投标保证金。否则，届时其投标将被拒绝。</w:t>
            </w:r>
          </w:p>
          <w:p w14:paraId="77CEF8FA">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7.供应商对不见面开评标系统的技术操作咨询，可通过https://edu.zcygov.cn/luban/xinjiang-e-biding 自助查询，也可在政采云帮助中心常见问题解答和操作流程讲解视频中自助查询，网址为：https://service.zcygov.cn/#/help ，“项目采购”—“操作流程-电子招投标”—“政府采购项目电子交易管理操作指南-供应商”版面获取操作指南，同时对自助查询无法解决的问题可通过钉钉群及政采云在线客服获取服务支持。供应商钉钉群号：政采云新疆供应商服务 1 号群： 30349928.（如已加入 1-11 群，无需重复加入，十一个群联动直播），钉钉工具软件具有回放功能，直播培训结束后可在钉钉群中回放观看学习。</w:t>
            </w:r>
          </w:p>
          <w:p w14:paraId="5AF0B44E">
            <w:pPr>
              <w:keepNext w:val="0"/>
              <w:keepLines w:val="0"/>
              <w:pageBreakBefore w:val="0"/>
              <w:widowControl w:val="0"/>
              <w:kinsoku/>
              <w:wordWrap/>
              <w:overflowPunct/>
              <w:topLinePunct w:val="0"/>
              <w:bidi w:val="0"/>
              <w:snapToGrid/>
              <w:spacing w:line="440" w:lineRule="exact"/>
              <w:jc w:val="left"/>
              <w:textAlignment w:val="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8.</w:t>
            </w:r>
            <w:r>
              <w:rPr>
                <w:rFonts w:hint="eastAsia" w:ascii="宋体" w:hAnsi="宋体" w:eastAsia="宋体" w:cs="宋体"/>
                <w:b/>
                <w:bCs/>
                <w:color w:val="auto"/>
                <w:sz w:val="24"/>
                <w:highlight w:val="none"/>
              </w:rPr>
              <w:t>各供应商须在投标截止时间前完成在系统上递交电子</w:t>
            </w: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。投标供应商的电子</w:t>
            </w: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是经过CA证书加密后上传提交的，任何单位或个人均无法在投标截止时间(即开标时间)之前查看或篡改，不存在泄密风险。（严格按照政采云电子投标流程制作并上传电子</w:t>
            </w: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w:t>
            </w:r>
          </w:p>
          <w:p w14:paraId="42A6E45C">
            <w:pPr>
              <w:keepNext w:val="0"/>
              <w:keepLines w:val="0"/>
              <w:pageBreakBefore w:val="0"/>
              <w:widowControl w:val="0"/>
              <w:kinsoku/>
              <w:wordWrap/>
              <w:overflowPunct/>
              <w:topLinePunct w:val="0"/>
              <w:bidi w:val="0"/>
              <w:snapToGrid/>
              <w:spacing w:line="440" w:lineRule="exact"/>
              <w:jc w:val="left"/>
              <w:textAlignment w:val="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9.</w:t>
            </w:r>
            <w:r>
              <w:rPr>
                <w:rFonts w:hint="eastAsia" w:ascii="宋体" w:hAnsi="宋体" w:eastAsia="宋体" w:cs="宋体"/>
                <w:b/>
                <w:bCs/>
                <w:color w:val="auto"/>
                <w:sz w:val="24"/>
                <w:highlight w:val="none"/>
              </w:rPr>
              <w:t>各供应商在投标截止时间前将“</w:t>
            </w: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”上传至政采云平台。</w:t>
            </w: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包括“</w:t>
            </w:r>
            <w:r>
              <w:rPr>
                <w:rFonts w:hint="eastAsia" w:ascii="宋体" w:hAnsi="宋体" w:eastAsia="宋体" w:cs="宋体"/>
                <w:b/>
                <w:bCs/>
                <w:color w:val="auto"/>
                <w:sz w:val="24"/>
                <w:highlight w:val="none"/>
                <w:lang w:eastAsia="zh-CN"/>
              </w:rPr>
              <w:t>磋商一览表</w:t>
            </w:r>
            <w:r>
              <w:rPr>
                <w:rFonts w:hint="eastAsia" w:ascii="宋体" w:hAnsi="宋体" w:eastAsia="宋体" w:cs="宋体"/>
                <w:b/>
                <w:bCs/>
                <w:color w:val="auto"/>
                <w:sz w:val="24"/>
                <w:highlight w:val="none"/>
              </w:rPr>
              <w:t>及资格证明文件”与“商务及技术文件”两部分合并成一册。</w:t>
            </w: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应按照</w:t>
            </w:r>
            <w:r>
              <w:rPr>
                <w:rFonts w:hint="eastAsia" w:ascii="宋体" w:hAnsi="宋体" w:eastAsia="宋体" w:cs="宋体"/>
                <w:b/>
                <w:bCs/>
                <w:color w:val="auto"/>
                <w:sz w:val="24"/>
                <w:highlight w:val="none"/>
                <w:lang w:eastAsia="zh-CN"/>
              </w:rPr>
              <w:t>磋商文件</w:t>
            </w:r>
            <w:r>
              <w:rPr>
                <w:rFonts w:hint="eastAsia" w:ascii="宋体" w:hAnsi="宋体" w:eastAsia="宋体" w:cs="宋体"/>
                <w:b/>
                <w:bCs/>
                <w:color w:val="auto"/>
                <w:sz w:val="24"/>
                <w:highlight w:val="none"/>
              </w:rPr>
              <w:t>规定的格式填写、签署和盖章，并以</w:t>
            </w:r>
            <w:r>
              <w:rPr>
                <w:rFonts w:hint="eastAsia" w:ascii="宋体" w:hAnsi="宋体" w:eastAsia="宋体" w:cs="宋体"/>
                <w:b/>
                <w:bCs/>
                <w:color w:val="auto"/>
                <w:sz w:val="24"/>
                <w:highlight w:val="none"/>
                <w:lang w:val="en-US" w:eastAsia="zh-CN"/>
              </w:rPr>
              <w:t>政采云规定的</w:t>
            </w:r>
            <w:r>
              <w:rPr>
                <w:rFonts w:hint="eastAsia" w:ascii="宋体" w:hAnsi="宋体" w:eastAsia="宋体" w:cs="宋体"/>
                <w:b/>
                <w:bCs/>
                <w:color w:val="auto"/>
                <w:sz w:val="24"/>
                <w:highlight w:val="none"/>
              </w:rPr>
              <w:t>格式上传至政采云开评标平台（</w:t>
            </w: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为正本扫描件）。</w:t>
            </w:r>
          </w:p>
          <w:p w14:paraId="36DE2E60">
            <w:pPr>
              <w:keepNext w:val="0"/>
              <w:keepLines w:val="0"/>
              <w:pageBreakBefore w:val="0"/>
              <w:widowControl w:val="0"/>
              <w:kinsoku/>
              <w:wordWrap/>
              <w:overflowPunct/>
              <w:topLinePunct w:val="0"/>
              <w:bidi w:val="0"/>
              <w:snapToGrid/>
              <w:spacing w:line="440" w:lineRule="exact"/>
              <w:jc w:val="left"/>
              <w:textAlignment w:val="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10.</w:t>
            </w:r>
            <w:r>
              <w:rPr>
                <w:rFonts w:hint="eastAsia" w:ascii="宋体" w:hAnsi="宋体" w:eastAsia="宋体" w:cs="宋体"/>
                <w:b/>
                <w:bCs/>
                <w:color w:val="auto"/>
                <w:sz w:val="24"/>
                <w:highlight w:val="none"/>
              </w:rPr>
              <w:t>所有投标供应商应在</w:t>
            </w:r>
            <w:r>
              <w:rPr>
                <w:rFonts w:hint="eastAsia" w:ascii="宋体" w:hAnsi="宋体" w:eastAsia="宋体" w:cs="宋体"/>
                <w:b/>
                <w:bCs/>
                <w:color w:val="auto"/>
                <w:sz w:val="24"/>
                <w:highlight w:val="none"/>
                <w:lang w:eastAsia="zh-CN"/>
              </w:rPr>
              <w:t>成交公告</w:t>
            </w:r>
            <w:r>
              <w:rPr>
                <w:rFonts w:hint="eastAsia" w:ascii="宋体" w:hAnsi="宋体" w:eastAsia="宋体" w:cs="宋体"/>
                <w:b/>
                <w:bCs/>
                <w:color w:val="auto"/>
                <w:sz w:val="24"/>
                <w:highlight w:val="none"/>
              </w:rPr>
              <w:t>公示期结束后</w:t>
            </w: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rPr>
              <w:t>个工作日内将纸质版</w:t>
            </w: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邮寄至代理机构备案，纸质版</w:t>
            </w: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包括“</w:t>
            </w:r>
            <w:r>
              <w:rPr>
                <w:rFonts w:hint="eastAsia" w:ascii="宋体" w:hAnsi="宋体" w:eastAsia="宋体" w:cs="宋体"/>
                <w:b/>
                <w:bCs/>
                <w:color w:val="auto"/>
                <w:sz w:val="24"/>
                <w:highlight w:val="none"/>
                <w:lang w:eastAsia="zh-CN"/>
              </w:rPr>
              <w:t>磋商一览表</w:t>
            </w:r>
            <w:r>
              <w:rPr>
                <w:rFonts w:hint="eastAsia" w:ascii="宋体" w:hAnsi="宋体" w:eastAsia="宋体" w:cs="宋体"/>
                <w:b/>
                <w:bCs/>
                <w:color w:val="auto"/>
                <w:sz w:val="24"/>
                <w:highlight w:val="none"/>
              </w:rPr>
              <w:t>及资格证明文件”和“商务及技术文件”两部分，两部分合订成一册递交。</w:t>
            </w:r>
          </w:p>
          <w:p w14:paraId="12C6E574">
            <w:pPr>
              <w:keepNext w:val="0"/>
              <w:keepLines w:val="0"/>
              <w:pageBreakBefore w:val="0"/>
              <w:widowControl w:val="0"/>
              <w:kinsoku/>
              <w:wordWrap/>
              <w:overflowPunct/>
              <w:topLinePunct w:val="0"/>
              <w:bidi w:val="0"/>
              <w:snapToGrid/>
              <w:spacing w:line="440" w:lineRule="exact"/>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递交数量：</w:t>
            </w:r>
            <w:r>
              <w:rPr>
                <w:rFonts w:hint="eastAsia" w:ascii="宋体" w:hAnsi="宋体" w:eastAsia="宋体" w:cs="宋体"/>
                <w:b w:val="0"/>
                <w:bCs w:val="0"/>
                <w:color w:val="auto"/>
                <w:sz w:val="24"/>
                <w:highlight w:val="none"/>
              </w:rPr>
              <w:t>正本：壹份、副本：贰份；电子文档1份（</w:t>
            </w:r>
            <w:r>
              <w:rPr>
                <w:rFonts w:hint="eastAsia" w:ascii="宋体" w:hAnsi="宋体" w:cs="宋体"/>
                <w:b w:val="0"/>
                <w:bCs w:val="0"/>
                <w:color w:val="auto"/>
                <w:sz w:val="24"/>
                <w:highlight w:val="none"/>
                <w:lang w:eastAsia="zh-CN"/>
              </w:rPr>
              <w:t>以</w:t>
            </w:r>
            <w:r>
              <w:rPr>
                <w:rFonts w:hint="eastAsia" w:ascii="宋体" w:hAnsi="宋体" w:eastAsia="宋体" w:cs="宋体"/>
                <w:b w:val="0"/>
                <w:bCs w:val="0"/>
                <w:color w:val="auto"/>
                <w:sz w:val="24"/>
                <w:highlight w:val="none"/>
              </w:rPr>
              <w:t>正本为准，副本可以是正本的复印件）</w:t>
            </w:r>
          </w:p>
          <w:p w14:paraId="0ED54E30">
            <w:pPr>
              <w:keepNext w:val="0"/>
              <w:keepLines w:val="0"/>
              <w:pageBreakBefore w:val="0"/>
              <w:widowControl w:val="0"/>
              <w:kinsoku/>
              <w:wordWrap/>
              <w:overflowPunct/>
              <w:topLinePunct w:val="0"/>
              <w:bidi w:val="0"/>
              <w:snapToGrid/>
              <w:spacing w:line="440" w:lineRule="exact"/>
              <w:jc w:val="left"/>
              <w:textAlignment w:val="auto"/>
              <w:rPr>
                <w:rFonts w:hint="eastAsia" w:ascii="宋体" w:hAnsi="宋体" w:eastAsia="宋体" w:cs="宋体"/>
                <w:color w:val="auto"/>
                <w:sz w:val="24"/>
                <w:highlight w:val="none"/>
              </w:rPr>
            </w:pPr>
            <w:bookmarkStart w:id="786" w:name="_Toc14647"/>
            <w:r>
              <w:rPr>
                <w:rFonts w:hint="eastAsia" w:ascii="宋体" w:hAnsi="宋体" w:eastAsia="宋体" w:cs="宋体"/>
                <w:b/>
                <w:bCs/>
                <w:color w:val="auto"/>
                <w:sz w:val="24"/>
                <w:highlight w:val="none"/>
              </w:rPr>
              <w:t>纸质</w:t>
            </w: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的签署及规定：</w:t>
            </w:r>
            <w:bookmarkEnd w:id="786"/>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的正副本需打印或用不褪色墨水书写，并由供应商的法定代表人或经其正式委托代理人按</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规定在</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上签字或盖章，并加盖单位印章。</w:t>
            </w:r>
          </w:p>
          <w:p w14:paraId="1ACFA0CF">
            <w:pPr>
              <w:keepNext w:val="0"/>
              <w:keepLines w:val="0"/>
              <w:pageBreakBefore w:val="0"/>
              <w:widowControl w:val="0"/>
              <w:kinsoku/>
              <w:wordWrap/>
              <w:overflowPunct/>
              <w:topLinePunct w:val="0"/>
              <w:bidi w:val="0"/>
              <w:snapToGrid/>
              <w:spacing w:line="440" w:lineRule="exact"/>
              <w:jc w:val="left"/>
              <w:textAlignment w:val="auto"/>
              <w:rPr>
                <w:rFonts w:hint="eastAsia" w:ascii="宋体" w:hAnsi="宋体" w:eastAsia="宋体" w:cs="宋体"/>
                <w:b/>
                <w:bCs/>
                <w:color w:val="auto"/>
                <w:sz w:val="24"/>
                <w:highlight w:val="none"/>
              </w:rPr>
            </w:pPr>
            <w:r>
              <w:rPr>
                <w:rFonts w:hint="eastAsia" w:ascii="宋体" w:hAnsi="宋体" w:cs="宋体"/>
                <w:b/>
                <w:bCs/>
                <w:color w:val="auto"/>
                <w:kern w:val="0"/>
                <w:sz w:val="24"/>
                <w:szCs w:val="20"/>
                <w:highlight w:val="none"/>
                <w:lang w:val="en-US" w:eastAsia="zh-CN" w:bidi="ar-SA"/>
              </w:rPr>
              <w:t>11.</w:t>
            </w:r>
            <w:r>
              <w:rPr>
                <w:rFonts w:hint="eastAsia" w:ascii="宋体" w:hAnsi="宋体" w:eastAsia="宋体" w:cs="宋体"/>
                <w:b/>
                <w:bCs/>
                <w:color w:val="auto"/>
                <w:kern w:val="0"/>
                <w:sz w:val="24"/>
                <w:szCs w:val="20"/>
                <w:highlight w:val="none"/>
                <w:lang w:val="en-US" w:eastAsia="zh-CN" w:bidi="ar-SA"/>
              </w:rPr>
              <w:t>解密时长为</w:t>
            </w:r>
            <w:r>
              <w:rPr>
                <w:rFonts w:hint="eastAsia" w:ascii="宋体" w:hAnsi="宋体" w:eastAsia="宋体" w:cs="宋体"/>
                <w:b/>
                <w:bCs/>
                <w:color w:val="auto"/>
                <w:sz w:val="24"/>
                <w:highlight w:val="none"/>
              </w:rPr>
              <w:t>30分钟。</w:t>
            </w:r>
          </w:p>
          <w:p w14:paraId="6D4AAE1A">
            <w:pPr>
              <w:pStyle w:val="6"/>
              <w:keepNext w:val="0"/>
              <w:keepLines w:val="0"/>
              <w:pageBreakBefore w:val="0"/>
              <w:widowControl w:val="0"/>
              <w:kinsoku/>
              <w:wordWrap/>
              <w:overflowPunct/>
              <w:topLinePunct w:val="0"/>
              <w:bidi w:val="0"/>
              <w:snapToGrid/>
              <w:spacing w:line="440" w:lineRule="exact"/>
              <w:ind w:left="0" w:leftChars="0" w:firstLine="0" w:firstLineChars="0"/>
              <w:textAlignment w:val="auto"/>
              <w:rPr>
                <w:rFonts w:hint="eastAsia" w:ascii="宋体" w:hAnsi="宋体" w:eastAsia="宋体" w:cs="宋体"/>
                <w:color w:val="auto"/>
                <w:highlight w:val="none"/>
                <w:lang w:eastAsia="zh-CN"/>
              </w:rPr>
            </w:pPr>
            <w:r>
              <w:rPr>
                <w:rFonts w:hint="eastAsia" w:hAnsi="宋体" w:cs="宋体"/>
                <w:b/>
                <w:bCs/>
                <w:color w:val="auto"/>
                <w:sz w:val="24"/>
                <w:highlight w:val="none"/>
                <w:lang w:val="en-US" w:eastAsia="zh-CN"/>
              </w:rPr>
              <w:t>12.</w:t>
            </w:r>
            <w:r>
              <w:rPr>
                <w:rFonts w:hint="eastAsia" w:ascii="宋体" w:hAnsi="宋体" w:eastAsia="宋体" w:cs="宋体"/>
                <w:b/>
                <w:bCs/>
                <w:color w:val="auto"/>
                <w:sz w:val="24"/>
                <w:highlight w:val="none"/>
              </w:rPr>
              <w:t>须供应商提供备份的</w:t>
            </w: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w:t>
            </w:r>
          </w:p>
        </w:tc>
      </w:tr>
      <w:tr w14:paraId="5AF3A1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8" w:hRule="atLeast"/>
        </w:trPr>
        <w:tc>
          <w:tcPr>
            <w:tcW w:w="884" w:type="dxa"/>
            <w:vAlign w:val="center"/>
          </w:tcPr>
          <w:p w14:paraId="0D638F1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16.1</w:t>
            </w:r>
          </w:p>
        </w:tc>
        <w:tc>
          <w:tcPr>
            <w:tcW w:w="8715" w:type="dxa"/>
            <w:vAlign w:val="center"/>
          </w:tcPr>
          <w:p w14:paraId="6C0C45E3">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截止时间：</w:t>
            </w:r>
            <w:r>
              <w:rPr>
                <w:rFonts w:hint="eastAsia" w:ascii="宋体" w:hAnsi="宋体" w:cs="宋体"/>
                <w:color w:val="auto"/>
                <w:sz w:val="24"/>
                <w:szCs w:val="24"/>
                <w:highlight w:val="none"/>
                <w:u w:val="single"/>
                <w:lang w:eastAsia="zh-CN"/>
              </w:rPr>
              <w:t>202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lang w:eastAsia="zh-CN"/>
              </w:rPr>
              <w:t>年</w:t>
            </w:r>
            <w:r>
              <w:rPr>
                <w:rFonts w:hint="eastAsia" w:ascii="宋体" w:hAnsi="宋体" w:cs="宋体"/>
                <w:color w:val="auto"/>
                <w:sz w:val="24"/>
                <w:szCs w:val="24"/>
                <w:highlight w:val="none"/>
                <w:u w:val="single"/>
                <w:lang w:val="en-US" w:eastAsia="zh-CN"/>
              </w:rPr>
              <w:t>02</w:t>
            </w:r>
            <w:r>
              <w:rPr>
                <w:rFonts w:hint="eastAsia" w:ascii="宋体" w:hAnsi="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08</w:t>
            </w:r>
            <w:r>
              <w:rPr>
                <w:rFonts w:hint="eastAsia" w:ascii="宋体" w:hAnsi="宋体" w:cs="宋体"/>
                <w:color w:val="auto"/>
                <w:sz w:val="24"/>
                <w:szCs w:val="24"/>
                <w:highlight w:val="none"/>
                <w:u w:val="single"/>
                <w:lang w:eastAsia="zh-CN"/>
              </w:rPr>
              <w:t>日1</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u w:val="single"/>
                <w:lang w:eastAsia="zh-CN"/>
              </w:rPr>
              <w:t>点</w:t>
            </w:r>
            <w:r>
              <w:rPr>
                <w:rFonts w:hint="eastAsia" w:ascii="宋体" w:hAnsi="宋体" w:cs="宋体"/>
                <w:color w:val="auto"/>
                <w:sz w:val="24"/>
                <w:szCs w:val="24"/>
                <w:highlight w:val="none"/>
                <w:u w:val="single"/>
                <w:lang w:val="en-US" w:eastAsia="zh-CN"/>
              </w:rPr>
              <w:t>0</w:t>
            </w:r>
            <w:r>
              <w:rPr>
                <w:rFonts w:hint="eastAsia" w:ascii="宋体" w:hAnsi="宋体" w:cs="宋体"/>
                <w:color w:val="auto"/>
                <w:sz w:val="24"/>
                <w:szCs w:val="24"/>
                <w:highlight w:val="none"/>
                <w:u w:val="single"/>
                <w:lang w:eastAsia="zh-CN"/>
              </w:rPr>
              <w:t>0分（北京时间）</w:t>
            </w:r>
          </w:p>
        </w:tc>
      </w:tr>
      <w:tr w14:paraId="18307B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trPr>
        <w:tc>
          <w:tcPr>
            <w:tcW w:w="884" w:type="dxa"/>
            <w:vAlign w:val="center"/>
          </w:tcPr>
          <w:p w14:paraId="586D0023">
            <w:pPr>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p>
        </w:tc>
        <w:tc>
          <w:tcPr>
            <w:tcW w:w="8715" w:type="dxa"/>
            <w:vAlign w:val="center"/>
          </w:tcPr>
          <w:p w14:paraId="1EB2A999">
            <w:pPr>
              <w:spacing w:line="360" w:lineRule="exact"/>
              <w:jc w:val="both"/>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lang w:eastAsia="zh-CN"/>
              </w:rPr>
              <w:t>磋商时间</w:t>
            </w:r>
            <w:r>
              <w:rPr>
                <w:rFonts w:hint="eastAsia" w:ascii="宋体" w:hAnsi="宋体" w:eastAsia="宋体" w:cs="宋体"/>
                <w:color w:val="auto"/>
                <w:sz w:val="24"/>
                <w:highlight w:val="none"/>
              </w:rPr>
              <w:t>：</w:t>
            </w:r>
            <w:r>
              <w:rPr>
                <w:rFonts w:hint="eastAsia" w:ascii="宋体" w:hAnsi="宋体" w:cs="宋体"/>
                <w:color w:val="auto"/>
                <w:sz w:val="24"/>
                <w:szCs w:val="24"/>
                <w:highlight w:val="none"/>
                <w:u w:val="single"/>
                <w:lang w:eastAsia="zh-CN"/>
              </w:rPr>
              <w:t>202</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u w:val="single"/>
                <w:lang w:eastAsia="zh-CN"/>
              </w:rPr>
              <w:t>年</w:t>
            </w:r>
            <w:r>
              <w:rPr>
                <w:rFonts w:hint="eastAsia" w:ascii="宋体" w:hAnsi="宋体" w:cs="宋体"/>
                <w:color w:val="auto"/>
                <w:sz w:val="24"/>
                <w:szCs w:val="24"/>
                <w:highlight w:val="none"/>
                <w:u w:val="single"/>
                <w:lang w:val="en-US" w:eastAsia="zh-CN"/>
              </w:rPr>
              <w:t>02</w:t>
            </w:r>
            <w:r>
              <w:rPr>
                <w:rFonts w:hint="eastAsia" w:ascii="宋体" w:hAnsi="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08</w:t>
            </w:r>
            <w:r>
              <w:rPr>
                <w:rFonts w:hint="eastAsia" w:ascii="宋体" w:hAnsi="宋体" w:cs="宋体"/>
                <w:color w:val="auto"/>
                <w:sz w:val="24"/>
                <w:szCs w:val="24"/>
                <w:highlight w:val="none"/>
                <w:u w:val="single"/>
                <w:lang w:eastAsia="zh-CN"/>
              </w:rPr>
              <w:t>日1</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u w:val="single"/>
                <w:lang w:eastAsia="zh-CN"/>
              </w:rPr>
              <w:t>点</w:t>
            </w:r>
            <w:r>
              <w:rPr>
                <w:rFonts w:hint="eastAsia" w:ascii="宋体" w:hAnsi="宋体" w:cs="宋体"/>
                <w:color w:val="auto"/>
                <w:sz w:val="24"/>
                <w:szCs w:val="24"/>
                <w:highlight w:val="none"/>
                <w:u w:val="single"/>
                <w:lang w:val="en-US" w:eastAsia="zh-CN"/>
              </w:rPr>
              <w:t>0</w:t>
            </w:r>
            <w:r>
              <w:rPr>
                <w:rFonts w:hint="eastAsia" w:ascii="宋体" w:hAnsi="宋体" w:cs="宋体"/>
                <w:color w:val="auto"/>
                <w:sz w:val="24"/>
                <w:szCs w:val="24"/>
                <w:highlight w:val="none"/>
                <w:u w:val="single"/>
                <w:lang w:eastAsia="zh-CN"/>
              </w:rPr>
              <w:t>0分（北京时间）</w:t>
            </w:r>
          </w:p>
          <w:p w14:paraId="727F1E85">
            <w:pPr>
              <w:spacing w:line="360" w:lineRule="exact"/>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磋商地点</w:t>
            </w:r>
            <w:r>
              <w:rPr>
                <w:rFonts w:hint="eastAsia" w:ascii="宋体" w:hAnsi="宋体" w:eastAsia="宋体" w:cs="宋体"/>
                <w:color w:val="auto"/>
                <w:sz w:val="24"/>
                <w:highlight w:val="none"/>
              </w:rPr>
              <w:t>：</w:t>
            </w:r>
            <w:r>
              <w:rPr>
                <w:rFonts w:hint="eastAsia" w:ascii="宋体" w:hAnsi="宋体" w:eastAsia="宋体" w:cs="宋体"/>
                <w:b w:val="0"/>
                <w:bCs w:val="0"/>
                <w:color w:val="auto"/>
                <w:kern w:val="2"/>
                <w:sz w:val="24"/>
                <w:szCs w:val="24"/>
                <w:highlight w:val="none"/>
                <w:u w:val="single"/>
                <w:lang w:val="en-US" w:eastAsia="zh-CN" w:bidi="ar-SA"/>
              </w:rPr>
              <w:t>政采云平台</w:t>
            </w:r>
            <w:r>
              <w:rPr>
                <w:rFonts w:hint="eastAsia" w:ascii="宋体" w:hAnsi="宋体" w:eastAsia="宋体" w:cs="宋体"/>
                <w:color w:val="auto"/>
                <w:sz w:val="24"/>
                <w:szCs w:val="24"/>
                <w:highlight w:val="none"/>
                <w:lang w:val="en-US" w:eastAsia="zh-CN"/>
              </w:rPr>
              <w:t xml:space="preserve"> </w:t>
            </w:r>
          </w:p>
        </w:tc>
      </w:tr>
      <w:tr w14:paraId="3392B9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35" w:hRule="atLeast"/>
        </w:trPr>
        <w:tc>
          <w:tcPr>
            <w:tcW w:w="884" w:type="dxa"/>
            <w:vAlign w:val="center"/>
          </w:tcPr>
          <w:p w14:paraId="08A9EFA8">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8715" w:type="dxa"/>
            <w:vAlign w:val="center"/>
          </w:tcPr>
          <w:p w14:paraId="516AA2E7">
            <w:pPr>
              <w:keepNext w:val="0"/>
              <w:keepLines w:val="0"/>
              <w:widowControl/>
              <w:suppressLineNumbers w:val="0"/>
              <w:jc w:val="left"/>
              <w:rPr>
                <w:rFonts w:hint="eastAsia" w:ascii="宋体" w:hAnsi="宋体" w:eastAsia="宋体" w:cs="宋体"/>
                <w:i/>
                <w:color w:val="auto"/>
                <w:sz w:val="24"/>
                <w:highlight w:val="none"/>
              </w:rPr>
            </w:pPr>
            <w:r>
              <w:rPr>
                <w:rFonts w:hint="eastAsia" w:ascii="宋体" w:hAnsi="宋体" w:eastAsia="宋体" w:cs="宋体"/>
                <w:color w:val="auto"/>
                <w:sz w:val="24"/>
                <w:highlight w:val="none"/>
                <w:lang w:eastAsia="zh-CN"/>
              </w:rPr>
              <w:t>评审方法</w:t>
            </w:r>
            <w:r>
              <w:rPr>
                <w:rFonts w:hint="eastAsia" w:ascii="宋体" w:hAnsi="宋体" w:eastAsia="宋体" w:cs="宋体"/>
                <w:color w:val="auto"/>
                <w:sz w:val="24"/>
                <w:highlight w:val="none"/>
              </w:rPr>
              <w:t>：适用</w:t>
            </w:r>
            <w:r>
              <w:rPr>
                <w:rFonts w:hint="eastAsia" w:ascii="宋体" w:hAnsi="宋体" w:eastAsia="宋体" w:cs="宋体"/>
                <w:color w:val="auto"/>
                <w:sz w:val="24"/>
                <w:highlight w:val="none"/>
                <w:u w:val="single"/>
              </w:rPr>
              <w:t>　</w:t>
            </w:r>
            <w:r>
              <w:rPr>
                <w:rFonts w:hint="eastAsia" w:ascii="宋体" w:hAnsi="宋体" w:eastAsia="宋体" w:cs="宋体"/>
                <w:b/>
                <w:bCs/>
                <w:color w:val="auto"/>
                <w:sz w:val="24"/>
                <w:highlight w:val="none"/>
                <w:u w:val="single"/>
              </w:rPr>
              <w:t>综合评分法</w:t>
            </w:r>
            <w:r>
              <w:rPr>
                <w:rFonts w:hint="eastAsia" w:ascii="宋体" w:hAnsi="宋体" w:eastAsia="宋体" w:cs="宋体"/>
                <w:color w:val="000000"/>
                <w:kern w:val="0"/>
                <w:sz w:val="24"/>
                <w:szCs w:val="24"/>
                <w:lang w:val="en-US" w:eastAsia="zh-CN" w:bidi="ar"/>
              </w:rPr>
              <w:t>（本项目采用两轮报价，投标人提交最后的报价后，磋商小组对所有满足实质性要求且提交最后报价的投标人的响应文件按评审因素评审得分，最终汇总得分由高到低排序推荐第一、第二、第三中标候选人）。</w:t>
            </w:r>
          </w:p>
        </w:tc>
      </w:tr>
      <w:tr w14:paraId="01DF78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884" w:type="dxa"/>
            <w:vAlign w:val="center"/>
          </w:tcPr>
          <w:p w14:paraId="2EC6AA53">
            <w:pPr>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27</w:t>
            </w:r>
          </w:p>
        </w:tc>
        <w:tc>
          <w:tcPr>
            <w:tcW w:w="8715" w:type="dxa"/>
            <w:vAlign w:val="center"/>
          </w:tcPr>
          <w:p w14:paraId="23800B46">
            <w:pPr>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推荐</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候选供应商的数量：</w:t>
            </w:r>
            <w:r>
              <w:rPr>
                <w:rFonts w:hint="eastAsia" w:ascii="宋体" w:hAnsi="宋体" w:eastAsia="宋体" w:cs="宋体"/>
                <w:color w:val="auto"/>
                <w:sz w:val="24"/>
                <w:highlight w:val="none"/>
                <w:u w:val="single"/>
              </w:rPr>
              <w:t xml:space="preserve">　  3 </w:t>
            </w:r>
            <w:r>
              <w:rPr>
                <w:rFonts w:hint="eastAsia" w:ascii="宋体" w:hAnsi="宋体" w:cs="宋体"/>
                <w:color w:val="auto"/>
                <w:sz w:val="24"/>
                <w:highlight w:val="none"/>
                <w:u w:val="single"/>
                <w:lang w:eastAsia="zh-CN"/>
              </w:rPr>
              <w:t>名</w:t>
            </w:r>
            <w:r>
              <w:rPr>
                <w:rFonts w:hint="eastAsia" w:ascii="宋体" w:hAnsi="宋体" w:eastAsia="宋体" w:cs="宋体"/>
                <w:color w:val="auto"/>
                <w:sz w:val="24"/>
                <w:highlight w:val="none"/>
                <w:u w:val="single"/>
              </w:rPr>
              <w:t>　　</w:t>
            </w:r>
          </w:p>
        </w:tc>
      </w:tr>
      <w:tr w14:paraId="3E15F0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0" w:hRule="atLeast"/>
        </w:trPr>
        <w:tc>
          <w:tcPr>
            <w:tcW w:w="884" w:type="dxa"/>
            <w:vAlign w:val="center"/>
          </w:tcPr>
          <w:p w14:paraId="09E11BD6">
            <w:pPr>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27</w:t>
            </w:r>
          </w:p>
        </w:tc>
        <w:tc>
          <w:tcPr>
            <w:tcW w:w="8715" w:type="dxa"/>
            <w:vAlign w:val="center"/>
          </w:tcPr>
          <w:p w14:paraId="6D0F0F17">
            <w:pPr>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是否委托</w:t>
            </w:r>
            <w:r>
              <w:rPr>
                <w:rFonts w:hint="eastAsia" w:ascii="宋体" w:hAnsi="宋体" w:eastAsia="宋体" w:cs="宋体"/>
                <w:color w:val="auto"/>
                <w:sz w:val="24"/>
                <w:highlight w:val="none"/>
                <w:lang w:eastAsia="zh-CN"/>
              </w:rPr>
              <w:t>磋商小组</w:t>
            </w:r>
            <w:r>
              <w:rPr>
                <w:rFonts w:hint="eastAsia" w:ascii="宋体" w:hAnsi="宋体" w:eastAsia="宋体" w:cs="宋体"/>
                <w:color w:val="auto"/>
                <w:sz w:val="24"/>
                <w:highlight w:val="none"/>
              </w:rPr>
              <w:t>直接确定</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否</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i w:val="0"/>
                <w:iCs/>
                <w:color w:val="auto"/>
                <w:sz w:val="24"/>
                <w:highlight w:val="none"/>
              </w:rPr>
              <w:t>（是、否）</w:t>
            </w:r>
          </w:p>
        </w:tc>
      </w:tr>
      <w:tr w14:paraId="247F2D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5" w:hRule="atLeast"/>
        </w:trPr>
        <w:tc>
          <w:tcPr>
            <w:tcW w:w="884" w:type="dxa"/>
            <w:vAlign w:val="center"/>
          </w:tcPr>
          <w:p w14:paraId="14AB7E0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31.1</w:t>
            </w:r>
          </w:p>
        </w:tc>
        <w:tc>
          <w:tcPr>
            <w:tcW w:w="8715" w:type="dxa"/>
            <w:vAlign w:val="center"/>
          </w:tcPr>
          <w:p w14:paraId="3C994C9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根据《政府采购</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rPr>
              <w:t>和服务招标投标管理办法》 财政部87号令第三十八条：</w:t>
            </w:r>
          </w:p>
          <w:p w14:paraId="1ED8FD55">
            <w:pPr>
              <w:spacing w:line="360" w:lineRule="auto"/>
              <w:rPr>
                <w:rFonts w:hint="eastAsia" w:ascii="宋体" w:hAnsi="宋体" w:eastAsia="宋体" w:cs="宋体"/>
                <w:i w:val="0"/>
                <w:iCs/>
                <w:color w:val="auto"/>
                <w:sz w:val="24"/>
                <w:highlight w:val="none"/>
              </w:rPr>
            </w:pPr>
            <w:r>
              <w:rPr>
                <w:rFonts w:hint="eastAsia" w:ascii="宋体" w:hAnsi="宋体" w:eastAsia="宋体" w:cs="宋体"/>
                <w:color w:val="auto"/>
                <w:sz w:val="24"/>
                <w:highlight w:val="none"/>
              </w:rPr>
              <w:t>履约保证金金额：合同总价的</w:t>
            </w:r>
            <w:r>
              <w:rPr>
                <w:rFonts w:hint="eastAsia" w:ascii="宋体" w:hAnsi="宋体" w:eastAsia="宋体" w:cs="宋体"/>
                <w:color w:val="auto"/>
                <w:sz w:val="24"/>
                <w:highlight w:val="none"/>
                <w:u w:val="single"/>
              </w:rPr>
              <w:t>　</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　</w:t>
            </w:r>
            <w:r>
              <w:rPr>
                <w:rFonts w:hint="eastAsia" w:ascii="宋体" w:hAnsi="宋体" w:eastAsia="宋体" w:cs="宋体"/>
                <w:i w:val="0"/>
                <w:iCs/>
                <w:color w:val="auto"/>
                <w:sz w:val="24"/>
                <w:highlight w:val="none"/>
              </w:rPr>
              <w:t>（不得超过政府采购合同金额的10%）</w:t>
            </w:r>
          </w:p>
          <w:p w14:paraId="4D8913B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履约保证金形式：保函</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电汇</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支票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对公转账</w:t>
            </w:r>
          </w:p>
          <w:p w14:paraId="2D8644CE">
            <w:pPr>
              <w:spacing w:line="360" w:lineRule="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szCs w:val="24"/>
                <w:highlight w:val="none"/>
              </w:rPr>
              <w:t xml:space="preserve">提交履约保证金的时间：签订合同前 </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日历日打入甲方指定账户</w:t>
            </w:r>
            <w:r>
              <w:rPr>
                <w:rFonts w:hint="eastAsia" w:ascii="宋体" w:hAnsi="宋体" w:cs="宋体"/>
                <w:color w:val="auto"/>
                <w:sz w:val="24"/>
                <w:szCs w:val="24"/>
                <w:highlight w:val="none"/>
                <w:lang w:eastAsia="zh-CN"/>
              </w:rPr>
              <w:t>。</w:t>
            </w:r>
          </w:p>
        </w:tc>
      </w:tr>
      <w:tr w14:paraId="2AEC76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41" w:hRule="atLeast"/>
        </w:trPr>
        <w:tc>
          <w:tcPr>
            <w:tcW w:w="884" w:type="dxa"/>
            <w:vAlign w:val="center"/>
          </w:tcPr>
          <w:p w14:paraId="4F08C6F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32</w:t>
            </w:r>
          </w:p>
        </w:tc>
        <w:tc>
          <w:tcPr>
            <w:tcW w:w="8715" w:type="dxa"/>
            <w:vAlign w:val="center"/>
          </w:tcPr>
          <w:p w14:paraId="0776FBAE">
            <w:pPr>
              <w:ind w:left="900" w:hanging="900" w:hangingChars="375"/>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代理</w:t>
            </w:r>
            <w:r>
              <w:rPr>
                <w:rFonts w:hint="eastAsia" w:ascii="宋体" w:hAnsi="宋体" w:eastAsia="宋体" w:cs="宋体"/>
                <w:color w:val="auto"/>
                <w:sz w:val="24"/>
                <w:szCs w:val="24"/>
                <w:highlight w:val="none"/>
              </w:rPr>
              <w:t>服务费：</w:t>
            </w:r>
            <w:r>
              <w:rPr>
                <w:rFonts w:hint="eastAsia" w:ascii="宋体" w:hAnsi="宋体" w:eastAsia="宋体" w:cs="宋体"/>
                <w:color w:val="auto"/>
                <w:sz w:val="24"/>
                <w:szCs w:val="24"/>
                <w:highlight w:val="none"/>
                <w:u w:val="single"/>
              </w:rPr>
              <w:t>根据发改价格[2015]299</w:t>
            </w:r>
            <w:r>
              <w:rPr>
                <w:rFonts w:hint="eastAsia" w:ascii="宋体" w:hAnsi="宋体" w:eastAsia="宋体" w:cs="宋体"/>
                <w:color w:val="auto"/>
                <w:sz w:val="24"/>
                <w:szCs w:val="24"/>
                <w:highlight w:val="none"/>
                <w:u w:val="single"/>
                <w:lang w:eastAsia="zh-CN"/>
              </w:rPr>
              <w:t>号文</w:t>
            </w:r>
            <w:r>
              <w:rPr>
                <w:rFonts w:hint="eastAsia" w:ascii="宋体" w:hAnsi="宋体" w:cs="宋体"/>
                <w:color w:val="auto"/>
                <w:sz w:val="24"/>
                <w:szCs w:val="24"/>
                <w:highlight w:val="none"/>
                <w:u w:val="single"/>
                <w:lang w:eastAsia="zh-CN"/>
              </w:rPr>
              <w:t>计</w:t>
            </w:r>
            <w:r>
              <w:rPr>
                <w:rFonts w:hint="eastAsia" w:ascii="宋体" w:hAnsi="宋体" w:eastAsia="宋体" w:cs="宋体"/>
                <w:color w:val="auto"/>
                <w:sz w:val="24"/>
                <w:szCs w:val="24"/>
                <w:highlight w:val="none"/>
                <w:u w:val="single"/>
              </w:rPr>
              <w:t>取。（由</w:t>
            </w:r>
            <w:r>
              <w:rPr>
                <w:rFonts w:hint="eastAsia" w:ascii="宋体" w:hAnsi="宋体" w:eastAsia="宋体" w:cs="宋体"/>
                <w:color w:val="auto"/>
                <w:sz w:val="24"/>
                <w:szCs w:val="24"/>
                <w:highlight w:val="none"/>
                <w:u w:val="single"/>
                <w:lang w:eastAsia="zh-CN"/>
              </w:rPr>
              <w:t>成交</w:t>
            </w:r>
            <w:r>
              <w:rPr>
                <w:rFonts w:hint="eastAsia" w:ascii="宋体" w:hAnsi="宋体" w:eastAsia="宋体" w:cs="宋体"/>
                <w:color w:val="auto"/>
                <w:sz w:val="24"/>
                <w:szCs w:val="24"/>
                <w:highlight w:val="none"/>
                <w:u w:val="single"/>
              </w:rPr>
              <w:t>供应商支付）</w:t>
            </w:r>
            <w:r>
              <w:rPr>
                <w:rFonts w:hint="eastAsia" w:ascii="宋体" w:hAnsi="宋体" w:eastAsia="宋体" w:cs="宋体"/>
                <w:color w:val="auto"/>
                <w:sz w:val="24"/>
                <w:szCs w:val="24"/>
                <w:highlight w:val="none"/>
                <w:lang w:val="en-US" w:eastAsia="zh-CN"/>
              </w:rPr>
              <w:t xml:space="preserve">                                                                                 </w:t>
            </w:r>
          </w:p>
          <w:p w14:paraId="7F67541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支付形式：</w:t>
            </w:r>
            <w:r>
              <w:rPr>
                <w:rFonts w:hint="eastAsia" w:ascii="宋体" w:hAnsi="宋体" w:eastAsia="宋体" w:cs="宋体"/>
                <w:color w:val="auto"/>
                <w:sz w:val="24"/>
                <w:szCs w:val="24"/>
                <w:highlight w:val="none"/>
                <w:u w:val="single"/>
              </w:rPr>
              <w:t xml:space="preserve">  对公转账  </w:t>
            </w:r>
          </w:p>
          <w:p w14:paraId="6715CC4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支付时间：</w:t>
            </w:r>
            <w:r>
              <w:rPr>
                <w:rFonts w:hint="eastAsia" w:ascii="宋体" w:hAnsi="宋体" w:eastAsia="宋体" w:cs="宋体"/>
                <w:color w:val="auto"/>
                <w:sz w:val="24"/>
                <w:szCs w:val="24"/>
                <w:highlight w:val="none"/>
                <w:u w:val="single"/>
              </w:rPr>
              <w:t xml:space="preserve">  领取</w:t>
            </w:r>
            <w:r>
              <w:rPr>
                <w:rFonts w:hint="eastAsia" w:ascii="宋体" w:hAnsi="宋体" w:eastAsia="宋体" w:cs="宋体"/>
                <w:color w:val="auto"/>
                <w:sz w:val="24"/>
                <w:szCs w:val="24"/>
                <w:highlight w:val="none"/>
                <w:u w:val="single"/>
                <w:lang w:eastAsia="zh-CN"/>
              </w:rPr>
              <w:t>成交</w:t>
            </w:r>
            <w:r>
              <w:rPr>
                <w:rFonts w:hint="eastAsia" w:ascii="宋体" w:hAnsi="宋体" w:eastAsia="宋体" w:cs="宋体"/>
                <w:color w:val="auto"/>
                <w:sz w:val="24"/>
                <w:szCs w:val="24"/>
                <w:highlight w:val="none"/>
                <w:u w:val="single"/>
              </w:rPr>
              <w:t>通知书时</w:t>
            </w:r>
            <w:r>
              <w:rPr>
                <w:rFonts w:hint="eastAsia" w:ascii="宋体" w:hAnsi="宋体" w:cs="宋体"/>
                <w:color w:val="auto"/>
                <w:sz w:val="24"/>
                <w:szCs w:val="24"/>
                <w:highlight w:val="none"/>
                <w:u w:val="single"/>
                <w:lang w:eastAsia="zh-CN"/>
              </w:rPr>
              <w:t>一次性支付</w:t>
            </w:r>
            <w:r>
              <w:rPr>
                <w:rFonts w:hint="eastAsia" w:ascii="宋体" w:hAnsi="宋体" w:eastAsia="宋体" w:cs="宋体"/>
                <w:color w:val="auto"/>
                <w:sz w:val="24"/>
                <w:szCs w:val="24"/>
                <w:highlight w:val="none"/>
                <w:u w:val="single"/>
              </w:rPr>
              <w:t xml:space="preserve"> </w:t>
            </w:r>
          </w:p>
        </w:tc>
      </w:tr>
      <w:tr w14:paraId="63B968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79" w:hRule="atLeast"/>
        </w:trPr>
        <w:tc>
          <w:tcPr>
            <w:tcW w:w="884" w:type="dxa"/>
            <w:vAlign w:val="center"/>
          </w:tcPr>
          <w:p w14:paraId="776A9A4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33.1</w:t>
            </w:r>
          </w:p>
        </w:tc>
        <w:tc>
          <w:tcPr>
            <w:tcW w:w="8715" w:type="dxa"/>
            <w:vAlign w:val="center"/>
          </w:tcPr>
          <w:p w14:paraId="3D872A1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本项目是否属于信用担保试点范围：</w:t>
            </w:r>
            <w:r>
              <w:rPr>
                <w:rFonts w:hint="eastAsia" w:ascii="宋体" w:hAnsi="宋体" w:eastAsia="宋体" w:cs="宋体"/>
                <w:color w:val="auto"/>
                <w:sz w:val="24"/>
                <w:highlight w:val="none"/>
                <w:u w:val="single"/>
              </w:rPr>
              <w:t xml:space="preserve">  否  </w:t>
            </w:r>
            <w:r>
              <w:rPr>
                <w:rFonts w:hint="eastAsia" w:ascii="宋体" w:hAnsi="宋体" w:eastAsia="宋体" w:cs="宋体"/>
                <w:color w:val="auto"/>
                <w:sz w:val="24"/>
                <w:highlight w:val="none"/>
              </w:rPr>
              <w:t xml:space="preserve"> </w:t>
            </w:r>
            <w:r>
              <w:rPr>
                <w:rFonts w:hint="eastAsia" w:ascii="宋体" w:hAnsi="宋体" w:eastAsia="宋体" w:cs="宋体"/>
                <w:i/>
                <w:color w:val="auto"/>
                <w:sz w:val="24"/>
                <w:highlight w:val="none"/>
              </w:rPr>
              <w:t>（是、否）</w:t>
            </w:r>
          </w:p>
        </w:tc>
      </w:tr>
      <w:tr w14:paraId="3CA27D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46" w:hRule="atLeast"/>
        </w:trPr>
        <w:tc>
          <w:tcPr>
            <w:tcW w:w="884" w:type="dxa"/>
            <w:vAlign w:val="center"/>
          </w:tcPr>
          <w:p w14:paraId="2677C298">
            <w:pPr>
              <w:spacing w:line="360" w:lineRule="auto"/>
              <w:jc w:val="both"/>
              <w:rPr>
                <w:rFonts w:hint="eastAsia" w:ascii="宋体" w:hAnsi="宋体" w:cs="宋体"/>
                <w:b/>
                <w:bCs/>
                <w:color w:val="auto"/>
                <w:sz w:val="24"/>
                <w:highlight w:val="none"/>
                <w:lang w:eastAsia="zh-CN"/>
              </w:rPr>
            </w:pPr>
            <w:r>
              <w:rPr>
                <w:rFonts w:hint="eastAsia" w:ascii="宋体" w:hAnsi="宋体" w:cs="宋体"/>
                <w:b/>
                <w:bCs/>
                <w:color w:val="auto"/>
                <w:sz w:val="24"/>
                <w:highlight w:val="none"/>
                <w:lang w:eastAsia="zh-CN"/>
              </w:rPr>
              <w:t>其他</w:t>
            </w:r>
          </w:p>
          <w:p w14:paraId="1ACBC27C">
            <w:pPr>
              <w:spacing w:line="360" w:lineRule="auto"/>
              <w:jc w:val="both"/>
              <w:rPr>
                <w:rFonts w:hint="eastAsia" w:ascii="宋体" w:hAnsi="宋体" w:eastAsia="宋体" w:cs="宋体"/>
                <w:color w:val="auto"/>
                <w:sz w:val="24"/>
                <w:highlight w:val="none"/>
                <w:lang w:eastAsia="zh-CN"/>
              </w:rPr>
            </w:pPr>
            <w:r>
              <w:rPr>
                <w:rFonts w:hint="eastAsia" w:ascii="宋体" w:hAnsi="宋体" w:cs="宋体"/>
                <w:b/>
                <w:bCs/>
                <w:color w:val="auto"/>
                <w:sz w:val="24"/>
                <w:highlight w:val="none"/>
                <w:lang w:eastAsia="zh-CN"/>
              </w:rPr>
              <w:t>内容</w:t>
            </w:r>
          </w:p>
        </w:tc>
        <w:tc>
          <w:tcPr>
            <w:tcW w:w="8715" w:type="dxa"/>
            <w:vAlign w:val="center"/>
          </w:tcPr>
          <w:p w14:paraId="70911B09">
            <w:pPr>
              <w:numPr>
                <w:ilvl w:val="0"/>
                <w:numId w:val="6"/>
              </w:numPr>
              <w:spacing w:line="360" w:lineRule="auto"/>
              <w:jc w:val="both"/>
              <w:rPr>
                <w:rFonts w:hint="eastAsia" w:ascii="宋体" w:hAnsi="宋体" w:cs="宋体"/>
                <w:color w:val="auto"/>
                <w:sz w:val="24"/>
                <w:highlight w:val="none"/>
                <w:lang w:val="en-US" w:eastAsia="zh-CN"/>
              </w:rPr>
            </w:pPr>
            <w:r>
              <w:rPr>
                <w:rFonts w:hint="eastAsia" w:ascii="宋体" w:hAnsi="宋体" w:cs="宋体"/>
                <w:b/>
                <w:bCs/>
                <w:color w:val="auto"/>
                <w:sz w:val="24"/>
                <w:highlight w:val="none"/>
                <w:lang w:val="en-US" w:eastAsia="zh-CN"/>
              </w:rPr>
              <w:t>项目地点：</w:t>
            </w:r>
            <w:r>
              <w:rPr>
                <w:rFonts w:hint="eastAsia" w:ascii="宋体" w:hAnsi="宋体" w:cs="宋体"/>
                <w:color w:val="auto"/>
                <w:sz w:val="24"/>
                <w:szCs w:val="24"/>
                <w:highlight w:val="none"/>
                <w:lang w:eastAsia="zh-CN"/>
              </w:rPr>
              <w:t>伽师县英买里镇</w:t>
            </w:r>
            <w:r>
              <w:rPr>
                <w:rFonts w:hint="eastAsia" w:ascii="宋体" w:hAnsi="宋体" w:cs="宋体"/>
                <w:color w:val="auto"/>
                <w:sz w:val="24"/>
                <w:highlight w:val="none"/>
                <w:lang w:val="en-US" w:eastAsia="zh-CN"/>
              </w:rPr>
              <w:t>。</w:t>
            </w:r>
          </w:p>
          <w:p w14:paraId="7340769A">
            <w:pPr>
              <w:numPr>
                <w:ilvl w:val="0"/>
                <w:numId w:val="6"/>
              </w:numPr>
              <w:spacing w:line="360" w:lineRule="auto"/>
              <w:jc w:val="both"/>
              <w:rPr>
                <w:rFonts w:hint="eastAsia" w:ascii="宋体" w:hAnsi="宋体" w:cs="宋体"/>
                <w:color w:val="auto"/>
                <w:sz w:val="24"/>
                <w:highlight w:val="none"/>
                <w:lang w:val="en-US" w:eastAsia="zh-CN"/>
              </w:rPr>
            </w:pPr>
            <w:r>
              <w:rPr>
                <w:rFonts w:hint="eastAsia" w:ascii="宋体" w:hAnsi="宋体" w:eastAsia="宋体" w:cs="宋体"/>
                <w:b/>
                <w:bCs/>
                <w:spacing w:val="3"/>
                <w:sz w:val="24"/>
                <w:szCs w:val="24"/>
                <w:highlight w:val="none"/>
              </w:rPr>
              <w:t>合同履约期限</w:t>
            </w:r>
            <w:r>
              <w:rPr>
                <w:rFonts w:hint="eastAsia" w:ascii="宋体" w:hAnsi="宋体" w:cs="宋体"/>
                <w:b/>
                <w:bCs/>
                <w:spacing w:val="3"/>
                <w:sz w:val="24"/>
                <w:szCs w:val="24"/>
                <w:highlight w:val="none"/>
                <w:lang w:eastAsia="zh-CN"/>
              </w:rPr>
              <w:t>（</w:t>
            </w:r>
            <w:r>
              <w:rPr>
                <w:rFonts w:hint="eastAsia" w:ascii="宋体" w:hAnsi="宋体" w:cs="宋体"/>
                <w:b/>
                <w:bCs/>
                <w:color w:val="auto"/>
                <w:sz w:val="24"/>
                <w:highlight w:val="none"/>
                <w:lang w:val="en-US" w:eastAsia="zh-CN"/>
              </w:rPr>
              <w:t>工期）：</w:t>
            </w:r>
            <w:r>
              <w:rPr>
                <w:rFonts w:hint="eastAsia" w:ascii="宋体" w:hAnsi="宋体" w:cs="宋体"/>
                <w:color w:val="auto"/>
                <w:sz w:val="24"/>
                <w:highlight w:val="none"/>
                <w:lang w:val="en-US" w:eastAsia="zh-CN"/>
              </w:rPr>
              <w:t>90日历天（具体时间以合同签订为准）。</w:t>
            </w:r>
          </w:p>
          <w:p w14:paraId="5011DA74">
            <w:pPr>
              <w:numPr>
                <w:ilvl w:val="0"/>
                <w:numId w:val="6"/>
              </w:numPr>
              <w:spacing w:line="360" w:lineRule="auto"/>
              <w:jc w:val="both"/>
              <w:rPr>
                <w:rFonts w:hint="eastAsia" w:ascii="宋体" w:hAnsi="宋体" w:cs="宋体"/>
                <w:color w:val="auto"/>
                <w:sz w:val="24"/>
                <w:highlight w:val="none"/>
                <w:lang w:val="en-US" w:eastAsia="zh-CN"/>
              </w:rPr>
            </w:pPr>
            <w:r>
              <w:rPr>
                <w:rFonts w:hint="eastAsia" w:ascii="宋体" w:hAnsi="宋体" w:cs="宋体"/>
                <w:b/>
                <w:bCs/>
                <w:color w:val="auto"/>
                <w:sz w:val="24"/>
                <w:highlight w:val="none"/>
                <w:lang w:val="en-US" w:eastAsia="zh-CN"/>
              </w:rPr>
              <w:t>项目质量标准：</w:t>
            </w:r>
            <w:r>
              <w:rPr>
                <w:rFonts w:hint="eastAsia" w:ascii="宋体" w:hAnsi="宋体" w:cs="宋体"/>
                <w:color w:val="auto"/>
                <w:sz w:val="24"/>
                <w:highlight w:val="none"/>
                <w:lang w:val="en-US" w:eastAsia="zh-CN"/>
              </w:rPr>
              <w:t>合格。</w:t>
            </w:r>
          </w:p>
        </w:tc>
      </w:tr>
      <w:tr w14:paraId="1C048F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8" w:hRule="atLeast"/>
        </w:trPr>
        <w:tc>
          <w:tcPr>
            <w:tcW w:w="884" w:type="dxa"/>
            <w:vAlign w:val="center"/>
          </w:tcPr>
          <w:p w14:paraId="61C6C2DD">
            <w:pPr>
              <w:spacing w:line="360" w:lineRule="auto"/>
              <w:jc w:val="both"/>
              <w:rPr>
                <w:rFonts w:hint="eastAsia" w:ascii="宋体" w:hAnsi="宋体" w:cs="宋体"/>
                <w:b/>
                <w:bCs/>
                <w:color w:val="auto"/>
                <w:sz w:val="24"/>
                <w:highlight w:val="none"/>
                <w:lang w:eastAsia="zh-CN"/>
              </w:rPr>
            </w:pPr>
            <w:r>
              <w:rPr>
                <w:rFonts w:hint="eastAsia" w:ascii="宋体" w:hAnsi="宋体" w:cs="宋体"/>
                <w:b/>
                <w:bCs/>
                <w:color w:val="auto"/>
                <w:sz w:val="24"/>
                <w:highlight w:val="none"/>
                <w:lang w:eastAsia="zh-CN"/>
              </w:rPr>
              <w:t>备注</w:t>
            </w:r>
          </w:p>
        </w:tc>
        <w:tc>
          <w:tcPr>
            <w:tcW w:w="8715" w:type="dxa"/>
            <w:vAlign w:val="center"/>
          </w:tcPr>
          <w:p w14:paraId="15ABDB79">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特别提示: </w:t>
            </w:r>
          </w:p>
          <w:p w14:paraId="363F1ACA">
            <w:pPr>
              <w:keepNext w:val="0"/>
              <w:keepLines w:val="0"/>
              <w:widowControl/>
              <w:suppressLineNumbers w:val="0"/>
              <w:spacing w:line="360" w:lineRule="auto"/>
              <w:jc w:val="left"/>
              <w:rPr>
                <w:b w:val="0"/>
                <w:bCs w:val="0"/>
              </w:rPr>
            </w:pPr>
            <w:r>
              <w:rPr>
                <w:rFonts w:hint="eastAsia" w:ascii="宋体" w:hAnsi="宋体" w:eastAsia="宋体" w:cs="宋体"/>
                <w:b w:val="0"/>
                <w:bCs w:val="0"/>
                <w:color w:val="000000"/>
                <w:kern w:val="0"/>
                <w:sz w:val="24"/>
                <w:szCs w:val="24"/>
                <w:lang w:val="en-US" w:eastAsia="zh-CN" w:bidi="ar"/>
              </w:rPr>
              <w:t>1、根据《中华人民共和国招标投标法》第三十三条 投标人不得以低于成本的报价竞标:第四十一条中标人的投标应当符合下列条件之一: (二) 能够满足招标文件的实质性要求，并且经评审的投标价格最低:但是投标价格低于成本的除外的相关规定:本工程为工程量清单报价，清单分项报价不允许出现不均衡报价、偏离市场、低于成本的，否则作无效磋商处理。</w:t>
            </w:r>
          </w:p>
          <w:p w14:paraId="2098D528">
            <w:pPr>
              <w:keepNext w:val="0"/>
              <w:keepLines w:val="0"/>
              <w:widowControl/>
              <w:suppressLineNumbers w:val="0"/>
              <w:spacing w:line="360" w:lineRule="auto"/>
              <w:jc w:val="left"/>
              <w:rPr>
                <w:b w:val="0"/>
                <w:bCs w:val="0"/>
              </w:rPr>
            </w:pPr>
            <w:r>
              <w:rPr>
                <w:rFonts w:hint="eastAsia" w:ascii="宋体" w:hAnsi="宋体" w:eastAsia="宋体" w:cs="宋体"/>
                <w:b w:val="0"/>
                <w:bCs w:val="0"/>
                <w:color w:val="000000"/>
                <w:kern w:val="0"/>
                <w:sz w:val="24"/>
                <w:szCs w:val="24"/>
                <w:lang w:val="en-US" w:eastAsia="zh-CN" w:bidi="ar"/>
              </w:rPr>
              <w:t xml:space="preserve">2、供应商在线上传最终报价时，须同时上传最终报价单和“已标价的工程量清单” </w:t>
            </w:r>
          </w:p>
          <w:p w14:paraId="4B557A41">
            <w:pPr>
              <w:keepNext w:val="0"/>
              <w:keepLines w:val="0"/>
              <w:widowControl/>
              <w:suppressLineNumbers w:val="0"/>
              <w:spacing w:line="360" w:lineRule="auto"/>
              <w:jc w:val="left"/>
              <w:rPr>
                <w:rFonts w:hint="eastAsia" w:ascii="宋体" w:hAnsi="宋体" w:cs="宋体"/>
                <w:b/>
                <w:bCs/>
                <w:color w:val="auto"/>
                <w:sz w:val="24"/>
                <w:highlight w:val="yellow"/>
                <w:lang w:val="en-US" w:eastAsia="zh-CN"/>
              </w:rPr>
            </w:pPr>
            <w:r>
              <w:rPr>
                <w:rFonts w:hint="eastAsia" w:ascii="宋体" w:hAnsi="宋体" w:eastAsia="宋体" w:cs="宋体"/>
                <w:b w:val="0"/>
                <w:bCs w:val="0"/>
                <w:color w:val="000000"/>
                <w:kern w:val="0"/>
                <w:sz w:val="24"/>
                <w:szCs w:val="24"/>
                <w:lang w:val="en-US" w:eastAsia="zh-CN" w:bidi="ar"/>
              </w:rPr>
              <w:t>中的相应明细报价(按本磋商文件提供的格式)，经法定代表人或授权委托人签署并加盖供应商公章的PDF扫描件。</w:t>
            </w:r>
          </w:p>
        </w:tc>
      </w:tr>
    </w:tbl>
    <w:p w14:paraId="065ABCA3">
      <w:pPr>
        <w:pStyle w:val="6"/>
        <w:keepNext w:val="0"/>
        <w:keepLines w:val="0"/>
        <w:pageBreakBefore w:val="0"/>
        <w:widowControl w:val="0"/>
        <w:kinsoku/>
        <w:wordWrap/>
        <w:overflowPunct/>
        <w:topLinePunct w:val="0"/>
        <w:autoSpaceDE w:val="0"/>
        <w:autoSpaceDN w:val="0"/>
        <w:bidi w:val="0"/>
        <w:adjustRightInd w:val="0"/>
        <w:snapToGrid/>
        <w:spacing w:line="240" w:lineRule="exact"/>
        <w:ind w:firstLine="0"/>
        <w:textAlignment w:val="auto"/>
        <w:rPr>
          <w:rFonts w:hint="eastAsia" w:ascii="宋体" w:hAnsi="宋体" w:eastAsia="宋体" w:cs="宋体"/>
          <w:color w:val="auto"/>
          <w:highlight w:val="none"/>
        </w:rPr>
      </w:pPr>
    </w:p>
    <w:p w14:paraId="613C3EB4">
      <w:pPr>
        <w:rPr>
          <w:rFonts w:hint="eastAsia" w:ascii="宋体" w:hAnsi="宋体" w:eastAsia="宋体" w:cs="宋体"/>
          <w:color w:val="auto"/>
          <w:highlight w:val="none"/>
        </w:rPr>
      </w:pPr>
    </w:p>
    <w:p w14:paraId="080F3793">
      <w:pPr>
        <w:spacing w:line="400" w:lineRule="exact"/>
        <w:rPr>
          <w:rFonts w:hint="eastAsia" w:ascii="宋体" w:hAnsi="宋体" w:eastAsia="宋体" w:cs="宋体"/>
          <w:color w:val="auto"/>
          <w:sz w:val="13"/>
          <w:szCs w:val="13"/>
          <w:highlight w:val="none"/>
        </w:rPr>
        <w:sectPr>
          <w:pgSz w:w="11905" w:h="16838"/>
          <w:pgMar w:top="1440" w:right="1797" w:bottom="1440" w:left="1797" w:header="851" w:footer="992" w:gutter="0"/>
          <w:pgNumType w:fmt="decimal"/>
          <w:cols w:space="0" w:num="1"/>
          <w:docGrid w:linePitch="312" w:charSpace="0"/>
        </w:sectPr>
      </w:pPr>
      <w:bookmarkStart w:id="787" w:name="_Toc216513787"/>
      <w:bookmarkStart w:id="788" w:name="_Toc219175635"/>
      <w:bookmarkStart w:id="789" w:name="_Toc218935351"/>
      <w:bookmarkStart w:id="790" w:name="_Toc216582811"/>
    </w:p>
    <w:tbl>
      <w:tblPr>
        <w:tblStyle w:val="24"/>
        <w:tblpPr w:leftFromText="180" w:rightFromText="180" w:vertAnchor="text" w:horzAnchor="page" w:tblpXSpec="center" w:tblpY="491"/>
        <w:tblOverlap w:val="never"/>
        <w:tblW w:w="14178" w:type="dxa"/>
        <w:jc w:val="center"/>
        <w:tblLayout w:type="fixed"/>
        <w:tblCellMar>
          <w:top w:w="0" w:type="dxa"/>
          <w:left w:w="108" w:type="dxa"/>
          <w:bottom w:w="0" w:type="dxa"/>
          <w:right w:w="108" w:type="dxa"/>
        </w:tblCellMar>
      </w:tblPr>
      <w:tblGrid>
        <w:gridCol w:w="385"/>
        <w:gridCol w:w="544"/>
        <w:gridCol w:w="1519"/>
        <w:gridCol w:w="1100"/>
        <w:gridCol w:w="788"/>
        <w:gridCol w:w="734"/>
        <w:gridCol w:w="1490"/>
        <w:gridCol w:w="1531"/>
        <w:gridCol w:w="2182"/>
        <w:gridCol w:w="1722"/>
        <w:gridCol w:w="854"/>
        <w:gridCol w:w="725"/>
        <w:gridCol w:w="604"/>
      </w:tblGrid>
      <w:tr w14:paraId="204BC774">
        <w:tblPrEx>
          <w:tblCellMar>
            <w:top w:w="0" w:type="dxa"/>
            <w:left w:w="108" w:type="dxa"/>
            <w:bottom w:w="0" w:type="dxa"/>
            <w:right w:w="108" w:type="dxa"/>
          </w:tblCellMar>
        </w:tblPrEx>
        <w:trPr>
          <w:trHeight w:val="502" w:hRule="atLeast"/>
          <w:jc w:val="center"/>
        </w:trPr>
        <w:tc>
          <w:tcPr>
            <w:tcW w:w="385" w:type="dxa"/>
            <w:vMerge w:val="restart"/>
            <w:tcBorders>
              <w:top w:val="single" w:color="auto" w:sz="4" w:space="0"/>
              <w:left w:val="single" w:color="auto" w:sz="4" w:space="0"/>
              <w:bottom w:val="single" w:color="auto" w:sz="4" w:space="0"/>
              <w:right w:val="single" w:color="auto" w:sz="4" w:space="0"/>
            </w:tcBorders>
            <w:vAlign w:val="center"/>
          </w:tcPr>
          <w:p w14:paraId="7B6A589E">
            <w:pPr>
              <w:spacing w:line="400" w:lineRule="exact"/>
              <w:rPr>
                <w:rFonts w:hint="eastAsia" w:ascii="宋体" w:hAnsi="宋体" w:eastAsia="宋体" w:cs="宋体"/>
                <w:color w:val="auto"/>
                <w:sz w:val="13"/>
                <w:szCs w:val="13"/>
                <w:highlight w:val="none"/>
              </w:rPr>
            </w:pPr>
            <w:r>
              <w:rPr>
                <w:rFonts w:hint="eastAsia" w:ascii="宋体" w:hAnsi="宋体" w:eastAsia="宋体" w:cs="宋体"/>
                <w:color w:val="auto"/>
                <w:sz w:val="16"/>
                <w:szCs w:val="16"/>
                <w:highlight w:val="none"/>
              </w:rPr>
              <w:t>供应商名称</w:t>
            </w:r>
          </w:p>
        </w:tc>
        <w:tc>
          <w:tcPr>
            <w:tcW w:w="13189" w:type="dxa"/>
            <w:gridSpan w:val="11"/>
            <w:tcBorders>
              <w:top w:val="single" w:color="auto" w:sz="4" w:space="0"/>
              <w:left w:val="nil"/>
              <w:bottom w:val="single" w:color="auto" w:sz="4" w:space="0"/>
              <w:right w:val="single" w:color="auto" w:sz="4" w:space="0"/>
            </w:tcBorders>
            <w:vAlign w:val="center"/>
          </w:tcPr>
          <w:p w14:paraId="0663952A">
            <w:pPr>
              <w:widowControl/>
              <w:snapToGrid w:val="0"/>
              <w:spacing w:line="470" w:lineRule="exact"/>
              <w:jc w:val="center"/>
              <w:textAlignment w:val="baseline"/>
              <w:rPr>
                <w:rFonts w:hint="eastAsia" w:ascii="宋体" w:hAnsi="宋体" w:eastAsia="宋体" w:cs="宋体"/>
                <w:color w:val="auto"/>
                <w:sz w:val="13"/>
                <w:szCs w:val="13"/>
                <w:highlight w:val="none"/>
              </w:rPr>
            </w:pPr>
            <w:r>
              <w:rPr>
                <w:rFonts w:hint="eastAsia" w:ascii="宋体" w:hAnsi="宋体" w:eastAsia="宋体" w:cs="宋体"/>
                <w:color w:val="auto"/>
                <w:sz w:val="16"/>
                <w:szCs w:val="16"/>
                <w:highlight w:val="none"/>
              </w:rPr>
              <w:t>审</w:t>
            </w:r>
            <w:r>
              <w:rPr>
                <w:rFonts w:hint="eastAsia" w:ascii="宋体" w:hAnsi="宋体" w:cs="宋体"/>
                <w:color w:val="auto"/>
                <w:sz w:val="16"/>
                <w:szCs w:val="16"/>
                <w:highlight w:val="none"/>
                <w:lang w:val="en-US" w:eastAsia="zh-CN"/>
              </w:rPr>
              <w:t xml:space="preserve"> </w:t>
            </w:r>
            <w:r>
              <w:rPr>
                <w:rFonts w:hint="eastAsia" w:ascii="宋体" w:hAnsi="宋体" w:eastAsia="宋体" w:cs="宋体"/>
                <w:color w:val="auto"/>
                <w:sz w:val="16"/>
                <w:szCs w:val="16"/>
                <w:highlight w:val="none"/>
              </w:rPr>
              <w:t>查</w:t>
            </w:r>
            <w:r>
              <w:rPr>
                <w:rFonts w:hint="eastAsia" w:ascii="宋体" w:hAnsi="宋体" w:cs="宋体"/>
                <w:color w:val="auto"/>
                <w:sz w:val="16"/>
                <w:szCs w:val="16"/>
                <w:highlight w:val="none"/>
                <w:lang w:val="en-US" w:eastAsia="zh-CN"/>
              </w:rPr>
              <w:t xml:space="preserve"> </w:t>
            </w:r>
            <w:r>
              <w:rPr>
                <w:rFonts w:hint="eastAsia" w:ascii="宋体" w:hAnsi="宋体" w:eastAsia="宋体" w:cs="宋体"/>
                <w:color w:val="auto"/>
                <w:sz w:val="16"/>
                <w:szCs w:val="16"/>
                <w:highlight w:val="none"/>
              </w:rPr>
              <w:t>项</w:t>
            </w:r>
            <w:r>
              <w:rPr>
                <w:rFonts w:hint="eastAsia" w:ascii="宋体" w:hAnsi="宋体" w:cs="宋体"/>
                <w:color w:val="auto"/>
                <w:sz w:val="16"/>
                <w:szCs w:val="16"/>
                <w:highlight w:val="none"/>
                <w:lang w:val="en-US" w:eastAsia="zh-CN"/>
              </w:rPr>
              <w:t xml:space="preserve"> </w:t>
            </w:r>
            <w:r>
              <w:rPr>
                <w:rFonts w:hint="eastAsia" w:ascii="宋体" w:hAnsi="宋体" w:eastAsia="宋体" w:cs="宋体"/>
                <w:color w:val="auto"/>
                <w:sz w:val="16"/>
                <w:szCs w:val="16"/>
                <w:highlight w:val="none"/>
              </w:rPr>
              <w:t>目</w:t>
            </w:r>
          </w:p>
        </w:tc>
        <w:tc>
          <w:tcPr>
            <w:tcW w:w="604" w:type="dxa"/>
            <w:tcBorders>
              <w:top w:val="single" w:color="auto" w:sz="4" w:space="0"/>
              <w:left w:val="nil"/>
              <w:bottom w:val="single" w:color="auto" w:sz="4" w:space="0"/>
              <w:right w:val="single" w:color="auto" w:sz="4" w:space="0"/>
            </w:tcBorders>
            <w:vAlign w:val="center"/>
          </w:tcPr>
          <w:p w14:paraId="631B4F85">
            <w:pPr>
              <w:spacing w:line="400" w:lineRule="exact"/>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结论</w:t>
            </w:r>
          </w:p>
        </w:tc>
      </w:tr>
      <w:tr w14:paraId="4E453E29">
        <w:tblPrEx>
          <w:tblCellMar>
            <w:top w:w="0" w:type="dxa"/>
            <w:left w:w="108" w:type="dxa"/>
            <w:bottom w:w="0" w:type="dxa"/>
            <w:right w:w="108" w:type="dxa"/>
          </w:tblCellMar>
        </w:tblPrEx>
        <w:trPr>
          <w:trHeight w:val="4403" w:hRule="atLeast"/>
          <w:jc w:val="center"/>
        </w:trPr>
        <w:tc>
          <w:tcPr>
            <w:tcW w:w="385" w:type="dxa"/>
            <w:vMerge w:val="continue"/>
            <w:tcBorders>
              <w:top w:val="single" w:color="auto" w:sz="4" w:space="0"/>
              <w:left w:val="single" w:color="auto" w:sz="4" w:space="0"/>
              <w:bottom w:val="single" w:color="auto" w:sz="4" w:space="0"/>
              <w:right w:val="single" w:color="auto" w:sz="4" w:space="0"/>
            </w:tcBorders>
            <w:vAlign w:val="center"/>
          </w:tcPr>
          <w:p w14:paraId="1AB0034F">
            <w:pPr>
              <w:spacing w:line="400" w:lineRule="exact"/>
              <w:rPr>
                <w:rFonts w:hint="eastAsia" w:ascii="宋体" w:hAnsi="宋体" w:eastAsia="宋体" w:cs="宋体"/>
                <w:color w:val="auto"/>
                <w:sz w:val="13"/>
                <w:szCs w:val="13"/>
                <w:highlight w:val="none"/>
              </w:rPr>
            </w:pPr>
          </w:p>
        </w:tc>
        <w:tc>
          <w:tcPr>
            <w:tcW w:w="544" w:type="dxa"/>
            <w:tcBorders>
              <w:top w:val="nil"/>
              <w:left w:val="nil"/>
              <w:bottom w:val="single" w:color="auto" w:sz="4" w:space="0"/>
              <w:right w:val="single" w:color="auto" w:sz="4" w:space="0"/>
            </w:tcBorders>
            <w:vAlign w:val="center"/>
          </w:tcPr>
          <w:p w14:paraId="1ECC9691">
            <w:pPr>
              <w:spacing w:line="400" w:lineRule="exact"/>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具有有效的独立法定代表人营业执照；</w:t>
            </w:r>
          </w:p>
          <w:p w14:paraId="62C9DF0A">
            <w:pPr>
              <w:spacing w:line="400" w:lineRule="exact"/>
              <w:rPr>
                <w:rFonts w:hint="eastAsia" w:ascii="宋体" w:hAnsi="宋体" w:eastAsia="宋体" w:cs="宋体"/>
                <w:color w:val="auto"/>
                <w:sz w:val="16"/>
                <w:szCs w:val="16"/>
                <w:highlight w:val="none"/>
              </w:rPr>
            </w:pPr>
          </w:p>
        </w:tc>
        <w:tc>
          <w:tcPr>
            <w:tcW w:w="1519" w:type="dxa"/>
            <w:tcBorders>
              <w:top w:val="nil"/>
              <w:left w:val="nil"/>
              <w:bottom w:val="single" w:color="auto" w:sz="4" w:space="0"/>
              <w:right w:val="single" w:color="auto" w:sz="4" w:space="0"/>
            </w:tcBorders>
            <w:vAlign w:val="center"/>
          </w:tcPr>
          <w:p w14:paraId="72A19F7C">
            <w:pPr>
              <w:spacing w:line="400" w:lineRule="exact"/>
              <w:rPr>
                <w:rFonts w:hint="eastAsia" w:ascii="宋体" w:hAnsi="宋体" w:eastAsia="宋体" w:cs="宋体"/>
                <w:color w:val="auto"/>
                <w:sz w:val="16"/>
                <w:szCs w:val="16"/>
                <w:highlight w:val="none"/>
              </w:rPr>
            </w:pPr>
            <w:r>
              <w:rPr>
                <w:rFonts w:hint="eastAsia" w:ascii="宋体" w:hAnsi="宋体" w:cs="宋体"/>
                <w:color w:val="auto"/>
                <w:sz w:val="16"/>
                <w:szCs w:val="16"/>
                <w:highlight w:val="none"/>
                <w:lang w:val="en-US" w:eastAsia="zh-CN"/>
              </w:rPr>
              <w:t>法定代表人需提供法定代表人身份证明扫描件加盖公章，被授权委托人需提供法人授权委托书扫描件加盖公章、法人身份证复印件及被授权委托人身份证扫描件加盖公章，被授权委托人必须是本单位正式员工</w:t>
            </w:r>
            <w:r>
              <w:rPr>
                <w:rFonts w:hint="eastAsia" w:ascii="宋体" w:hAnsi="宋体" w:eastAsia="宋体" w:cs="宋体"/>
                <w:color w:val="auto"/>
                <w:sz w:val="16"/>
                <w:szCs w:val="16"/>
                <w:highlight w:val="none"/>
                <w:lang w:val="en-US" w:eastAsia="zh-CN"/>
              </w:rPr>
              <w:t>；</w:t>
            </w:r>
          </w:p>
        </w:tc>
        <w:tc>
          <w:tcPr>
            <w:tcW w:w="1100" w:type="dxa"/>
            <w:tcBorders>
              <w:top w:val="nil"/>
              <w:left w:val="nil"/>
              <w:bottom w:val="single" w:color="auto" w:sz="4" w:space="0"/>
              <w:right w:val="single" w:color="auto" w:sz="4" w:space="0"/>
            </w:tcBorders>
            <w:vAlign w:val="center"/>
          </w:tcPr>
          <w:p w14:paraId="6FAF91AC">
            <w:pPr>
              <w:spacing w:line="400" w:lineRule="exact"/>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lang w:val="en-US" w:eastAsia="zh-CN"/>
              </w:rPr>
              <w:t>近两年任意一年的财务审计报告，包括资产负债表、现金流量表、利润表等（新成立公司需提供银行资信证明）；</w:t>
            </w:r>
          </w:p>
        </w:tc>
        <w:tc>
          <w:tcPr>
            <w:tcW w:w="788" w:type="dxa"/>
            <w:tcBorders>
              <w:top w:val="nil"/>
              <w:left w:val="nil"/>
              <w:bottom w:val="single" w:color="auto" w:sz="4" w:space="0"/>
              <w:right w:val="single" w:color="auto" w:sz="4" w:space="0"/>
            </w:tcBorders>
            <w:vAlign w:val="center"/>
          </w:tcPr>
          <w:p w14:paraId="7CB471D1">
            <w:pPr>
              <w:spacing w:line="400" w:lineRule="exact"/>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lang w:val="en-US" w:eastAsia="zh-CN"/>
              </w:rPr>
              <w:t>提供本单位缴纳的近六个月内任意一个月社保缴纳证明及明细；</w:t>
            </w:r>
          </w:p>
        </w:tc>
        <w:tc>
          <w:tcPr>
            <w:tcW w:w="734" w:type="dxa"/>
            <w:tcBorders>
              <w:top w:val="single" w:color="auto" w:sz="4" w:space="0"/>
              <w:left w:val="single" w:color="auto" w:sz="4" w:space="0"/>
              <w:bottom w:val="single" w:color="auto" w:sz="4" w:space="0"/>
              <w:right w:val="single" w:color="auto" w:sz="4" w:space="0"/>
            </w:tcBorders>
            <w:vAlign w:val="center"/>
          </w:tcPr>
          <w:p w14:paraId="4916D12A">
            <w:pPr>
              <w:spacing w:line="400" w:lineRule="exact"/>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lang w:val="en-US" w:eastAsia="zh-CN"/>
              </w:rPr>
              <w:t>提供税务部门出具的近六个月任意一个月的完税证明；</w:t>
            </w:r>
          </w:p>
        </w:tc>
        <w:tc>
          <w:tcPr>
            <w:tcW w:w="1490" w:type="dxa"/>
            <w:tcBorders>
              <w:top w:val="single" w:color="auto" w:sz="4" w:space="0"/>
              <w:left w:val="single" w:color="auto" w:sz="4" w:space="0"/>
              <w:bottom w:val="single" w:color="auto" w:sz="4" w:space="0"/>
              <w:right w:val="single" w:color="auto" w:sz="4" w:space="0"/>
            </w:tcBorders>
            <w:vAlign w:val="center"/>
          </w:tcPr>
          <w:p w14:paraId="2D2E2F55">
            <w:pPr>
              <w:spacing w:line="400" w:lineRule="exact"/>
              <w:rPr>
                <w:rFonts w:hint="eastAsia" w:ascii="宋体" w:hAnsi="宋体" w:eastAsia="宋体" w:cs="宋体"/>
                <w:color w:val="auto"/>
                <w:sz w:val="16"/>
                <w:szCs w:val="16"/>
                <w:highlight w:val="none"/>
              </w:rPr>
            </w:pPr>
            <w:r>
              <w:rPr>
                <w:rFonts w:hint="eastAsia" w:ascii="宋体" w:hAnsi="宋体" w:cs="宋体"/>
                <w:color w:val="auto"/>
                <w:sz w:val="16"/>
                <w:szCs w:val="16"/>
                <w:highlight w:val="none"/>
                <w:lang w:val="en-US" w:eastAsia="zh-CN"/>
              </w:rPr>
              <w:t>供应商须具备[公路工程施工总承包叁级]（含）以上资质，且具有效的安全生产许可证；</w:t>
            </w:r>
          </w:p>
        </w:tc>
        <w:tc>
          <w:tcPr>
            <w:tcW w:w="1531" w:type="dxa"/>
            <w:tcBorders>
              <w:top w:val="single" w:color="auto" w:sz="4" w:space="0"/>
              <w:left w:val="single" w:color="auto" w:sz="4" w:space="0"/>
              <w:bottom w:val="single" w:color="auto" w:sz="4" w:space="0"/>
              <w:right w:val="single" w:color="auto" w:sz="4" w:space="0"/>
            </w:tcBorders>
            <w:vAlign w:val="center"/>
          </w:tcPr>
          <w:p w14:paraId="60197501">
            <w:pPr>
              <w:spacing w:line="400" w:lineRule="exact"/>
              <w:rPr>
                <w:rFonts w:hint="eastAsia" w:ascii="宋体" w:hAnsi="宋体" w:eastAsia="宋体" w:cs="宋体"/>
                <w:color w:val="FF0000"/>
                <w:sz w:val="16"/>
                <w:szCs w:val="16"/>
                <w:highlight w:val="none"/>
                <w:lang w:val="en-US" w:eastAsia="zh-CN"/>
              </w:rPr>
            </w:pPr>
            <w:r>
              <w:rPr>
                <w:rFonts w:hint="eastAsia" w:ascii="宋体" w:hAnsi="宋体" w:eastAsia="宋体" w:cs="宋体"/>
                <w:color w:val="auto"/>
                <w:sz w:val="16"/>
                <w:szCs w:val="16"/>
                <w:highlight w:val="none"/>
                <w:lang w:val="en-US" w:eastAsia="zh-CN"/>
              </w:rPr>
              <w:t>项目负责人须具备公路工程专业二级（含）以上注册建造师执业资格, 具备有效的安全生产考核合格证书，近 3 个月有效的社保证明，且未担任其他在施建设项目的项目负责人；</w:t>
            </w:r>
          </w:p>
        </w:tc>
        <w:tc>
          <w:tcPr>
            <w:tcW w:w="2182" w:type="dxa"/>
            <w:tcBorders>
              <w:top w:val="single" w:color="auto" w:sz="4" w:space="0"/>
              <w:left w:val="single" w:color="auto" w:sz="4" w:space="0"/>
              <w:bottom w:val="single" w:color="auto" w:sz="4" w:space="0"/>
              <w:right w:val="single" w:color="auto" w:sz="4" w:space="0"/>
            </w:tcBorders>
            <w:vAlign w:val="center"/>
          </w:tcPr>
          <w:p w14:paraId="0DC6C37F">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lang w:val="en-US" w:eastAsia="zh-CN"/>
              </w:rPr>
              <w:t>供应商在“信用中国 ”网站（www.creditchina.gov.cn）中查询“严重失信、经营异常”；“中国政府采购网”网站（http://www.ccgp.gov.cn/search/cr/）中查询“严重违法失信行为”；“国家企业信用信息公示系统”（http://www.gsxt.gov.cn）中查询“严重违法失信名单、经营异常名录”，尚在处罚期内的将拒绝其参加本次招标活动（请各供应商提供以上网站完整查询结果，并加盖本单位公章）；</w:t>
            </w:r>
          </w:p>
        </w:tc>
        <w:tc>
          <w:tcPr>
            <w:tcW w:w="1722" w:type="dxa"/>
            <w:tcBorders>
              <w:top w:val="single" w:color="auto" w:sz="4" w:space="0"/>
              <w:left w:val="single" w:color="auto" w:sz="4" w:space="0"/>
              <w:bottom w:val="single" w:color="auto" w:sz="4" w:space="0"/>
              <w:right w:val="single" w:color="auto" w:sz="4" w:space="0"/>
            </w:tcBorders>
            <w:vAlign w:val="center"/>
          </w:tcPr>
          <w:p w14:paraId="64E44E34">
            <w:pPr>
              <w:spacing w:line="400" w:lineRule="exact"/>
              <w:rPr>
                <w:rFonts w:hint="eastAsia" w:ascii="宋体" w:hAnsi="宋体" w:eastAsia="宋体" w:cs="宋体"/>
                <w:color w:val="auto"/>
                <w:sz w:val="16"/>
                <w:szCs w:val="16"/>
                <w:highlight w:val="none"/>
                <w:lang w:eastAsia="zh-CN"/>
              </w:rPr>
            </w:pPr>
            <w:r>
              <w:rPr>
                <w:rFonts w:hint="eastAsia" w:ascii="宋体" w:hAnsi="宋体" w:eastAsia="宋体" w:cs="宋体"/>
                <w:color w:val="auto"/>
                <w:sz w:val="16"/>
                <w:szCs w:val="16"/>
                <w:highlight w:val="none"/>
                <w:lang w:val="en-US" w:eastAsia="zh-CN"/>
              </w:rPr>
              <w:t>参与政府采购活动前3年内未被列入失信、重大税收违法案件、财政部门禁止参加政府采购活动的承诺书；</w:t>
            </w:r>
          </w:p>
        </w:tc>
        <w:tc>
          <w:tcPr>
            <w:tcW w:w="854" w:type="dxa"/>
            <w:tcBorders>
              <w:top w:val="single" w:color="auto" w:sz="4" w:space="0"/>
              <w:left w:val="single" w:color="auto" w:sz="4" w:space="0"/>
              <w:bottom w:val="single" w:color="auto" w:sz="4" w:space="0"/>
              <w:right w:val="single" w:color="auto" w:sz="4" w:space="0"/>
            </w:tcBorders>
            <w:vAlign w:val="center"/>
          </w:tcPr>
          <w:p w14:paraId="4DAB62EC">
            <w:pPr>
              <w:spacing w:line="400" w:lineRule="exact"/>
              <w:rPr>
                <w:rFonts w:hint="eastAsia" w:ascii="宋体" w:hAnsi="宋体" w:eastAsia="宋体" w:cs="宋体"/>
                <w:color w:val="auto"/>
                <w:sz w:val="16"/>
                <w:szCs w:val="16"/>
                <w:highlight w:val="none"/>
                <w:lang w:eastAsia="zh-CN"/>
              </w:rPr>
            </w:pPr>
            <w:r>
              <w:rPr>
                <w:rFonts w:hint="eastAsia" w:ascii="宋体" w:hAnsi="宋体" w:eastAsia="宋体" w:cs="宋体"/>
                <w:color w:val="auto"/>
                <w:sz w:val="16"/>
                <w:szCs w:val="16"/>
                <w:highlight w:val="none"/>
                <w:lang w:val="en-US" w:eastAsia="zh-CN"/>
              </w:rPr>
              <w:t>提供针对本次项目《反商业贿赂承诺书》</w:t>
            </w:r>
          </w:p>
        </w:tc>
        <w:tc>
          <w:tcPr>
            <w:tcW w:w="725" w:type="dxa"/>
            <w:tcBorders>
              <w:top w:val="single" w:color="auto" w:sz="4" w:space="0"/>
              <w:left w:val="single" w:color="auto" w:sz="4" w:space="0"/>
              <w:bottom w:val="single" w:color="auto" w:sz="4" w:space="0"/>
              <w:right w:val="single" w:color="auto" w:sz="4" w:space="0"/>
            </w:tcBorders>
            <w:vAlign w:val="center"/>
          </w:tcPr>
          <w:p w14:paraId="1B9E36F2">
            <w:pPr>
              <w:spacing w:line="400" w:lineRule="exact"/>
              <w:rPr>
                <w:rFonts w:hint="eastAsia" w:ascii="宋体" w:hAnsi="宋体" w:eastAsia="宋体" w:cs="宋体"/>
                <w:color w:val="auto"/>
                <w:sz w:val="16"/>
                <w:szCs w:val="16"/>
                <w:highlight w:val="none"/>
                <w:lang w:eastAsia="zh-CN"/>
              </w:rPr>
            </w:pPr>
            <w:r>
              <w:rPr>
                <w:rFonts w:hint="eastAsia" w:ascii="宋体" w:hAnsi="宋体" w:eastAsia="宋体" w:cs="宋体"/>
                <w:color w:val="auto"/>
                <w:sz w:val="16"/>
                <w:szCs w:val="16"/>
                <w:highlight w:val="none"/>
                <w:lang w:val="en-US" w:eastAsia="zh-CN"/>
              </w:rPr>
              <w:t>缴纳磋商保证金有效凭证</w:t>
            </w:r>
            <w:r>
              <w:rPr>
                <w:rFonts w:hint="eastAsia" w:ascii="宋体" w:hAnsi="宋体" w:cs="宋体"/>
                <w:color w:val="auto"/>
                <w:sz w:val="16"/>
                <w:szCs w:val="16"/>
                <w:highlight w:val="none"/>
                <w:lang w:val="en-US" w:eastAsia="zh-CN"/>
              </w:rPr>
              <w:t>。</w:t>
            </w:r>
          </w:p>
        </w:tc>
        <w:tc>
          <w:tcPr>
            <w:tcW w:w="604" w:type="dxa"/>
            <w:tcBorders>
              <w:top w:val="single" w:color="auto" w:sz="4" w:space="0"/>
              <w:left w:val="single" w:color="auto" w:sz="4" w:space="0"/>
              <w:bottom w:val="single" w:color="auto" w:sz="4" w:space="0"/>
              <w:right w:val="single" w:color="auto" w:sz="4" w:space="0"/>
            </w:tcBorders>
            <w:vAlign w:val="center"/>
          </w:tcPr>
          <w:p w14:paraId="40691AD2">
            <w:pPr>
              <w:spacing w:line="400" w:lineRule="exact"/>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是否合格</w:t>
            </w:r>
          </w:p>
        </w:tc>
      </w:tr>
      <w:tr w14:paraId="4E8AD5C3">
        <w:tblPrEx>
          <w:tblCellMar>
            <w:top w:w="0" w:type="dxa"/>
            <w:left w:w="108" w:type="dxa"/>
            <w:bottom w:w="0" w:type="dxa"/>
            <w:right w:w="108" w:type="dxa"/>
          </w:tblCellMar>
        </w:tblPrEx>
        <w:trPr>
          <w:trHeight w:val="656" w:hRule="atLeast"/>
          <w:jc w:val="center"/>
        </w:trPr>
        <w:tc>
          <w:tcPr>
            <w:tcW w:w="385" w:type="dxa"/>
            <w:tcBorders>
              <w:top w:val="nil"/>
              <w:left w:val="single" w:color="auto" w:sz="4" w:space="0"/>
              <w:bottom w:val="single" w:color="auto" w:sz="4" w:space="0"/>
              <w:right w:val="single" w:color="auto" w:sz="4" w:space="0"/>
            </w:tcBorders>
            <w:vAlign w:val="center"/>
          </w:tcPr>
          <w:p w14:paraId="2720A310">
            <w:pPr>
              <w:spacing w:line="400" w:lineRule="exact"/>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　</w:t>
            </w:r>
          </w:p>
        </w:tc>
        <w:tc>
          <w:tcPr>
            <w:tcW w:w="544" w:type="dxa"/>
            <w:tcBorders>
              <w:top w:val="nil"/>
              <w:left w:val="nil"/>
              <w:bottom w:val="single" w:color="auto" w:sz="4" w:space="0"/>
              <w:right w:val="single" w:color="auto" w:sz="4" w:space="0"/>
            </w:tcBorders>
            <w:vAlign w:val="center"/>
          </w:tcPr>
          <w:p w14:paraId="66E0AB3F">
            <w:pPr>
              <w:spacing w:line="400" w:lineRule="exact"/>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　</w:t>
            </w:r>
          </w:p>
        </w:tc>
        <w:tc>
          <w:tcPr>
            <w:tcW w:w="1519" w:type="dxa"/>
            <w:tcBorders>
              <w:top w:val="nil"/>
              <w:left w:val="nil"/>
              <w:bottom w:val="single" w:color="auto" w:sz="4" w:space="0"/>
              <w:right w:val="single" w:color="auto" w:sz="4" w:space="0"/>
            </w:tcBorders>
            <w:vAlign w:val="center"/>
          </w:tcPr>
          <w:p w14:paraId="457CE775">
            <w:pPr>
              <w:spacing w:line="400" w:lineRule="exact"/>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　</w:t>
            </w:r>
          </w:p>
        </w:tc>
        <w:tc>
          <w:tcPr>
            <w:tcW w:w="1100" w:type="dxa"/>
            <w:tcBorders>
              <w:top w:val="nil"/>
              <w:left w:val="nil"/>
              <w:bottom w:val="single" w:color="auto" w:sz="4" w:space="0"/>
              <w:right w:val="single" w:color="auto" w:sz="4" w:space="0"/>
            </w:tcBorders>
            <w:vAlign w:val="center"/>
          </w:tcPr>
          <w:p w14:paraId="0C35B1C2">
            <w:pPr>
              <w:spacing w:line="400" w:lineRule="exact"/>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　</w:t>
            </w:r>
          </w:p>
          <w:p w14:paraId="23C1DA96">
            <w:pPr>
              <w:spacing w:line="400" w:lineRule="exact"/>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　</w:t>
            </w:r>
          </w:p>
        </w:tc>
        <w:tc>
          <w:tcPr>
            <w:tcW w:w="788" w:type="dxa"/>
            <w:tcBorders>
              <w:top w:val="nil"/>
              <w:left w:val="nil"/>
              <w:bottom w:val="single" w:color="auto" w:sz="4" w:space="0"/>
              <w:right w:val="single" w:color="auto" w:sz="4" w:space="0"/>
            </w:tcBorders>
            <w:vAlign w:val="center"/>
          </w:tcPr>
          <w:p w14:paraId="7624A4AD">
            <w:pPr>
              <w:spacing w:line="400" w:lineRule="exact"/>
              <w:rPr>
                <w:rFonts w:hint="eastAsia" w:ascii="宋体" w:hAnsi="宋体" w:eastAsia="宋体" w:cs="宋体"/>
                <w:color w:val="auto"/>
                <w:sz w:val="13"/>
                <w:szCs w:val="13"/>
                <w:highlight w:val="none"/>
              </w:rPr>
            </w:pPr>
          </w:p>
        </w:tc>
        <w:tc>
          <w:tcPr>
            <w:tcW w:w="734" w:type="dxa"/>
            <w:tcBorders>
              <w:top w:val="single" w:color="auto" w:sz="4" w:space="0"/>
              <w:left w:val="single" w:color="auto" w:sz="4" w:space="0"/>
              <w:bottom w:val="single" w:color="auto" w:sz="4" w:space="0"/>
              <w:right w:val="single" w:color="auto" w:sz="4" w:space="0"/>
            </w:tcBorders>
            <w:vAlign w:val="center"/>
          </w:tcPr>
          <w:p w14:paraId="0E56F7D8">
            <w:pPr>
              <w:spacing w:line="400" w:lineRule="exact"/>
              <w:rPr>
                <w:rFonts w:hint="eastAsia" w:ascii="宋体" w:hAnsi="宋体" w:eastAsia="宋体" w:cs="宋体"/>
                <w:color w:val="auto"/>
                <w:sz w:val="13"/>
                <w:szCs w:val="13"/>
                <w:highlight w:val="none"/>
              </w:rPr>
            </w:pPr>
          </w:p>
        </w:tc>
        <w:tc>
          <w:tcPr>
            <w:tcW w:w="1490" w:type="dxa"/>
            <w:tcBorders>
              <w:top w:val="single" w:color="auto" w:sz="4" w:space="0"/>
              <w:left w:val="single" w:color="auto" w:sz="4" w:space="0"/>
              <w:bottom w:val="single" w:color="auto" w:sz="4" w:space="0"/>
              <w:right w:val="single" w:color="auto" w:sz="4" w:space="0"/>
            </w:tcBorders>
            <w:vAlign w:val="center"/>
          </w:tcPr>
          <w:p w14:paraId="2469D110">
            <w:pPr>
              <w:spacing w:line="400" w:lineRule="exact"/>
              <w:rPr>
                <w:rFonts w:hint="eastAsia" w:ascii="宋体" w:hAnsi="宋体" w:eastAsia="宋体" w:cs="宋体"/>
                <w:color w:val="auto"/>
                <w:sz w:val="13"/>
                <w:szCs w:val="13"/>
                <w:highlight w:val="none"/>
              </w:rPr>
            </w:pPr>
          </w:p>
        </w:tc>
        <w:tc>
          <w:tcPr>
            <w:tcW w:w="1531" w:type="dxa"/>
            <w:tcBorders>
              <w:top w:val="single" w:color="auto" w:sz="4" w:space="0"/>
              <w:left w:val="single" w:color="auto" w:sz="4" w:space="0"/>
              <w:bottom w:val="single" w:color="auto" w:sz="4" w:space="0"/>
              <w:right w:val="single" w:color="auto" w:sz="4" w:space="0"/>
            </w:tcBorders>
            <w:vAlign w:val="center"/>
          </w:tcPr>
          <w:p w14:paraId="22C148AE">
            <w:pPr>
              <w:spacing w:line="400" w:lineRule="exact"/>
              <w:ind w:firstLine="329" w:firstLineChars="0"/>
              <w:rPr>
                <w:rFonts w:hint="eastAsia" w:ascii="宋体" w:hAnsi="宋体" w:eastAsia="宋体" w:cs="宋体"/>
                <w:color w:val="auto"/>
                <w:sz w:val="13"/>
                <w:szCs w:val="13"/>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59684A61">
            <w:pPr>
              <w:spacing w:line="400" w:lineRule="exact"/>
              <w:rPr>
                <w:rFonts w:hint="eastAsia" w:ascii="宋体" w:hAnsi="宋体" w:eastAsia="宋体" w:cs="宋体"/>
                <w:color w:val="auto"/>
                <w:sz w:val="13"/>
                <w:szCs w:val="13"/>
                <w:highlight w:val="none"/>
              </w:rPr>
            </w:pPr>
          </w:p>
        </w:tc>
        <w:tc>
          <w:tcPr>
            <w:tcW w:w="1722" w:type="dxa"/>
            <w:tcBorders>
              <w:top w:val="single" w:color="auto" w:sz="4" w:space="0"/>
              <w:left w:val="single" w:color="auto" w:sz="4" w:space="0"/>
              <w:bottom w:val="single" w:color="auto" w:sz="4" w:space="0"/>
              <w:right w:val="single" w:color="auto" w:sz="4" w:space="0"/>
            </w:tcBorders>
            <w:vAlign w:val="center"/>
          </w:tcPr>
          <w:p w14:paraId="7B902B6C">
            <w:pPr>
              <w:spacing w:line="400" w:lineRule="exact"/>
              <w:rPr>
                <w:rFonts w:hint="eastAsia" w:ascii="宋体" w:hAnsi="宋体" w:eastAsia="宋体" w:cs="宋体"/>
                <w:color w:val="auto"/>
                <w:sz w:val="13"/>
                <w:szCs w:val="13"/>
                <w:highlight w:val="none"/>
              </w:rPr>
            </w:pPr>
          </w:p>
        </w:tc>
        <w:tc>
          <w:tcPr>
            <w:tcW w:w="854" w:type="dxa"/>
            <w:tcBorders>
              <w:top w:val="single" w:color="auto" w:sz="4" w:space="0"/>
              <w:left w:val="single" w:color="auto" w:sz="4" w:space="0"/>
              <w:bottom w:val="single" w:color="auto" w:sz="4" w:space="0"/>
              <w:right w:val="single" w:color="auto" w:sz="4" w:space="0"/>
            </w:tcBorders>
            <w:vAlign w:val="center"/>
          </w:tcPr>
          <w:p w14:paraId="11A3EB2A">
            <w:pPr>
              <w:spacing w:line="400" w:lineRule="exact"/>
              <w:rPr>
                <w:rFonts w:hint="eastAsia" w:ascii="宋体" w:hAnsi="宋体" w:eastAsia="宋体" w:cs="宋体"/>
                <w:color w:val="auto"/>
                <w:sz w:val="13"/>
                <w:szCs w:val="13"/>
                <w:highlight w:val="none"/>
              </w:rPr>
            </w:pPr>
          </w:p>
        </w:tc>
        <w:tc>
          <w:tcPr>
            <w:tcW w:w="725" w:type="dxa"/>
            <w:tcBorders>
              <w:top w:val="single" w:color="auto" w:sz="4" w:space="0"/>
              <w:left w:val="single" w:color="auto" w:sz="4" w:space="0"/>
              <w:bottom w:val="single" w:color="auto" w:sz="4" w:space="0"/>
              <w:right w:val="single" w:color="auto" w:sz="4" w:space="0"/>
            </w:tcBorders>
            <w:vAlign w:val="center"/>
          </w:tcPr>
          <w:p w14:paraId="02C64816">
            <w:pPr>
              <w:spacing w:line="400" w:lineRule="exact"/>
              <w:rPr>
                <w:rFonts w:hint="eastAsia" w:ascii="宋体" w:hAnsi="宋体" w:eastAsia="宋体" w:cs="宋体"/>
                <w:color w:val="auto"/>
                <w:sz w:val="13"/>
                <w:szCs w:val="13"/>
                <w:highlight w:val="none"/>
              </w:rPr>
            </w:pPr>
          </w:p>
        </w:tc>
        <w:tc>
          <w:tcPr>
            <w:tcW w:w="604" w:type="dxa"/>
            <w:tcBorders>
              <w:top w:val="single" w:color="auto" w:sz="4" w:space="0"/>
              <w:left w:val="single" w:color="auto" w:sz="4" w:space="0"/>
              <w:bottom w:val="single" w:color="auto" w:sz="4" w:space="0"/>
              <w:right w:val="single" w:color="auto" w:sz="4" w:space="0"/>
            </w:tcBorders>
            <w:vAlign w:val="center"/>
          </w:tcPr>
          <w:p w14:paraId="579EB2BC">
            <w:pPr>
              <w:spacing w:line="400" w:lineRule="exact"/>
              <w:rPr>
                <w:rFonts w:hint="eastAsia" w:ascii="宋体" w:hAnsi="宋体" w:eastAsia="宋体" w:cs="宋体"/>
                <w:color w:val="auto"/>
                <w:sz w:val="13"/>
                <w:szCs w:val="13"/>
                <w:highlight w:val="none"/>
              </w:rPr>
            </w:pPr>
          </w:p>
        </w:tc>
      </w:tr>
      <w:tr w14:paraId="5132F6AD">
        <w:tblPrEx>
          <w:tblCellMar>
            <w:top w:w="0" w:type="dxa"/>
            <w:left w:w="108" w:type="dxa"/>
            <w:bottom w:w="0" w:type="dxa"/>
            <w:right w:w="108" w:type="dxa"/>
          </w:tblCellMar>
        </w:tblPrEx>
        <w:trPr>
          <w:trHeight w:val="605" w:hRule="atLeast"/>
          <w:jc w:val="center"/>
        </w:trPr>
        <w:tc>
          <w:tcPr>
            <w:tcW w:w="385" w:type="dxa"/>
            <w:tcBorders>
              <w:top w:val="single" w:color="auto" w:sz="4" w:space="0"/>
              <w:left w:val="single" w:color="auto" w:sz="4" w:space="0"/>
              <w:bottom w:val="single" w:color="auto" w:sz="4" w:space="0"/>
              <w:right w:val="single" w:color="auto" w:sz="4" w:space="0"/>
            </w:tcBorders>
            <w:vAlign w:val="center"/>
          </w:tcPr>
          <w:p w14:paraId="23B2AA8E">
            <w:pPr>
              <w:spacing w:line="400" w:lineRule="exact"/>
              <w:rPr>
                <w:rFonts w:hint="eastAsia" w:ascii="宋体" w:hAnsi="宋体" w:eastAsia="宋体" w:cs="宋体"/>
                <w:color w:val="auto"/>
                <w:sz w:val="13"/>
                <w:szCs w:val="13"/>
                <w:highlight w:val="none"/>
              </w:rPr>
            </w:pPr>
          </w:p>
        </w:tc>
        <w:tc>
          <w:tcPr>
            <w:tcW w:w="544" w:type="dxa"/>
            <w:tcBorders>
              <w:top w:val="single" w:color="auto" w:sz="4" w:space="0"/>
              <w:left w:val="single" w:color="auto" w:sz="4" w:space="0"/>
              <w:bottom w:val="single" w:color="auto" w:sz="4" w:space="0"/>
              <w:right w:val="single" w:color="auto" w:sz="4" w:space="0"/>
            </w:tcBorders>
            <w:vAlign w:val="center"/>
          </w:tcPr>
          <w:p w14:paraId="1DFFF2A5">
            <w:pPr>
              <w:spacing w:line="400" w:lineRule="exact"/>
              <w:rPr>
                <w:rFonts w:hint="eastAsia" w:ascii="宋体" w:hAnsi="宋体" w:eastAsia="宋体" w:cs="宋体"/>
                <w:color w:val="auto"/>
                <w:sz w:val="13"/>
                <w:szCs w:val="13"/>
                <w:highlight w:val="none"/>
              </w:rPr>
            </w:pPr>
          </w:p>
        </w:tc>
        <w:tc>
          <w:tcPr>
            <w:tcW w:w="1519" w:type="dxa"/>
            <w:tcBorders>
              <w:top w:val="single" w:color="auto" w:sz="4" w:space="0"/>
              <w:left w:val="single" w:color="auto" w:sz="4" w:space="0"/>
              <w:bottom w:val="single" w:color="auto" w:sz="4" w:space="0"/>
              <w:right w:val="single" w:color="auto" w:sz="4" w:space="0"/>
            </w:tcBorders>
            <w:vAlign w:val="center"/>
          </w:tcPr>
          <w:p w14:paraId="62A61EC0">
            <w:pPr>
              <w:spacing w:line="400" w:lineRule="exact"/>
              <w:rPr>
                <w:rFonts w:hint="eastAsia" w:ascii="宋体" w:hAnsi="宋体" w:eastAsia="宋体" w:cs="宋体"/>
                <w:color w:val="auto"/>
                <w:sz w:val="13"/>
                <w:szCs w:val="13"/>
                <w:highlight w:val="none"/>
              </w:rPr>
            </w:pPr>
          </w:p>
        </w:tc>
        <w:tc>
          <w:tcPr>
            <w:tcW w:w="1100" w:type="dxa"/>
            <w:tcBorders>
              <w:top w:val="single" w:color="auto" w:sz="4" w:space="0"/>
              <w:left w:val="single" w:color="auto" w:sz="4" w:space="0"/>
              <w:bottom w:val="single" w:color="auto" w:sz="4" w:space="0"/>
              <w:right w:val="single" w:color="auto" w:sz="4" w:space="0"/>
            </w:tcBorders>
            <w:vAlign w:val="center"/>
          </w:tcPr>
          <w:p w14:paraId="163F207D">
            <w:pPr>
              <w:spacing w:line="400" w:lineRule="exact"/>
              <w:rPr>
                <w:rFonts w:hint="eastAsia" w:ascii="宋体" w:hAnsi="宋体" w:eastAsia="宋体" w:cs="宋体"/>
                <w:color w:val="auto"/>
                <w:sz w:val="13"/>
                <w:szCs w:val="13"/>
                <w:highlight w:val="none"/>
              </w:rPr>
            </w:pPr>
          </w:p>
        </w:tc>
        <w:tc>
          <w:tcPr>
            <w:tcW w:w="788" w:type="dxa"/>
            <w:tcBorders>
              <w:top w:val="single" w:color="auto" w:sz="4" w:space="0"/>
              <w:left w:val="single" w:color="auto" w:sz="4" w:space="0"/>
              <w:bottom w:val="single" w:color="auto" w:sz="4" w:space="0"/>
              <w:right w:val="single" w:color="auto" w:sz="4" w:space="0"/>
            </w:tcBorders>
            <w:vAlign w:val="center"/>
          </w:tcPr>
          <w:p w14:paraId="1CCB12BB">
            <w:pPr>
              <w:spacing w:line="400" w:lineRule="exact"/>
              <w:rPr>
                <w:rFonts w:hint="eastAsia" w:ascii="宋体" w:hAnsi="宋体" w:eastAsia="宋体" w:cs="宋体"/>
                <w:color w:val="auto"/>
                <w:sz w:val="13"/>
                <w:szCs w:val="13"/>
                <w:highlight w:val="none"/>
              </w:rPr>
            </w:pPr>
          </w:p>
        </w:tc>
        <w:tc>
          <w:tcPr>
            <w:tcW w:w="734" w:type="dxa"/>
            <w:tcBorders>
              <w:top w:val="single" w:color="auto" w:sz="4" w:space="0"/>
              <w:left w:val="single" w:color="auto" w:sz="4" w:space="0"/>
              <w:bottom w:val="single" w:color="auto" w:sz="4" w:space="0"/>
              <w:right w:val="single" w:color="auto" w:sz="4" w:space="0"/>
            </w:tcBorders>
            <w:vAlign w:val="center"/>
          </w:tcPr>
          <w:p w14:paraId="0F91B068">
            <w:pPr>
              <w:spacing w:line="400" w:lineRule="exact"/>
              <w:rPr>
                <w:rFonts w:hint="eastAsia" w:ascii="宋体" w:hAnsi="宋体" w:eastAsia="宋体" w:cs="宋体"/>
                <w:color w:val="auto"/>
                <w:sz w:val="13"/>
                <w:szCs w:val="13"/>
                <w:highlight w:val="none"/>
              </w:rPr>
            </w:pPr>
          </w:p>
        </w:tc>
        <w:tc>
          <w:tcPr>
            <w:tcW w:w="1490" w:type="dxa"/>
            <w:tcBorders>
              <w:top w:val="single" w:color="auto" w:sz="4" w:space="0"/>
              <w:left w:val="single" w:color="auto" w:sz="4" w:space="0"/>
              <w:bottom w:val="single" w:color="auto" w:sz="4" w:space="0"/>
              <w:right w:val="single" w:color="auto" w:sz="4" w:space="0"/>
            </w:tcBorders>
            <w:vAlign w:val="center"/>
          </w:tcPr>
          <w:p w14:paraId="5F25CA59">
            <w:pPr>
              <w:spacing w:line="400" w:lineRule="exact"/>
              <w:rPr>
                <w:rFonts w:hint="eastAsia" w:ascii="宋体" w:hAnsi="宋体" w:eastAsia="宋体" w:cs="宋体"/>
                <w:color w:val="auto"/>
                <w:sz w:val="13"/>
                <w:szCs w:val="13"/>
                <w:highlight w:val="none"/>
              </w:rPr>
            </w:pPr>
          </w:p>
        </w:tc>
        <w:tc>
          <w:tcPr>
            <w:tcW w:w="1531" w:type="dxa"/>
            <w:tcBorders>
              <w:top w:val="single" w:color="auto" w:sz="4" w:space="0"/>
              <w:left w:val="single" w:color="auto" w:sz="4" w:space="0"/>
              <w:bottom w:val="single" w:color="auto" w:sz="4" w:space="0"/>
              <w:right w:val="single" w:color="auto" w:sz="4" w:space="0"/>
            </w:tcBorders>
            <w:vAlign w:val="center"/>
          </w:tcPr>
          <w:p w14:paraId="2E056B9F">
            <w:pPr>
              <w:spacing w:line="400" w:lineRule="exact"/>
              <w:rPr>
                <w:rFonts w:hint="eastAsia" w:ascii="宋体" w:hAnsi="宋体" w:eastAsia="宋体" w:cs="宋体"/>
                <w:color w:val="auto"/>
                <w:sz w:val="13"/>
                <w:szCs w:val="13"/>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5A9B4E24">
            <w:pPr>
              <w:spacing w:line="400" w:lineRule="exact"/>
              <w:rPr>
                <w:rFonts w:hint="eastAsia" w:ascii="宋体" w:hAnsi="宋体" w:eastAsia="宋体" w:cs="宋体"/>
                <w:color w:val="auto"/>
                <w:sz w:val="13"/>
                <w:szCs w:val="13"/>
                <w:highlight w:val="none"/>
              </w:rPr>
            </w:pPr>
          </w:p>
        </w:tc>
        <w:tc>
          <w:tcPr>
            <w:tcW w:w="1722" w:type="dxa"/>
            <w:tcBorders>
              <w:top w:val="single" w:color="auto" w:sz="4" w:space="0"/>
              <w:left w:val="single" w:color="auto" w:sz="4" w:space="0"/>
              <w:bottom w:val="single" w:color="auto" w:sz="4" w:space="0"/>
              <w:right w:val="single" w:color="auto" w:sz="4" w:space="0"/>
            </w:tcBorders>
            <w:vAlign w:val="center"/>
          </w:tcPr>
          <w:p w14:paraId="7640AA3E">
            <w:pPr>
              <w:spacing w:line="400" w:lineRule="exact"/>
              <w:rPr>
                <w:rFonts w:hint="eastAsia" w:ascii="宋体" w:hAnsi="宋体" w:eastAsia="宋体" w:cs="宋体"/>
                <w:color w:val="auto"/>
                <w:sz w:val="13"/>
                <w:szCs w:val="13"/>
                <w:highlight w:val="none"/>
              </w:rPr>
            </w:pPr>
          </w:p>
        </w:tc>
        <w:tc>
          <w:tcPr>
            <w:tcW w:w="854" w:type="dxa"/>
            <w:tcBorders>
              <w:top w:val="single" w:color="auto" w:sz="4" w:space="0"/>
              <w:left w:val="single" w:color="auto" w:sz="4" w:space="0"/>
              <w:bottom w:val="single" w:color="auto" w:sz="4" w:space="0"/>
              <w:right w:val="single" w:color="auto" w:sz="4" w:space="0"/>
            </w:tcBorders>
            <w:vAlign w:val="center"/>
          </w:tcPr>
          <w:p w14:paraId="5CC33D42">
            <w:pPr>
              <w:spacing w:line="400" w:lineRule="exact"/>
              <w:rPr>
                <w:rFonts w:hint="eastAsia" w:ascii="宋体" w:hAnsi="宋体" w:eastAsia="宋体" w:cs="宋体"/>
                <w:color w:val="auto"/>
                <w:sz w:val="13"/>
                <w:szCs w:val="13"/>
                <w:highlight w:val="none"/>
              </w:rPr>
            </w:pPr>
          </w:p>
        </w:tc>
        <w:tc>
          <w:tcPr>
            <w:tcW w:w="725" w:type="dxa"/>
            <w:tcBorders>
              <w:top w:val="single" w:color="auto" w:sz="4" w:space="0"/>
              <w:left w:val="single" w:color="auto" w:sz="4" w:space="0"/>
              <w:bottom w:val="single" w:color="auto" w:sz="4" w:space="0"/>
              <w:right w:val="single" w:color="auto" w:sz="4" w:space="0"/>
            </w:tcBorders>
            <w:vAlign w:val="center"/>
          </w:tcPr>
          <w:p w14:paraId="5A85F63A">
            <w:pPr>
              <w:spacing w:line="400" w:lineRule="exact"/>
              <w:rPr>
                <w:rFonts w:hint="eastAsia" w:ascii="宋体" w:hAnsi="宋体" w:eastAsia="宋体" w:cs="宋体"/>
                <w:color w:val="auto"/>
                <w:sz w:val="13"/>
                <w:szCs w:val="13"/>
                <w:highlight w:val="none"/>
              </w:rPr>
            </w:pPr>
          </w:p>
        </w:tc>
        <w:tc>
          <w:tcPr>
            <w:tcW w:w="604" w:type="dxa"/>
            <w:tcBorders>
              <w:top w:val="single" w:color="auto" w:sz="4" w:space="0"/>
              <w:left w:val="single" w:color="auto" w:sz="4" w:space="0"/>
              <w:bottom w:val="single" w:color="auto" w:sz="4" w:space="0"/>
              <w:right w:val="single" w:color="auto" w:sz="4" w:space="0"/>
            </w:tcBorders>
            <w:vAlign w:val="center"/>
          </w:tcPr>
          <w:p w14:paraId="493795FE">
            <w:pPr>
              <w:spacing w:line="400" w:lineRule="exact"/>
              <w:rPr>
                <w:rFonts w:hint="eastAsia" w:ascii="宋体" w:hAnsi="宋体" w:eastAsia="宋体" w:cs="宋体"/>
                <w:color w:val="auto"/>
                <w:sz w:val="13"/>
                <w:szCs w:val="13"/>
                <w:highlight w:val="none"/>
              </w:rPr>
            </w:pPr>
          </w:p>
        </w:tc>
      </w:tr>
      <w:tr w14:paraId="69E53D31">
        <w:tblPrEx>
          <w:tblCellMar>
            <w:top w:w="0" w:type="dxa"/>
            <w:left w:w="108" w:type="dxa"/>
            <w:bottom w:w="0" w:type="dxa"/>
            <w:right w:w="108" w:type="dxa"/>
          </w:tblCellMar>
        </w:tblPrEx>
        <w:trPr>
          <w:trHeight w:val="614" w:hRule="atLeast"/>
          <w:jc w:val="center"/>
        </w:trPr>
        <w:tc>
          <w:tcPr>
            <w:tcW w:w="385" w:type="dxa"/>
            <w:tcBorders>
              <w:top w:val="single" w:color="auto" w:sz="4" w:space="0"/>
              <w:left w:val="single" w:color="auto" w:sz="4" w:space="0"/>
              <w:bottom w:val="single" w:color="auto" w:sz="4" w:space="0"/>
              <w:right w:val="single" w:color="auto" w:sz="4" w:space="0"/>
            </w:tcBorders>
            <w:vAlign w:val="center"/>
          </w:tcPr>
          <w:p w14:paraId="18BD6C68">
            <w:pPr>
              <w:spacing w:line="400" w:lineRule="exact"/>
              <w:rPr>
                <w:rFonts w:hint="eastAsia" w:ascii="宋体" w:hAnsi="宋体" w:eastAsia="宋体" w:cs="宋体"/>
                <w:color w:val="auto"/>
                <w:sz w:val="13"/>
                <w:szCs w:val="13"/>
                <w:highlight w:val="none"/>
              </w:rPr>
            </w:pPr>
          </w:p>
        </w:tc>
        <w:tc>
          <w:tcPr>
            <w:tcW w:w="544" w:type="dxa"/>
            <w:tcBorders>
              <w:top w:val="single" w:color="auto" w:sz="4" w:space="0"/>
              <w:left w:val="single" w:color="auto" w:sz="4" w:space="0"/>
              <w:bottom w:val="single" w:color="auto" w:sz="4" w:space="0"/>
              <w:right w:val="single" w:color="auto" w:sz="4" w:space="0"/>
            </w:tcBorders>
            <w:vAlign w:val="center"/>
          </w:tcPr>
          <w:p w14:paraId="358D67C5">
            <w:pPr>
              <w:spacing w:line="400" w:lineRule="exact"/>
              <w:rPr>
                <w:rFonts w:hint="eastAsia" w:ascii="宋体" w:hAnsi="宋体" w:eastAsia="宋体" w:cs="宋体"/>
                <w:color w:val="auto"/>
                <w:sz w:val="13"/>
                <w:szCs w:val="13"/>
                <w:highlight w:val="none"/>
              </w:rPr>
            </w:pPr>
          </w:p>
        </w:tc>
        <w:tc>
          <w:tcPr>
            <w:tcW w:w="1519" w:type="dxa"/>
            <w:tcBorders>
              <w:top w:val="single" w:color="auto" w:sz="4" w:space="0"/>
              <w:left w:val="single" w:color="auto" w:sz="4" w:space="0"/>
              <w:bottom w:val="single" w:color="auto" w:sz="4" w:space="0"/>
              <w:right w:val="single" w:color="auto" w:sz="4" w:space="0"/>
            </w:tcBorders>
            <w:vAlign w:val="center"/>
          </w:tcPr>
          <w:p w14:paraId="29C8FA7C">
            <w:pPr>
              <w:spacing w:line="400" w:lineRule="exact"/>
              <w:rPr>
                <w:rFonts w:hint="eastAsia" w:ascii="宋体" w:hAnsi="宋体" w:eastAsia="宋体" w:cs="宋体"/>
                <w:color w:val="auto"/>
                <w:sz w:val="13"/>
                <w:szCs w:val="13"/>
                <w:highlight w:val="none"/>
              </w:rPr>
            </w:pPr>
          </w:p>
        </w:tc>
        <w:tc>
          <w:tcPr>
            <w:tcW w:w="1100" w:type="dxa"/>
            <w:tcBorders>
              <w:top w:val="single" w:color="auto" w:sz="4" w:space="0"/>
              <w:left w:val="single" w:color="auto" w:sz="4" w:space="0"/>
              <w:bottom w:val="single" w:color="auto" w:sz="4" w:space="0"/>
              <w:right w:val="single" w:color="auto" w:sz="4" w:space="0"/>
            </w:tcBorders>
            <w:vAlign w:val="center"/>
          </w:tcPr>
          <w:p w14:paraId="6850F1B4">
            <w:pPr>
              <w:spacing w:line="400" w:lineRule="exact"/>
              <w:rPr>
                <w:rFonts w:hint="eastAsia" w:ascii="宋体" w:hAnsi="宋体" w:eastAsia="宋体" w:cs="宋体"/>
                <w:color w:val="auto"/>
                <w:sz w:val="13"/>
                <w:szCs w:val="13"/>
                <w:highlight w:val="none"/>
              </w:rPr>
            </w:pPr>
          </w:p>
        </w:tc>
        <w:tc>
          <w:tcPr>
            <w:tcW w:w="788" w:type="dxa"/>
            <w:tcBorders>
              <w:top w:val="single" w:color="auto" w:sz="4" w:space="0"/>
              <w:left w:val="single" w:color="auto" w:sz="4" w:space="0"/>
              <w:bottom w:val="single" w:color="auto" w:sz="4" w:space="0"/>
              <w:right w:val="single" w:color="auto" w:sz="4" w:space="0"/>
            </w:tcBorders>
            <w:vAlign w:val="center"/>
          </w:tcPr>
          <w:p w14:paraId="0A04ACB6">
            <w:pPr>
              <w:spacing w:line="400" w:lineRule="exact"/>
              <w:rPr>
                <w:rFonts w:hint="eastAsia" w:ascii="宋体" w:hAnsi="宋体" w:eastAsia="宋体" w:cs="宋体"/>
                <w:color w:val="auto"/>
                <w:sz w:val="13"/>
                <w:szCs w:val="13"/>
                <w:highlight w:val="none"/>
              </w:rPr>
            </w:pPr>
          </w:p>
        </w:tc>
        <w:tc>
          <w:tcPr>
            <w:tcW w:w="734" w:type="dxa"/>
            <w:tcBorders>
              <w:top w:val="single" w:color="auto" w:sz="4" w:space="0"/>
              <w:left w:val="single" w:color="auto" w:sz="4" w:space="0"/>
              <w:bottom w:val="single" w:color="auto" w:sz="4" w:space="0"/>
              <w:right w:val="single" w:color="auto" w:sz="4" w:space="0"/>
            </w:tcBorders>
            <w:vAlign w:val="center"/>
          </w:tcPr>
          <w:p w14:paraId="6A7BA06C">
            <w:pPr>
              <w:spacing w:line="400" w:lineRule="exact"/>
              <w:rPr>
                <w:rFonts w:hint="eastAsia" w:ascii="宋体" w:hAnsi="宋体" w:eastAsia="宋体" w:cs="宋体"/>
                <w:color w:val="auto"/>
                <w:sz w:val="13"/>
                <w:szCs w:val="13"/>
                <w:highlight w:val="none"/>
              </w:rPr>
            </w:pPr>
          </w:p>
        </w:tc>
        <w:tc>
          <w:tcPr>
            <w:tcW w:w="1490" w:type="dxa"/>
            <w:tcBorders>
              <w:top w:val="single" w:color="auto" w:sz="4" w:space="0"/>
              <w:left w:val="single" w:color="auto" w:sz="4" w:space="0"/>
              <w:bottom w:val="single" w:color="auto" w:sz="4" w:space="0"/>
              <w:right w:val="single" w:color="auto" w:sz="4" w:space="0"/>
            </w:tcBorders>
            <w:vAlign w:val="center"/>
          </w:tcPr>
          <w:p w14:paraId="665A2F29">
            <w:pPr>
              <w:spacing w:line="400" w:lineRule="exact"/>
              <w:rPr>
                <w:rFonts w:hint="eastAsia" w:ascii="宋体" w:hAnsi="宋体" w:eastAsia="宋体" w:cs="宋体"/>
                <w:color w:val="auto"/>
                <w:sz w:val="13"/>
                <w:szCs w:val="13"/>
                <w:highlight w:val="none"/>
              </w:rPr>
            </w:pPr>
          </w:p>
        </w:tc>
        <w:tc>
          <w:tcPr>
            <w:tcW w:w="1531" w:type="dxa"/>
            <w:tcBorders>
              <w:top w:val="single" w:color="auto" w:sz="4" w:space="0"/>
              <w:left w:val="single" w:color="auto" w:sz="4" w:space="0"/>
              <w:bottom w:val="single" w:color="auto" w:sz="4" w:space="0"/>
              <w:right w:val="single" w:color="auto" w:sz="4" w:space="0"/>
            </w:tcBorders>
            <w:vAlign w:val="center"/>
          </w:tcPr>
          <w:p w14:paraId="4062AEDB">
            <w:pPr>
              <w:spacing w:line="400" w:lineRule="exact"/>
              <w:rPr>
                <w:rFonts w:hint="eastAsia" w:ascii="宋体" w:hAnsi="宋体" w:eastAsia="宋体" w:cs="宋体"/>
                <w:color w:val="auto"/>
                <w:sz w:val="13"/>
                <w:szCs w:val="13"/>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729A500A">
            <w:pPr>
              <w:spacing w:line="400" w:lineRule="exact"/>
              <w:rPr>
                <w:rFonts w:hint="eastAsia" w:ascii="宋体" w:hAnsi="宋体" w:eastAsia="宋体" w:cs="宋体"/>
                <w:color w:val="auto"/>
                <w:sz w:val="13"/>
                <w:szCs w:val="13"/>
                <w:highlight w:val="none"/>
              </w:rPr>
            </w:pPr>
          </w:p>
        </w:tc>
        <w:tc>
          <w:tcPr>
            <w:tcW w:w="1722" w:type="dxa"/>
            <w:tcBorders>
              <w:top w:val="single" w:color="auto" w:sz="4" w:space="0"/>
              <w:left w:val="single" w:color="auto" w:sz="4" w:space="0"/>
              <w:bottom w:val="single" w:color="auto" w:sz="4" w:space="0"/>
              <w:right w:val="single" w:color="auto" w:sz="4" w:space="0"/>
            </w:tcBorders>
            <w:vAlign w:val="center"/>
          </w:tcPr>
          <w:p w14:paraId="78EA2379">
            <w:pPr>
              <w:spacing w:line="400" w:lineRule="exact"/>
              <w:rPr>
                <w:rFonts w:hint="eastAsia" w:ascii="宋体" w:hAnsi="宋体" w:eastAsia="宋体" w:cs="宋体"/>
                <w:color w:val="auto"/>
                <w:sz w:val="13"/>
                <w:szCs w:val="13"/>
                <w:highlight w:val="none"/>
              </w:rPr>
            </w:pPr>
          </w:p>
        </w:tc>
        <w:tc>
          <w:tcPr>
            <w:tcW w:w="854" w:type="dxa"/>
            <w:tcBorders>
              <w:top w:val="single" w:color="auto" w:sz="4" w:space="0"/>
              <w:left w:val="single" w:color="auto" w:sz="4" w:space="0"/>
              <w:bottom w:val="single" w:color="auto" w:sz="4" w:space="0"/>
              <w:right w:val="single" w:color="auto" w:sz="4" w:space="0"/>
            </w:tcBorders>
            <w:vAlign w:val="center"/>
          </w:tcPr>
          <w:p w14:paraId="60D9ADDC">
            <w:pPr>
              <w:spacing w:line="400" w:lineRule="exact"/>
              <w:rPr>
                <w:rFonts w:hint="eastAsia" w:ascii="宋体" w:hAnsi="宋体" w:eastAsia="宋体" w:cs="宋体"/>
                <w:color w:val="auto"/>
                <w:sz w:val="13"/>
                <w:szCs w:val="13"/>
                <w:highlight w:val="none"/>
              </w:rPr>
            </w:pPr>
          </w:p>
        </w:tc>
        <w:tc>
          <w:tcPr>
            <w:tcW w:w="725" w:type="dxa"/>
            <w:tcBorders>
              <w:top w:val="single" w:color="auto" w:sz="4" w:space="0"/>
              <w:left w:val="single" w:color="auto" w:sz="4" w:space="0"/>
              <w:bottom w:val="single" w:color="auto" w:sz="4" w:space="0"/>
              <w:right w:val="single" w:color="auto" w:sz="4" w:space="0"/>
            </w:tcBorders>
            <w:vAlign w:val="center"/>
          </w:tcPr>
          <w:p w14:paraId="26F1FE82">
            <w:pPr>
              <w:spacing w:line="400" w:lineRule="exact"/>
              <w:rPr>
                <w:rFonts w:hint="eastAsia" w:ascii="宋体" w:hAnsi="宋体" w:eastAsia="宋体" w:cs="宋体"/>
                <w:color w:val="auto"/>
                <w:sz w:val="13"/>
                <w:szCs w:val="13"/>
                <w:highlight w:val="none"/>
              </w:rPr>
            </w:pPr>
          </w:p>
        </w:tc>
        <w:tc>
          <w:tcPr>
            <w:tcW w:w="604" w:type="dxa"/>
            <w:tcBorders>
              <w:top w:val="single" w:color="auto" w:sz="4" w:space="0"/>
              <w:left w:val="single" w:color="auto" w:sz="4" w:space="0"/>
              <w:bottom w:val="single" w:color="auto" w:sz="4" w:space="0"/>
              <w:right w:val="single" w:color="auto" w:sz="4" w:space="0"/>
            </w:tcBorders>
            <w:vAlign w:val="center"/>
          </w:tcPr>
          <w:p w14:paraId="060BB034">
            <w:pPr>
              <w:spacing w:line="400" w:lineRule="exact"/>
              <w:rPr>
                <w:rFonts w:hint="eastAsia" w:ascii="宋体" w:hAnsi="宋体" w:eastAsia="宋体" w:cs="宋体"/>
                <w:color w:val="auto"/>
                <w:sz w:val="13"/>
                <w:szCs w:val="13"/>
                <w:highlight w:val="none"/>
              </w:rPr>
            </w:pPr>
          </w:p>
        </w:tc>
      </w:tr>
      <w:bookmarkEnd w:id="787"/>
      <w:bookmarkEnd w:id="788"/>
      <w:bookmarkEnd w:id="789"/>
      <w:bookmarkEnd w:id="790"/>
    </w:tbl>
    <w:p w14:paraId="2217E8B0">
      <w:pPr>
        <w:pStyle w:val="8"/>
        <w:jc w:val="center"/>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资格审查表</w:t>
      </w:r>
    </w:p>
    <w:p w14:paraId="7EF91865">
      <w:pPr>
        <w:pStyle w:val="8"/>
        <w:rPr>
          <w:rFonts w:hint="eastAsia" w:ascii="宋体" w:hAnsi="宋体" w:eastAsia="宋体" w:cs="宋体"/>
          <w:color w:val="auto"/>
          <w:highlight w:val="none"/>
        </w:rPr>
      </w:pPr>
    </w:p>
    <w:p w14:paraId="20D4F67D">
      <w:pPr>
        <w:rPr>
          <w:rFonts w:hint="eastAsia" w:ascii="宋体" w:hAnsi="宋体" w:eastAsia="宋体" w:cs="宋体"/>
          <w:color w:val="auto"/>
          <w:highlight w:val="none"/>
        </w:rPr>
        <w:sectPr>
          <w:pgSz w:w="16838" w:h="11905" w:orient="landscape"/>
          <w:pgMar w:top="1797" w:right="1440" w:bottom="1797" w:left="1440" w:header="851" w:footer="992" w:gutter="0"/>
          <w:pgNumType w:fmt="decimal"/>
          <w:cols w:space="0" w:num="1"/>
          <w:rtlGutter w:val="0"/>
          <w:docGrid w:linePitch="312" w:charSpace="0"/>
        </w:sectPr>
      </w:pPr>
    </w:p>
    <w:p w14:paraId="689B0B73">
      <w:pPr>
        <w:pStyle w:val="2"/>
        <w:tabs>
          <w:tab w:val="left" w:pos="0"/>
        </w:tabs>
        <w:spacing w:before="0" w:after="0" w:line="240" w:lineRule="atLeast"/>
        <w:jc w:val="center"/>
        <w:rPr>
          <w:rFonts w:hint="eastAsia" w:ascii="宋体" w:hAnsi="宋体" w:eastAsia="宋体" w:cs="宋体"/>
          <w:b/>
          <w:color w:val="auto"/>
          <w:sz w:val="32"/>
          <w:szCs w:val="32"/>
          <w:highlight w:val="none"/>
          <w:lang w:val="en-US" w:eastAsia="zh-CN"/>
        </w:rPr>
      </w:pPr>
      <w:bookmarkStart w:id="791" w:name="_Toc31280"/>
    </w:p>
    <w:p w14:paraId="6476284A">
      <w:pPr>
        <w:pStyle w:val="2"/>
        <w:tabs>
          <w:tab w:val="left" w:pos="0"/>
        </w:tabs>
        <w:spacing w:before="0" w:after="0" w:line="240" w:lineRule="atLeast"/>
        <w:jc w:val="cente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 xml:space="preserve">第5章 </w:t>
      </w:r>
      <w:r>
        <w:rPr>
          <w:rFonts w:hint="eastAsia" w:hAnsi="宋体" w:cs="宋体"/>
          <w:b/>
          <w:color w:val="auto"/>
          <w:sz w:val="32"/>
          <w:szCs w:val="32"/>
          <w:highlight w:val="none"/>
          <w:lang w:val="en-US" w:eastAsia="zh-CN"/>
        </w:rPr>
        <w:t>采购</w:t>
      </w:r>
      <w:r>
        <w:rPr>
          <w:rFonts w:hint="eastAsia" w:ascii="宋体" w:hAnsi="宋体" w:eastAsia="宋体" w:cs="宋体"/>
          <w:color w:val="auto"/>
          <w:highlight w:val="none"/>
          <w:lang w:val="en-US" w:eastAsia="zh-CN"/>
        </w:rPr>
        <w:t>需求</w:t>
      </w:r>
      <w:r>
        <w:rPr>
          <w:rFonts w:hint="eastAsia" w:hAnsi="宋体" w:cs="宋体"/>
          <w:color w:val="auto"/>
          <w:highlight w:val="none"/>
          <w:lang w:val="en-US" w:eastAsia="zh-CN"/>
        </w:rPr>
        <w:t>一览表</w:t>
      </w:r>
      <w:r>
        <w:rPr>
          <w:rFonts w:hint="eastAsia" w:ascii="宋体" w:hAnsi="宋体" w:eastAsia="宋体" w:cs="宋体"/>
          <w:color w:val="auto"/>
          <w:highlight w:val="none"/>
          <w:lang w:val="en-US" w:eastAsia="zh-CN"/>
        </w:rPr>
        <w:t>及</w:t>
      </w:r>
      <w:r>
        <w:rPr>
          <w:rFonts w:hint="eastAsia" w:hAnsi="宋体" w:cs="宋体"/>
          <w:color w:val="auto"/>
          <w:highlight w:val="none"/>
          <w:lang w:val="en-US" w:eastAsia="zh-CN"/>
        </w:rPr>
        <w:t>其他</w:t>
      </w:r>
      <w:r>
        <w:rPr>
          <w:rFonts w:hint="eastAsia" w:ascii="宋体" w:hAnsi="宋体" w:eastAsia="宋体" w:cs="宋体"/>
          <w:color w:val="auto"/>
          <w:highlight w:val="none"/>
          <w:lang w:val="en-US" w:eastAsia="zh-CN"/>
        </w:rPr>
        <w:t>要求</w:t>
      </w:r>
      <w:bookmarkEnd w:id="791"/>
    </w:p>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p w14:paraId="66BE1B0C">
      <w:pPr>
        <w:pStyle w:val="2"/>
        <w:shd w:val="clear"/>
        <w:tabs>
          <w:tab w:val="left" w:pos="0"/>
        </w:tabs>
        <w:snapToGrid w:val="0"/>
        <w:spacing w:before="0" w:beforeAutospacing="0" w:after="0" w:afterAutospacing="0" w:line="240" w:lineRule="atLeast"/>
        <w:jc w:val="center"/>
        <w:textAlignment w:val="baseline"/>
        <w:rPr>
          <w:rFonts w:hint="eastAsia" w:ascii="宋体" w:hAnsi="宋体"/>
          <w:color w:val="auto"/>
          <w:sz w:val="32"/>
          <w:szCs w:val="32"/>
          <w:highlight w:val="none"/>
          <w:lang w:val="en-US" w:eastAsia="zh-CN"/>
        </w:rPr>
      </w:pPr>
      <w:bookmarkStart w:id="792" w:name="_Toc23496"/>
      <w:bookmarkStart w:id="793" w:name="_Toc9932"/>
    </w:p>
    <w:p w14:paraId="215AACF8">
      <w:pPr>
        <w:pStyle w:val="2"/>
        <w:shd w:val="clear"/>
        <w:tabs>
          <w:tab w:val="left" w:pos="0"/>
        </w:tabs>
        <w:snapToGrid w:val="0"/>
        <w:spacing w:before="0" w:beforeAutospacing="0" w:after="0" w:afterAutospacing="0" w:line="240" w:lineRule="atLeast"/>
        <w:jc w:val="center"/>
        <w:textAlignment w:val="baseline"/>
        <w:rPr>
          <w:rFonts w:hint="eastAsia" w:ascii="宋体" w:hAnsi="宋体"/>
          <w:color w:val="auto"/>
          <w:sz w:val="32"/>
          <w:szCs w:val="32"/>
          <w:highlight w:val="none"/>
          <w:lang w:val="en-US" w:eastAsia="zh-CN"/>
        </w:rPr>
      </w:pPr>
      <w:r>
        <w:rPr>
          <w:rFonts w:hint="eastAsia" w:ascii="宋体" w:hAnsi="宋体"/>
          <w:color w:val="auto"/>
          <w:sz w:val="32"/>
          <w:szCs w:val="32"/>
          <w:highlight w:val="none"/>
          <w:lang w:val="en-US" w:eastAsia="zh-CN"/>
        </w:rPr>
        <w:t>（工程量清单及图纸另附）</w:t>
      </w:r>
    </w:p>
    <w:p w14:paraId="03AA53E5">
      <w:pP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br w:type="page"/>
      </w:r>
    </w:p>
    <w:p w14:paraId="791E2A0D">
      <w:pPr>
        <w:pStyle w:val="2"/>
        <w:shd w:val="clear"/>
        <w:tabs>
          <w:tab w:val="left" w:pos="0"/>
        </w:tabs>
        <w:snapToGrid w:val="0"/>
        <w:spacing w:before="0" w:beforeAutospacing="0" w:after="0" w:afterAutospacing="0" w:line="240" w:lineRule="atLeast"/>
        <w:jc w:val="center"/>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i w:val="0"/>
          <w:caps w:val="0"/>
          <w:color w:val="auto"/>
          <w:spacing w:val="0"/>
          <w:w w:val="100"/>
          <w:sz w:val="32"/>
          <w:highlight w:val="none"/>
        </w:rPr>
        <w:t>第6章 评审方法和标准</w:t>
      </w:r>
      <w:bookmarkEnd w:id="792"/>
      <w:bookmarkEnd w:id="793"/>
    </w:p>
    <w:p w14:paraId="157A156F">
      <w:pPr>
        <w:pStyle w:val="9"/>
        <w:keepNext w:val="0"/>
        <w:keepLines w:val="0"/>
        <w:pageBreakBefore w:val="0"/>
        <w:shd w:val="clear"/>
        <w:kinsoku/>
        <w:wordWrap/>
        <w:overflowPunct/>
        <w:topLinePunct w:val="0"/>
        <w:bidi w:val="0"/>
        <w:snapToGrid w:val="0"/>
        <w:spacing w:before="0" w:beforeAutospacing="0" w:after="0" w:afterAutospacing="0" w:line="400" w:lineRule="exact"/>
        <w:ind w:firstLine="540" w:firstLineChars="22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本项目将按照磋商文件第一章供应商须知中“五 磋商开启及评审”、“六 确定成交”及本章的规定</w:t>
      </w:r>
      <w:r>
        <w:rPr>
          <w:rFonts w:hint="eastAsia" w:ascii="宋体" w:hAnsi="宋体" w:eastAsia="宋体" w:cs="宋体"/>
          <w:b w:val="0"/>
          <w:i w:val="0"/>
          <w:caps w:val="0"/>
          <w:color w:val="auto"/>
          <w:spacing w:val="0"/>
          <w:w w:val="100"/>
          <w:sz w:val="24"/>
          <w:highlight w:val="none"/>
          <w:lang w:eastAsia="zh-CN"/>
        </w:rPr>
        <w:t>评审</w:t>
      </w:r>
      <w:r>
        <w:rPr>
          <w:rFonts w:hint="eastAsia" w:ascii="宋体" w:hAnsi="宋体" w:eastAsia="宋体" w:cs="宋体"/>
          <w:b w:val="0"/>
          <w:i w:val="0"/>
          <w:caps w:val="0"/>
          <w:color w:val="auto"/>
          <w:spacing w:val="0"/>
          <w:w w:val="100"/>
          <w:sz w:val="24"/>
          <w:highlight w:val="none"/>
        </w:rPr>
        <w:t>。</w:t>
      </w:r>
    </w:p>
    <w:p w14:paraId="12C69C47">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bCs/>
          <w:i w:val="0"/>
          <w:caps w:val="0"/>
          <w:color w:val="auto"/>
          <w:spacing w:val="0"/>
          <w:w w:val="100"/>
          <w:sz w:val="24"/>
          <w:highlight w:val="none"/>
        </w:rPr>
      </w:pPr>
      <w:r>
        <w:rPr>
          <w:rFonts w:hint="eastAsia" w:ascii="宋体" w:hAnsi="宋体" w:eastAsia="宋体" w:cs="宋体"/>
          <w:b/>
          <w:bCs/>
          <w:i w:val="0"/>
          <w:caps w:val="0"/>
          <w:color w:val="auto"/>
          <w:spacing w:val="0"/>
          <w:w w:val="100"/>
          <w:sz w:val="24"/>
          <w:highlight w:val="none"/>
        </w:rPr>
        <w:t>注：1.磋商无效的情形：</w:t>
      </w:r>
    </w:p>
    <w:p w14:paraId="3DDEF6EE">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（1）单位负责人为同一人或者存在直接控股、管理关系的不同供应商，其相关磋商将被认定为磋商无效。</w:t>
      </w:r>
    </w:p>
    <w:p w14:paraId="0D35F09E">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（2）若供应商须知资料表中未写明允许采购进口产品，如供应商所投产品为进口产品，其磋商将被认定为磋商无效。</w:t>
      </w:r>
    </w:p>
    <w:p w14:paraId="4F54D149">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 xml:space="preserve"> （3）为本项目提供过整体设计、规范编制或者项目管理、监理、检测等</w:t>
      </w:r>
      <w:r>
        <w:rPr>
          <w:rFonts w:hint="eastAsia" w:ascii="宋体" w:hAnsi="宋体" w:eastAsia="宋体" w:cs="宋体"/>
          <w:b w:val="0"/>
          <w:i w:val="0"/>
          <w:caps w:val="0"/>
          <w:color w:val="auto"/>
          <w:spacing w:val="0"/>
          <w:w w:val="100"/>
          <w:sz w:val="24"/>
          <w:highlight w:val="none"/>
          <w:lang w:val="en-US" w:eastAsia="zh-CN"/>
        </w:rPr>
        <w:t>服务</w:t>
      </w:r>
      <w:r>
        <w:rPr>
          <w:rFonts w:hint="eastAsia" w:ascii="宋体" w:hAnsi="宋体" w:eastAsia="宋体" w:cs="宋体"/>
          <w:b w:val="0"/>
          <w:i w:val="0"/>
          <w:caps w:val="0"/>
          <w:color w:val="auto"/>
          <w:spacing w:val="0"/>
          <w:w w:val="100"/>
          <w:sz w:val="24"/>
          <w:highlight w:val="none"/>
        </w:rPr>
        <w:t>的供应商，不得再参加本项目上述</w:t>
      </w:r>
      <w:r>
        <w:rPr>
          <w:rFonts w:hint="eastAsia" w:ascii="宋体" w:hAnsi="宋体" w:eastAsia="宋体" w:cs="宋体"/>
          <w:b w:val="0"/>
          <w:i w:val="0"/>
          <w:caps w:val="0"/>
          <w:color w:val="auto"/>
          <w:spacing w:val="0"/>
          <w:w w:val="100"/>
          <w:sz w:val="24"/>
          <w:highlight w:val="none"/>
          <w:lang w:val="en-US" w:eastAsia="zh-CN"/>
        </w:rPr>
        <w:t>服务</w:t>
      </w:r>
      <w:r>
        <w:rPr>
          <w:rFonts w:hint="eastAsia" w:ascii="宋体" w:hAnsi="宋体" w:eastAsia="宋体" w:cs="宋体"/>
          <w:b w:val="0"/>
          <w:i w:val="0"/>
          <w:caps w:val="0"/>
          <w:color w:val="auto"/>
          <w:spacing w:val="0"/>
          <w:w w:val="100"/>
          <w:sz w:val="24"/>
          <w:highlight w:val="none"/>
        </w:rPr>
        <w:t>以外的其他采购活动。否则其磋商将被认定为磋商无效。</w:t>
      </w:r>
    </w:p>
    <w:p w14:paraId="2DA36E70">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供应商在磋商过程中不得向采购人提供、给予任何有价值的物品，影响其正常决策行为。一经发现，其将被认定为磋商无效。</w:t>
      </w:r>
    </w:p>
    <w:p w14:paraId="503482B6">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（4）供应商报价超过磋商文件规定的预算金额或者分项、分包最高限价的，其磋商将被认定为磋商无效。</w:t>
      </w:r>
    </w:p>
    <w:p w14:paraId="214602F9">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5）供应商应认真阅读磋商文件所有的事项、格式、条款和技术规范等。如供应商没有按照磋商文件要求提交全部资料，或者响应文件没有对磋商文件在各方面都做出实质性响应，可能导致其磋商将被认定为磋商无效。</w:t>
      </w:r>
    </w:p>
    <w:p w14:paraId="6521B266">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 xml:space="preserve"> （6）供应商应当对所投分包磋商文件中“</w:t>
      </w:r>
      <w:r>
        <w:rPr>
          <w:rFonts w:hint="eastAsia" w:ascii="宋体" w:hAnsi="宋体" w:cs="宋体"/>
          <w:b w:val="0"/>
          <w:i w:val="0"/>
          <w:caps w:val="0"/>
          <w:color w:val="auto"/>
          <w:spacing w:val="0"/>
          <w:w w:val="100"/>
          <w:sz w:val="24"/>
          <w:highlight w:val="none"/>
          <w:lang w:val="en-US" w:eastAsia="zh-CN"/>
        </w:rPr>
        <w:t>采购</w:t>
      </w:r>
      <w:r>
        <w:rPr>
          <w:rFonts w:hint="eastAsia" w:ascii="宋体" w:hAnsi="宋体" w:eastAsia="宋体" w:cs="宋体"/>
          <w:b w:val="0"/>
          <w:i w:val="0"/>
          <w:caps w:val="0"/>
          <w:color w:val="auto"/>
          <w:spacing w:val="0"/>
          <w:w w:val="100"/>
          <w:sz w:val="24"/>
          <w:highlight w:val="none"/>
        </w:rPr>
        <w:t>需求”所列的所有内容进行磋商，如仅响应某一包中的部分内容，其该包磋商将被认定为磋商无效。</w:t>
      </w:r>
    </w:p>
    <w:p w14:paraId="0C6F6C1D">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（7）供应商未按本须知第12.1和12.3条规定提交磋商保证金的，其磋商资格将被认定为无效。</w:t>
      </w:r>
    </w:p>
    <w:p w14:paraId="04E73306">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（8）所有磋商均以人民币报价。供应商的磋商报价应遵守《中华人民共和国价格法》。同时，根据《中华人民共和国政府采购法》第二条的规定，为保证公平竞争，如有</w:t>
      </w:r>
      <w:r>
        <w:rPr>
          <w:rFonts w:hint="eastAsia" w:ascii="宋体" w:hAnsi="宋体" w:eastAsia="宋体" w:cs="宋体"/>
          <w:b w:val="0"/>
          <w:i w:val="0"/>
          <w:caps w:val="0"/>
          <w:color w:val="auto"/>
          <w:spacing w:val="0"/>
          <w:w w:val="100"/>
          <w:sz w:val="24"/>
          <w:highlight w:val="none"/>
          <w:lang w:val="en-US" w:eastAsia="zh-CN"/>
        </w:rPr>
        <w:t>服务</w:t>
      </w:r>
      <w:r>
        <w:rPr>
          <w:rFonts w:hint="eastAsia" w:ascii="宋体" w:hAnsi="宋体" w:eastAsia="宋体" w:cs="宋体"/>
          <w:b w:val="0"/>
          <w:i w:val="0"/>
          <w:caps w:val="0"/>
          <w:color w:val="auto"/>
          <w:spacing w:val="0"/>
          <w:w w:val="100"/>
          <w:sz w:val="24"/>
          <w:highlight w:val="none"/>
        </w:rPr>
        <w:t>主体部分的赠与行为，其磋商将被认定为磋商无效。</w:t>
      </w:r>
    </w:p>
    <w:p w14:paraId="264BD9E6">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（9）供应商所报的各分项磋商单价在合同履行过程中是固定不变的，不得以任何理由予以变更。任何包含价格调整要求的磋商，其磋商将被认定为磋商无效。</w:t>
      </w:r>
    </w:p>
    <w:p w14:paraId="2EDD3777">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（10）磋商应在供应商须知资料表中规定时间内保持有效。磋商有效期不满足要求的磋商，其磋商将被认定为磋商无效。</w:t>
      </w:r>
    </w:p>
    <w:p w14:paraId="7695D68B">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（11）所有响应文件采用不可拆装的胶订方式装订，否则其磋商将被认定为磋商无效。</w:t>
      </w:r>
    </w:p>
    <w:p w14:paraId="2574104E">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（12）采购人或采购代理机构将在</w:t>
      </w:r>
      <w:r>
        <w:rPr>
          <w:rFonts w:hint="eastAsia" w:ascii="宋体" w:hAnsi="宋体" w:eastAsia="宋体" w:cs="宋体"/>
          <w:b w:val="0"/>
          <w:i w:val="0"/>
          <w:caps w:val="0"/>
          <w:color w:val="auto"/>
          <w:spacing w:val="0"/>
          <w:w w:val="100"/>
          <w:sz w:val="24"/>
          <w:highlight w:val="none"/>
          <w:lang w:eastAsia="zh-CN"/>
        </w:rPr>
        <w:t>磋商</w:t>
      </w:r>
      <w:r>
        <w:rPr>
          <w:rFonts w:hint="eastAsia" w:ascii="宋体" w:hAnsi="宋体" w:eastAsia="宋体" w:cs="宋体"/>
          <w:b w:val="0"/>
          <w:i w:val="0"/>
          <w:caps w:val="0"/>
          <w:color w:val="auto"/>
          <w:spacing w:val="0"/>
          <w:w w:val="100"/>
          <w:sz w:val="24"/>
          <w:highlight w:val="none"/>
        </w:rPr>
        <w:t>前1个工作日至磋商截止后1小时的期间内查询供应商的信用记录。供应商存在不良信用记录的，其磋商将被认定为磋商无效。</w:t>
      </w:r>
    </w:p>
    <w:p w14:paraId="7D618260">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13）总价金额与按单价汇总金额不一致的，以单价金额计算结果为准。同时出现两种以上不一致的，按照前款规定的顺序修正。修正后的报价按照第20.2条的规定经供应商确认后产生约束力，供应商不确认的，其磋商将被认定为磋商无效。</w:t>
      </w:r>
    </w:p>
    <w:p w14:paraId="7A62B77C">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14）在比较与评价之前，根据本须知的规定，磋商小组要审查每份响应文件是否实质上响应了磋商文件的要求。实质上响应的磋商应该是与磋商文件要求的全部条款、条件和规格相符，没有重大偏离的磋商。对关键条款的偏离，将被认定为磋商无效。</w:t>
      </w:r>
    </w:p>
    <w:p w14:paraId="03F558DE">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（15）如发现下列情况之一的，其磋商将被认定为磋商无效：</w:t>
      </w:r>
    </w:p>
    <w:p w14:paraId="0093074F">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未按磋商文件规定的形式和金额提交磋商保证金的；未按照磋商文件规定要求签署、盖章的；未满足磋商文件中技术条款的实质性要求；与其他供应商串通磋商，或者与招标人串通磋商；属于磋商文件规定的其他磋商无效情形；磋商小组认为供应商的报价明显低于其他通过符合性检查供应商的报价，有可能影响履约的，且供应商未按照规定证明其报价合理性的；响应文件含有采购人不能接受的附加条件的；不符合法规和磋商文件中规定的其他实质性要求的。</w:t>
      </w:r>
    </w:p>
    <w:p w14:paraId="6D103DE7">
      <w:pPr>
        <w:pStyle w:val="9"/>
        <w:numPr>
          <w:ilvl w:val="0"/>
          <w:numId w:val="0"/>
        </w:numPr>
        <w:tabs>
          <w:tab w:val="clear" w:pos="567"/>
        </w:tabs>
        <w:spacing w:before="0" w:line="400" w:lineRule="exact"/>
        <w:ind w:leftChars="0"/>
        <w:rPr>
          <w:rFonts w:hint="eastAsia" w:ascii="宋体" w:hAnsi="宋体" w:eastAsia="宋体" w:cs="宋体"/>
          <w:b/>
          <w:bCs/>
          <w:i w:val="0"/>
          <w:caps w:val="0"/>
          <w:color w:val="auto"/>
          <w:spacing w:val="0"/>
          <w:w w:val="100"/>
          <w:kern w:val="2"/>
          <w:sz w:val="24"/>
          <w:szCs w:val="24"/>
          <w:highlight w:val="none"/>
          <w:lang w:val="en-US" w:eastAsia="zh-CN" w:bidi="ar-SA"/>
        </w:rPr>
      </w:pPr>
      <w:r>
        <w:rPr>
          <w:rFonts w:hint="eastAsia" w:ascii="宋体" w:hAnsi="宋体" w:eastAsia="宋体" w:cs="宋体"/>
          <w:b/>
          <w:bCs/>
          <w:i w:val="0"/>
          <w:caps w:val="0"/>
          <w:color w:val="auto"/>
          <w:spacing w:val="0"/>
          <w:w w:val="100"/>
          <w:kern w:val="2"/>
          <w:sz w:val="24"/>
          <w:szCs w:val="24"/>
          <w:highlight w:val="none"/>
          <w:lang w:val="en-US" w:eastAsia="zh-CN" w:bidi="ar-SA"/>
        </w:rPr>
        <w:t>2.本项目专门面向中小企业采购，根据《政府采购促进中小企业发展管理办法》（财库[2020]46号）、《财政部 司法部关于政府采购支持监狱企业发展有关问题的通知》（财库〔2014〕68号）和《三部门联合发布关于促进残疾人就业政府采购政策的通知》（财库〔2017〕141号）及《关于进一步加大政府采购支持中小企业力度的通知》（财库〔2022〕19号）的规定，对满足价格扣除条件的小微、微型企业且在响应文件中提交了《中小企业声明函》、《残疾人福利性单位声明函》或省级以上监狱管理局、戒毒管理局（含新疆生产建设兵团）出具的属于监狱企业的证明文件的供应商，其报价做10%扣除。</w:t>
      </w:r>
    </w:p>
    <w:p w14:paraId="421B71ED">
      <w:pPr>
        <w:keepNext w:val="0"/>
        <w:keepLines w:val="0"/>
        <w:pageBreakBefore w:val="0"/>
        <w:widowControl/>
        <w:shd w:val="clear"/>
        <w:kinsoku/>
        <w:wordWrap/>
        <w:overflowPunct/>
        <w:topLinePunct w:val="0"/>
        <w:bidi w:val="0"/>
        <w:snapToGrid w:val="0"/>
        <w:spacing w:before="0" w:beforeAutospacing="0" w:after="0" w:afterAutospacing="0" w:line="400" w:lineRule="exact"/>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3.联合协议中约定，小型、微型企业和监狱企业的协议合同金额占到联合体协议合同总金额30%以上的，可给予联合体</w:t>
      </w:r>
      <w:r>
        <w:rPr>
          <w:rFonts w:hint="eastAsia" w:ascii="宋体" w:hAnsi="宋体" w:eastAsia="宋体" w:cs="宋体"/>
          <w:b w:val="0"/>
          <w:i w:val="0"/>
          <w:caps w:val="0"/>
          <w:color w:val="auto"/>
          <w:spacing w:val="0"/>
          <w:w w:val="100"/>
          <w:sz w:val="24"/>
          <w:highlight w:val="none"/>
          <w:u w:val="single" w:color="000000"/>
        </w:rPr>
        <w:t xml:space="preserve"> 2%-3</w:t>
      </w:r>
      <w:r>
        <w:rPr>
          <w:rFonts w:hint="eastAsia" w:ascii="宋体" w:hAnsi="宋体" w:eastAsia="宋体" w:cs="宋体"/>
          <w:b w:val="0"/>
          <w:i w:val="0"/>
          <w:caps w:val="0"/>
          <w:color w:val="auto"/>
          <w:spacing w:val="0"/>
          <w:w w:val="100"/>
          <w:sz w:val="24"/>
          <w:highlight w:val="none"/>
        </w:rPr>
        <w:t>%的价格扣除。</w:t>
      </w:r>
      <w:r>
        <w:rPr>
          <w:rFonts w:hint="eastAsia" w:ascii="宋体" w:hAnsi="宋体" w:eastAsia="宋体" w:cs="宋体"/>
          <w:b/>
          <w:bCs/>
          <w:i w:val="0"/>
          <w:caps w:val="0"/>
          <w:color w:val="auto"/>
          <w:spacing w:val="0"/>
          <w:w w:val="100"/>
          <w:sz w:val="24"/>
          <w:highlight w:val="none"/>
        </w:rPr>
        <w:t>（本项目不适用）</w:t>
      </w:r>
    </w:p>
    <w:p w14:paraId="0029BC1B">
      <w:pPr>
        <w:keepNext w:val="0"/>
        <w:keepLines w:val="0"/>
        <w:pageBreakBefore w:val="0"/>
        <w:widowControl/>
        <w:shd w:val="clear"/>
        <w:kinsoku/>
        <w:wordWrap/>
        <w:overflowPunct/>
        <w:topLinePunct w:val="0"/>
        <w:bidi w:val="0"/>
        <w:snapToGrid w:val="0"/>
        <w:spacing w:before="0" w:beforeAutospacing="0" w:after="0" w:afterAutospacing="0" w:line="400" w:lineRule="exact"/>
        <w:ind w:firstLine="480" w:firstLineChars="200"/>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联合体各方均为小型、微型企业和监狱企业的，联合体视同为小型、微型企业和监狱企业。</w:t>
      </w:r>
    </w:p>
    <w:p w14:paraId="26FE3089">
      <w:pPr>
        <w:pStyle w:val="9"/>
        <w:keepNext w:val="0"/>
        <w:keepLines w:val="0"/>
        <w:pageBreakBefore w:val="0"/>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bCs w:val="0"/>
          <w:i w:val="0"/>
          <w:caps w:val="0"/>
          <w:color w:val="auto"/>
          <w:spacing w:val="0"/>
          <w:w w:val="100"/>
          <w:sz w:val="24"/>
          <w:highlight w:val="none"/>
          <w:lang w:eastAsia="zh-CN"/>
        </w:rPr>
      </w:pPr>
      <w:r>
        <w:rPr>
          <w:rFonts w:hint="eastAsia" w:ascii="宋体" w:hAnsi="宋体" w:eastAsia="宋体" w:cs="宋体"/>
          <w:b w:val="0"/>
          <w:i w:val="0"/>
          <w:caps w:val="0"/>
          <w:color w:val="auto"/>
          <w:spacing w:val="0"/>
          <w:w w:val="100"/>
          <w:sz w:val="24"/>
          <w:highlight w:val="none"/>
          <w:lang w:val="en-US" w:eastAsia="zh-CN"/>
        </w:rPr>
        <w:t>4.</w:t>
      </w:r>
      <w:r>
        <w:rPr>
          <w:rFonts w:hint="eastAsia" w:ascii="宋体" w:hAnsi="宋体" w:eastAsia="宋体" w:cs="宋体"/>
          <w:b w:val="0"/>
          <w:i w:val="0"/>
          <w:caps w:val="0"/>
          <w:color w:val="auto"/>
          <w:spacing w:val="0"/>
          <w:w w:val="100"/>
          <w:sz w:val="24"/>
          <w:highlight w:val="none"/>
        </w:rPr>
        <w:t>供应商为提供</w:t>
      </w:r>
      <w:r>
        <w:rPr>
          <w:rFonts w:hint="eastAsia" w:ascii="宋体" w:hAnsi="宋体" w:eastAsia="宋体" w:cs="宋体"/>
          <w:b w:val="0"/>
          <w:i w:val="0"/>
          <w:caps w:val="0"/>
          <w:color w:val="auto"/>
          <w:spacing w:val="0"/>
          <w:w w:val="100"/>
          <w:sz w:val="24"/>
          <w:highlight w:val="none"/>
          <w:lang w:val="en-US" w:eastAsia="zh-CN"/>
        </w:rPr>
        <w:t>服务</w:t>
      </w:r>
      <w:r>
        <w:rPr>
          <w:rFonts w:hint="eastAsia" w:ascii="宋体" w:hAnsi="宋体" w:eastAsia="宋体" w:cs="宋体"/>
          <w:b w:val="0"/>
          <w:i w:val="0"/>
          <w:caps w:val="0"/>
          <w:color w:val="auto"/>
          <w:spacing w:val="0"/>
          <w:w w:val="100"/>
          <w:sz w:val="24"/>
          <w:highlight w:val="none"/>
        </w:rPr>
        <w:t>在磋商中伴随磋商的产品如被列入财政部与国家主管部门颁发的节能产品目录或环境标志产品目录或无线局域网产品目录，应提供相关证明，在</w:t>
      </w:r>
      <w:r>
        <w:rPr>
          <w:rFonts w:hint="eastAsia" w:ascii="宋体" w:hAnsi="宋体" w:eastAsia="宋体" w:cs="宋体"/>
          <w:b w:val="0"/>
          <w:i w:val="0"/>
          <w:caps w:val="0"/>
          <w:color w:val="auto"/>
          <w:spacing w:val="0"/>
          <w:w w:val="100"/>
          <w:sz w:val="24"/>
          <w:highlight w:val="none"/>
          <w:lang w:eastAsia="zh-CN"/>
        </w:rPr>
        <w:t>评审</w:t>
      </w:r>
      <w:r>
        <w:rPr>
          <w:rFonts w:hint="eastAsia" w:ascii="宋体" w:hAnsi="宋体" w:eastAsia="宋体" w:cs="宋体"/>
          <w:b w:val="0"/>
          <w:i w:val="0"/>
          <w:caps w:val="0"/>
          <w:color w:val="auto"/>
          <w:spacing w:val="0"/>
          <w:w w:val="100"/>
          <w:sz w:val="24"/>
          <w:highlight w:val="none"/>
        </w:rPr>
        <w:t>时予以优先采购</w:t>
      </w:r>
      <w:r>
        <w:rPr>
          <w:rFonts w:hint="eastAsia" w:ascii="宋体" w:hAnsi="宋体" w:eastAsia="宋体" w:cs="宋体"/>
          <w:b w:val="0"/>
          <w:i w:val="0"/>
          <w:caps w:val="0"/>
          <w:color w:val="auto"/>
          <w:spacing w:val="0"/>
          <w:w w:val="100"/>
          <w:sz w:val="24"/>
          <w:highlight w:val="none"/>
          <w:lang w:eastAsia="zh-CN"/>
        </w:rPr>
        <w:t>，</w:t>
      </w:r>
      <w:r>
        <w:rPr>
          <w:rFonts w:hint="eastAsia" w:ascii="宋体" w:hAnsi="宋体" w:eastAsia="宋体" w:cs="宋体"/>
          <w:b w:val="0"/>
          <w:i w:val="0"/>
          <w:caps w:val="0"/>
          <w:color w:val="auto"/>
          <w:spacing w:val="0"/>
          <w:w w:val="100"/>
          <w:sz w:val="24"/>
          <w:szCs w:val="24"/>
          <w:highlight w:val="none"/>
        </w:rPr>
        <w:t>具体优惠措施为</w:t>
      </w:r>
      <w:r>
        <w:rPr>
          <w:rFonts w:hint="eastAsia" w:ascii="宋体" w:hAnsi="宋体" w:eastAsia="宋体" w:cs="宋体"/>
          <w:b w:val="0"/>
          <w:bCs w:val="0"/>
          <w:i w:val="0"/>
          <w:caps w:val="0"/>
          <w:color w:val="auto"/>
          <w:spacing w:val="0"/>
          <w:w w:val="100"/>
          <w:sz w:val="24"/>
          <w:szCs w:val="24"/>
          <w:highlight w:val="none"/>
          <w:u w:val="single" w:color="000000"/>
        </w:rPr>
        <w:t>：</w:t>
      </w:r>
      <w:r>
        <w:rPr>
          <w:rFonts w:hint="eastAsia" w:ascii="宋体" w:hAnsi="宋体" w:eastAsia="宋体" w:cs="宋体"/>
          <w:b w:val="0"/>
          <w:bCs w:val="0"/>
          <w:i w:val="0"/>
          <w:caps w:val="0"/>
          <w:color w:val="auto"/>
          <w:spacing w:val="0"/>
          <w:w w:val="100"/>
          <w:sz w:val="24"/>
          <w:szCs w:val="24"/>
          <w:highlight w:val="none"/>
          <w:u w:val="single" w:color="000000"/>
          <w:lang w:val="en-US" w:eastAsia="zh-CN"/>
        </w:rPr>
        <w:t>供应商</w:t>
      </w:r>
      <w:r>
        <w:rPr>
          <w:rFonts w:hint="eastAsia" w:ascii="宋体" w:hAnsi="宋体" w:eastAsia="宋体" w:cs="宋体"/>
          <w:b w:val="0"/>
          <w:bCs w:val="0"/>
          <w:i w:val="0"/>
          <w:caps w:val="0"/>
          <w:color w:val="auto"/>
          <w:spacing w:val="0"/>
          <w:w w:val="100"/>
          <w:sz w:val="24"/>
          <w:szCs w:val="24"/>
          <w:highlight w:val="none"/>
          <w:u w:val="single" w:color="000000"/>
        </w:rPr>
        <w:t>所投产品应优先选择《关于印发节能产品政府采购品目清单的通知》（财库〔2019〕19号）、《关于印发环境标志产品政府采购品目清单的通知》（财库〔2019〕</w:t>
      </w:r>
      <w:r>
        <w:rPr>
          <w:rFonts w:hint="eastAsia" w:ascii="宋体" w:hAnsi="宋体" w:eastAsia="宋体" w:cs="宋体"/>
          <w:b w:val="0"/>
          <w:bCs w:val="0"/>
          <w:i w:val="0"/>
          <w:caps w:val="0"/>
          <w:color w:val="auto"/>
          <w:spacing w:val="0"/>
          <w:w w:val="100"/>
          <w:sz w:val="24"/>
          <w:szCs w:val="24"/>
          <w:highlight w:val="none"/>
          <w:u w:val="single" w:color="000000"/>
          <w:lang w:val="en-US" w:eastAsia="zh-CN"/>
        </w:rPr>
        <w:t>18</w:t>
      </w:r>
      <w:r>
        <w:rPr>
          <w:rFonts w:hint="eastAsia" w:ascii="宋体" w:hAnsi="宋体" w:eastAsia="宋体" w:cs="宋体"/>
          <w:b w:val="0"/>
          <w:bCs w:val="0"/>
          <w:i w:val="0"/>
          <w:caps w:val="0"/>
          <w:color w:val="auto"/>
          <w:spacing w:val="0"/>
          <w:w w:val="100"/>
          <w:sz w:val="24"/>
          <w:szCs w:val="24"/>
          <w:highlight w:val="none"/>
          <w:u w:val="single" w:color="000000"/>
        </w:rPr>
        <w:t>号）目录内的产品。</w:t>
      </w:r>
    </w:p>
    <w:p w14:paraId="3BB1816D">
      <w:pPr>
        <w:pStyle w:val="6"/>
        <w:keepNext w:val="0"/>
        <w:keepLines w:val="0"/>
        <w:pageBreakBefore w:val="0"/>
        <w:widowControl w:val="0"/>
        <w:shd w:val="clear"/>
        <w:kinsoku/>
        <w:wordWrap/>
        <w:overflowPunct/>
        <w:topLinePunct w:val="0"/>
        <w:bidi w:val="0"/>
        <w:snapToGrid w:val="0"/>
        <w:spacing w:before="0" w:beforeAutospacing="0" w:after="0" w:afterAutospacing="0" w:line="400" w:lineRule="exact"/>
        <w:ind w:firstLine="0"/>
        <w:jc w:val="left"/>
        <w:textAlignment w:val="baseline"/>
        <w:rPr>
          <w:rFonts w:hint="eastAsia" w:ascii="宋体" w:hAnsi="宋体" w:eastAsia="宋体" w:cs="宋体"/>
          <w:b/>
          <w:bCs/>
          <w:i w:val="0"/>
          <w:caps w:val="0"/>
          <w:color w:val="auto"/>
          <w:spacing w:val="0"/>
          <w:w w:val="100"/>
          <w:kern w:val="2"/>
          <w:sz w:val="24"/>
          <w:szCs w:val="24"/>
          <w:highlight w:val="none"/>
          <w:lang w:val="en-US" w:eastAsia="zh-CN" w:bidi="ar-SA"/>
        </w:rPr>
      </w:pPr>
      <w:r>
        <w:rPr>
          <w:rFonts w:hint="eastAsia" w:ascii="宋体" w:hAnsi="宋体" w:eastAsia="宋体" w:cs="宋体"/>
          <w:b/>
          <w:bCs/>
          <w:i w:val="0"/>
          <w:caps w:val="0"/>
          <w:color w:val="auto"/>
          <w:spacing w:val="0"/>
          <w:w w:val="100"/>
          <w:kern w:val="2"/>
          <w:sz w:val="24"/>
          <w:szCs w:val="24"/>
          <w:highlight w:val="none"/>
          <w:lang w:val="en-US" w:eastAsia="zh-CN" w:bidi="ar-SA"/>
        </w:rPr>
        <w:t>5.开评标工作纪律：</w:t>
      </w:r>
    </w:p>
    <w:p w14:paraId="7C78D8DF">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1）对采购人和监督人员的纪律要求：参加磋商会议前，代理机构工作人员收取采购人和监督人员的手机。采购人和监督人员不得泄露磋商活动中应当保密的情况和资料，不得与供应商串通损害国家利益、社会公共利益或者他人合法权益。</w:t>
      </w:r>
    </w:p>
    <w:p w14:paraId="04174C78">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2）对供应商的纪律要求：供应商不得相互串通磋商或者与采购人串通磋商，不得向采购人或者磋商小组成员行贿谋取成交，不得以他人名义投标或者以其他方式弄虚作假骗取成交；供应商不得以任何方式干扰、影响磋商工作。</w:t>
      </w:r>
    </w:p>
    <w:p w14:paraId="28486E03">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3）对代理机构的纪律要求：参加磋商会议前，代理机构工作人员上交自己的手机。与磋商会议有关的工作人员不得收受他人的财物或者其他好处，不得向他人透露对成交候选人的推荐情况以及磋商有关的其他情况。</w:t>
      </w:r>
    </w:p>
    <w:p w14:paraId="1667B7D6">
      <w:pPr>
        <w:pStyle w:val="16"/>
        <w:rPr>
          <w:rFonts w:hint="eastAsia" w:ascii="宋体" w:hAnsi="宋体" w:eastAsia="宋体" w:cs="宋体"/>
          <w:b w:val="0"/>
          <w:i w:val="0"/>
          <w:caps w:val="0"/>
          <w:color w:val="auto"/>
          <w:spacing w:val="0"/>
          <w:w w:val="100"/>
          <w:sz w:val="24"/>
          <w:highlight w:val="none"/>
          <w:lang w:val="en-US" w:eastAsia="zh-CN"/>
        </w:rPr>
      </w:pPr>
      <w:bookmarkStart w:id="1424" w:name="_GoBack"/>
      <w:r>
        <w:rPr>
          <w:rFonts w:hint="eastAsia" w:ascii="宋体" w:hAnsi="宋体" w:eastAsia="宋体" w:cs="宋体"/>
          <w:b w:val="0"/>
          <w:i w:val="0"/>
          <w:caps w:val="0"/>
          <w:color w:val="auto"/>
          <w:spacing w:val="0"/>
          <w:w w:val="100"/>
          <w:sz w:val="24"/>
          <w:highlight w:val="yellow"/>
          <w:lang w:val="en-US" w:eastAsia="zh-CN"/>
        </w:rPr>
        <w:t>（4）对磋商小组的纪律要求：参加磋商会议前，代理机构工作人员收缴</w:t>
      </w:r>
      <w:r>
        <w:rPr>
          <w:rFonts w:hint="eastAsia" w:ascii="宋体" w:hAnsi="宋体" w:cs="宋体"/>
          <w:b w:val="0"/>
          <w:i w:val="0"/>
          <w:caps w:val="0"/>
          <w:color w:val="auto"/>
          <w:spacing w:val="0"/>
          <w:w w:val="100"/>
          <w:sz w:val="24"/>
          <w:highlight w:val="yellow"/>
          <w:lang w:val="en-US" w:eastAsia="zh-CN"/>
        </w:rPr>
        <w:t>5</w:t>
      </w:r>
      <w:r>
        <w:rPr>
          <w:rFonts w:hint="eastAsia" w:ascii="宋体" w:hAnsi="宋体" w:eastAsia="宋体" w:cs="宋体"/>
          <w:b w:val="0"/>
          <w:i w:val="0"/>
          <w:caps w:val="0"/>
          <w:color w:val="auto"/>
          <w:spacing w:val="0"/>
          <w:w w:val="100"/>
          <w:sz w:val="24"/>
          <w:highlight w:val="yellow"/>
          <w:lang w:val="en-US" w:eastAsia="zh-CN"/>
        </w:rPr>
        <w:t>名评审专家的手机。磋商小组成员要依法独立评审，并对评审意见承担个人责任。</w:t>
      </w:r>
      <w:bookmarkEnd w:id="1424"/>
      <w:r>
        <w:rPr>
          <w:rFonts w:hint="eastAsia" w:ascii="宋体" w:hAnsi="宋体" w:eastAsia="宋体" w:cs="宋体"/>
          <w:b w:val="0"/>
          <w:i w:val="0"/>
          <w:caps w:val="0"/>
          <w:color w:val="auto"/>
          <w:spacing w:val="0"/>
          <w:w w:val="100"/>
          <w:sz w:val="24"/>
          <w:highlight w:val="none"/>
          <w:lang w:val="en-US" w:eastAsia="zh-CN"/>
        </w:rPr>
        <w:t>磋商小组成员对需要共同认定的事项存在争议的，按照少数服从多数的原则做出结论。持不同意见的磋商小组成员应当在磋商报告上签署不同意见并说明理由，否则视为同意。</w:t>
      </w:r>
    </w:p>
    <w:p w14:paraId="7A18B8EE">
      <w:pPr>
        <w:pStyle w:val="16"/>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（5）在开评标过程中，所有参会人员不得无故离开磋商会议现场。此外，在磋商过程中磋商小组以外与会人员不得干预或影响正常磋商工作，不得明示或暗示其倾向性、引导性言论。</w:t>
      </w:r>
    </w:p>
    <w:p w14:paraId="2F5F97A6">
      <w:pPr>
        <w:shd w:val="clear"/>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7</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rPr>
        <w:t>评审：</w:t>
      </w:r>
    </w:p>
    <w:p w14:paraId="5B249B80">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yellow"/>
          <w:lang w:val="en-US" w:eastAsia="zh-CN"/>
        </w:rPr>
      </w:pPr>
      <w:r>
        <w:rPr>
          <w:rFonts w:hint="eastAsia" w:ascii="宋体" w:hAnsi="宋体" w:eastAsia="宋体" w:cs="宋体"/>
          <w:b w:val="0"/>
          <w:i w:val="0"/>
          <w:caps w:val="0"/>
          <w:color w:val="auto"/>
          <w:spacing w:val="0"/>
          <w:w w:val="100"/>
          <w:sz w:val="24"/>
          <w:highlight w:val="yellow"/>
          <w:lang w:val="en-US" w:eastAsia="zh-CN"/>
        </w:rPr>
        <w:t>（1）在政采云平台上随机抽取</w:t>
      </w:r>
      <w:r>
        <w:rPr>
          <w:rFonts w:hint="eastAsia" w:ascii="宋体" w:hAnsi="宋体" w:cs="宋体"/>
          <w:b w:val="0"/>
          <w:i w:val="0"/>
          <w:caps w:val="0"/>
          <w:color w:val="auto"/>
          <w:spacing w:val="0"/>
          <w:w w:val="100"/>
          <w:sz w:val="24"/>
          <w:highlight w:val="yellow"/>
          <w:lang w:val="en-US" w:eastAsia="zh-CN"/>
        </w:rPr>
        <w:t>4</w:t>
      </w:r>
      <w:r>
        <w:rPr>
          <w:rFonts w:hint="eastAsia" w:ascii="宋体" w:hAnsi="宋体" w:eastAsia="宋体" w:cs="宋体"/>
          <w:b w:val="0"/>
          <w:i w:val="0"/>
          <w:caps w:val="0"/>
          <w:color w:val="auto"/>
          <w:spacing w:val="0"/>
          <w:w w:val="100"/>
          <w:sz w:val="24"/>
          <w:highlight w:val="yellow"/>
          <w:lang w:val="en-US" w:eastAsia="zh-CN"/>
        </w:rPr>
        <w:t>名磋商小组成员</w:t>
      </w:r>
      <w:r>
        <w:rPr>
          <w:rFonts w:hint="eastAsia" w:ascii="宋体" w:hAnsi="宋体" w:cs="宋体"/>
          <w:b w:val="0"/>
          <w:i w:val="0"/>
          <w:caps w:val="0"/>
          <w:color w:val="auto"/>
          <w:spacing w:val="0"/>
          <w:w w:val="100"/>
          <w:sz w:val="24"/>
          <w:highlight w:val="yellow"/>
          <w:lang w:val="en-US" w:eastAsia="zh-CN"/>
        </w:rPr>
        <w:t>及1名</w:t>
      </w:r>
      <w:r>
        <w:rPr>
          <w:rFonts w:hint="eastAsia" w:ascii="宋体" w:hAnsi="宋体" w:eastAsia="宋体" w:cs="宋体"/>
          <w:b w:val="0"/>
          <w:i w:val="0"/>
          <w:caps w:val="0"/>
          <w:color w:val="auto"/>
          <w:spacing w:val="0"/>
          <w:w w:val="100"/>
          <w:sz w:val="24"/>
          <w:highlight w:val="yellow"/>
          <w:lang w:val="en-US" w:eastAsia="zh-CN"/>
        </w:rPr>
        <w:t>招标人代表负责评标工作。</w:t>
      </w:r>
    </w:p>
    <w:p w14:paraId="1E9FD695">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（2）磋商小组应当按照磋商文件中规定的评标方法和标准，对所有响应文件进行资格性审查，再对符合资格要求的投标供应商的响应文件进行符合性审查，以确定其是否满足磋商文件的实质性要求。</w:t>
      </w:r>
    </w:p>
    <w:p w14:paraId="0A5AE47C">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3）若对于响应文件中含义不明确、同类问题表述不一致或者有明显文字和计算错误的内容，磋商小组应当以书面形式要求投标供应商作出必要的澄清、说明或者补正。投标供应商的澄清、说明或者补正应当采用书面形式，并加盖公章，或者由法定代表人或其授权的代表签字。投标供应商的澄清、说明或者补正不得超出响应文件的范围或者改变响应文件的实质性内容。</w:t>
      </w:r>
    </w:p>
    <w:p w14:paraId="2F480BDE">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4）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9B803FD">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（5）竞争性磋商共有两次报价，二次报价为最终报价，磋商小组所有成员集中</w:t>
      </w:r>
    </w:p>
    <w:p w14:paraId="4D59E350">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与单一供应商分别进行磋商，并给予所有参加磋商的供应商平等的磋商机会，</w:t>
      </w:r>
    </w:p>
    <w:p w14:paraId="4BB7BB7C">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磋商小组要求所有实质性响应的供应商在规定时间内提交最后报价，报价之后</w:t>
      </w:r>
    </w:p>
    <w:p w14:paraId="66992D82">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由代理公司进行唱标，最后报价是供应商响应文件的有效组成部分，经磋商确</w:t>
      </w:r>
    </w:p>
    <w:p w14:paraId="14BB3463">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定最终采购需求和提交最后报价的供应商后，由磋商小组采用综合评分法对提</w:t>
      </w:r>
    </w:p>
    <w:p w14:paraId="4058D561">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交最后报价的供应商的响应文件和最后报价进行综合评分。磋商小组各成员应</w:t>
      </w:r>
    </w:p>
    <w:p w14:paraId="3332C457">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当独立对每个有效响应的文件进行评价打分，汇总每个供应商每项评分因素的</w:t>
      </w:r>
    </w:p>
    <w:p w14:paraId="511102A2">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得分。 磋商小组应当从质量和服务均能满足采购文件实质性响应要求的供应商</w:t>
      </w:r>
    </w:p>
    <w:p w14:paraId="4160E2F9">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中，按照综合评分由高到低的顺序提出成交候选人，并编写评审报告，将结果</w:t>
      </w:r>
    </w:p>
    <w:p w14:paraId="567A3FD5">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通知所有参加磋商的未成交的供应商；评分标准：对实质性响应的响应文件进</w:t>
      </w:r>
    </w:p>
    <w:p w14:paraId="56C9D6C2">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行评估和比较，采用综合评分法进行打分评比。</w:t>
      </w:r>
    </w:p>
    <w:p w14:paraId="5D30D1A5">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（7）磋商小组应当按照磋商文件中规定的评标方法和标准，对符合性审查合格的响应文件进行商务和技术评估，综合比较与评价</w:t>
      </w:r>
      <w:r>
        <w:rPr>
          <w:rFonts w:hint="eastAsia" w:ascii="宋体" w:hAnsi="宋体" w:cs="宋体"/>
          <w:b w:val="0"/>
          <w:i w:val="0"/>
          <w:caps w:val="0"/>
          <w:color w:val="auto"/>
          <w:spacing w:val="0"/>
          <w:w w:val="100"/>
          <w:sz w:val="24"/>
          <w:highlight w:val="none"/>
          <w:lang w:val="en-US" w:eastAsia="zh-CN"/>
        </w:rPr>
        <w:t>，</w:t>
      </w:r>
      <w:r>
        <w:rPr>
          <w:rFonts w:hint="eastAsia" w:ascii="宋体" w:hAnsi="宋体" w:cs="宋体"/>
          <w:b/>
          <w:bCs/>
          <w:i w:val="0"/>
          <w:caps w:val="0"/>
          <w:color w:val="auto"/>
          <w:spacing w:val="0"/>
          <w:w w:val="100"/>
          <w:sz w:val="24"/>
          <w:highlight w:val="none"/>
          <w:lang w:val="en-US" w:eastAsia="zh-CN"/>
        </w:rPr>
        <w:t>（供应商异常低价投标的，依照法定程序复核纠正）</w:t>
      </w:r>
      <w:r>
        <w:rPr>
          <w:rFonts w:hint="eastAsia" w:ascii="宋体" w:hAnsi="宋体" w:eastAsia="宋体" w:cs="宋体"/>
          <w:b w:val="0"/>
          <w:i w:val="0"/>
          <w:caps w:val="0"/>
          <w:color w:val="auto"/>
          <w:spacing w:val="0"/>
          <w:w w:val="100"/>
          <w:sz w:val="24"/>
          <w:highlight w:val="none"/>
          <w:lang w:val="en-US" w:eastAsia="zh-CN"/>
        </w:rPr>
        <w:t>。综合评分法，是指响应文件满足磋商文件全部实质性要求，且按照评审因素的量化指标评审得分最高的投标供应商为中标候选人的评标方法。</w:t>
      </w:r>
    </w:p>
    <w:p w14:paraId="77D7DF21">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8）采用综合评分法的，评标结果按评审后得分由高到低顺序排列。得分相同的，按投标报价由低到高顺序排列。得分且投标报价相同的并列。响应文件满足磋商文件全部实质性要求，且按照评审因素的量化指标评审得分最高的投标供应商为排名第一的中标候选人。</w:t>
      </w:r>
    </w:p>
    <w:p w14:paraId="2E947297">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（9）磋商小组成员对需要共同认定的事项存在争议的，应当按照少数服从多数的原则作出结论。持不同意见的磋商小组成员应当在评标报告上签署不同意见及理由，否则视为同意评标报告。</w:t>
      </w:r>
    </w:p>
    <w:p w14:paraId="43520AD5">
      <w:pPr>
        <w:pStyle w:val="9"/>
        <w:shd w:val="clear"/>
        <w:snapToGrid w:val="0"/>
        <w:spacing w:before="0" w:line="400" w:lineRule="exact"/>
        <w:textAlignment w:val="baseline"/>
        <w:rPr>
          <w:rFonts w:hint="eastAsia" w:ascii="宋体" w:hAnsi="宋体" w:eastAsia="宋体" w:cs="宋体"/>
          <w:b/>
          <w:bCs/>
          <w:color w:val="auto"/>
          <w:highlight w:val="none"/>
        </w:rPr>
      </w:pPr>
      <w:r>
        <w:rPr>
          <w:rFonts w:hint="eastAsia" w:cs="宋体"/>
          <w:b/>
          <w:bCs/>
          <w:color w:val="auto"/>
          <w:highlight w:val="none"/>
          <w:lang w:val="en-US" w:eastAsia="zh-CN"/>
        </w:rPr>
        <w:t>8</w:t>
      </w:r>
      <w:r>
        <w:rPr>
          <w:rFonts w:hint="eastAsia" w:ascii="宋体" w:hAnsi="宋体" w:eastAsia="宋体" w:cs="宋体"/>
          <w:b/>
          <w:bCs/>
          <w:color w:val="auto"/>
          <w:highlight w:val="none"/>
        </w:rPr>
        <w:t>.定标：</w:t>
      </w:r>
    </w:p>
    <w:p w14:paraId="257A582A">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（1）采购代理机构应当在评标结束后2个工作日内将评标报告送采购人。</w:t>
      </w:r>
    </w:p>
    <w:p w14:paraId="72FCBB25">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2）招标人委托磋商小组直接确定成交人。磋商小组推荐成交候选供应商的数量为3家。采购人应当自收到评标报告之日起５个工作日内，在评标报告确定的成交候选人名单中按顺序确定中标人。成交候选人并列的，由采购人按照磋商文件规定的方式确定中标人。</w:t>
      </w:r>
    </w:p>
    <w:p w14:paraId="35AB7CFB">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 xml:space="preserve">（3）成交候选人并列式时的处理方式：评标结果按评审后得分由高到低顺序排列。得分相同的，按磋商报价由低到高顺序排列。得分且磋商报价相同的并列。响应文件满足磋商文件全部实质性要求，且按照评审因素的量化指标评审得分最高的供应商为排名第一的成交候选人。  </w:t>
      </w:r>
    </w:p>
    <w:p w14:paraId="717131BD">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（4）采购人在收到评标报告5个工作日内未按评标报告推荐的成交候选人顺序确定中标人，又不能说明合法理由的，视同按评标报告推荐的顺序确定排名第一的成交候选人为中标人。</w:t>
      </w:r>
    </w:p>
    <w:p w14:paraId="65C53A8F">
      <w:pPr>
        <w:widowControl/>
        <w:shd w:val="clear"/>
        <w:snapToGrid w:val="0"/>
        <w:spacing w:line="400" w:lineRule="exact"/>
        <w:textAlignment w:val="baseline"/>
        <w:rPr>
          <w:rFonts w:hint="eastAsia" w:ascii="宋体" w:hAnsi="宋体" w:eastAsia="宋体" w:cs="宋体"/>
          <w:color w:val="auto"/>
          <w:sz w:val="24"/>
          <w:highlight w:val="none"/>
        </w:rPr>
      </w:pPr>
      <w:r>
        <w:rPr>
          <w:rFonts w:hint="eastAsia" w:ascii="宋体" w:hAnsi="宋体" w:cs="宋体"/>
          <w:b/>
          <w:bCs/>
          <w:color w:val="auto"/>
          <w:sz w:val="24"/>
          <w:highlight w:val="none"/>
          <w:lang w:val="en-US" w:eastAsia="zh-CN"/>
        </w:rPr>
        <w:t>9</w:t>
      </w:r>
      <w:r>
        <w:rPr>
          <w:rFonts w:hint="eastAsia" w:ascii="宋体" w:hAnsi="宋体" w:eastAsia="宋体" w:cs="宋体"/>
          <w:b/>
          <w:bCs/>
          <w:color w:val="auto"/>
          <w:sz w:val="24"/>
          <w:highlight w:val="none"/>
        </w:rPr>
        <w:t>.评审标准</w:t>
      </w:r>
      <w:r>
        <w:rPr>
          <w:rFonts w:hint="eastAsia" w:ascii="宋体" w:hAnsi="宋体" w:eastAsia="宋体" w:cs="宋体"/>
          <w:color w:val="auto"/>
          <w:sz w:val="24"/>
          <w:highlight w:val="none"/>
        </w:rPr>
        <w:t>：（具体详见综合评分表）</w:t>
      </w:r>
    </w:p>
    <w:p w14:paraId="57699307">
      <w:pPr>
        <w:pStyle w:val="9"/>
        <w:shd w:val="clear"/>
        <w:snapToGrid w:val="0"/>
        <w:spacing w:before="0" w:line="400" w:lineRule="exact"/>
        <w:textAlignment w:val="baseline"/>
        <w:rPr>
          <w:rFonts w:hint="eastAsia" w:ascii="宋体" w:hAnsi="宋体" w:eastAsia="宋体" w:cs="宋体"/>
          <w:b w:val="0"/>
          <w:i w:val="0"/>
          <w:caps w:val="0"/>
          <w:color w:val="auto"/>
          <w:spacing w:val="0"/>
          <w:w w:val="100"/>
          <w:kern w:val="2"/>
          <w:sz w:val="24"/>
          <w:szCs w:val="24"/>
          <w:highlight w:val="none"/>
          <w:lang w:val="en-US" w:eastAsia="zh-CN" w:bidi="ar-SA"/>
        </w:rPr>
      </w:pPr>
      <w:r>
        <w:rPr>
          <w:rFonts w:hint="eastAsia" w:ascii="宋体" w:hAnsi="宋体" w:eastAsia="宋体" w:cs="宋体"/>
          <w:b w:val="0"/>
          <w:i w:val="0"/>
          <w:caps w:val="0"/>
          <w:color w:val="auto"/>
          <w:spacing w:val="0"/>
          <w:w w:val="100"/>
          <w:kern w:val="2"/>
          <w:sz w:val="24"/>
          <w:szCs w:val="24"/>
          <w:highlight w:val="none"/>
          <w:lang w:val="en-US" w:eastAsia="zh-CN" w:bidi="ar-SA"/>
        </w:rPr>
        <w:t>（1）价格评分占</w:t>
      </w:r>
      <w:r>
        <w:rPr>
          <w:rFonts w:hint="eastAsia" w:cs="宋体"/>
          <w:b w:val="0"/>
          <w:i w:val="0"/>
          <w:caps w:val="0"/>
          <w:color w:val="auto"/>
          <w:spacing w:val="0"/>
          <w:w w:val="100"/>
          <w:kern w:val="2"/>
          <w:sz w:val="24"/>
          <w:szCs w:val="24"/>
          <w:highlight w:val="none"/>
          <w:lang w:val="en-US" w:eastAsia="zh-CN" w:bidi="ar-SA"/>
        </w:rPr>
        <w:t>35</w:t>
      </w:r>
      <w:r>
        <w:rPr>
          <w:rFonts w:hint="eastAsia" w:ascii="宋体" w:hAnsi="宋体" w:eastAsia="宋体" w:cs="宋体"/>
          <w:b w:val="0"/>
          <w:i w:val="0"/>
          <w:caps w:val="0"/>
          <w:color w:val="auto"/>
          <w:spacing w:val="0"/>
          <w:w w:val="100"/>
          <w:kern w:val="2"/>
          <w:sz w:val="24"/>
          <w:szCs w:val="24"/>
          <w:highlight w:val="none"/>
          <w:lang w:val="en-US" w:eastAsia="zh-CN" w:bidi="ar-SA"/>
        </w:rPr>
        <w:t>%，完全满足磋商文件参数的报价中的最低价为评标基准价，按照下列公式计算每个</w:t>
      </w:r>
      <w:r>
        <w:rPr>
          <w:rFonts w:hint="eastAsia" w:cs="宋体"/>
          <w:b w:val="0"/>
          <w:i w:val="0"/>
          <w:caps w:val="0"/>
          <w:color w:val="auto"/>
          <w:spacing w:val="0"/>
          <w:w w:val="100"/>
          <w:kern w:val="2"/>
          <w:sz w:val="24"/>
          <w:szCs w:val="24"/>
          <w:highlight w:val="none"/>
          <w:lang w:val="en-US" w:eastAsia="zh-CN" w:bidi="ar-SA"/>
        </w:rPr>
        <w:t>供应商</w:t>
      </w:r>
      <w:r>
        <w:rPr>
          <w:rFonts w:hint="eastAsia" w:ascii="宋体" w:hAnsi="宋体" w:eastAsia="宋体" w:cs="宋体"/>
          <w:b w:val="0"/>
          <w:i w:val="0"/>
          <w:caps w:val="0"/>
          <w:color w:val="auto"/>
          <w:spacing w:val="0"/>
          <w:w w:val="100"/>
          <w:kern w:val="2"/>
          <w:sz w:val="24"/>
          <w:szCs w:val="24"/>
          <w:highlight w:val="none"/>
          <w:lang w:val="en-US" w:eastAsia="zh-CN" w:bidi="ar-SA"/>
        </w:rPr>
        <w:t>的投标价格得分。投标报价得分＝（基准价/投标报价）×价格权重×100。</w:t>
      </w:r>
    </w:p>
    <w:p w14:paraId="3E237DC2">
      <w:pPr>
        <w:pStyle w:val="9"/>
        <w:shd w:val="clear"/>
        <w:snapToGrid w:val="0"/>
        <w:spacing w:before="0" w:line="400" w:lineRule="exact"/>
        <w:textAlignment w:val="baseline"/>
        <w:rPr>
          <w:rFonts w:hint="eastAsia" w:ascii="宋体" w:hAnsi="宋体" w:eastAsia="宋体" w:cs="宋体"/>
          <w:b/>
          <w:bCs/>
          <w:color w:val="auto"/>
          <w:highlight w:val="yellow"/>
        </w:rPr>
      </w:pPr>
      <w:r>
        <w:rPr>
          <w:rFonts w:hint="eastAsia" w:ascii="宋体" w:hAnsi="宋体" w:eastAsia="宋体" w:cs="宋体"/>
          <w:b w:val="0"/>
          <w:i w:val="0"/>
          <w:caps w:val="0"/>
          <w:color w:val="auto"/>
          <w:spacing w:val="0"/>
          <w:w w:val="100"/>
          <w:kern w:val="2"/>
          <w:sz w:val="24"/>
          <w:szCs w:val="24"/>
          <w:highlight w:val="yellow"/>
          <w:lang w:val="en-US" w:eastAsia="zh-CN" w:bidi="ar-SA"/>
        </w:rPr>
        <w:t>（2）商务</w:t>
      </w:r>
      <w:r>
        <w:rPr>
          <w:rFonts w:hint="eastAsia" w:ascii="宋体" w:hAnsi="宋体" w:cs="宋体"/>
          <w:b w:val="0"/>
          <w:i w:val="0"/>
          <w:caps w:val="0"/>
          <w:color w:val="auto"/>
          <w:spacing w:val="0"/>
          <w:w w:val="100"/>
          <w:kern w:val="2"/>
          <w:sz w:val="24"/>
          <w:szCs w:val="24"/>
          <w:highlight w:val="yellow"/>
          <w:lang w:val="en-US" w:eastAsia="zh-CN" w:bidi="ar-SA"/>
        </w:rPr>
        <w:t>、技术</w:t>
      </w:r>
      <w:r>
        <w:rPr>
          <w:rFonts w:hint="eastAsia" w:ascii="宋体" w:hAnsi="宋体" w:eastAsia="宋体" w:cs="宋体"/>
          <w:b w:val="0"/>
          <w:i w:val="0"/>
          <w:caps w:val="0"/>
          <w:color w:val="auto"/>
          <w:spacing w:val="0"/>
          <w:w w:val="100"/>
          <w:kern w:val="2"/>
          <w:sz w:val="24"/>
          <w:szCs w:val="24"/>
          <w:highlight w:val="yellow"/>
          <w:lang w:val="en-US" w:eastAsia="zh-CN" w:bidi="ar-SA"/>
        </w:rPr>
        <w:t>评分占</w:t>
      </w:r>
      <w:r>
        <w:rPr>
          <w:rFonts w:hint="eastAsia" w:ascii="宋体" w:hAnsi="宋体" w:cs="宋体"/>
          <w:b w:val="0"/>
          <w:i w:val="0"/>
          <w:caps w:val="0"/>
          <w:color w:val="auto"/>
          <w:spacing w:val="0"/>
          <w:w w:val="100"/>
          <w:kern w:val="2"/>
          <w:sz w:val="24"/>
          <w:szCs w:val="24"/>
          <w:highlight w:val="yellow"/>
          <w:lang w:val="en-US" w:eastAsia="zh-CN" w:bidi="ar-SA"/>
        </w:rPr>
        <w:t>7</w:t>
      </w:r>
      <w:r>
        <w:rPr>
          <w:rFonts w:hint="eastAsia" w:ascii="宋体" w:hAnsi="宋体" w:eastAsia="宋体" w:cs="宋体"/>
          <w:b w:val="0"/>
          <w:i w:val="0"/>
          <w:caps w:val="0"/>
          <w:color w:val="auto"/>
          <w:spacing w:val="0"/>
          <w:w w:val="100"/>
          <w:kern w:val="2"/>
          <w:sz w:val="24"/>
          <w:szCs w:val="24"/>
          <w:highlight w:val="yellow"/>
          <w:lang w:val="en-US" w:eastAsia="zh-CN" w:bidi="ar-SA"/>
        </w:rPr>
        <w:t>0%。</w:t>
      </w:r>
    </w:p>
    <w:p w14:paraId="01C9503D">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w:t>
      </w:r>
      <w:r>
        <w:rPr>
          <w:rFonts w:hint="eastAsia" w:ascii="宋体" w:hAnsi="宋体" w:cs="宋体"/>
          <w:b w:val="0"/>
          <w:i w:val="0"/>
          <w:caps w:val="0"/>
          <w:color w:val="auto"/>
          <w:spacing w:val="0"/>
          <w:w w:val="100"/>
          <w:sz w:val="24"/>
          <w:highlight w:val="none"/>
          <w:lang w:val="en-US" w:eastAsia="zh-CN"/>
        </w:rPr>
        <w:t>3</w:t>
      </w:r>
      <w:r>
        <w:rPr>
          <w:rFonts w:hint="eastAsia" w:ascii="宋体" w:hAnsi="宋体" w:eastAsia="宋体" w:cs="宋体"/>
          <w:b w:val="0"/>
          <w:i w:val="0"/>
          <w:caps w:val="0"/>
          <w:color w:val="auto"/>
          <w:spacing w:val="0"/>
          <w:w w:val="100"/>
          <w:sz w:val="24"/>
          <w:highlight w:val="none"/>
          <w:lang w:val="en-US" w:eastAsia="zh-CN"/>
        </w:rPr>
        <w:t>）</w:t>
      </w:r>
      <w:r>
        <w:rPr>
          <w:rFonts w:hint="eastAsia" w:ascii="宋体" w:hAnsi="宋体" w:eastAsia="宋体" w:cs="宋体"/>
          <w:b w:val="0"/>
          <w:bCs w:val="0"/>
          <w:i w:val="0"/>
          <w:caps w:val="0"/>
          <w:color w:val="auto"/>
          <w:spacing w:val="0"/>
          <w:w w:val="100"/>
          <w:sz w:val="24"/>
          <w:highlight w:val="none"/>
        </w:rPr>
        <w:t>竞争性磋商共有两次报价，二次报价为最终报价，磋商小组所有成员集中与单一供应商分别进行磋商，并给予所有参加磋商的供应商平等的磋商机会， 磋商小组要求所有实质性响应的供应商在规定时间内提交最后报价，最后报价是供应商响应文件的有效组成部分，经磋商确定最终采购需求和提交最后报价的供应商后，由磋商小组采用综合评分法对提交最后报价的供应商的响应文件和最后报价进行综合评分。磋商小组应当从质量和服务均能满足采购文件实质性响应要求的供应商中，按照综合评分由高到低的顺序提出成交候选人，并编写评审报告，将结果通知所有参加磋商的未成交的供应商</w:t>
      </w:r>
      <w:r>
        <w:rPr>
          <w:rFonts w:hint="eastAsia" w:ascii="宋体" w:hAnsi="宋体" w:eastAsia="宋体" w:cs="宋体"/>
          <w:b w:val="0"/>
          <w:bCs w:val="0"/>
          <w:i w:val="0"/>
          <w:caps w:val="0"/>
          <w:color w:val="auto"/>
          <w:spacing w:val="0"/>
          <w:w w:val="100"/>
          <w:sz w:val="24"/>
          <w:highlight w:val="none"/>
          <w:lang w:eastAsia="zh-CN"/>
        </w:rPr>
        <w:t>。</w:t>
      </w:r>
      <w:r>
        <w:rPr>
          <w:rFonts w:hint="eastAsia" w:ascii="宋体" w:hAnsi="宋体" w:eastAsia="宋体" w:cs="宋体"/>
          <w:b w:val="0"/>
          <w:bCs w:val="0"/>
          <w:i w:val="0"/>
          <w:caps w:val="0"/>
          <w:color w:val="auto"/>
          <w:spacing w:val="0"/>
          <w:w w:val="100"/>
          <w:sz w:val="24"/>
          <w:highlight w:val="none"/>
          <w:lang w:val="en-US" w:eastAsia="zh-CN"/>
        </w:rPr>
        <w:t>　</w:t>
      </w:r>
      <w:r>
        <w:rPr>
          <w:rFonts w:hint="eastAsia" w:ascii="宋体" w:hAnsi="宋体" w:eastAsia="宋体" w:cs="宋体"/>
          <w:b w:val="0"/>
          <w:i w:val="0"/>
          <w:caps w:val="0"/>
          <w:color w:val="auto"/>
          <w:spacing w:val="0"/>
          <w:w w:val="100"/>
          <w:sz w:val="24"/>
          <w:highlight w:val="none"/>
          <w:lang w:val="en-US" w:eastAsia="zh-CN"/>
        </w:rPr>
        <w:t>　</w:t>
      </w:r>
    </w:p>
    <w:p w14:paraId="3D1772B1">
      <w:pPr>
        <w:pStyle w:val="23"/>
        <w:keepNext w:val="0"/>
        <w:keepLines w:val="0"/>
        <w:pageBreakBefore w:val="0"/>
        <w:shd w:val="clear"/>
        <w:kinsoku/>
        <w:wordWrap/>
        <w:overflowPunct/>
        <w:topLinePunct w:val="0"/>
        <w:bidi w:val="0"/>
        <w:spacing w:line="400" w:lineRule="exact"/>
        <w:ind w:left="0" w:leftChars="0" w:firstLine="0" w:firstLineChars="0"/>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w:t>
      </w:r>
      <w:r>
        <w:rPr>
          <w:rFonts w:hint="eastAsia" w:ascii="宋体" w:hAnsi="宋体" w:cs="宋体"/>
          <w:b w:val="0"/>
          <w:i w:val="0"/>
          <w:caps w:val="0"/>
          <w:color w:val="auto"/>
          <w:spacing w:val="0"/>
          <w:w w:val="100"/>
          <w:sz w:val="24"/>
          <w:highlight w:val="none"/>
          <w:lang w:val="en-US" w:eastAsia="zh-CN"/>
        </w:rPr>
        <w:t>4</w:t>
      </w:r>
      <w:r>
        <w:rPr>
          <w:rFonts w:hint="eastAsia" w:ascii="宋体" w:hAnsi="宋体" w:eastAsia="宋体" w:cs="宋体"/>
          <w:b w:val="0"/>
          <w:i w:val="0"/>
          <w:caps w:val="0"/>
          <w:color w:val="auto"/>
          <w:spacing w:val="0"/>
          <w:w w:val="100"/>
          <w:sz w:val="24"/>
          <w:highlight w:val="none"/>
          <w:lang w:val="en-US" w:eastAsia="zh-CN"/>
        </w:rPr>
        <w:t>）推荐成交候选供应商的数量：3</w:t>
      </w:r>
      <w:r>
        <w:rPr>
          <w:rFonts w:hint="eastAsia" w:ascii="宋体" w:hAnsi="宋体" w:cs="宋体"/>
          <w:b w:val="0"/>
          <w:i w:val="0"/>
          <w:caps w:val="0"/>
          <w:color w:val="auto"/>
          <w:spacing w:val="0"/>
          <w:w w:val="100"/>
          <w:sz w:val="24"/>
          <w:highlight w:val="none"/>
          <w:lang w:val="en-US" w:eastAsia="zh-CN"/>
        </w:rPr>
        <w:t>名</w:t>
      </w:r>
      <w:r>
        <w:rPr>
          <w:rFonts w:hint="eastAsia" w:ascii="宋体" w:hAnsi="宋体" w:eastAsia="宋体" w:cs="宋体"/>
          <w:b w:val="0"/>
          <w:i w:val="0"/>
          <w:caps w:val="0"/>
          <w:color w:val="auto"/>
          <w:spacing w:val="0"/>
          <w:w w:val="100"/>
          <w:sz w:val="24"/>
          <w:highlight w:val="none"/>
          <w:lang w:val="en-US" w:eastAsia="zh-CN"/>
        </w:rPr>
        <w:t xml:space="preserve">。    </w:t>
      </w:r>
    </w:p>
    <w:p w14:paraId="65FBA143">
      <w:pPr>
        <w:shd w:val="clear"/>
        <w:spacing w:line="300" w:lineRule="auto"/>
        <w:jc w:val="center"/>
        <w:outlineLvl w:val="1"/>
        <w:rPr>
          <w:rFonts w:hint="eastAsia" w:ascii="宋体" w:hAnsi="宋体" w:eastAsia="宋体" w:cs="宋体"/>
          <w:b/>
          <w:bCs/>
          <w:color w:val="auto"/>
          <w:sz w:val="24"/>
          <w:highlight w:val="none"/>
        </w:rPr>
        <w:sectPr>
          <w:pgSz w:w="11907" w:h="16840"/>
          <w:pgMar w:top="1474" w:right="1814" w:bottom="1474" w:left="1814" w:header="851" w:footer="851" w:gutter="0"/>
          <w:pgNumType w:fmt="decimal"/>
          <w:cols w:space="720" w:num="1"/>
          <w:docGrid w:linePitch="462" w:charSpace="0"/>
        </w:sectPr>
      </w:pPr>
    </w:p>
    <w:p w14:paraId="687E9EA7">
      <w:pPr>
        <w:spacing w:line="300" w:lineRule="auto"/>
        <w:jc w:val="center"/>
        <w:outlineLvl w:val="0"/>
        <w:rPr>
          <w:rFonts w:hint="eastAsia" w:ascii="宋体" w:hAnsi="宋体" w:eastAsia="宋体" w:cs="宋体"/>
          <w:b/>
          <w:bCs/>
          <w:color w:val="auto"/>
          <w:szCs w:val="21"/>
          <w:highlight w:val="none"/>
        </w:rPr>
      </w:pPr>
      <w:bookmarkStart w:id="794" w:name="_Toc19540"/>
      <w:bookmarkStart w:id="795" w:name="_Toc1545"/>
      <w:bookmarkStart w:id="796" w:name="_Toc12716"/>
      <w:bookmarkStart w:id="797" w:name="_Toc7781"/>
      <w:bookmarkStart w:id="798" w:name="_Toc3470"/>
      <w:bookmarkStart w:id="799" w:name="_Toc8137"/>
      <w:bookmarkStart w:id="800" w:name="_Toc18687"/>
      <w:bookmarkStart w:id="801" w:name="_Toc19633"/>
      <w:bookmarkStart w:id="802" w:name="_Toc13711"/>
      <w:bookmarkStart w:id="803" w:name="_Toc13647"/>
      <w:bookmarkStart w:id="804" w:name="_Toc32167"/>
      <w:bookmarkStart w:id="805" w:name="_Toc27829"/>
      <w:bookmarkStart w:id="806" w:name="_Toc1126"/>
      <w:bookmarkStart w:id="807" w:name="_Toc31762"/>
      <w:bookmarkStart w:id="808" w:name="_Toc12438"/>
      <w:bookmarkStart w:id="809" w:name="_Toc26572"/>
      <w:r>
        <w:rPr>
          <w:rFonts w:hint="eastAsia" w:ascii="宋体" w:hAnsi="宋体" w:eastAsia="宋体" w:cs="宋体"/>
          <w:b/>
          <w:bCs/>
          <w:color w:val="auto"/>
          <w:szCs w:val="21"/>
          <w:highlight w:val="none"/>
        </w:rPr>
        <w:t>初步评审—资格性审查表</w:t>
      </w:r>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p>
    <w:tbl>
      <w:tblPr>
        <w:tblStyle w:val="24"/>
        <w:tblpPr w:leftFromText="180" w:rightFromText="180" w:vertAnchor="text" w:horzAnchor="page" w:tblpXSpec="center" w:tblpY="234"/>
        <w:tblOverlap w:val="never"/>
        <w:tblW w:w="10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6136"/>
        <w:gridCol w:w="1125"/>
        <w:gridCol w:w="1140"/>
        <w:gridCol w:w="1090"/>
      </w:tblGrid>
      <w:tr w14:paraId="48F58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69" w:type="dxa"/>
            <w:vMerge w:val="restart"/>
            <w:vAlign w:val="center"/>
          </w:tcPr>
          <w:p w14:paraId="2EEB08EA">
            <w:pPr>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6136" w:type="dxa"/>
            <w:vMerge w:val="restart"/>
            <w:vAlign w:val="center"/>
          </w:tcPr>
          <w:p w14:paraId="107AAAB3">
            <w:pPr>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评审内容</w:t>
            </w:r>
          </w:p>
        </w:tc>
        <w:tc>
          <w:tcPr>
            <w:tcW w:w="3355" w:type="dxa"/>
            <w:gridSpan w:val="3"/>
            <w:vAlign w:val="center"/>
          </w:tcPr>
          <w:p w14:paraId="36CD4876">
            <w:pPr>
              <w:spacing w:line="400" w:lineRule="exact"/>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供应商</w:t>
            </w:r>
            <w:r>
              <w:rPr>
                <w:rFonts w:hint="eastAsia" w:ascii="宋体" w:hAnsi="宋体" w:eastAsia="宋体" w:cs="宋体"/>
                <w:b/>
                <w:bCs/>
                <w:color w:val="auto"/>
                <w:szCs w:val="21"/>
                <w:highlight w:val="none"/>
                <w:lang w:val="en-US" w:eastAsia="zh-CN"/>
              </w:rPr>
              <w:t>名称</w:t>
            </w:r>
          </w:p>
        </w:tc>
      </w:tr>
      <w:tr w14:paraId="1D7BD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69" w:type="dxa"/>
            <w:vMerge w:val="continue"/>
            <w:vAlign w:val="center"/>
          </w:tcPr>
          <w:p w14:paraId="3EBAD735">
            <w:pPr>
              <w:spacing w:line="400" w:lineRule="exact"/>
              <w:rPr>
                <w:rFonts w:hint="eastAsia" w:ascii="宋体" w:hAnsi="宋体" w:eastAsia="宋体" w:cs="宋体"/>
                <w:b/>
                <w:bCs/>
                <w:color w:val="auto"/>
                <w:szCs w:val="21"/>
                <w:highlight w:val="none"/>
              </w:rPr>
            </w:pPr>
          </w:p>
        </w:tc>
        <w:tc>
          <w:tcPr>
            <w:tcW w:w="6136" w:type="dxa"/>
            <w:vMerge w:val="continue"/>
            <w:vAlign w:val="center"/>
          </w:tcPr>
          <w:p w14:paraId="634FC99E">
            <w:pPr>
              <w:spacing w:line="400" w:lineRule="exact"/>
              <w:rPr>
                <w:rFonts w:hint="eastAsia" w:ascii="宋体" w:hAnsi="宋体" w:eastAsia="宋体" w:cs="宋体"/>
                <w:b/>
                <w:bCs/>
                <w:color w:val="auto"/>
                <w:szCs w:val="21"/>
                <w:highlight w:val="none"/>
              </w:rPr>
            </w:pPr>
          </w:p>
        </w:tc>
        <w:tc>
          <w:tcPr>
            <w:tcW w:w="1125" w:type="dxa"/>
            <w:vAlign w:val="center"/>
          </w:tcPr>
          <w:p w14:paraId="589B30DE">
            <w:pPr>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是否合格</w:t>
            </w:r>
          </w:p>
        </w:tc>
        <w:tc>
          <w:tcPr>
            <w:tcW w:w="1140" w:type="dxa"/>
            <w:vAlign w:val="center"/>
          </w:tcPr>
          <w:p w14:paraId="7F4BF0B9">
            <w:pPr>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是否合格</w:t>
            </w:r>
          </w:p>
        </w:tc>
        <w:tc>
          <w:tcPr>
            <w:tcW w:w="1090" w:type="dxa"/>
            <w:vAlign w:val="center"/>
          </w:tcPr>
          <w:p w14:paraId="5D728872">
            <w:pPr>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是否合格</w:t>
            </w:r>
          </w:p>
        </w:tc>
      </w:tr>
      <w:tr w14:paraId="3909B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69" w:type="dxa"/>
            <w:vAlign w:val="center"/>
          </w:tcPr>
          <w:p w14:paraId="00621C8F">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136" w:type="dxa"/>
            <w:vAlign w:val="center"/>
          </w:tcPr>
          <w:p w14:paraId="3AB619F7">
            <w:pPr>
              <w:pStyle w:val="6"/>
              <w:keepNext w:val="0"/>
              <w:keepLines w:val="0"/>
              <w:pageBreakBefore w:val="0"/>
              <w:widowControl w:val="0"/>
              <w:kinsoku/>
              <w:wordWrap/>
              <w:overflowPunct/>
              <w:topLinePunct w:val="0"/>
              <w:bidi w:val="0"/>
              <w:snapToGrid/>
              <w:spacing w:line="400" w:lineRule="exact"/>
              <w:ind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具有有效的独立法定代表人营业执照；</w:t>
            </w:r>
          </w:p>
        </w:tc>
        <w:tc>
          <w:tcPr>
            <w:tcW w:w="1125" w:type="dxa"/>
            <w:vAlign w:val="center"/>
          </w:tcPr>
          <w:p w14:paraId="783B38D5">
            <w:pPr>
              <w:spacing w:line="400" w:lineRule="exact"/>
              <w:rPr>
                <w:rFonts w:hint="eastAsia" w:ascii="宋体" w:hAnsi="宋体" w:eastAsia="宋体" w:cs="宋体"/>
                <w:color w:val="auto"/>
                <w:szCs w:val="21"/>
                <w:highlight w:val="none"/>
              </w:rPr>
            </w:pPr>
          </w:p>
        </w:tc>
        <w:tc>
          <w:tcPr>
            <w:tcW w:w="1140" w:type="dxa"/>
            <w:vAlign w:val="center"/>
          </w:tcPr>
          <w:p w14:paraId="74C4340D">
            <w:pPr>
              <w:spacing w:line="400" w:lineRule="exact"/>
              <w:rPr>
                <w:rFonts w:hint="eastAsia" w:ascii="宋体" w:hAnsi="宋体" w:eastAsia="宋体" w:cs="宋体"/>
                <w:color w:val="auto"/>
                <w:szCs w:val="21"/>
                <w:highlight w:val="none"/>
              </w:rPr>
            </w:pPr>
          </w:p>
        </w:tc>
        <w:tc>
          <w:tcPr>
            <w:tcW w:w="1090" w:type="dxa"/>
            <w:vAlign w:val="center"/>
          </w:tcPr>
          <w:p w14:paraId="234DB8E5">
            <w:pPr>
              <w:spacing w:line="400" w:lineRule="exact"/>
              <w:rPr>
                <w:rFonts w:hint="eastAsia" w:ascii="宋体" w:hAnsi="宋体" w:eastAsia="宋体" w:cs="宋体"/>
                <w:color w:val="auto"/>
                <w:szCs w:val="21"/>
                <w:highlight w:val="none"/>
              </w:rPr>
            </w:pPr>
          </w:p>
        </w:tc>
      </w:tr>
      <w:tr w14:paraId="66718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9" w:type="dxa"/>
            <w:vAlign w:val="center"/>
          </w:tcPr>
          <w:p w14:paraId="6B2FAF37">
            <w:pPr>
              <w:spacing w:line="38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6136" w:type="dxa"/>
            <w:vAlign w:val="center"/>
          </w:tcPr>
          <w:p w14:paraId="70BBAB82">
            <w:pPr>
              <w:spacing w:line="400" w:lineRule="exact"/>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法定代表人需提供法定代表人身份证明扫描件加盖公章，被授权委托人需提供法人授权委托书扫描件加盖公章、法人身份证复印件及被授权委托人身份证扫描件加盖公章，被授权委托人必须是本单位正式员工</w:t>
            </w:r>
            <w:r>
              <w:rPr>
                <w:rFonts w:hint="eastAsia" w:ascii="宋体" w:hAnsi="宋体" w:eastAsia="宋体" w:cs="宋体"/>
                <w:b w:val="0"/>
                <w:bCs w:val="0"/>
                <w:color w:val="auto"/>
                <w:kern w:val="2"/>
                <w:sz w:val="21"/>
                <w:szCs w:val="21"/>
                <w:highlight w:val="none"/>
                <w:lang w:val="en-US" w:eastAsia="zh-CN" w:bidi="ar-SA"/>
              </w:rPr>
              <w:t>；</w:t>
            </w:r>
          </w:p>
        </w:tc>
        <w:tc>
          <w:tcPr>
            <w:tcW w:w="1125" w:type="dxa"/>
            <w:vAlign w:val="center"/>
          </w:tcPr>
          <w:p w14:paraId="55D6797B">
            <w:pPr>
              <w:spacing w:line="400" w:lineRule="exact"/>
              <w:rPr>
                <w:rFonts w:hint="eastAsia" w:ascii="宋体" w:hAnsi="宋体" w:eastAsia="宋体" w:cs="宋体"/>
                <w:color w:val="auto"/>
                <w:szCs w:val="21"/>
                <w:highlight w:val="none"/>
              </w:rPr>
            </w:pPr>
          </w:p>
        </w:tc>
        <w:tc>
          <w:tcPr>
            <w:tcW w:w="1140" w:type="dxa"/>
            <w:vAlign w:val="center"/>
          </w:tcPr>
          <w:p w14:paraId="0F01C3C6">
            <w:pPr>
              <w:spacing w:line="400" w:lineRule="exact"/>
              <w:rPr>
                <w:rFonts w:hint="eastAsia" w:ascii="宋体" w:hAnsi="宋体" w:eastAsia="宋体" w:cs="宋体"/>
                <w:color w:val="auto"/>
                <w:szCs w:val="21"/>
                <w:highlight w:val="none"/>
              </w:rPr>
            </w:pPr>
          </w:p>
        </w:tc>
        <w:tc>
          <w:tcPr>
            <w:tcW w:w="1090" w:type="dxa"/>
            <w:vAlign w:val="center"/>
          </w:tcPr>
          <w:p w14:paraId="26F5C5DE">
            <w:pPr>
              <w:spacing w:line="400" w:lineRule="exact"/>
              <w:rPr>
                <w:rFonts w:hint="eastAsia" w:ascii="宋体" w:hAnsi="宋体" w:eastAsia="宋体" w:cs="宋体"/>
                <w:color w:val="auto"/>
                <w:szCs w:val="21"/>
                <w:highlight w:val="none"/>
              </w:rPr>
            </w:pPr>
          </w:p>
        </w:tc>
      </w:tr>
      <w:tr w14:paraId="751C8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69" w:type="dxa"/>
            <w:vAlign w:val="center"/>
          </w:tcPr>
          <w:p w14:paraId="114110DF">
            <w:pPr>
              <w:spacing w:line="38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6136" w:type="dxa"/>
            <w:vAlign w:val="center"/>
          </w:tcPr>
          <w:p w14:paraId="2E564F36">
            <w:pPr>
              <w:spacing w:line="400" w:lineRule="exac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近两年任意一年的财务审计报告，包括资产负债表、现金流量表、利润表等（新成立公司需提供银行资信证明）；</w:t>
            </w:r>
          </w:p>
        </w:tc>
        <w:tc>
          <w:tcPr>
            <w:tcW w:w="1125" w:type="dxa"/>
            <w:vAlign w:val="center"/>
          </w:tcPr>
          <w:p w14:paraId="7A3F198B">
            <w:pPr>
              <w:spacing w:line="400" w:lineRule="exact"/>
              <w:rPr>
                <w:rFonts w:hint="eastAsia" w:ascii="宋体" w:hAnsi="宋体" w:eastAsia="宋体" w:cs="宋体"/>
                <w:color w:val="auto"/>
                <w:szCs w:val="21"/>
                <w:highlight w:val="none"/>
              </w:rPr>
            </w:pPr>
          </w:p>
        </w:tc>
        <w:tc>
          <w:tcPr>
            <w:tcW w:w="1140" w:type="dxa"/>
            <w:vAlign w:val="center"/>
          </w:tcPr>
          <w:p w14:paraId="2A224156">
            <w:pPr>
              <w:spacing w:line="400" w:lineRule="exact"/>
              <w:rPr>
                <w:rFonts w:hint="eastAsia" w:ascii="宋体" w:hAnsi="宋体" w:eastAsia="宋体" w:cs="宋体"/>
                <w:color w:val="auto"/>
                <w:szCs w:val="21"/>
                <w:highlight w:val="none"/>
              </w:rPr>
            </w:pPr>
          </w:p>
        </w:tc>
        <w:tc>
          <w:tcPr>
            <w:tcW w:w="1090" w:type="dxa"/>
            <w:vAlign w:val="center"/>
          </w:tcPr>
          <w:p w14:paraId="74810E73">
            <w:pPr>
              <w:spacing w:line="400" w:lineRule="exact"/>
              <w:rPr>
                <w:rFonts w:hint="eastAsia" w:ascii="宋体" w:hAnsi="宋体" w:eastAsia="宋体" w:cs="宋体"/>
                <w:color w:val="auto"/>
                <w:szCs w:val="21"/>
                <w:highlight w:val="none"/>
              </w:rPr>
            </w:pPr>
          </w:p>
        </w:tc>
      </w:tr>
      <w:tr w14:paraId="78576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69" w:type="dxa"/>
            <w:vAlign w:val="center"/>
          </w:tcPr>
          <w:p w14:paraId="523CE172">
            <w:pPr>
              <w:spacing w:line="38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p>
        </w:tc>
        <w:tc>
          <w:tcPr>
            <w:tcW w:w="6136" w:type="dxa"/>
            <w:vAlign w:val="center"/>
          </w:tcPr>
          <w:p w14:paraId="6C71F867">
            <w:pPr>
              <w:spacing w:line="400" w:lineRule="exac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提供本单位缴纳的近六个月内任意一个月社保缴纳证明及明细；</w:t>
            </w:r>
          </w:p>
        </w:tc>
        <w:tc>
          <w:tcPr>
            <w:tcW w:w="1125" w:type="dxa"/>
            <w:vAlign w:val="center"/>
          </w:tcPr>
          <w:p w14:paraId="14D9E5F0">
            <w:pPr>
              <w:spacing w:line="400" w:lineRule="exact"/>
              <w:rPr>
                <w:rFonts w:hint="eastAsia" w:ascii="宋体" w:hAnsi="宋体" w:eastAsia="宋体" w:cs="宋体"/>
                <w:color w:val="auto"/>
                <w:szCs w:val="21"/>
                <w:highlight w:val="none"/>
              </w:rPr>
            </w:pPr>
          </w:p>
        </w:tc>
        <w:tc>
          <w:tcPr>
            <w:tcW w:w="1140" w:type="dxa"/>
            <w:vAlign w:val="center"/>
          </w:tcPr>
          <w:p w14:paraId="72719F03">
            <w:pPr>
              <w:spacing w:line="400" w:lineRule="exact"/>
              <w:rPr>
                <w:rFonts w:hint="eastAsia" w:ascii="宋体" w:hAnsi="宋体" w:eastAsia="宋体" w:cs="宋体"/>
                <w:color w:val="auto"/>
                <w:szCs w:val="21"/>
                <w:highlight w:val="none"/>
              </w:rPr>
            </w:pPr>
          </w:p>
        </w:tc>
        <w:tc>
          <w:tcPr>
            <w:tcW w:w="1090" w:type="dxa"/>
            <w:vAlign w:val="center"/>
          </w:tcPr>
          <w:p w14:paraId="7933B1D6">
            <w:pPr>
              <w:spacing w:line="400" w:lineRule="exact"/>
              <w:rPr>
                <w:rFonts w:hint="eastAsia" w:ascii="宋体" w:hAnsi="宋体" w:eastAsia="宋体" w:cs="宋体"/>
                <w:color w:val="auto"/>
                <w:szCs w:val="21"/>
                <w:highlight w:val="none"/>
              </w:rPr>
            </w:pPr>
          </w:p>
        </w:tc>
      </w:tr>
      <w:tr w14:paraId="30167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69" w:type="dxa"/>
            <w:vAlign w:val="center"/>
          </w:tcPr>
          <w:p w14:paraId="4E51FDAC">
            <w:pPr>
              <w:spacing w:line="38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p>
        </w:tc>
        <w:tc>
          <w:tcPr>
            <w:tcW w:w="6136" w:type="dxa"/>
            <w:vAlign w:val="center"/>
          </w:tcPr>
          <w:p w14:paraId="2A980008">
            <w:pPr>
              <w:spacing w:line="400" w:lineRule="exac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提供税务部门出具的近六个月任意一个月的完税证明</w:t>
            </w:r>
          </w:p>
        </w:tc>
        <w:tc>
          <w:tcPr>
            <w:tcW w:w="1125" w:type="dxa"/>
            <w:vAlign w:val="center"/>
          </w:tcPr>
          <w:p w14:paraId="288B17EC">
            <w:pPr>
              <w:spacing w:line="400" w:lineRule="exact"/>
              <w:rPr>
                <w:rFonts w:hint="eastAsia" w:ascii="宋体" w:hAnsi="宋体" w:eastAsia="宋体" w:cs="宋体"/>
                <w:color w:val="auto"/>
                <w:szCs w:val="21"/>
                <w:highlight w:val="none"/>
              </w:rPr>
            </w:pPr>
          </w:p>
        </w:tc>
        <w:tc>
          <w:tcPr>
            <w:tcW w:w="1140" w:type="dxa"/>
            <w:vAlign w:val="center"/>
          </w:tcPr>
          <w:p w14:paraId="00124ACC">
            <w:pPr>
              <w:spacing w:line="400" w:lineRule="exact"/>
              <w:rPr>
                <w:rFonts w:hint="eastAsia" w:ascii="宋体" w:hAnsi="宋体" w:eastAsia="宋体" w:cs="宋体"/>
                <w:color w:val="auto"/>
                <w:szCs w:val="21"/>
                <w:highlight w:val="none"/>
              </w:rPr>
            </w:pPr>
          </w:p>
        </w:tc>
        <w:tc>
          <w:tcPr>
            <w:tcW w:w="1090" w:type="dxa"/>
            <w:vAlign w:val="center"/>
          </w:tcPr>
          <w:p w14:paraId="2B7B7E2B">
            <w:pPr>
              <w:spacing w:line="400" w:lineRule="exact"/>
              <w:rPr>
                <w:rFonts w:hint="eastAsia" w:ascii="宋体" w:hAnsi="宋体" w:eastAsia="宋体" w:cs="宋体"/>
                <w:color w:val="auto"/>
                <w:szCs w:val="21"/>
                <w:highlight w:val="none"/>
              </w:rPr>
            </w:pPr>
          </w:p>
        </w:tc>
      </w:tr>
      <w:tr w14:paraId="60C3D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669" w:type="dxa"/>
            <w:vAlign w:val="center"/>
          </w:tcPr>
          <w:p w14:paraId="61796530">
            <w:pPr>
              <w:spacing w:line="38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6136" w:type="dxa"/>
            <w:vAlign w:val="center"/>
          </w:tcPr>
          <w:p w14:paraId="0A0AEC39">
            <w:pPr>
              <w:spacing w:line="400" w:lineRule="exac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供应商须具备[公路工程施工总承包叁级]（含）以上资质，且具有效的安全生产许可证；</w:t>
            </w:r>
          </w:p>
        </w:tc>
        <w:tc>
          <w:tcPr>
            <w:tcW w:w="1125" w:type="dxa"/>
            <w:vAlign w:val="center"/>
          </w:tcPr>
          <w:p w14:paraId="28DBE7D6">
            <w:pPr>
              <w:spacing w:line="400" w:lineRule="exact"/>
              <w:rPr>
                <w:rFonts w:hint="eastAsia" w:ascii="宋体" w:hAnsi="宋体" w:eastAsia="宋体" w:cs="宋体"/>
                <w:color w:val="auto"/>
                <w:szCs w:val="21"/>
                <w:highlight w:val="none"/>
              </w:rPr>
            </w:pPr>
          </w:p>
        </w:tc>
        <w:tc>
          <w:tcPr>
            <w:tcW w:w="1140" w:type="dxa"/>
            <w:vAlign w:val="center"/>
          </w:tcPr>
          <w:p w14:paraId="7D769882">
            <w:pPr>
              <w:spacing w:line="400" w:lineRule="exact"/>
              <w:rPr>
                <w:rFonts w:hint="eastAsia" w:ascii="宋体" w:hAnsi="宋体" w:eastAsia="宋体" w:cs="宋体"/>
                <w:color w:val="auto"/>
                <w:szCs w:val="21"/>
                <w:highlight w:val="none"/>
              </w:rPr>
            </w:pPr>
          </w:p>
        </w:tc>
        <w:tc>
          <w:tcPr>
            <w:tcW w:w="1090" w:type="dxa"/>
            <w:vAlign w:val="center"/>
          </w:tcPr>
          <w:p w14:paraId="6B291B09">
            <w:pPr>
              <w:spacing w:line="400" w:lineRule="exact"/>
              <w:rPr>
                <w:rFonts w:hint="eastAsia" w:ascii="宋体" w:hAnsi="宋体" w:eastAsia="宋体" w:cs="宋体"/>
                <w:color w:val="auto"/>
                <w:szCs w:val="21"/>
                <w:highlight w:val="none"/>
              </w:rPr>
            </w:pPr>
          </w:p>
        </w:tc>
      </w:tr>
      <w:tr w14:paraId="169DE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69" w:type="dxa"/>
            <w:vAlign w:val="center"/>
          </w:tcPr>
          <w:p w14:paraId="5317C249">
            <w:pPr>
              <w:spacing w:line="38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6136" w:type="dxa"/>
            <w:vAlign w:val="center"/>
          </w:tcPr>
          <w:p w14:paraId="6B4F0043">
            <w:pPr>
              <w:tabs>
                <w:tab w:val="left" w:pos="1788"/>
              </w:tabs>
              <w:spacing w:line="400" w:lineRule="exac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项目负责人须</w:t>
            </w:r>
            <w:r>
              <w:rPr>
                <w:rFonts w:hint="eastAsia" w:ascii="宋体" w:hAnsi="宋体" w:cs="宋体"/>
                <w:b w:val="0"/>
                <w:bCs w:val="0"/>
                <w:color w:val="auto"/>
                <w:kern w:val="2"/>
                <w:sz w:val="21"/>
                <w:szCs w:val="21"/>
                <w:highlight w:val="none"/>
                <w:lang w:val="en-US" w:eastAsia="zh-CN" w:bidi="ar-SA"/>
              </w:rPr>
              <w:t>具备</w:t>
            </w:r>
            <w:r>
              <w:rPr>
                <w:rFonts w:hint="eastAsia" w:ascii="宋体" w:hAnsi="宋体" w:eastAsia="宋体" w:cs="宋体"/>
                <w:b w:val="0"/>
                <w:bCs w:val="0"/>
                <w:color w:val="auto"/>
                <w:kern w:val="2"/>
                <w:sz w:val="21"/>
                <w:szCs w:val="21"/>
                <w:highlight w:val="none"/>
                <w:lang w:val="en-US" w:eastAsia="zh-CN" w:bidi="ar-SA"/>
              </w:rPr>
              <w:t>公路工程专业二级（含）以上注册建造师执业资格,具备有效的安全生产考核合格证书，近 3 个月有效的社保证明，且未担任其他在施建设项目的项目负责人</w:t>
            </w:r>
            <w:r>
              <w:rPr>
                <w:rFonts w:hint="eastAsia" w:ascii="宋体" w:hAnsi="宋体" w:cs="宋体"/>
                <w:b w:val="0"/>
                <w:bCs w:val="0"/>
                <w:color w:val="auto"/>
                <w:kern w:val="2"/>
                <w:sz w:val="21"/>
                <w:szCs w:val="21"/>
                <w:highlight w:val="none"/>
                <w:lang w:val="en-US" w:eastAsia="zh-CN" w:bidi="ar-SA"/>
              </w:rPr>
              <w:t>；</w:t>
            </w:r>
          </w:p>
        </w:tc>
        <w:tc>
          <w:tcPr>
            <w:tcW w:w="1125" w:type="dxa"/>
            <w:vAlign w:val="center"/>
          </w:tcPr>
          <w:p w14:paraId="77854DC7">
            <w:pPr>
              <w:spacing w:line="400" w:lineRule="exact"/>
              <w:rPr>
                <w:rFonts w:hint="eastAsia" w:ascii="宋体" w:hAnsi="宋体" w:eastAsia="宋体" w:cs="宋体"/>
                <w:color w:val="auto"/>
                <w:szCs w:val="21"/>
                <w:highlight w:val="none"/>
              </w:rPr>
            </w:pPr>
          </w:p>
        </w:tc>
        <w:tc>
          <w:tcPr>
            <w:tcW w:w="1140" w:type="dxa"/>
            <w:vAlign w:val="center"/>
          </w:tcPr>
          <w:p w14:paraId="672DB3F9">
            <w:pPr>
              <w:spacing w:line="400" w:lineRule="exact"/>
              <w:rPr>
                <w:rFonts w:hint="eastAsia" w:ascii="宋体" w:hAnsi="宋体" w:eastAsia="宋体" w:cs="宋体"/>
                <w:color w:val="auto"/>
                <w:szCs w:val="21"/>
                <w:highlight w:val="none"/>
              </w:rPr>
            </w:pPr>
          </w:p>
        </w:tc>
        <w:tc>
          <w:tcPr>
            <w:tcW w:w="1090" w:type="dxa"/>
            <w:vAlign w:val="center"/>
          </w:tcPr>
          <w:p w14:paraId="1B51423D">
            <w:pPr>
              <w:spacing w:line="400" w:lineRule="exact"/>
              <w:rPr>
                <w:rFonts w:hint="eastAsia" w:ascii="宋体" w:hAnsi="宋体" w:eastAsia="宋体" w:cs="宋体"/>
                <w:color w:val="auto"/>
                <w:szCs w:val="21"/>
                <w:highlight w:val="none"/>
              </w:rPr>
            </w:pPr>
          </w:p>
        </w:tc>
      </w:tr>
      <w:tr w14:paraId="34E9B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69" w:type="dxa"/>
            <w:vAlign w:val="center"/>
          </w:tcPr>
          <w:p w14:paraId="5B5CF346">
            <w:pPr>
              <w:spacing w:line="38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6136" w:type="dxa"/>
            <w:vAlign w:val="center"/>
          </w:tcPr>
          <w:p w14:paraId="5B9BDE45">
            <w:pPr>
              <w:spacing w:line="400" w:lineRule="exac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供应商在“信用中国 ”网站（www.creditchina.gov.cn）中查询“严重失信、经营异常”；“中国政府采购网”网站（http://www.ccgp.gov.cn/search/cr/）中查询“严重违法失信行为”；“国家企业信用信息公示系统”（http://www.gsxt.gov.cn）中查询“严重违法失信名单、经营异常名录”，尚在处罚期内的将拒绝其参加本次招标活动（请各供应商提供以上网站完整查询结果，并加盖本单位公章）</w:t>
            </w:r>
            <w:r>
              <w:rPr>
                <w:rFonts w:hint="eastAsia" w:ascii="宋体" w:hAnsi="宋体" w:cs="宋体"/>
                <w:b w:val="0"/>
                <w:bCs w:val="0"/>
                <w:color w:val="auto"/>
                <w:kern w:val="2"/>
                <w:sz w:val="21"/>
                <w:szCs w:val="21"/>
                <w:highlight w:val="none"/>
                <w:lang w:val="en-US" w:eastAsia="zh-CN" w:bidi="ar-SA"/>
              </w:rPr>
              <w:t>；</w:t>
            </w:r>
          </w:p>
        </w:tc>
        <w:tc>
          <w:tcPr>
            <w:tcW w:w="1125" w:type="dxa"/>
            <w:vAlign w:val="center"/>
          </w:tcPr>
          <w:p w14:paraId="55710DDD">
            <w:pPr>
              <w:spacing w:line="400" w:lineRule="exact"/>
              <w:rPr>
                <w:rFonts w:hint="eastAsia" w:ascii="宋体" w:hAnsi="宋体" w:eastAsia="宋体" w:cs="宋体"/>
                <w:color w:val="auto"/>
                <w:szCs w:val="21"/>
                <w:highlight w:val="none"/>
              </w:rPr>
            </w:pPr>
          </w:p>
        </w:tc>
        <w:tc>
          <w:tcPr>
            <w:tcW w:w="1140" w:type="dxa"/>
            <w:vAlign w:val="center"/>
          </w:tcPr>
          <w:p w14:paraId="3E44B9E1">
            <w:pPr>
              <w:spacing w:line="400" w:lineRule="exact"/>
              <w:rPr>
                <w:rFonts w:hint="eastAsia" w:ascii="宋体" w:hAnsi="宋体" w:eastAsia="宋体" w:cs="宋体"/>
                <w:color w:val="auto"/>
                <w:szCs w:val="21"/>
                <w:highlight w:val="none"/>
              </w:rPr>
            </w:pPr>
          </w:p>
        </w:tc>
        <w:tc>
          <w:tcPr>
            <w:tcW w:w="1090" w:type="dxa"/>
            <w:vAlign w:val="center"/>
          </w:tcPr>
          <w:p w14:paraId="42213E7C">
            <w:pPr>
              <w:spacing w:line="400" w:lineRule="exact"/>
              <w:rPr>
                <w:rFonts w:hint="eastAsia" w:ascii="宋体" w:hAnsi="宋体" w:eastAsia="宋体" w:cs="宋体"/>
                <w:color w:val="auto"/>
                <w:szCs w:val="21"/>
                <w:highlight w:val="none"/>
              </w:rPr>
            </w:pPr>
          </w:p>
        </w:tc>
      </w:tr>
      <w:tr w14:paraId="29A16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69" w:type="dxa"/>
            <w:vAlign w:val="center"/>
          </w:tcPr>
          <w:p w14:paraId="29084F51">
            <w:pPr>
              <w:spacing w:line="38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6136" w:type="dxa"/>
            <w:vAlign w:val="center"/>
          </w:tcPr>
          <w:p w14:paraId="33D5D825">
            <w:pPr>
              <w:spacing w:line="400" w:lineRule="exac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参与政府采购活动前3年内未被列入失信、重大税收违法案件、财政部门禁止参加政府采购活动的承诺书；</w:t>
            </w:r>
          </w:p>
        </w:tc>
        <w:tc>
          <w:tcPr>
            <w:tcW w:w="1125" w:type="dxa"/>
            <w:vAlign w:val="center"/>
          </w:tcPr>
          <w:p w14:paraId="6A00D847">
            <w:pPr>
              <w:spacing w:line="400" w:lineRule="exact"/>
              <w:rPr>
                <w:rFonts w:hint="eastAsia" w:ascii="宋体" w:hAnsi="宋体" w:eastAsia="宋体" w:cs="宋体"/>
                <w:color w:val="auto"/>
                <w:szCs w:val="21"/>
                <w:highlight w:val="none"/>
              </w:rPr>
            </w:pPr>
          </w:p>
        </w:tc>
        <w:tc>
          <w:tcPr>
            <w:tcW w:w="1140" w:type="dxa"/>
            <w:vAlign w:val="center"/>
          </w:tcPr>
          <w:p w14:paraId="532B6D3F">
            <w:pPr>
              <w:spacing w:line="400" w:lineRule="exact"/>
              <w:rPr>
                <w:rFonts w:hint="eastAsia" w:ascii="宋体" w:hAnsi="宋体" w:eastAsia="宋体" w:cs="宋体"/>
                <w:color w:val="auto"/>
                <w:szCs w:val="21"/>
                <w:highlight w:val="none"/>
              </w:rPr>
            </w:pPr>
          </w:p>
        </w:tc>
        <w:tc>
          <w:tcPr>
            <w:tcW w:w="1090" w:type="dxa"/>
            <w:vAlign w:val="center"/>
          </w:tcPr>
          <w:p w14:paraId="72BA1351">
            <w:pPr>
              <w:spacing w:line="400" w:lineRule="exact"/>
              <w:rPr>
                <w:rFonts w:hint="eastAsia" w:ascii="宋体" w:hAnsi="宋体" w:eastAsia="宋体" w:cs="宋体"/>
                <w:color w:val="auto"/>
                <w:szCs w:val="21"/>
                <w:highlight w:val="none"/>
              </w:rPr>
            </w:pPr>
          </w:p>
        </w:tc>
      </w:tr>
      <w:tr w14:paraId="6E72B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69" w:type="dxa"/>
            <w:vAlign w:val="center"/>
          </w:tcPr>
          <w:p w14:paraId="5FB6E93C">
            <w:pPr>
              <w:spacing w:line="38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6136" w:type="dxa"/>
            <w:vAlign w:val="center"/>
          </w:tcPr>
          <w:p w14:paraId="2468CA8F">
            <w:pPr>
              <w:spacing w:line="400" w:lineRule="exac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提供针对本次项目《反商业贿赂承诺书》</w:t>
            </w:r>
            <w:r>
              <w:rPr>
                <w:rFonts w:hint="eastAsia" w:ascii="宋体" w:hAnsi="宋体" w:cs="宋体"/>
                <w:b w:val="0"/>
                <w:bCs w:val="0"/>
                <w:color w:val="auto"/>
                <w:kern w:val="2"/>
                <w:sz w:val="21"/>
                <w:szCs w:val="21"/>
                <w:highlight w:val="none"/>
                <w:lang w:val="en-US" w:eastAsia="zh-CN" w:bidi="ar-SA"/>
              </w:rPr>
              <w:t>；</w:t>
            </w:r>
          </w:p>
        </w:tc>
        <w:tc>
          <w:tcPr>
            <w:tcW w:w="1125" w:type="dxa"/>
            <w:vAlign w:val="center"/>
          </w:tcPr>
          <w:p w14:paraId="5B3787F6">
            <w:pPr>
              <w:spacing w:line="400" w:lineRule="exact"/>
              <w:rPr>
                <w:rFonts w:hint="eastAsia" w:ascii="宋体" w:hAnsi="宋体" w:eastAsia="宋体" w:cs="宋体"/>
                <w:color w:val="auto"/>
                <w:szCs w:val="21"/>
                <w:highlight w:val="none"/>
              </w:rPr>
            </w:pPr>
          </w:p>
        </w:tc>
        <w:tc>
          <w:tcPr>
            <w:tcW w:w="1140" w:type="dxa"/>
            <w:vAlign w:val="center"/>
          </w:tcPr>
          <w:p w14:paraId="3366C140">
            <w:pPr>
              <w:spacing w:line="400" w:lineRule="exact"/>
              <w:rPr>
                <w:rFonts w:hint="eastAsia" w:ascii="宋体" w:hAnsi="宋体" w:eastAsia="宋体" w:cs="宋体"/>
                <w:color w:val="auto"/>
                <w:szCs w:val="21"/>
                <w:highlight w:val="none"/>
              </w:rPr>
            </w:pPr>
          </w:p>
        </w:tc>
        <w:tc>
          <w:tcPr>
            <w:tcW w:w="1090" w:type="dxa"/>
            <w:vAlign w:val="center"/>
          </w:tcPr>
          <w:p w14:paraId="28F95BBD">
            <w:pPr>
              <w:spacing w:line="400" w:lineRule="exact"/>
              <w:rPr>
                <w:rFonts w:hint="eastAsia" w:ascii="宋体" w:hAnsi="宋体" w:eastAsia="宋体" w:cs="宋体"/>
                <w:color w:val="auto"/>
                <w:szCs w:val="21"/>
                <w:highlight w:val="none"/>
              </w:rPr>
            </w:pPr>
          </w:p>
        </w:tc>
      </w:tr>
      <w:tr w14:paraId="7131E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69" w:type="dxa"/>
            <w:vAlign w:val="center"/>
          </w:tcPr>
          <w:p w14:paraId="3B90A93C">
            <w:pPr>
              <w:spacing w:line="38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w:t>
            </w:r>
          </w:p>
        </w:tc>
        <w:tc>
          <w:tcPr>
            <w:tcW w:w="6136" w:type="dxa"/>
            <w:vAlign w:val="center"/>
          </w:tcPr>
          <w:p w14:paraId="01204043">
            <w:pPr>
              <w:spacing w:line="400" w:lineRule="exac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缴纳磋商保证金有效凭证。</w:t>
            </w:r>
          </w:p>
        </w:tc>
        <w:tc>
          <w:tcPr>
            <w:tcW w:w="1125" w:type="dxa"/>
            <w:vAlign w:val="center"/>
          </w:tcPr>
          <w:p w14:paraId="5289DB0F">
            <w:pPr>
              <w:spacing w:line="400" w:lineRule="exact"/>
              <w:rPr>
                <w:rFonts w:hint="eastAsia" w:ascii="宋体" w:hAnsi="宋体" w:eastAsia="宋体" w:cs="宋体"/>
                <w:color w:val="auto"/>
                <w:szCs w:val="21"/>
                <w:highlight w:val="none"/>
              </w:rPr>
            </w:pPr>
          </w:p>
        </w:tc>
        <w:tc>
          <w:tcPr>
            <w:tcW w:w="1140" w:type="dxa"/>
            <w:vAlign w:val="center"/>
          </w:tcPr>
          <w:p w14:paraId="7F748F5E">
            <w:pPr>
              <w:spacing w:line="400" w:lineRule="exact"/>
              <w:rPr>
                <w:rFonts w:hint="eastAsia" w:ascii="宋体" w:hAnsi="宋体" w:eastAsia="宋体" w:cs="宋体"/>
                <w:color w:val="auto"/>
                <w:szCs w:val="21"/>
                <w:highlight w:val="none"/>
              </w:rPr>
            </w:pPr>
          </w:p>
        </w:tc>
        <w:tc>
          <w:tcPr>
            <w:tcW w:w="1090" w:type="dxa"/>
            <w:vAlign w:val="center"/>
          </w:tcPr>
          <w:p w14:paraId="0CBA7CAF">
            <w:pPr>
              <w:spacing w:line="400" w:lineRule="exact"/>
              <w:rPr>
                <w:rFonts w:hint="eastAsia" w:ascii="宋体" w:hAnsi="宋体" w:eastAsia="宋体" w:cs="宋体"/>
                <w:color w:val="auto"/>
                <w:szCs w:val="21"/>
                <w:highlight w:val="none"/>
              </w:rPr>
            </w:pPr>
          </w:p>
        </w:tc>
      </w:tr>
      <w:tr w14:paraId="32520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69" w:type="dxa"/>
            <w:vAlign w:val="center"/>
          </w:tcPr>
          <w:p w14:paraId="552C1229">
            <w:pPr>
              <w:spacing w:line="38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12</w:t>
            </w:r>
          </w:p>
        </w:tc>
        <w:tc>
          <w:tcPr>
            <w:tcW w:w="6136" w:type="dxa"/>
            <w:vAlign w:val="center"/>
          </w:tcPr>
          <w:p w14:paraId="439A0344">
            <w:pPr>
              <w:spacing w:line="400" w:lineRule="exact"/>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中小企业声明函</w:t>
            </w:r>
          </w:p>
        </w:tc>
        <w:tc>
          <w:tcPr>
            <w:tcW w:w="1125" w:type="dxa"/>
            <w:vAlign w:val="center"/>
          </w:tcPr>
          <w:p w14:paraId="3ED1DE6A">
            <w:pPr>
              <w:spacing w:line="400" w:lineRule="exact"/>
              <w:rPr>
                <w:rFonts w:hint="eastAsia" w:ascii="宋体" w:hAnsi="宋体" w:eastAsia="宋体" w:cs="宋体"/>
                <w:color w:val="auto"/>
                <w:szCs w:val="21"/>
                <w:highlight w:val="none"/>
              </w:rPr>
            </w:pPr>
          </w:p>
        </w:tc>
        <w:tc>
          <w:tcPr>
            <w:tcW w:w="1140" w:type="dxa"/>
            <w:vAlign w:val="center"/>
          </w:tcPr>
          <w:p w14:paraId="333E2997">
            <w:pPr>
              <w:spacing w:line="400" w:lineRule="exact"/>
              <w:rPr>
                <w:rFonts w:hint="eastAsia" w:ascii="宋体" w:hAnsi="宋体" w:eastAsia="宋体" w:cs="宋体"/>
                <w:color w:val="auto"/>
                <w:szCs w:val="21"/>
                <w:highlight w:val="none"/>
              </w:rPr>
            </w:pPr>
          </w:p>
        </w:tc>
        <w:tc>
          <w:tcPr>
            <w:tcW w:w="1090" w:type="dxa"/>
            <w:vAlign w:val="center"/>
          </w:tcPr>
          <w:p w14:paraId="76008B3E">
            <w:pPr>
              <w:spacing w:line="400" w:lineRule="exact"/>
              <w:rPr>
                <w:rFonts w:hint="eastAsia" w:ascii="宋体" w:hAnsi="宋体" w:eastAsia="宋体" w:cs="宋体"/>
                <w:color w:val="auto"/>
                <w:szCs w:val="21"/>
                <w:highlight w:val="none"/>
              </w:rPr>
            </w:pPr>
          </w:p>
        </w:tc>
      </w:tr>
      <w:tr w14:paraId="2304D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9" w:type="dxa"/>
            <w:vAlign w:val="center"/>
          </w:tcPr>
          <w:p w14:paraId="6E3E2FC5">
            <w:pPr>
              <w:spacing w:line="400" w:lineRule="exact"/>
              <w:rPr>
                <w:rFonts w:hint="eastAsia" w:ascii="宋体" w:hAnsi="宋体" w:eastAsia="宋体" w:cs="宋体"/>
                <w:color w:val="auto"/>
                <w:szCs w:val="21"/>
                <w:highlight w:val="none"/>
              </w:rPr>
            </w:pPr>
          </w:p>
        </w:tc>
        <w:tc>
          <w:tcPr>
            <w:tcW w:w="6136" w:type="dxa"/>
            <w:vAlign w:val="center"/>
          </w:tcPr>
          <w:p w14:paraId="02C3C01F">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结论</w:t>
            </w:r>
          </w:p>
        </w:tc>
        <w:tc>
          <w:tcPr>
            <w:tcW w:w="1125" w:type="dxa"/>
            <w:vAlign w:val="center"/>
          </w:tcPr>
          <w:p w14:paraId="03E7FE72">
            <w:pPr>
              <w:spacing w:line="400" w:lineRule="exact"/>
              <w:rPr>
                <w:rFonts w:hint="eastAsia" w:ascii="宋体" w:hAnsi="宋体" w:eastAsia="宋体" w:cs="宋体"/>
                <w:color w:val="auto"/>
                <w:szCs w:val="21"/>
                <w:highlight w:val="none"/>
              </w:rPr>
            </w:pPr>
          </w:p>
        </w:tc>
        <w:tc>
          <w:tcPr>
            <w:tcW w:w="1140" w:type="dxa"/>
            <w:vAlign w:val="center"/>
          </w:tcPr>
          <w:p w14:paraId="519294C4">
            <w:pPr>
              <w:spacing w:line="400" w:lineRule="exact"/>
              <w:rPr>
                <w:rFonts w:hint="eastAsia" w:ascii="宋体" w:hAnsi="宋体" w:eastAsia="宋体" w:cs="宋体"/>
                <w:color w:val="auto"/>
                <w:szCs w:val="21"/>
                <w:highlight w:val="none"/>
              </w:rPr>
            </w:pPr>
          </w:p>
        </w:tc>
        <w:tc>
          <w:tcPr>
            <w:tcW w:w="1090" w:type="dxa"/>
            <w:vAlign w:val="center"/>
          </w:tcPr>
          <w:p w14:paraId="78584731">
            <w:pPr>
              <w:spacing w:line="400" w:lineRule="exact"/>
              <w:rPr>
                <w:rFonts w:hint="eastAsia" w:ascii="宋体" w:hAnsi="宋体" w:eastAsia="宋体" w:cs="宋体"/>
                <w:color w:val="auto"/>
                <w:szCs w:val="21"/>
                <w:highlight w:val="none"/>
              </w:rPr>
            </w:pPr>
          </w:p>
        </w:tc>
      </w:tr>
    </w:tbl>
    <w:p w14:paraId="3D92969D">
      <w:pPr>
        <w:spacing w:line="30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说明：（1）上述各项中用“√”表示通过，“×”表示不通过；</w:t>
      </w:r>
    </w:p>
    <w:p w14:paraId="2E8640AE">
      <w:pPr>
        <w:spacing w:line="30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（2）上述各项中如有一项为“×”，则结论为“×”，表示该</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中存在重大偏差，不能通过初步评审；评委对某一分项评审认为不合格时，必须要写明原因。</w:t>
      </w:r>
    </w:p>
    <w:p w14:paraId="287A610E">
      <w:pPr>
        <w:spacing w:line="300" w:lineRule="auto"/>
        <w:ind w:left="6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最终合格与否，以所有评委的评审意见中少数服从多数为原则定论。</w:t>
      </w:r>
    </w:p>
    <w:p w14:paraId="668A1B54">
      <w:pPr>
        <w:spacing w:line="240" w:lineRule="atLeas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未通过资格审查的</w:t>
      </w:r>
      <w:r>
        <w:rPr>
          <w:rFonts w:hint="eastAsia" w:ascii="宋体" w:hAnsi="宋体" w:eastAsia="宋体" w:cs="宋体"/>
          <w:b/>
          <w:bCs/>
          <w:color w:val="auto"/>
          <w:szCs w:val="21"/>
          <w:highlight w:val="none"/>
          <w:lang w:eastAsia="zh-CN"/>
        </w:rPr>
        <w:t>供应商</w:t>
      </w:r>
      <w:r>
        <w:rPr>
          <w:rFonts w:hint="eastAsia" w:ascii="宋体" w:hAnsi="宋体" w:eastAsia="宋体" w:cs="宋体"/>
          <w:b/>
          <w:bCs/>
          <w:color w:val="auto"/>
          <w:szCs w:val="21"/>
          <w:highlight w:val="none"/>
        </w:rPr>
        <w:t>不进入</w:t>
      </w:r>
      <w:r>
        <w:rPr>
          <w:rFonts w:hint="eastAsia" w:ascii="宋体" w:hAnsi="宋体" w:eastAsia="宋体" w:cs="宋体"/>
          <w:b/>
          <w:bCs/>
          <w:color w:val="auto"/>
          <w:szCs w:val="21"/>
          <w:highlight w:val="none"/>
          <w:lang w:eastAsia="zh-CN"/>
        </w:rPr>
        <w:t>评审</w:t>
      </w:r>
      <w:r>
        <w:rPr>
          <w:rFonts w:hint="eastAsia" w:ascii="宋体" w:hAnsi="宋体" w:eastAsia="宋体" w:cs="宋体"/>
          <w:b/>
          <w:bCs/>
          <w:color w:val="auto"/>
          <w:szCs w:val="21"/>
          <w:highlight w:val="none"/>
        </w:rPr>
        <w:t>；通过资格审查的</w:t>
      </w:r>
      <w:r>
        <w:rPr>
          <w:rFonts w:hint="eastAsia" w:ascii="宋体" w:hAnsi="宋体" w:eastAsia="宋体" w:cs="宋体"/>
          <w:b/>
          <w:bCs/>
          <w:color w:val="auto"/>
          <w:szCs w:val="21"/>
          <w:highlight w:val="none"/>
          <w:lang w:eastAsia="zh-CN"/>
        </w:rPr>
        <w:t>供应商</w:t>
      </w:r>
      <w:r>
        <w:rPr>
          <w:rFonts w:hint="eastAsia" w:ascii="宋体" w:hAnsi="宋体" w:eastAsia="宋体" w:cs="宋体"/>
          <w:b/>
          <w:bCs/>
          <w:color w:val="auto"/>
          <w:szCs w:val="21"/>
          <w:highlight w:val="none"/>
        </w:rPr>
        <w:t>少于不足三家的，不得</w:t>
      </w:r>
      <w:r>
        <w:rPr>
          <w:rFonts w:hint="eastAsia" w:ascii="宋体" w:hAnsi="宋体" w:eastAsia="宋体" w:cs="宋体"/>
          <w:b/>
          <w:bCs/>
          <w:color w:val="auto"/>
          <w:szCs w:val="21"/>
          <w:highlight w:val="none"/>
          <w:lang w:eastAsia="zh-CN"/>
        </w:rPr>
        <w:t>评审</w:t>
      </w:r>
      <w:r>
        <w:rPr>
          <w:rFonts w:hint="eastAsia" w:ascii="宋体" w:hAnsi="宋体" w:eastAsia="宋体" w:cs="宋体"/>
          <w:b/>
          <w:bCs/>
          <w:color w:val="auto"/>
          <w:szCs w:val="21"/>
          <w:highlight w:val="none"/>
        </w:rPr>
        <w:t>。</w:t>
      </w:r>
    </w:p>
    <w:p w14:paraId="0040F834">
      <w:pPr>
        <w:pStyle w:val="6"/>
        <w:spacing w:line="300" w:lineRule="auto"/>
        <w:ind w:firstLine="0"/>
        <w:jc w:val="center"/>
        <w:outlineLvl w:val="2"/>
        <w:rPr>
          <w:rFonts w:hint="eastAsia" w:ascii="宋体" w:hAnsi="宋体" w:eastAsia="宋体" w:cs="宋体"/>
          <w:b/>
          <w:bCs/>
          <w:color w:val="auto"/>
          <w:sz w:val="21"/>
          <w:szCs w:val="21"/>
          <w:highlight w:val="none"/>
          <w:lang w:val="en-US" w:eastAsia="zh-CN"/>
        </w:rPr>
      </w:pPr>
      <w:bookmarkStart w:id="810" w:name="_Toc2556"/>
      <w:bookmarkStart w:id="811" w:name="_Toc29061"/>
      <w:bookmarkStart w:id="812" w:name="_Toc7343"/>
      <w:bookmarkStart w:id="813" w:name="_Toc11241"/>
      <w:bookmarkStart w:id="814" w:name="_Toc12096"/>
      <w:bookmarkStart w:id="815" w:name="_Toc19523"/>
      <w:bookmarkStart w:id="816" w:name="_Toc28345"/>
      <w:bookmarkStart w:id="817" w:name="_Toc22718"/>
      <w:bookmarkStart w:id="818" w:name="_Toc12276"/>
      <w:bookmarkStart w:id="819" w:name="_Toc3871"/>
      <w:bookmarkStart w:id="820" w:name="_Toc8771"/>
      <w:bookmarkStart w:id="821" w:name="_Toc8628"/>
      <w:bookmarkStart w:id="822" w:name="_Toc20613"/>
      <w:bookmarkStart w:id="823" w:name="_Toc23770"/>
      <w:bookmarkStart w:id="824" w:name="_Toc946"/>
      <w:bookmarkStart w:id="825" w:name="_Toc70"/>
      <w:r>
        <w:rPr>
          <w:rFonts w:hint="eastAsia" w:ascii="宋体" w:hAnsi="宋体" w:eastAsia="宋体" w:cs="宋体"/>
          <w:b/>
          <w:bCs/>
          <w:color w:val="auto"/>
          <w:sz w:val="21"/>
          <w:szCs w:val="21"/>
          <w:highlight w:val="none"/>
        </w:rPr>
        <w:t>初步评审—</w:t>
      </w:r>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Start w:id="826" w:name="_Toc17426"/>
      <w:r>
        <w:rPr>
          <w:rFonts w:hint="eastAsia" w:ascii="宋体" w:hAnsi="宋体" w:eastAsia="宋体" w:cs="宋体"/>
          <w:b/>
          <w:bCs/>
          <w:color w:val="auto"/>
          <w:sz w:val="21"/>
          <w:szCs w:val="21"/>
          <w:highlight w:val="none"/>
          <w:lang w:val="en-US" w:eastAsia="zh-CN"/>
        </w:rPr>
        <w:t>符合性审查表</w:t>
      </w:r>
      <w:bookmarkEnd w:id="826"/>
    </w:p>
    <w:tbl>
      <w:tblPr>
        <w:tblStyle w:val="24"/>
        <w:tblpPr w:leftFromText="180" w:rightFromText="180" w:vertAnchor="text" w:horzAnchor="page" w:tblpXSpec="center" w:tblpY="154"/>
        <w:tblOverlap w:val="never"/>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6915"/>
        <w:gridCol w:w="1276"/>
      </w:tblGrid>
      <w:tr w14:paraId="07554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763" w:type="dxa"/>
            <w:gridSpan w:val="2"/>
            <w:noWrap w:val="0"/>
            <w:vAlign w:val="center"/>
          </w:tcPr>
          <w:p w14:paraId="1D62F57C">
            <w:pPr>
              <w:pStyle w:val="6"/>
              <w:spacing w:line="300" w:lineRule="auto"/>
              <w:ind w:firstLine="0"/>
              <w:jc w:val="center"/>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c>
          <w:tcPr>
            <w:tcW w:w="1276" w:type="dxa"/>
            <w:noWrap w:val="0"/>
            <w:vAlign w:val="center"/>
          </w:tcPr>
          <w:p w14:paraId="2AB1A7A1">
            <w:pPr>
              <w:pStyle w:val="6"/>
              <w:spacing w:line="300" w:lineRule="auto"/>
              <w:ind w:firstLine="0"/>
              <w:jc w:val="center"/>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评审意见</w:t>
            </w:r>
          </w:p>
        </w:tc>
      </w:tr>
      <w:tr w14:paraId="13D3C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48" w:type="dxa"/>
            <w:noWrap w:val="0"/>
            <w:vAlign w:val="center"/>
          </w:tcPr>
          <w:p w14:paraId="172459AF">
            <w:pPr>
              <w:pStyle w:val="6"/>
              <w:spacing w:line="300" w:lineRule="auto"/>
              <w:ind w:firstLine="0"/>
              <w:jc w:val="center"/>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序号</w:t>
            </w:r>
          </w:p>
        </w:tc>
        <w:tc>
          <w:tcPr>
            <w:tcW w:w="6915" w:type="dxa"/>
            <w:noWrap w:val="0"/>
            <w:vAlign w:val="center"/>
          </w:tcPr>
          <w:p w14:paraId="11BA3E6C">
            <w:pPr>
              <w:pStyle w:val="6"/>
              <w:spacing w:line="300" w:lineRule="auto"/>
              <w:ind w:firstLine="0"/>
              <w:jc w:val="center"/>
              <w:outlineLvl w:val="2"/>
              <w:rPr>
                <w:rFonts w:hint="eastAsia" w:ascii="宋体" w:hAnsi="宋体" w:eastAsia="宋体" w:cs="宋体"/>
                <w:b w:val="0"/>
                <w:bCs w:val="0"/>
                <w:color w:val="auto"/>
                <w:sz w:val="21"/>
                <w:szCs w:val="21"/>
                <w:highlight w:val="none"/>
              </w:rPr>
            </w:pPr>
          </w:p>
        </w:tc>
        <w:tc>
          <w:tcPr>
            <w:tcW w:w="1276" w:type="dxa"/>
            <w:noWrap w:val="0"/>
            <w:vAlign w:val="center"/>
          </w:tcPr>
          <w:p w14:paraId="308F0F64">
            <w:pPr>
              <w:pStyle w:val="6"/>
              <w:spacing w:line="300" w:lineRule="auto"/>
              <w:ind w:firstLine="0"/>
              <w:jc w:val="center"/>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是否合格</w:t>
            </w:r>
          </w:p>
        </w:tc>
      </w:tr>
      <w:tr w14:paraId="0D19B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noWrap w:val="0"/>
            <w:vAlign w:val="center"/>
          </w:tcPr>
          <w:p w14:paraId="3F58829B">
            <w:pPr>
              <w:pStyle w:val="6"/>
              <w:spacing w:line="300" w:lineRule="auto"/>
              <w:ind w:firstLine="0"/>
              <w:jc w:val="center"/>
              <w:outlineLvl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6915" w:type="dxa"/>
            <w:noWrap w:val="0"/>
            <w:vAlign w:val="center"/>
          </w:tcPr>
          <w:p w14:paraId="514A76F4">
            <w:pPr>
              <w:pStyle w:val="6"/>
              <w:spacing w:line="300" w:lineRule="auto"/>
              <w:ind w:firstLine="0"/>
              <w:jc w:val="center"/>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投标报价未高于预算金额；</w:t>
            </w:r>
          </w:p>
        </w:tc>
        <w:tc>
          <w:tcPr>
            <w:tcW w:w="1276" w:type="dxa"/>
            <w:noWrap w:val="0"/>
            <w:vAlign w:val="center"/>
          </w:tcPr>
          <w:p w14:paraId="54FA08A7">
            <w:pPr>
              <w:pStyle w:val="6"/>
              <w:spacing w:line="300" w:lineRule="auto"/>
              <w:ind w:firstLine="0"/>
              <w:jc w:val="center"/>
              <w:outlineLvl w:val="2"/>
              <w:rPr>
                <w:rFonts w:hint="eastAsia" w:ascii="宋体" w:hAnsi="宋体" w:eastAsia="宋体" w:cs="宋体"/>
                <w:b w:val="0"/>
                <w:bCs w:val="0"/>
                <w:color w:val="auto"/>
                <w:sz w:val="21"/>
                <w:szCs w:val="21"/>
                <w:highlight w:val="none"/>
              </w:rPr>
            </w:pPr>
          </w:p>
        </w:tc>
      </w:tr>
      <w:tr w14:paraId="09255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noWrap w:val="0"/>
            <w:vAlign w:val="center"/>
          </w:tcPr>
          <w:p w14:paraId="61766C54">
            <w:pPr>
              <w:pStyle w:val="6"/>
              <w:spacing w:line="300" w:lineRule="auto"/>
              <w:ind w:firstLine="0"/>
              <w:jc w:val="center"/>
              <w:outlineLvl w:val="2"/>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2</w:t>
            </w:r>
          </w:p>
        </w:tc>
        <w:tc>
          <w:tcPr>
            <w:tcW w:w="6915" w:type="dxa"/>
            <w:noWrap w:val="0"/>
            <w:vAlign w:val="center"/>
          </w:tcPr>
          <w:p w14:paraId="210F4D2E">
            <w:pPr>
              <w:pStyle w:val="6"/>
              <w:spacing w:line="300" w:lineRule="auto"/>
              <w:ind w:firstLine="0"/>
              <w:jc w:val="center"/>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按磋商文件规定的形式和金额提交磋商保证金；</w:t>
            </w:r>
          </w:p>
        </w:tc>
        <w:tc>
          <w:tcPr>
            <w:tcW w:w="1276" w:type="dxa"/>
            <w:noWrap w:val="0"/>
            <w:vAlign w:val="center"/>
          </w:tcPr>
          <w:p w14:paraId="5D128286">
            <w:pPr>
              <w:pStyle w:val="6"/>
              <w:spacing w:line="300" w:lineRule="auto"/>
              <w:ind w:firstLine="0"/>
              <w:jc w:val="center"/>
              <w:outlineLvl w:val="2"/>
              <w:rPr>
                <w:rFonts w:hint="eastAsia" w:ascii="宋体" w:hAnsi="宋体" w:eastAsia="宋体" w:cs="宋体"/>
                <w:b w:val="0"/>
                <w:bCs w:val="0"/>
                <w:color w:val="auto"/>
                <w:sz w:val="21"/>
                <w:szCs w:val="21"/>
                <w:highlight w:val="none"/>
              </w:rPr>
            </w:pPr>
          </w:p>
        </w:tc>
      </w:tr>
      <w:tr w14:paraId="4F4A6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48" w:type="dxa"/>
            <w:noWrap w:val="0"/>
            <w:vAlign w:val="center"/>
          </w:tcPr>
          <w:p w14:paraId="75F14561">
            <w:pPr>
              <w:pStyle w:val="6"/>
              <w:spacing w:line="300" w:lineRule="auto"/>
              <w:ind w:firstLine="0"/>
              <w:jc w:val="center"/>
              <w:outlineLvl w:val="2"/>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3</w:t>
            </w:r>
          </w:p>
        </w:tc>
        <w:tc>
          <w:tcPr>
            <w:tcW w:w="6915" w:type="dxa"/>
            <w:noWrap w:val="0"/>
            <w:vAlign w:val="center"/>
          </w:tcPr>
          <w:p w14:paraId="16C35309">
            <w:pPr>
              <w:pStyle w:val="6"/>
              <w:spacing w:line="300" w:lineRule="auto"/>
              <w:ind w:firstLine="0"/>
              <w:jc w:val="center"/>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按照磋商文件规定要求签署、盖章；</w:t>
            </w:r>
          </w:p>
        </w:tc>
        <w:tc>
          <w:tcPr>
            <w:tcW w:w="1276" w:type="dxa"/>
            <w:noWrap w:val="0"/>
            <w:vAlign w:val="center"/>
          </w:tcPr>
          <w:p w14:paraId="69D6C45B">
            <w:pPr>
              <w:pStyle w:val="6"/>
              <w:spacing w:line="300" w:lineRule="auto"/>
              <w:ind w:firstLine="0"/>
              <w:jc w:val="center"/>
              <w:outlineLvl w:val="2"/>
              <w:rPr>
                <w:rFonts w:hint="eastAsia" w:ascii="宋体" w:hAnsi="宋体" w:eastAsia="宋体" w:cs="宋体"/>
                <w:b w:val="0"/>
                <w:bCs w:val="0"/>
                <w:color w:val="auto"/>
                <w:sz w:val="21"/>
                <w:szCs w:val="21"/>
                <w:highlight w:val="none"/>
              </w:rPr>
            </w:pPr>
          </w:p>
        </w:tc>
      </w:tr>
      <w:tr w14:paraId="05B01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8" w:type="dxa"/>
            <w:noWrap w:val="0"/>
            <w:vAlign w:val="center"/>
          </w:tcPr>
          <w:p w14:paraId="14EE55BF">
            <w:pPr>
              <w:pStyle w:val="6"/>
              <w:spacing w:line="300" w:lineRule="auto"/>
              <w:ind w:firstLine="0"/>
              <w:jc w:val="center"/>
              <w:outlineLvl w:val="2"/>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4</w:t>
            </w:r>
          </w:p>
        </w:tc>
        <w:tc>
          <w:tcPr>
            <w:tcW w:w="6915" w:type="dxa"/>
            <w:noWrap w:val="0"/>
            <w:vAlign w:val="center"/>
          </w:tcPr>
          <w:p w14:paraId="248D6250">
            <w:pPr>
              <w:pStyle w:val="6"/>
              <w:spacing w:line="300" w:lineRule="auto"/>
              <w:ind w:firstLine="0"/>
              <w:jc w:val="center"/>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满足磋商文件中技术条款的实质性要求；</w:t>
            </w:r>
          </w:p>
        </w:tc>
        <w:tc>
          <w:tcPr>
            <w:tcW w:w="1276" w:type="dxa"/>
            <w:noWrap w:val="0"/>
            <w:vAlign w:val="center"/>
          </w:tcPr>
          <w:p w14:paraId="1C4AD011">
            <w:pPr>
              <w:pStyle w:val="6"/>
              <w:spacing w:line="300" w:lineRule="auto"/>
              <w:ind w:firstLine="0"/>
              <w:jc w:val="center"/>
              <w:outlineLvl w:val="2"/>
              <w:rPr>
                <w:rFonts w:hint="eastAsia" w:ascii="宋体" w:hAnsi="宋体" w:eastAsia="宋体" w:cs="宋体"/>
                <w:b w:val="0"/>
                <w:bCs w:val="0"/>
                <w:color w:val="auto"/>
                <w:sz w:val="21"/>
                <w:szCs w:val="21"/>
                <w:highlight w:val="none"/>
              </w:rPr>
            </w:pPr>
          </w:p>
        </w:tc>
      </w:tr>
      <w:tr w14:paraId="4F5E3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noWrap w:val="0"/>
            <w:vAlign w:val="center"/>
          </w:tcPr>
          <w:p w14:paraId="64C262BD">
            <w:pPr>
              <w:pStyle w:val="6"/>
              <w:spacing w:line="300" w:lineRule="auto"/>
              <w:ind w:firstLine="0"/>
              <w:jc w:val="center"/>
              <w:outlineLvl w:val="2"/>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5</w:t>
            </w:r>
          </w:p>
        </w:tc>
        <w:tc>
          <w:tcPr>
            <w:tcW w:w="6915" w:type="dxa"/>
            <w:noWrap w:val="0"/>
            <w:vAlign w:val="center"/>
          </w:tcPr>
          <w:p w14:paraId="3465E920">
            <w:pPr>
              <w:pStyle w:val="6"/>
              <w:spacing w:line="300" w:lineRule="auto"/>
              <w:ind w:firstLine="0"/>
              <w:jc w:val="center"/>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未</w:t>
            </w:r>
            <w:r>
              <w:rPr>
                <w:rFonts w:hint="eastAsia" w:ascii="宋体" w:hAnsi="宋体" w:eastAsia="宋体" w:cs="宋体"/>
                <w:b w:val="0"/>
                <w:bCs w:val="0"/>
                <w:color w:val="auto"/>
                <w:sz w:val="21"/>
                <w:szCs w:val="21"/>
                <w:highlight w:val="none"/>
              </w:rPr>
              <w:t>与其他供应商串通参加磋商，或者与采购人串通参加磋商；</w:t>
            </w:r>
          </w:p>
        </w:tc>
        <w:tc>
          <w:tcPr>
            <w:tcW w:w="1276" w:type="dxa"/>
            <w:noWrap w:val="0"/>
            <w:vAlign w:val="center"/>
          </w:tcPr>
          <w:p w14:paraId="5838B98A">
            <w:pPr>
              <w:pStyle w:val="6"/>
              <w:spacing w:line="300" w:lineRule="auto"/>
              <w:ind w:firstLine="0"/>
              <w:jc w:val="center"/>
              <w:outlineLvl w:val="2"/>
              <w:rPr>
                <w:rFonts w:hint="eastAsia" w:ascii="宋体" w:hAnsi="宋体" w:eastAsia="宋体" w:cs="宋体"/>
                <w:b w:val="0"/>
                <w:bCs w:val="0"/>
                <w:color w:val="auto"/>
                <w:sz w:val="21"/>
                <w:szCs w:val="21"/>
                <w:highlight w:val="none"/>
              </w:rPr>
            </w:pPr>
          </w:p>
        </w:tc>
      </w:tr>
      <w:tr w14:paraId="1D847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48" w:type="dxa"/>
            <w:noWrap w:val="0"/>
            <w:vAlign w:val="center"/>
          </w:tcPr>
          <w:p w14:paraId="5E5F21BA">
            <w:pPr>
              <w:pStyle w:val="6"/>
              <w:spacing w:line="300" w:lineRule="auto"/>
              <w:ind w:firstLine="0"/>
              <w:jc w:val="center"/>
              <w:outlineLvl w:val="2"/>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6</w:t>
            </w:r>
          </w:p>
        </w:tc>
        <w:tc>
          <w:tcPr>
            <w:tcW w:w="6915" w:type="dxa"/>
            <w:noWrap w:val="0"/>
            <w:vAlign w:val="center"/>
          </w:tcPr>
          <w:p w14:paraId="577FF237">
            <w:pPr>
              <w:pStyle w:val="6"/>
              <w:spacing w:line="300" w:lineRule="auto"/>
              <w:ind w:firstLine="0"/>
              <w:jc w:val="center"/>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投标的政府采购项目完成期限</w:t>
            </w:r>
            <w:r>
              <w:rPr>
                <w:rFonts w:hint="eastAsia" w:ascii="宋体" w:hAnsi="宋体" w:eastAsia="宋体" w:cs="宋体"/>
                <w:b w:val="0"/>
                <w:bCs w:val="0"/>
                <w:color w:val="auto"/>
                <w:sz w:val="21"/>
                <w:szCs w:val="21"/>
                <w:highlight w:val="none"/>
                <w:lang w:val="en-US" w:eastAsia="zh-CN"/>
              </w:rPr>
              <w:t>未</w:t>
            </w:r>
            <w:r>
              <w:rPr>
                <w:rFonts w:hint="eastAsia" w:ascii="宋体" w:hAnsi="宋体" w:eastAsia="宋体" w:cs="宋体"/>
                <w:b w:val="0"/>
                <w:bCs w:val="0"/>
                <w:color w:val="auto"/>
                <w:sz w:val="21"/>
                <w:szCs w:val="21"/>
                <w:highlight w:val="none"/>
              </w:rPr>
              <w:t>超过磋商文件规定期限的；</w:t>
            </w:r>
          </w:p>
        </w:tc>
        <w:tc>
          <w:tcPr>
            <w:tcW w:w="1276" w:type="dxa"/>
            <w:noWrap w:val="0"/>
            <w:vAlign w:val="center"/>
          </w:tcPr>
          <w:p w14:paraId="0CECF032">
            <w:pPr>
              <w:pStyle w:val="6"/>
              <w:spacing w:line="300" w:lineRule="auto"/>
              <w:ind w:firstLine="0"/>
              <w:jc w:val="center"/>
              <w:outlineLvl w:val="2"/>
              <w:rPr>
                <w:rFonts w:hint="eastAsia" w:ascii="宋体" w:hAnsi="宋体" w:eastAsia="宋体" w:cs="宋体"/>
                <w:b w:val="0"/>
                <w:bCs w:val="0"/>
                <w:color w:val="auto"/>
                <w:sz w:val="21"/>
                <w:szCs w:val="21"/>
                <w:highlight w:val="none"/>
              </w:rPr>
            </w:pPr>
          </w:p>
        </w:tc>
      </w:tr>
      <w:tr w14:paraId="15CA6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noWrap w:val="0"/>
            <w:vAlign w:val="center"/>
          </w:tcPr>
          <w:p w14:paraId="12451E17">
            <w:pPr>
              <w:pStyle w:val="6"/>
              <w:spacing w:line="300" w:lineRule="auto"/>
              <w:ind w:firstLine="0"/>
              <w:jc w:val="center"/>
              <w:outlineLvl w:val="2"/>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7</w:t>
            </w:r>
          </w:p>
        </w:tc>
        <w:tc>
          <w:tcPr>
            <w:tcW w:w="6915" w:type="dxa"/>
            <w:noWrap w:val="0"/>
            <w:vAlign w:val="center"/>
          </w:tcPr>
          <w:p w14:paraId="1EFAA7B1">
            <w:pPr>
              <w:pStyle w:val="6"/>
              <w:spacing w:line="300" w:lineRule="auto"/>
              <w:ind w:firstLine="0"/>
              <w:jc w:val="center"/>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响应</w:t>
            </w:r>
            <w:r>
              <w:rPr>
                <w:rFonts w:hint="eastAsia" w:ascii="宋体" w:hAnsi="宋体" w:eastAsia="宋体" w:cs="宋体"/>
                <w:b w:val="0"/>
                <w:bCs w:val="0"/>
                <w:color w:val="auto"/>
                <w:sz w:val="21"/>
                <w:szCs w:val="21"/>
                <w:highlight w:val="none"/>
              </w:rPr>
              <w:t>文件载明的技术规格、技术标准、检验标准和方法等，符合磋商文件要求的；</w:t>
            </w:r>
          </w:p>
        </w:tc>
        <w:tc>
          <w:tcPr>
            <w:tcW w:w="1276" w:type="dxa"/>
            <w:noWrap w:val="0"/>
            <w:vAlign w:val="center"/>
          </w:tcPr>
          <w:p w14:paraId="3E4FB426">
            <w:pPr>
              <w:pStyle w:val="6"/>
              <w:spacing w:line="300" w:lineRule="auto"/>
              <w:ind w:firstLine="0"/>
              <w:jc w:val="center"/>
              <w:outlineLvl w:val="2"/>
              <w:rPr>
                <w:rFonts w:hint="eastAsia" w:ascii="宋体" w:hAnsi="宋体" w:eastAsia="宋体" w:cs="宋体"/>
                <w:b w:val="0"/>
                <w:bCs w:val="0"/>
                <w:color w:val="auto"/>
                <w:sz w:val="21"/>
                <w:szCs w:val="21"/>
                <w:highlight w:val="none"/>
              </w:rPr>
            </w:pPr>
          </w:p>
        </w:tc>
      </w:tr>
      <w:tr w14:paraId="1CB1F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48" w:type="dxa"/>
            <w:noWrap w:val="0"/>
            <w:vAlign w:val="center"/>
          </w:tcPr>
          <w:p w14:paraId="61BA4850">
            <w:pPr>
              <w:pStyle w:val="6"/>
              <w:spacing w:line="300" w:lineRule="auto"/>
              <w:ind w:firstLine="0"/>
              <w:jc w:val="center"/>
              <w:outlineLvl w:val="2"/>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8</w:t>
            </w:r>
          </w:p>
        </w:tc>
        <w:tc>
          <w:tcPr>
            <w:tcW w:w="6915" w:type="dxa"/>
            <w:noWrap w:val="0"/>
            <w:vAlign w:val="center"/>
          </w:tcPr>
          <w:p w14:paraId="3EC8BA05">
            <w:pPr>
              <w:pStyle w:val="6"/>
              <w:spacing w:line="300" w:lineRule="auto"/>
              <w:ind w:firstLine="0"/>
              <w:jc w:val="center"/>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响应文件</w:t>
            </w:r>
            <w:r>
              <w:rPr>
                <w:rFonts w:hint="eastAsia" w:ascii="宋体" w:hAnsi="宋体" w:eastAsia="宋体" w:cs="宋体"/>
                <w:b w:val="0"/>
                <w:bCs w:val="0"/>
                <w:color w:val="auto"/>
                <w:sz w:val="21"/>
                <w:szCs w:val="21"/>
                <w:highlight w:val="none"/>
                <w:lang w:val="en-US" w:eastAsia="zh-CN"/>
              </w:rPr>
              <w:t>未</w:t>
            </w:r>
            <w:r>
              <w:rPr>
                <w:rFonts w:hint="eastAsia" w:ascii="宋体" w:hAnsi="宋体" w:eastAsia="宋体" w:cs="宋体"/>
                <w:b w:val="0"/>
                <w:bCs w:val="0"/>
                <w:color w:val="auto"/>
                <w:sz w:val="21"/>
                <w:szCs w:val="21"/>
                <w:highlight w:val="none"/>
              </w:rPr>
              <w:t>附有采购人不能接受条件的；</w:t>
            </w:r>
          </w:p>
        </w:tc>
        <w:tc>
          <w:tcPr>
            <w:tcW w:w="1276" w:type="dxa"/>
            <w:noWrap w:val="0"/>
            <w:vAlign w:val="center"/>
          </w:tcPr>
          <w:p w14:paraId="40ED7FE1">
            <w:pPr>
              <w:pStyle w:val="6"/>
              <w:spacing w:line="300" w:lineRule="auto"/>
              <w:ind w:firstLine="0"/>
              <w:jc w:val="center"/>
              <w:outlineLvl w:val="2"/>
              <w:rPr>
                <w:rFonts w:hint="eastAsia" w:ascii="宋体" w:hAnsi="宋体" w:eastAsia="宋体" w:cs="宋体"/>
                <w:b w:val="0"/>
                <w:bCs w:val="0"/>
                <w:color w:val="auto"/>
                <w:sz w:val="21"/>
                <w:szCs w:val="21"/>
                <w:highlight w:val="none"/>
              </w:rPr>
            </w:pPr>
          </w:p>
        </w:tc>
      </w:tr>
      <w:tr w14:paraId="413CF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noWrap w:val="0"/>
            <w:vAlign w:val="center"/>
          </w:tcPr>
          <w:p w14:paraId="0E5EB21F">
            <w:pPr>
              <w:pStyle w:val="6"/>
              <w:spacing w:line="300" w:lineRule="auto"/>
              <w:ind w:firstLine="0"/>
              <w:jc w:val="center"/>
              <w:outlineLvl w:val="2"/>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9</w:t>
            </w:r>
          </w:p>
        </w:tc>
        <w:tc>
          <w:tcPr>
            <w:tcW w:w="6915" w:type="dxa"/>
            <w:noWrap w:val="0"/>
            <w:vAlign w:val="center"/>
          </w:tcPr>
          <w:p w14:paraId="10718EC5">
            <w:pPr>
              <w:pStyle w:val="6"/>
              <w:spacing w:line="300" w:lineRule="auto"/>
              <w:ind w:firstLine="0"/>
              <w:jc w:val="center"/>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满足磋商文件实质性要求的其他情形</w:t>
            </w:r>
            <w:r>
              <w:rPr>
                <w:rFonts w:hint="eastAsia" w:ascii="宋体" w:hAnsi="宋体" w:eastAsia="宋体" w:cs="宋体"/>
                <w:b w:val="0"/>
                <w:bCs w:val="0"/>
                <w:color w:val="auto"/>
                <w:sz w:val="21"/>
                <w:szCs w:val="21"/>
                <w:highlight w:val="none"/>
                <w:lang w:eastAsia="zh-CN"/>
              </w:rPr>
              <w:t>。</w:t>
            </w:r>
          </w:p>
        </w:tc>
        <w:tc>
          <w:tcPr>
            <w:tcW w:w="1276" w:type="dxa"/>
            <w:noWrap w:val="0"/>
            <w:vAlign w:val="center"/>
          </w:tcPr>
          <w:p w14:paraId="63486DAA">
            <w:pPr>
              <w:pStyle w:val="6"/>
              <w:spacing w:line="300" w:lineRule="auto"/>
              <w:ind w:firstLine="0"/>
              <w:jc w:val="center"/>
              <w:outlineLvl w:val="2"/>
              <w:rPr>
                <w:rFonts w:hint="eastAsia" w:ascii="宋体" w:hAnsi="宋体" w:eastAsia="宋体" w:cs="宋体"/>
                <w:b w:val="0"/>
                <w:bCs w:val="0"/>
                <w:color w:val="auto"/>
                <w:sz w:val="21"/>
                <w:szCs w:val="21"/>
                <w:highlight w:val="none"/>
              </w:rPr>
            </w:pPr>
          </w:p>
        </w:tc>
      </w:tr>
      <w:tr w14:paraId="6ABF7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63" w:type="dxa"/>
            <w:gridSpan w:val="2"/>
            <w:noWrap w:val="0"/>
            <w:vAlign w:val="center"/>
          </w:tcPr>
          <w:p w14:paraId="4F6ADF01">
            <w:pPr>
              <w:pStyle w:val="6"/>
              <w:spacing w:line="300" w:lineRule="auto"/>
              <w:ind w:firstLine="0"/>
              <w:jc w:val="center"/>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结论：通过评审打“√”，未通过评审打“×”</w:t>
            </w:r>
          </w:p>
        </w:tc>
        <w:tc>
          <w:tcPr>
            <w:tcW w:w="1276" w:type="dxa"/>
            <w:noWrap w:val="0"/>
            <w:vAlign w:val="center"/>
          </w:tcPr>
          <w:p w14:paraId="09A82B5B">
            <w:pPr>
              <w:pStyle w:val="6"/>
              <w:spacing w:line="300" w:lineRule="auto"/>
              <w:ind w:firstLine="0"/>
              <w:jc w:val="center"/>
              <w:outlineLvl w:val="2"/>
              <w:rPr>
                <w:rFonts w:hint="eastAsia" w:ascii="宋体" w:hAnsi="宋体" w:eastAsia="宋体" w:cs="宋体"/>
                <w:b w:val="0"/>
                <w:bCs w:val="0"/>
                <w:color w:val="auto"/>
                <w:sz w:val="21"/>
                <w:szCs w:val="21"/>
                <w:highlight w:val="none"/>
              </w:rPr>
            </w:pPr>
          </w:p>
        </w:tc>
      </w:tr>
    </w:tbl>
    <w:p w14:paraId="4E43D49C">
      <w:pPr>
        <w:pStyle w:val="6"/>
        <w:spacing w:line="300" w:lineRule="auto"/>
        <w:ind w:firstLine="0"/>
        <w:jc w:val="center"/>
        <w:outlineLvl w:val="2"/>
        <w:rPr>
          <w:rFonts w:hint="eastAsia" w:ascii="宋体" w:hAnsi="宋体" w:eastAsia="宋体" w:cs="宋体"/>
          <w:b w:val="0"/>
          <w:bCs w:val="0"/>
          <w:color w:val="auto"/>
          <w:sz w:val="21"/>
          <w:szCs w:val="21"/>
          <w:highlight w:val="none"/>
          <w:lang w:val="en-US" w:eastAsia="zh-CN"/>
        </w:rPr>
      </w:pPr>
    </w:p>
    <w:p w14:paraId="4F6800BB">
      <w:pPr>
        <w:pStyle w:val="6"/>
        <w:spacing w:line="300" w:lineRule="auto"/>
        <w:ind w:firstLine="0"/>
        <w:jc w:val="left"/>
        <w:outlineLvl w:val="2"/>
        <w:rPr>
          <w:rFonts w:hint="eastAsia" w:ascii="宋体" w:hAnsi="宋体" w:eastAsia="宋体" w:cs="宋体"/>
          <w:b w:val="0"/>
          <w:bCs w:val="0"/>
          <w:color w:val="auto"/>
          <w:sz w:val="21"/>
          <w:szCs w:val="21"/>
          <w:highlight w:val="none"/>
        </w:rPr>
      </w:pPr>
    </w:p>
    <w:p w14:paraId="1C0FD41F">
      <w:pPr>
        <w:pStyle w:val="6"/>
        <w:spacing w:line="300" w:lineRule="auto"/>
        <w:ind w:firstLine="0"/>
        <w:jc w:val="left"/>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说明：</w:t>
      </w:r>
    </w:p>
    <w:p w14:paraId="6FC617C9">
      <w:pPr>
        <w:pStyle w:val="6"/>
        <w:spacing w:line="300" w:lineRule="auto"/>
        <w:ind w:firstLine="0"/>
        <w:jc w:val="left"/>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（1）上述各项中用“√”表示通过，“×”表示不通过；</w:t>
      </w:r>
    </w:p>
    <w:p w14:paraId="685F0A09">
      <w:pPr>
        <w:pStyle w:val="6"/>
        <w:spacing w:line="300" w:lineRule="auto"/>
        <w:ind w:firstLine="0"/>
        <w:jc w:val="left"/>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（2）上述各项中如有一项为“×”，则结论为“×”，表示该响应文件中存在重大偏差，不能通过初步评审；评委对某一分项评审认为不合格时，必须要写明原因。</w:t>
      </w:r>
    </w:p>
    <w:p w14:paraId="075206AB">
      <w:pPr>
        <w:pStyle w:val="6"/>
        <w:spacing w:line="300" w:lineRule="auto"/>
        <w:ind w:firstLine="0"/>
        <w:jc w:val="left"/>
        <w:outlineLvl w:val="2"/>
        <w:rPr>
          <w:rFonts w:hint="eastAsia" w:ascii="宋体" w:hAnsi="宋体" w:eastAsia="宋体" w:cs="宋体"/>
          <w:b/>
          <w:bCs/>
          <w:color w:val="auto"/>
          <w:sz w:val="21"/>
          <w:szCs w:val="21"/>
          <w:highlight w:val="none"/>
        </w:rPr>
      </w:pPr>
      <w:r>
        <w:rPr>
          <w:rFonts w:hint="eastAsia" w:ascii="宋体" w:hAnsi="宋体" w:eastAsia="宋体" w:cs="宋体"/>
          <w:b w:val="0"/>
          <w:bCs w:val="0"/>
          <w:color w:val="auto"/>
          <w:sz w:val="21"/>
          <w:szCs w:val="21"/>
          <w:highlight w:val="none"/>
        </w:rPr>
        <w:t>（3）响应文件最终合格与否，以所有评委的评审意见中少数服从多数为原则定论。</w:t>
      </w:r>
    </w:p>
    <w:p w14:paraId="2EF4B3C8">
      <w:pPr>
        <w:pStyle w:val="6"/>
        <w:spacing w:line="300" w:lineRule="auto"/>
        <w:ind w:firstLine="0"/>
        <w:jc w:val="left"/>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★备注：如果响应文件中有一项未通过上述审查标准，评标委员会将认定整个响应文件未响应磋商文件而予以废标处理。</w:t>
      </w:r>
    </w:p>
    <w:p w14:paraId="2C9A8A1E">
      <w:pPr>
        <w:spacing w:line="240" w:lineRule="atLeast"/>
        <w:rPr>
          <w:rFonts w:hint="eastAsia" w:ascii="宋体" w:hAnsi="宋体" w:eastAsia="宋体" w:cs="宋体"/>
          <w:b/>
          <w:bCs/>
          <w:color w:val="auto"/>
          <w:szCs w:val="21"/>
          <w:highlight w:val="none"/>
        </w:rPr>
      </w:pPr>
    </w:p>
    <w:p w14:paraId="789CDE22">
      <w:pPr>
        <w:pStyle w:val="16"/>
        <w:rPr>
          <w:rFonts w:hint="eastAsia" w:ascii="宋体" w:hAnsi="宋体" w:eastAsia="宋体" w:cs="宋体"/>
          <w:b/>
          <w:bCs/>
          <w:color w:val="auto"/>
          <w:szCs w:val="21"/>
          <w:highlight w:val="none"/>
        </w:rPr>
      </w:pPr>
    </w:p>
    <w:p w14:paraId="62135ECB">
      <w:pPr>
        <w:pStyle w:val="16"/>
        <w:rPr>
          <w:rFonts w:hint="eastAsia" w:ascii="宋体" w:hAnsi="宋体" w:eastAsia="宋体" w:cs="宋体"/>
          <w:b/>
          <w:bCs/>
          <w:color w:val="auto"/>
          <w:szCs w:val="21"/>
          <w:highlight w:val="none"/>
        </w:rPr>
      </w:pPr>
    </w:p>
    <w:p w14:paraId="3F534DB5">
      <w:pPr>
        <w:pStyle w:val="16"/>
        <w:rPr>
          <w:rFonts w:hint="eastAsia" w:ascii="宋体" w:hAnsi="宋体" w:eastAsia="宋体" w:cs="宋体"/>
          <w:b/>
          <w:bCs/>
          <w:color w:val="auto"/>
          <w:szCs w:val="21"/>
          <w:highlight w:val="none"/>
        </w:rPr>
      </w:pPr>
    </w:p>
    <w:p w14:paraId="2CDF8633">
      <w:pPr>
        <w:pStyle w:val="16"/>
        <w:rPr>
          <w:rFonts w:hint="eastAsia" w:ascii="宋体" w:hAnsi="宋体" w:eastAsia="宋体" w:cs="宋体"/>
          <w:b/>
          <w:bCs/>
          <w:color w:val="auto"/>
          <w:szCs w:val="21"/>
          <w:highlight w:val="none"/>
        </w:rPr>
      </w:pPr>
    </w:p>
    <w:p w14:paraId="571C1BB1">
      <w:pPr>
        <w:pStyle w:val="16"/>
        <w:rPr>
          <w:rFonts w:hint="eastAsia" w:ascii="宋体" w:hAnsi="宋体" w:eastAsia="宋体" w:cs="宋体"/>
          <w:b/>
          <w:bCs/>
          <w:color w:val="auto"/>
          <w:szCs w:val="21"/>
          <w:highlight w:val="none"/>
        </w:rPr>
      </w:pPr>
    </w:p>
    <w:p w14:paraId="48B40417">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br w:type="page"/>
      </w:r>
    </w:p>
    <w:p w14:paraId="0D338DAD">
      <w:pPr>
        <w:pStyle w:val="6"/>
        <w:ind w:firstLine="0"/>
        <w:jc w:val="center"/>
        <w:outlineLvl w:val="1"/>
        <w:rPr>
          <w:rFonts w:hint="eastAsia" w:ascii="宋体" w:hAnsi="宋体" w:eastAsia="宋体" w:cs="宋体"/>
          <w:b/>
          <w:bCs/>
          <w:color w:val="auto"/>
          <w:sz w:val="21"/>
          <w:szCs w:val="21"/>
          <w:highlight w:val="none"/>
        </w:rPr>
      </w:pPr>
      <w:bookmarkStart w:id="827" w:name="_Toc29006"/>
      <w:bookmarkStart w:id="828" w:name="_Toc4034"/>
      <w:bookmarkStart w:id="829" w:name="_Toc19967"/>
      <w:bookmarkStart w:id="830" w:name="_Toc359"/>
      <w:bookmarkStart w:id="831" w:name="_Toc4748"/>
      <w:bookmarkStart w:id="832" w:name="_Toc31042"/>
      <w:bookmarkStart w:id="833" w:name="_Toc31737"/>
      <w:bookmarkStart w:id="834" w:name="_Toc26924"/>
      <w:bookmarkStart w:id="835" w:name="_Toc17586"/>
      <w:bookmarkStart w:id="836" w:name="_Toc21350"/>
      <w:bookmarkStart w:id="837" w:name="_Toc28876"/>
      <w:bookmarkStart w:id="838" w:name="_Toc11449"/>
      <w:bookmarkStart w:id="839" w:name="_Toc21392"/>
      <w:bookmarkStart w:id="840" w:name="_Toc20505"/>
      <w:bookmarkStart w:id="841" w:name="_Toc5375"/>
      <w:bookmarkStart w:id="842" w:name="_Toc3812"/>
      <w:r>
        <w:rPr>
          <w:rFonts w:hint="eastAsia" w:ascii="宋体" w:hAnsi="宋体" w:eastAsia="宋体" w:cs="宋体"/>
          <w:b/>
          <w:color w:val="auto"/>
          <w:sz w:val="32"/>
          <w:highlight w:val="none"/>
        </w:rPr>
        <w:t>综合评分表</w:t>
      </w:r>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Start w:id="843" w:name="_Toc507399904"/>
    </w:p>
    <w:tbl>
      <w:tblPr>
        <w:tblStyle w:val="24"/>
        <w:tblpPr w:leftFromText="180" w:rightFromText="180" w:vertAnchor="text" w:horzAnchor="page" w:tblpX="1004" w:tblpY="317"/>
        <w:tblOverlap w:val="never"/>
        <w:tblW w:w="10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080"/>
        <w:gridCol w:w="512"/>
        <w:gridCol w:w="6769"/>
        <w:gridCol w:w="1108"/>
      </w:tblGrid>
      <w:tr w14:paraId="0322D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850" w:type="dxa"/>
            <w:vAlign w:val="center"/>
          </w:tcPr>
          <w:p w14:paraId="4D6529F3">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序号</w:t>
            </w:r>
          </w:p>
        </w:tc>
        <w:tc>
          <w:tcPr>
            <w:tcW w:w="1080" w:type="dxa"/>
            <w:vAlign w:val="center"/>
          </w:tcPr>
          <w:p w14:paraId="0D960950">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评分因素</w:t>
            </w:r>
          </w:p>
          <w:p w14:paraId="505FEF8A">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及权重</w:t>
            </w:r>
          </w:p>
        </w:tc>
        <w:tc>
          <w:tcPr>
            <w:tcW w:w="512" w:type="dxa"/>
            <w:vAlign w:val="center"/>
          </w:tcPr>
          <w:p w14:paraId="4BF29C12">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分值</w:t>
            </w:r>
          </w:p>
        </w:tc>
        <w:tc>
          <w:tcPr>
            <w:tcW w:w="6769" w:type="dxa"/>
            <w:vAlign w:val="center"/>
          </w:tcPr>
          <w:p w14:paraId="0BD8D78B">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评分标准</w:t>
            </w:r>
          </w:p>
          <w:p w14:paraId="2E523C1D">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价   格：</w:t>
            </w:r>
            <w:r>
              <w:rPr>
                <w:rFonts w:hint="eastAsia" w:ascii="仿宋" w:hAnsi="仿宋" w:eastAsia="仿宋" w:cs="仿宋"/>
                <w:b/>
                <w:bCs/>
                <w:color w:val="auto"/>
                <w:kern w:val="0"/>
                <w:szCs w:val="21"/>
                <w:highlight w:val="none"/>
                <w:lang w:val="en-US" w:eastAsia="zh-CN"/>
              </w:rPr>
              <w:t>35</w:t>
            </w:r>
            <w:r>
              <w:rPr>
                <w:rFonts w:hint="eastAsia" w:ascii="仿宋" w:hAnsi="仿宋" w:eastAsia="仿宋" w:cs="仿宋"/>
                <w:b/>
                <w:bCs/>
                <w:color w:val="auto"/>
                <w:kern w:val="0"/>
                <w:szCs w:val="21"/>
                <w:highlight w:val="none"/>
              </w:rPr>
              <w:t xml:space="preserve">分 </w:t>
            </w:r>
            <w:r>
              <w:rPr>
                <w:rFonts w:hint="eastAsia" w:ascii="仿宋" w:hAnsi="仿宋" w:eastAsia="仿宋" w:cs="仿宋"/>
                <w:b/>
                <w:bCs/>
                <w:color w:val="auto"/>
                <w:kern w:val="0"/>
                <w:szCs w:val="21"/>
                <w:highlight w:val="none"/>
                <w:lang w:val="en-US" w:eastAsia="zh-CN"/>
              </w:rPr>
              <w:t xml:space="preserve">  </w:t>
            </w:r>
            <w:r>
              <w:rPr>
                <w:rFonts w:hint="eastAsia" w:ascii="仿宋" w:hAnsi="仿宋" w:eastAsia="仿宋" w:cs="仿宋"/>
                <w:b/>
                <w:bCs/>
                <w:color w:val="auto"/>
                <w:kern w:val="0"/>
                <w:szCs w:val="21"/>
                <w:highlight w:val="none"/>
              </w:rPr>
              <w:t xml:space="preserve"> 商</w:t>
            </w:r>
            <w:r>
              <w:rPr>
                <w:rFonts w:hint="eastAsia" w:ascii="仿宋" w:hAnsi="仿宋" w:eastAsia="仿宋" w:cs="仿宋"/>
                <w:b/>
                <w:bCs/>
                <w:color w:val="auto"/>
                <w:kern w:val="0"/>
                <w:szCs w:val="21"/>
                <w:highlight w:val="none"/>
                <w:lang w:val="en-US" w:eastAsia="zh-CN"/>
              </w:rPr>
              <w:t xml:space="preserve"> </w:t>
            </w:r>
            <w:r>
              <w:rPr>
                <w:rFonts w:hint="eastAsia" w:ascii="仿宋" w:hAnsi="仿宋" w:eastAsia="仿宋" w:cs="仿宋"/>
                <w:b/>
                <w:bCs/>
                <w:color w:val="auto"/>
                <w:kern w:val="0"/>
                <w:szCs w:val="21"/>
                <w:highlight w:val="none"/>
              </w:rPr>
              <w:t>务</w:t>
            </w:r>
            <w:r>
              <w:rPr>
                <w:rFonts w:hint="eastAsia" w:ascii="仿宋" w:hAnsi="仿宋" w:eastAsia="仿宋" w:cs="仿宋"/>
                <w:b/>
                <w:bCs/>
                <w:color w:val="auto"/>
                <w:kern w:val="0"/>
                <w:szCs w:val="21"/>
                <w:highlight w:val="none"/>
                <w:lang w:val="en-US" w:eastAsia="zh-CN"/>
              </w:rPr>
              <w:t xml:space="preserve"> </w:t>
            </w:r>
            <w:r>
              <w:rPr>
                <w:rFonts w:hint="eastAsia" w:ascii="仿宋" w:hAnsi="仿宋" w:eastAsia="仿宋" w:cs="仿宋"/>
                <w:b/>
                <w:bCs/>
                <w:color w:val="auto"/>
                <w:kern w:val="0"/>
                <w:szCs w:val="21"/>
                <w:highlight w:val="none"/>
                <w:lang w:eastAsia="zh-CN"/>
              </w:rPr>
              <w:t>及</w:t>
            </w:r>
            <w:r>
              <w:rPr>
                <w:rFonts w:hint="eastAsia" w:ascii="仿宋" w:hAnsi="仿宋" w:eastAsia="仿宋" w:cs="仿宋"/>
                <w:b/>
                <w:bCs/>
                <w:color w:val="auto"/>
                <w:kern w:val="0"/>
                <w:szCs w:val="21"/>
                <w:highlight w:val="none"/>
                <w:lang w:val="en-US" w:eastAsia="zh-CN"/>
              </w:rPr>
              <w:t xml:space="preserve"> </w:t>
            </w:r>
            <w:r>
              <w:rPr>
                <w:rFonts w:hint="eastAsia" w:ascii="仿宋" w:hAnsi="仿宋" w:eastAsia="仿宋" w:cs="仿宋"/>
                <w:b/>
                <w:bCs/>
                <w:color w:val="auto"/>
                <w:kern w:val="0"/>
                <w:szCs w:val="21"/>
                <w:highlight w:val="none"/>
              </w:rPr>
              <w:t>技 术：</w:t>
            </w:r>
            <w:r>
              <w:rPr>
                <w:rFonts w:hint="eastAsia" w:ascii="仿宋" w:hAnsi="仿宋" w:eastAsia="仿宋" w:cs="仿宋"/>
                <w:b/>
                <w:bCs/>
                <w:color w:val="auto"/>
                <w:kern w:val="0"/>
                <w:szCs w:val="21"/>
                <w:highlight w:val="none"/>
                <w:lang w:val="en-US" w:eastAsia="zh-CN"/>
              </w:rPr>
              <w:t>65</w:t>
            </w:r>
            <w:r>
              <w:rPr>
                <w:rFonts w:hint="eastAsia" w:ascii="仿宋" w:hAnsi="仿宋" w:eastAsia="仿宋" w:cs="仿宋"/>
                <w:b/>
                <w:bCs/>
                <w:color w:val="auto"/>
                <w:kern w:val="0"/>
                <w:szCs w:val="21"/>
                <w:highlight w:val="none"/>
              </w:rPr>
              <w:t xml:space="preserve">分              </w:t>
            </w:r>
          </w:p>
        </w:tc>
        <w:tc>
          <w:tcPr>
            <w:tcW w:w="1108" w:type="dxa"/>
            <w:vAlign w:val="center"/>
          </w:tcPr>
          <w:p w14:paraId="06AEC361">
            <w:pPr>
              <w:pStyle w:val="40"/>
              <w:spacing w:before="0" w:after="0" w:line="300" w:lineRule="exac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说明</w:t>
            </w:r>
          </w:p>
        </w:tc>
      </w:tr>
      <w:tr w14:paraId="0009B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2" w:hRule="atLeast"/>
        </w:trPr>
        <w:tc>
          <w:tcPr>
            <w:tcW w:w="850" w:type="dxa"/>
            <w:vAlign w:val="center"/>
          </w:tcPr>
          <w:p w14:paraId="6981C80D">
            <w:pPr>
              <w:widowControl/>
              <w:jc w:val="center"/>
              <w:rPr>
                <w:rFonts w:hint="default" w:ascii="仿宋" w:hAnsi="仿宋" w:eastAsia="仿宋" w:cs="仿宋"/>
                <w:b/>
                <w:bCs/>
                <w:color w:val="auto"/>
                <w:kern w:val="0"/>
                <w:szCs w:val="21"/>
                <w:highlight w:val="none"/>
                <w:lang w:val="en-US" w:eastAsia="zh-CN"/>
              </w:rPr>
            </w:pPr>
            <w:r>
              <w:rPr>
                <w:rFonts w:hint="eastAsia" w:ascii="仿宋" w:hAnsi="仿宋" w:eastAsia="仿宋" w:cs="仿宋"/>
                <w:b/>
                <w:bCs/>
                <w:color w:val="auto"/>
                <w:kern w:val="0"/>
                <w:szCs w:val="21"/>
                <w:highlight w:val="none"/>
              </w:rPr>
              <w:t>价格评分标准</w:t>
            </w:r>
            <w:r>
              <w:rPr>
                <w:rFonts w:hint="eastAsia" w:ascii="仿宋" w:hAnsi="仿宋" w:eastAsia="仿宋" w:cs="仿宋"/>
                <w:b/>
                <w:bCs/>
                <w:color w:val="auto"/>
                <w:kern w:val="0"/>
                <w:szCs w:val="21"/>
                <w:highlight w:val="none"/>
                <w:lang w:eastAsia="zh-CN"/>
              </w:rPr>
              <w:t>（</w:t>
            </w:r>
            <w:r>
              <w:rPr>
                <w:rFonts w:hint="eastAsia" w:ascii="仿宋" w:hAnsi="仿宋" w:eastAsia="仿宋" w:cs="仿宋"/>
                <w:b/>
                <w:bCs/>
                <w:color w:val="auto"/>
                <w:kern w:val="0"/>
                <w:szCs w:val="21"/>
                <w:highlight w:val="none"/>
                <w:lang w:val="en-US" w:eastAsia="zh-CN"/>
              </w:rPr>
              <w:t>35分）</w:t>
            </w:r>
          </w:p>
        </w:tc>
        <w:tc>
          <w:tcPr>
            <w:tcW w:w="1080" w:type="dxa"/>
            <w:vAlign w:val="center"/>
          </w:tcPr>
          <w:p w14:paraId="486CE2F6">
            <w:pPr>
              <w:widowControl/>
              <w:jc w:val="center"/>
              <w:rPr>
                <w:rFonts w:hint="eastAsia" w:ascii="仿宋" w:hAnsi="仿宋" w:eastAsia="仿宋" w:cs="仿宋"/>
                <w:b w:val="0"/>
                <w:bCs w:val="0"/>
                <w:color w:val="auto"/>
                <w:kern w:val="0"/>
                <w:szCs w:val="21"/>
                <w:highlight w:val="none"/>
              </w:rPr>
            </w:pPr>
            <w:r>
              <w:rPr>
                <w:rFonts w:hint="eastAsia" w:ascii="仿宋" w:hAnsi="仿宋" w:eastAsia="仿宋" w:cs="仿宋"/>
                <w:b w:val="0"/>
                <w:bCs w:val="0"/>
                <w:color w:val="auto"/>
                <w:kern w:val="0"/>
                <w:szCs w:val="21"/>
                <w:highlight w:val="none"/>
              </w:rPr>
              <w:t>投标报价</w:t>
            </w:r>
          </w:p>
        </w:tc>
        <w:tc>
          <w:tcPr>
            <w:tcW w:w="512" w:type="dxa"/>
            <w:vAlign w:val="center"/>
          </w:tcPr>
          <w:p w14:paraId="2989E029">
            <w:pPr>
              <w:widowControl/>
              <w:jc w:val="center"/>
              <w:rPr>
                <w:rFonts w:hint="eastAsia" w:ascii="仿宋" w:hAnsi="仿宋" w:eastAsia="仿宋" w:cs="仿宋"/>
                <w:b w:val="0"/>
                <w:bCs w:val="0"/>
                <w:color w:val="auto"/>
                <w:kern w:val="0"/>
                <w:szCs w:val="21"/>
                <w:highlight w:val="none"/>
                <w:lang w:val="en-US" w:eastAsia="zh-CN"/>
              </w:rPr>
            </w:pPr>
            <w:r>
              <w:rPr>
                <w:rFonts w:hint="eastAsia" w:ascii="仿宋" w:hAnsi="仿宋" w:eastAsia="仿宋" w:cs="仿宋"/>
                <w:b w:val="0"/>
                <w:bCs w:val="0"/>
                <w:color w:val="auto"/>
                <w:kern w:val="0"/>
                <w:szCs w:val="21"/>
                <w:highlight w:val="none"/>
                <w:lang w:val="en-US" w:eastAsia="zh-CN"/>
              </w:rPr>
              <w:t>35</w:t>
            </w:r>
          </w:p>
        </w:tc>
        <w:tc>
          <w:tcPr>
            <w:tcW w:w="6769" w:type="dxa"/>
            <w:vAlign w:val="center"/>
          </w:tcPr>
          <w:p w14:paraId="755BE752">
            <w:pPr>
              <w:widowControl/>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完全满足</w:t>
            </w:r>
            <w:r>
              <w:rPr>
                <w:rFonts w:hint="eastAsia" w:ascii="仿宋" w:hAnsi="仿宋" w:eastAsia="仿宋" w:cs="仿宋"/>
                <w:color w:val="auto"/>
                <w:kern w:val="0"/>
                <w:szCs w:val="21"/>
                <w:highlight w:val="none"/>
                <w:lang w:eastAsia="zh-CN"/>
              </w:rPr>
              <w:t>磋商文件</w:t>
            </w:r>
            <w:r>
              <w:rPr>
                <w:rFonts w:hint="eastAsia" w:ascii="仿宋" w:hAnsi="仿宋" w:eastAsia="仿宋" w:cs="仿宋"/>
                <w:color w:val="auto"/>
                <w:kern w:val="0"/>
                <w:szCs w:val="21"/>
                <w:highlight w:val="none"/>
                <w:lang w:val="en-US" w:eastAsia="zh-CN"/>
              </w:rPr>
              <w:t>要求</w:t>
            </w:r>
            <w:r>
              <w:rPr>
                <w:rFonts w:hint="eastAsia" w:ascii="仿宋" w:hAnsi="仿宋" w:eastAsia="仿宋" w:cs="仿宋"/>
                <w:color w:val="auto"/>
                <w:kern w:val="0"/>
                <w:szCs w:val="21"/>
                <w:highlight w:val="none"/>
              </w:rPr>
              <w:t>的投标报价中的最低价为</w:t>
            </w:r>
            <w:r>
              <w:rPr>
                <w:rFonts w:hint="eastAsia" w:ascii="仿宋" w:hAnsi="仿宋" w:eastAsia="仿宋" w:cs="仿宋"/>
                <w:color w:val="auto"/>
                <w:kern w:val="0"/>
                <w:szCs w:val="21"/>
                <w:highlight w:val="none"/>
                <w:lang w:eastAsia="zh-CN"/>
              </w:rPr>
              <w:t>评审</w:t>
            </w:r>
            <w:r>
              <w:rPr>
                <w:rFonts w:hint="eastAsia" w:ascii="仿宋" w:hAnsi="仿宋" w:eastAsia="仿宋" w:cs="仿宋"/>
                <w:color w:val="auto"/>
                <w:kern w:val="0"/>
                <w:szCs w:val="21"/>
                <w:highlight w:val="none"/>
              </w:rPr>
              <w:t>基准价，按照下列公式计算每个</w:t>
            </w:r>
            <w:r>
              <w:rPr>
                <w:rFonts w:hint="eastAsia" w:ascii="仿宋" w:hAnsi="仿宋" w:eastAsia="仿宋" w:cs="仿宋"/>
                <w:color w:val="auto"/>
                <w:kern w:val="0"/>
                <w:szCs w:val="21"/>
                <w:highlight w:val="none"/>
                <w:lang w:eastAsia="zh-CN"/>
              </w:rPr>
              <w:t>供应商</w:t>
            </w:r>
            <w:r>
              <w:rPr>
                <w:rFonts w:hint="eastAsia" w:ascii="仿宋" w:hAnsi="仿宋" w:eastAsia="仿宋" w:cs="仿宋"/>
                <w:color w:val="auto"/>
                <w:kern w:val="0"/>
                <w:szCs w:val="21"/>
                <w:highlight w:val="none"/>
              </w:rPr>
              <w:t>的</w:t>
            </w:r>
            <w:r>
              <w:rPr>
                <w:rFonts w:hint="eastAsia" w:ascii="仿宋" w:hAnsi="仿宋" w:eastAsia="仿宋" w:cs="仿宋"/>
                <w:color w:val="auto"/>
                <w:kern w:val="0"/>
                <w:szCs w:val="21"/>
                <w:highlight w:val="none"/>
                <w:lang w:eastAsia="zh-CN"/>
              </w:rPr>
              <w:t>投标</w:t>
            </w:r>
            <w:r>
              <w:rPr>
                <w:rFonts w:hint="eastAsia" w:ascii="仿宋" w:hAnsi="仿宋" w:eastAsia="仿宋" w:cs="仿宋"/>
                <w:color w:val="auto"/>
                <w:kern w:val="0"/>
                <w:szCs w:val="21"/>
                <w:highlight w:val="none"/>
              </w:rPr>
              <w:t>价格得分。投标报价得分＝</w:t>
            </w:r>
            <w:r>
              <w:rPr>
                <w:rFonts w:hint="eastAsia" w:ascii="仿宋" w:hAnsi="仿宋" w:eastAsia="仿宋" w:cs="仿宋"/>
                <w:color w:val="auto"/>
                <w:kern w:val="0"/>
                <w:szCs w:val="21"/>
                <w:highlight w:val="none"/>
                <w:lang w:eastAsia="zh-CN"/>
              </w:rPr>
              <w:t>（投标基准价/投标报价）×价格权重×100。</w:t>
            </w:r>
          </w:p>
          <w:p w14:paraId="5C49BDF0">
            <w:pPr>
              <w:keepNext w:val="0"/>
              <w:keepLines w:val="0"/>
              <w:widowControl/>
              <w:suppressLineNumbers w:val="0"/>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000000"/>
                <w:kern w:val="0"/>
                <w:sz w:val="22"/>
                <w:szCs w:val="22"/>
                <w:highlight w:val="none"/>
                <w:lang w:val="en-US" w:eastAsia="zh-CN" w:bidi="ar"/>
              </w:rPr>
              <w:t>注：以上报价得分算法中“投标报价”为最终报价。</w:t>
            </w:r>
          </w:p>
        </w:tc>
        <w:tc>
          <w:tcPr>
            <w:tcW w:w="1108" w:type="dxa"/>
            <w:vAlign w:val="center"/>
          </w:tcPr>
          <w:p w14:paraId="533F0D1A">
            <w:pPr>
              <w:spacing w:line="300" w:lineRule="exact"/>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投标报价超过采购</w:t>
            </w:r>
            <w:r>
              <w:rPr>
                <w:rFonts w:hint="eastAsia" w:ascii="仿宋" w:hAnsi="仿宋" w:eastAsia="仿宋" w:cs="仿宋"/>
                <w:b/>
                <w:bCs/>
                <w:color w:val="auto"/>
                <w:szCs w:val="21"/>
                <w:highlight w:val="none"/>
                <w:lang w:val="en-US" w:eastAsia="zh-CN"/>
              </w:rPr>
              <w:t>最高限价</w:t>
            </w:r>
            <w:r>
              <w:rPr>
                <w:rFonts w:hint="eastAsia" w:ascii="仿宋" w:hAnsi="仿宋" w:eastAsia="仿宋" w:cs="仿宋"/>
                <w:b/>
                <w:bCs/>
                <w:color w:val="auto"/>
                <w:szCs w:val="21"/>
                <w:highlight w:val="none"/>
              </w:rPr>
              <w:t>的按废标处理</w:t>
            </w:r>
          </w:p>
        </w:tc>
      </w:tr>
      <w:tr w14:paraId="3922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trPr>
        <w:tc>
          <w:tcPr>
            <w:tcW w:w="850" w:type="dxa"/>
            <w:vMerge w:val="restart"/>
            <w:vAlign w:val="center"/>
          </w:tcPr>
          <w:p w14:paraId="627680DC">
            <w:pPr>
              <w:widowControl/>
              <w:jc w:val="center"/>
              <w:rPr>
                <w:rFonts w:hint="default" w:ascii="仿宋" w:hAnsi="仿宋" w:eastAsia="仿宋" w:cs="仿宋"/>
                <w:b/>
                <w:bCs/>
                <w:color w:val="auto"/>
                <w:kern w:val="0"/>
                <w:szCs w:val="21"/>
                <w:highlight w:val="none"/>
                <w:lang w:val="en-US" w:eastAsia="zh-CN"/>
              </w:rPr>
            </w:pPr>
            <w:r>
              <w:rPr>
                <w:rFonts w:hint="eastAsia" w:ascii="仿宋" w:hAnsi="仿宋" w:eastAsia="仿宋" w:cs="仿宋"/>
                <w:b/>
                <w:bCs/>
                <w:color w:val="auto"/>
                <w:kern w:val="0"/>
                <w:szCs w:val="21"/>
                <w:highlight w:val="none"/>
                <w:lang w:val="en-US" w:eastAsia="zh-CN"/>
              </w:rPr>
              <w:t>商务及技术评分标准（65分）</w:t>
            </w:r>
          </w:p>
        </w:tc>
        <w:tc>
          <w:tcPr>
            <w:tcW w:w="1080" w:type="dxa"/>
            <w:vAlign w:val="center"/>
          </w:tcPr>
          <w:p w14:paraId="24B768FD">
            <w:pPr>
              <w:pStyle w:val="16"/>
              <w:keepNext w:val="0"/>
              <w:keepLines w:val="0"/>
              <w:pageBreakBefore w:val="0"/>
              <w:kinsoku/>
              <w:wordWrap/>
              <w:overflowPunct/>
              <w:topLinePunct w:val="0"/>
              <w:autoSpaceDE/>
              <w:autoSpaceDN/>
              <w:bidi w:val="0"/>
              <w:spacing w:line="360" w:lineRule="exact"/>
              <w:jc w:val="center"/>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人员</w:t>
            </w:r>
          </w:p>
          <w:p w14:paraId="35E28A4E">
            <w:pPr>
              <w:pStyle w:val="16"/>
              <w:keepNext w:val="0"/>
              <w:keepLines w:val="0"/>
              <w:pageBreakBefore w:val="0"/>
              <w:kinsoku/>
              <w:wordWrap/>
              <w:overflowPunct/>
              <w:topLinePunct w:val="0"/>
              <w:autoSpaceDE/>
              <w:autoSpaceDN/>
              <w:bidi w:val="0"/>
              <w:spacing w:line="360" w:lineRule="exact"/>
              <w:jc w:val="center"/>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配置</w:t>
            </w:r>
          </w:p>
        </w:tc>
        <w:tc>
          <w:tcPr>
            <w:tcW w:w="512" w:type="dxa"/>
            <w:vAlign w:val="center"/>
          </w:tcPr>
          <w:p w14:paraId="384B8F2D">
            <w:pPr>
              <w:keepNext w:val="0"/>
              <w:keepLines w:val="0"/>
              <w:pageBreakBefore w:val="0"/>
              <w:kinsoku/>
              <w:wordWrap/>
              <w:overflowPunct/>
              <w:topLinePunct w:val="0"/>
              <w:autoSpaceDE/>
              <w:autoSpaceDN/>
              <w:bidi w:val="0"/>
              <w:spacing w:line="360" w:lineRule="exact"/>
              <w:jc w:val="center"/>
              <w:textAlignment w:val="auto"/>
              <w:rPr>
                <w:rFonts w:hint="eastAsia" w:ascii="仿宋" w:hAnsi="仿宋" w:eastAsia="仿宋" w:cs="仿宋"/>
                <w:b w:val="0"/>
                <w:bCs w:val="0"/>
                <w:color w:val="auto"/>
                <w:kern w:val="0"/>
                <w:sz w:val="21"/>
                <w:szCs w:val="21"/>
                <w:highlight w:val="none"/>
                <w:lang w:val="en-US" w:eastAsia="zh-CN" w:bidi="ar-SA"/>
              </w:rPr>
            </w:pPr>
            <w:r>
              <w:rPr>
                <w:rFonts w:hint="eastAsia" w:ascii="仿宋" w:hAnsi="仿宋" w:eastAsia="仿宋" w:cs="仿宋"/>
                <w:color w:val="auto"/>
                <w:sz w:val="21"/>
                <w:szCs w:val="21"/>
                <w:highlight w:val="none"/>
                <w:lang w:val="en-US" w:eastAsia="zh-CN"/>
              </w:rPr>
              <w:t>7</w:t>
            </w:r>
          </w:p>
        </w:tc>
        <w:tc>
          <w:tcPr>
            <w:tcW w:w="6769" w:type="dxa"/>
            <w:vAlign w:val="center"/>
          </w:tcPr>
          <w:p w14:paraId="092678B8">
            <w:pPr>
              <w:pStyle w:val="16"/>
              <w:keepNext w:val="0"/>
              <w:keepLines w:val="0"/>
              <w:pageBreakBefore w:val="0"/>
              <w:kinsoku/>
              <w:wordWrap/>
              <w:overflowPunct/>
              <w:topLinePunct w:val="0"/>
              <w:autoSpaceDE/>
              <w:autoSpaceDN/>
              <w:bidi w:val="0"/>
              <w:spacing w:line="360" w:lineRule="exact"/>
              <w:textAlignment w:val="auto"/>
              <w:rPr>
                <w:rFonts w:hint="eastAsia" w:ascii="仿宋" w:hAnsi="仿宋" w:eastAsia="仿宋" w:cs="仿宋"/>
                <w:b w:val="0"/>
                <w:bCs w:val="0"/>
                <w:color w:val="auto"/>
                <w:kern w:val="0"/>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主要项目管理人员（指：具有建设工程类中级及以上工程师职称）和其他相关岗位人员（指：施工员、安全员、质量员、造价员、资料员、材料员），项目团队组织结构完善、分工明确，项目团队人员配备能满足项目实施各个阶段的要求，配备齐全得7分，主要项目管理人员缺失的，此项不得分，其他相关岗位人员每少 1人扣1 分扣完为止。（提供以上人员身份证、资格证书和开标截止前近三个月任意一个月在本单位的社保缴纳证明材料复印件加盖公章）（缺任意一项不得分）</w:t>
            </w:r>
          </w:p>
        </w:tc>
        <w:tc>
          <w:tcPr>
            <w:tcW w:w="1108" w:type="dxa"/>
            <w:vAlign w:val="center"/>
          </w:tcPr>
          <w:p w14:paraId="6E9C50EB">
            <w:pPr>
              <w:spacing w:line="300" w:lineRule="exact"/>
              <w:rPr>
                <w:rFonts w:hint="eastAsia" w:ascii="仿宋" w:hAnsi="仿宋" w:eastAsia="仿宋" w:cs="仿宋"/>
                <w:b/>
                <w:bCs/>
                <w:color w:val="auto"/>
                <w:szCs w:val="21"/>
                <w:highlight w:val="none"/>
              </w:rPr>
            </w:pPr>
          </w:p>
        </w:tc>
      </w:tr>
      <w:tr w14:paraId="6FE4B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5" w:hRule="atLeast"/>
        </w:trPr>
        <w:tc>
          <w:tcPr>
            <w:tcW w:w="850" w:type="dxa"/>
            <w:vMerge w:val="continue"/>
            <w:vAlign w:val="center"/>
          </w:tcPr>
          <w:p w14:paraId="5F7F62D0">
            <w:pPr>
              <w:widowControl/>
              <w:jc w:val="center"/>
              <w:rPr>
                <w:rFonts w:hint="eastAsia" w:ascii="仿宋" w:hAnsi="仿宋" w:eastAsia="仿宋" w:cs="仿宋"/>
                <w:b/>
                <w:bCs/>
                <w:color w:val="auto"/>
                <w:kern w:val="0"/>
                <w:szCs w:val="21"/>
                <w:highlight w:val="none"/>
              </w:rPr>
            </w:pPr>
          </w:p>
        </w:tc>
        <w:tc>
          <w:tcPr>
            <w:tcW w:w="1080" w:type="dxa"/>
            <w:vAlign w:val="center"/>
          </w:tcPr>
          <w:p w14:paraId="1245A5E7">
            <w:pPr>
              <w:keepNext w:val="0"/>
              <w:keepLines w:val="0"/>
              <w:widowControl/>
              <w:suppressLineNumbers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现场文明施工措施及扬尘防治措施</w:t>
            </w:r>
          </w:p>
        </w:tc>
        <w:tc>
          <w:tcPr>
            <w:tcW w:w="512" w:type="dxa"/>
            <w:vAlign w:val="center"/>
          </w:tcPr>
          <w:p w14:paraId="66B5BF15">
            <w:pPr>
              <w:pStyle w:val="16"/>
              <w:keepNext w:val="0"/>
              <w:keepLines w:val="0"/>
              <w:pageBreakBefore w:val="0"/>
              <w:kinsoku/>
              <w:wordWrap/>
              <w:overflowPunct/>
              <w:topLinePunct w:val="0"/>
              <w:autoSpaceDE/>
              <w:autoSpaceDN/>
              <w:bidi w:val="0"/>
              <w:spacing w:line="360" w:lineRule="exact"/>
              <w:jc w:val="center"/>
              <w:textAlignment w:val="auto"/>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6</w:t>
            </w:r>
          </w:p>
        </w:tc>
        <w:tc>
          <w:tcPr>
            <w:tcW w:w="6769" w:type="dxa"/>
            <w:vAlign w:val="center"/>
          </w:tcPr>
          <w:p w14:paraId="21FD87FB">
            <w:pPr>
              <w:pStyle w:val="16"/>
              <w:keepNext w:val="0"/>
              <w:keepLines w:val="0"/>
              <w:pageBreakBefore w:val="0"/>
              <w:kinsoku/>
              <w:wordWrap/>
              <w:overflowPunct/>
              <w:topLinePunct w:val="0"/>
              <w:autoSpaceDE/>
              <w:autoSpaceDN/>
              <w:bidi w:val="0"/>
              <w:spacing w:line="360" w:lineRule="exact"/>
              <w:jc w:val="left"/>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①</w:t>
            </w:r>
            <w:r>
              <w:rPr>
                <w:rFonts w:hint="eastAsia" w:ascii="仿宋" w:hAnsi="仿宋" w:eastAsia="仿宋" w:cs="仿宋"/>
                <w:kern w:val="2"/>
                <w:sz w:val="21"/>
                <w:szCs w:val="21"/>
                <w:highlight w:val="none"/>
                <w:lang w:val="en-US" w:eastAsia="zh-CN" w:bidi="ar-SA"/>
              </w:rPr>
              <w:t>现场文明施工措施：根据项目情况制定符合工程实际情况的措施；</w:t>
            </w:r>
          </w:p>
          <w:p w14:paraId="5C48A831">
            <w:pPr>
              <w:pStyle w:val="7"/>
              <w:ind w:left="0" w:leftChars="0" w:firstLine="0" w:firstLineChars="0"/>
              <w:rPr>
                <w:rFonts w:hint="eastAsia" w:ascii="仿宋" w:hAnsi="仿宋" w:eastAsia="仿宋" w:cs="仿宋"/>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②</w:t>
            </w:r>
            <w:r>
              <w:rPr>
                <w:rFonts w:hint="eastAsia" w:ascii="仿宋" w:hAnsi="仿宋" w:eastAsia="仿宋" w:cs="仿宋"/>
                <w:kern w:val="2"/>
                <w:sz w:val="21"/>
                <w:szCs w:val="21"/>
                <w:highlight w:val="none"/>
                <w:lang w:val="en-US" w:eastAsia="zh-CN" w:bidi="ar-SA"/>
              </w:rPr>
              <w:t>扬尘防治措施：扬尘防治措施符合项目所在地州相关规定及要求并切合施工现场情况。</w:t>
            </w:r>
          </w:p>
          <w:p w14:paraId="5EBFA12A">
            <w:pPr>
              <w:pStyle w:val="7"/>
              <w:ind w:left="0" w:leftChars="0" w:firstLine="0" w:firstLineChars="0"/>
              <w:rPr>
                <w:rFonts w:hint="eastAsia" w:ascii="仿宋" w:hAnsi="仿宋" w:eastAsia="仿宋" w:cs="仿宋"/>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此项满分 6 分，每有一项缺项或漏项扣 3 分，每有一处缺陷扣 1 分，扣完为止。</w:t>
            </w:r>
          </w:p>
        </w:tc>
        <w:tc>
          <w:tcPr>
            <w:tcW w:w="1108" w:type="dxa"/>
            <w:vMerge w:val="restart"/>
            <w:vAlign w:val="center"/>
          </w:tcPr>
          <w:p w14:paraId="4D57AB66">
            <w:pPr>
              <w:spacing w:line="300" w:lineRule="exact"/>
              <w:rPr>
                <w:rFonts w:hint="eastAsia" w:ascii="仿宋" w:hAnsi="仿宋" w:eastAsia="仿宋" w:cs="仿宋"/>
                <w:b/>
                <w:bCs/>
                <w:color w:val="auto"/>
                <w:szCs w:val="21"/>
                <w:highlight w:val="none"/>
              </w:rPr>
            </w:pPr>
          </w:p>
        </w:tc>
      </w:tr>
      <w:tr w14:paraId="6E3B9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1" w:hRule="atLeast"/>
        </w:trPr>
        <w:tc>
          <w:tcPr>
            <w:tcW w:w="850" w:type="dxa"/>
            <w:vMerge w:val="continue"/>
            <w:vAlign w:val="center"/>
          </w:tcPr>
          <w:p w14:paraId="52A1487F">
            <w:pPr>
              <w:widowControl/>
              <w:jc w:val="center"/>
              <w:rPr>
                <w:rFonts w:hint="eastAsia" w:ascii="仿宋" w:hAnsi="仿宋" w:eastAsia="仿宋" w:cs="仿宋"/>
                <w:b/>
                <w:bCs/>
                <w:color w:val="auto"/>
                <w:kern w:val="0"/>
                <w:szCs w:val="21"/>
                <w:highlight w:val="none"/>
              </w:rPr>
            </w:pPr>
          </w:p>
        </w:tc>
        <w:tc>
          <w:tcPr>
            <w:tcW w:w="1080" w:type="dxa"/>
            <w:vAlign w:val="center"/>
          </w:tcPr>
          <w:p w14:paraId="522E9664">
            <w:pPr>
              <w:pStyle w:val="16"/>
              <w:keepNext w:val="0"/>
              <w:keepLines w:val="0"/>
              <w:pageBreakBefore w:val="0"/>
              <w:kinsoku/>
              <w:wordWrap/>
              <w:overflowPunct/>
              <w:topLinePunct w:val="0"/>
              <w:autoSpaceDE/>
              <w:autoSpaceDN/>
              <w:bidi w:val="0"/>
              <w:spacing w:line="36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施工方案</w:t>
            </w:r>
          </w:p>
        </w:tc>
        <w:tc>
          <w:tcPr>
            <w:tcW w:w="512" w:type="dxa"/>
            <w:vAlign w:val="center"/>
          </w:tcPr>
          <w:p w14:paraId="74EEE125">
            <w:pPr>
              <w:pStyle w:val="16"/>
              <w:keepNext w:val="0"/>
              <w:keepLines w:val="0"/>
              <w:pageBreakBefore w:val="0"/>
              <w:kinsoku/>
              <w:wordWrap/>
              <w:overflowPunct/>
              <w:topLinePunct w:val="0"/>
              <w:autoSpaceDE/>
              <w:autoSpaceDN/>
              <w:bidi w:val="0"/>
              <w:spacing w:line="360" w:lineRule="exact"/>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30</w:t>
            </w:r>
          </w:p>
        </w:tc>
        <w:tc>
          <w:tcPr>
            <w:tcW w:w="6769" w:type="dxa"/>
            <w:vAlign w:val="center"/>
          </w:tcPr>
          <w:p w14:paraId="5B3E7ECB">
            <w:pPr>
              <w:keepNext w:val="0"/>
              <w:keepLines w:val="0"/>
              <w:widowControl/>
              <w:suppressLineNumbers w:val="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根据供应商提供的实施方案，包括但不限于：①施工组织设计；②施工组织布置及规划；③资源配备及节能减排；④项目重点、难点分析、解决方案；⑤交通组织规划及措施；</w:t>
            </w:r>
            <w:r>
              <w:rPr>
                <w:rFonts w:hint="eastAsia" w:ascii="仿宋" w:hAnsi="仿宋" w:eastAsia="仿宋" w:cs="仿宋"/>
                <w:color w:val="auto"/>
                <w:kern w:val="2"/>
                <w:sz w:val="21"/>
                <w:szCs w:val="21"/>
                <w:highlight w:val="none"/>
                <w:lang w:val="en-US" w:eastAsia="zh-CN" w:bidi="ar-SA"/>
              </w:rPr>
              <w:fldChar w:fldCharType="begin"/>
            </w:r>
            <w:r>
              <w:rPr>
                <w:rFonts w:hint="eastAsia" w:ascii="仿宋" w:hAnsi="仿宋" w:eastAsia="仿宋" w:cs="仿宋"/>
                <w:color w:val="auto"/>
                <w:kern w:val="2"/>
                <w:sz w:val="21"/>
                <w:szCs w:val="21"/>
                <w:highlight w:val="none"/>
                <w:lang w:val="en-US" w:eastAsia="zh-CN" w:bidi="ar-SA"/>
              </w:rPr>
              <w:instrText xml:space="preserve"> = 6 \* GB3 \* MERGEFORMAT </w:instrText>
            </w:r>
            <w:r>
              <w:rPr>
                <w:rFonts w:hint="eastAsia" w:ascii="仿宋" w:hAnsi="仿宋" w:eastAsia="仿宋" w:cs="仿宋"/>
                <w:color w:val="auto"/>
                <w:kern w:val="2"/>
                <w:sz w:val="21"/>
                <w:szCs w:val="21"/>
                <w:highlight w:val="none"/>
                <w:lang w:val="en-US" w:eastAsia="zh-CN" w:bidi="ar-SA"/>
              </w:rPr>
              <w:fldChar w:fldCharType="separate"/>
            </w:r>
            <w:r>
              <w:rPr>
                <w:rFonts w:hint="eastAsia" w:ascii="仿宋" w:hAnsi="仿宋" w:eastAsia="仿宋" w:cs="仿宋"/>
                <w:color w:val="auto"/>
                <w:kern w:val="2"/>
                <w:sz w:val="21"/>
                <w:szCs w:val="21"/>
                <w:highlight w:val="none"/>
                <w:lang w:val="en-US" w:eastAsia="zh-CN" w:bidi="ar-SA"/>
              </w:rPr>
              <w:t>⑥</w:t>
            </w:r>
            <w:r>
              <w:rPr>
                <w:rFonts w:hint="eastAsia" w:ascii="仿宋" w:hAnsi="仿宋" w:eastAsia="仿宋" w:cs="仿宋"/>
                <w:color w:val="auto"/>
                <w:kern w:val="2"/>
                <w:sz w:val="21"/>
                <w:szCs w:val="21"/>
                <w:highlight w:val="none"/>
                <w:lang w:val="en-US" w:eastAsia="zh-CN" w:bidi="ar-SA"/>
              </w:rPr>
              <w:fldChar w:fldCharType="end"/>
            </w:r>
            <w:r>
              <w:rPr>
                <w:rFonts w:hint="eastAsia" w:ascii="仿宋" w:hAnsi="仿宋" w:eastAsia="仿宋" w:cs="仿宋"/>
                <w:color w:val="auto"/>
                <w:kern w:val="2"/>
                <w:sz w:val="21"/>
                <w:szCs w:val="21"/>
                <w:highlight w:val="none"/>
                <w:lang w:val="en-US" w:eastAsia="zh-CN" w:bidi="ar-SA"/>
              </w:rPr>
              <w:t>施工进度计划；此项满 30分，每有一项缺项或漏项扣 5 分，每有一处缺陷扣 2 分，扣完为止。</w:t>
            </w:r>
          </w:p>
        </w:tc>
        <w:tc>
          <w:tcPr>
            <w:tcW w:w="1108" w:type="dxa"/>
            <w:vMerge w:val="continue"/>
            <w:vAlign w:val="center"/>
          </w:tcPr>
          <w:p w14:paraId="3AB029F9">
            <w:pPr>
              <w:spacing w:line="300" w:lineRule="exact"/>
              <w:rPr>
                <w:rFonts w:hint="eastAsia" w:ascii="仿宋" w:hAnsi="仿宋" w:eastAsia="仿宋" w:cs="仿宋"/>
                <w:color w:val="auto"/>
                <w:szCs w:val="21"/>
                <w:highlight w:val="none"/>
              </w:rPr>
            </w:pPr>
          </w:p>
        </w:tc>
      </w:tr>
      <w:tr w14:paraId="1E3FC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2" w:hRule="atLeast"/>
        </w:trPr>
        <w:tc>
          <w:tcPr>
            <w:tcW w:w="850" w:type="dxa"/>
            <w:vMerge w:val="continue"/>
            <w:vAlign w:val="center"/>
          </w:tcPr>
          <w:p w14:paraId="30D6A3E6">
            <w:pPr>
              <w:widowControl/>
              <w:jc w:val="center"/>
              <w:rPr>
                <w:rFonts w:hint="eastAsia" w:ascii="仿宋" w:hAnsi="仿宋" w:eastAsia="仿宋" w:cs="仿宋"/>
                <w:b/>
                <w:bCs/>
                <w:color w:val="auto"/>
                <w:kern w:val="0"/>
                <w:szCs w:val="21"/>
                <w:highlight w:val="none"/>
              </w:rPr>
            </w:pPr>
          </w:p>
        </w:tc>
        <w:tc>
          <w:tcPr>
            <w:tcW w:w="1080" w:type="dxa"/>
            <w:vAlign w:val="center"/>
          </w:tcPr>
          <w:p w14:paraId="116ACDE3">
            <w:pPr>
              <w:pStyle w:val="16"/>
              <w:keepNext w:val="0"/>
              <w:keepLines w:val="0"/>
              <w:pageBreakBefore w:val="0"/>
              <w:kinsoku/>
              <w:wordWrap/>
              <w:overflowPunct/>
              <w:topLinePunct w:val="0"/>
              <w:autoSpaceDE/>
              <w:autoSpaceDN/>
              <w:bidi w:val="0"/>
              <w:spacing w:line="360" w:lineRule="exact"/>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质量、工期、安全</w:t>
            </w:r>
          </w:p>
          <w:p w14:paraId="6391DEB3">
            <w:pPr>
              <w:pStyle w:val="16"/>
              <w:keepNext w:val="0"/>
              <w:keepLines w:val="0"/>
              <w:pageBreakBefore w:val="0"/>
              <w:kinsoku/>
              <w:wordWrap/>
              <w:overflowPunct/>
              <w:topLinePunct w:val="0"/>
              <w:autoSpaceDE/>
              <w:autoSpaceDN/>
              <w:bidi w:val="0"/>
              <w:spacing w:line="360" w:lineRule="exact"/>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保证等措施</w:t>
            </w:r>
          </w:p>
        </w:tc>
        <w:tc>
          <w:tcPr>
            <w:tcW w:w="512" w:type="dxa"/>
            <w:vAlign w:val="center"/>
          </w:tcPr>
          <w:p w14:paraId="0FFA17DB">
            <w:pPr>
              <w:pStyle w:val="16"/>
              <w:keepNext w:val="0"/>
              <w:keepLines w:val="0"/>
              <w:pageBreakBefore w:val="0"/>
              <w:kinsoku/>
              <w:wordWrap/>
              <w:overflowPunct/>
              <w:topLinePunct w:val="0"/>
              <w:autoSpaceDE/>
              <w:autoSpaceDN/>
              <w:bidi w:val="0"/>
              <w:spacing w:line="360" w:lineRule="exact"/>
              <w:jc w:val="left"/>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16</w:t>
            </w:r>
          </w:p>
        </w:tc>
        <w:tc>
          <w:tcPr>
            <w:tcW w:w="6769" w:type="dxa"/>
            <w:vAlign w:val="center"/>
          </w:tcPr>
          <w:p w14:paraId="4919EF18">
            <w:pPr>
              <w:keepNext w:val="0"/>
              <w:keepLines w:val="0"/>
              <w:widowControl/>
              <w:suppressLineNumbers w:val="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根据供应商提供的质量保证、工期保证、安全保证等措施，包括但不限于：①有完善的质量管理体系及质量技术措施；②有完善的质量检查和验收标准；③详细施工整体进度计划、进度控制和工期保证措施；④安全目标明确，管理机构健全，职责分工明确、管理制度齐全。此项满分 16 分，每有一项缺项或漏项扣 4 分，每有一处缺陷扣 1 分，扣完为止。</w:t>
            </w:r>
          </w:p>
        </w:tc>
        <w:tc>
          <w:tcPr>
            <w:tcW w:w="1108" w:type="dxa"/>
            <w:vMerge w:val="continue"/>
            <w:vAlign w:val="center"/>
          </w:tcPr>
          <w:p w14:paraId="5FA1385A">
            <w:pPr>
              <w:spacing w:line="300" w:lineRule="exact"/>
              <w:rPr>
                <w:rFonts w:hint="eastAsia" w:ascii="仿宋" w:hAnsi="仿宋" w:eastAsia="仿宋" w:cs="仿宋"/>
                <w:color w:val="auto"/>
                <w:szCs w:val="21"/>
                <w:highlight w:val="none"/>
              </w:rPr>
            </w:pPr>
          </w:p>
        </w:tc>
      </w:tr>
      <w:tr w14:paraId="30587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9" w:hRule="atLeast"/>
        </w:trPr>
        <w:tc>
          <w:tcPr>
            <w:tcW w:w="850" w:type="dxa"/>
            <w:vMerge w:val="continue"/>
            <w:vAlign w:val="center"/>
          </w:tcPr>
          <w:p w14:paraId="47DD9499">
            <w:pPr>
              <w:widowControl/>
              <w:jc w:val="center"/>
              <w:rPr>
                <w:rFonts w:hint="eastAsia" w:ascii="仿宋" w:hAnsi="仿宋" w:eastAsia="仿宋" w:cs="仿宋"/>
                <w:b/>
                <w:bCs/>
                <w:color w:val="auto"/>
                <w:kern w:val="0"/>
                <w:szCs w:val="21"/>
                <w:highlight w:val="none"/>
              </w:rPr>
            </w:pPr>
          </w:p>
        </w:tc>
        <w:tc>
          <w:tcPr>
            <w:tcW w:w="1080" w:type="dxa"/>
            <w:vAlign w:val="center"/>
          </w:tcPr>
          <w:p w14:paraId="703F9E8F">
            <w:pPr>
              <w:pStyle w:val="16"/>
              <w:keepNext w:val="0"/>
              <w:keepLines w:val="0"/>
              <w:pageBreakBefore w:val="0"/>
              <w:kinsoku/>
              <w:wordWrap/>
              <w:overflowPunct/>
              <w:topLinePunct w:val="0"/>
              <w:autoSpaceDE/>
              <w:autoSpaceDN/>
              <w:bidi w:val="0"/>
              <w:spacing w:line="36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应急处理方案</w:t>
            </w:r>
          </w:p>
        </w:tc>
        <w:tc>
          <w:tcPr>
            <w:tcW w:w="512" w:type="dxa"/>
            <w:vAlign w:val="center"/>
          </w:tcPr>
          <w:p w14:paraId="3EF009A3">
            <w:pPr>
              <w:pStyle w:val="16"/>
              <w:keepNext w:val="0"/>
              <w:keepLines w:val="0"/>
              <w:pageBreakBefore w:val="0"/>
              <w:kinsoku/>
              <w:wordWrap/>
              <w:overflowPunct/>
              <w:topLinePunct w:val="0"/>
              <w:autoSpaceDE/>
              <w:autoSpaceDN/>
              <w:bidi w:val="0"/>
              <w:spacing w:line="36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w:t>
            </w:r>
          </w:p>
        </w:tc>
        <w:tc>
          <w:tcPr>
            <w:tcW w:w="6769" w:type="dxa"/>
            <w:vAlign w:val="center"/>
          </w:tcPr>
          <w:p w14:paraId="3FD567BF">
            <w:pPr>
              <w:keepNext w:val="0"/>
              <w:keepLines w:val="0"/>
              <w:widowControl/>
              <w:suppressLineNumbers w:val="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①编写项目风险预测与防范； </w:t>
            </w:r>
          </w:p>
          <w:p w14:paraId="650C7473">
            <w:pPr>
              <w:keepNext w:val="0"/>
              <w:keepLines w:val="0"/>
              <w:widowControl/>
              <w:suppressLineNumbers w:val="0"/>
              <w:jc w:val="left"/>
              <w:rPr>
                <w:rFonts w:hint="default" w:ascii="仿宋" w:hAnsi="仿宋" w:eastAsia="仿宋" w:cs="仿宋"/>
                <w:color w:val="auto"/>
                <w:kern w:val="2"/>
                <w:sz w:val="21"/>
                <w:szCs w:val="21"/>
                <w:highlight w:val="none"/>
                <w:lang w:val="en-US" w:eastAsia="zh-CN" w:bidi="ar-SA"/>
              </w:rPr>
            </w:pPr>
            <w:r>
              <w:rPr>
                <w:rFonts w:hint="default" w:ascii="仿宋" w:hAnsi="仿宋" w:eastAsia="仿宋" w:cs="仿宋"/>
                <w:color w:val="auto"/>
                <w:kern w:val="2"/>
                <w:sz w:val="21"/>
                <w:szCs w:val="21"/>
                <w:highlight w:val="none"/>
                <w:lang w:val="en-US" w:eastAsia="zh-CN" w:bidi="ar-SA"/>
              </w:rPr>
              <w:t>②编写事故应急预案；</w:t>
            </w:r>
          </w:p>
          <w:p w14:paraId="523A7E35">
            <w:pPr>
              <w:keepNext w:val="0"/>
              <w:keepLines w:val="0"/>
              <w:widowControl/>
              <w:suppressLineNumbers w:val="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此项满6 分，每有一项缺项或漏项扣3分，每有一处缺陷扣 1 分，扣完为止。</w:t>
            </w:r>
          </w:p>
        </w:tc>
        <w:tc>
          <w:tcPr>
            <w:tcW w:w="1108" w:type="dxa"/>
            <w:vMerge w:val="continue"/>
            <w:vAlign w:val="center"/>
          </w:tcPr>
          <w:p w14:paraId="4E014542">
            <w:pPr>
              <w:spacing w:line="300" w:lineRule="exact"/>
              <w:rPr>
                <w:rFonts w:hint="eastAsia" w:ascii="仿宋" w:hAnsi="仿宋" w:eastAsia="仿宋" w:cs="仿宋"/>
                <w:color w:val="auto"/>
                <w:szCs w:val="21"/>
                <w:highlight w:val="none"/>
              </w:rPr>
            </w:pPr>
          </w:p>
        </w:tc>
      </w:tr>
    </w:tbl>
    <w:p w14:paraId="1DB8F1BD">
      <w:pPr>
        <w:pStyle w:val="6"/>
        <w:ind w:left="0" w:leftChars="0" w:firstLine="0" w:firstLineChars="0"/>
        <w:rPr>
          <w:rFonts w:hint="eastAsia" w:ascii="宋体" w:hAnsi="宋体" w:eastAsia="宋体" w:cs="宋体"/>
          <w:b/>
          <w:color w:val="auto"/>
          <w:sz w:val="32"/>
          <w:highlight w:val="none"/>
        </w:rPr>
      </w:pPr>
    </w:p>
    <w:p w14:paraId="18E8D118">
      <w:pPr>
        <w:rPr>
          <w:rFonts w:hint="eastAsia" w:ascii="宋体" w:hAnsi="宋体" w:eastAsia="宋体" w:cs="宋体"/>
          <w:color w:val="auto"/>
          <w:highlight w:val="none"/>
        </w:rPr>
      </w:pPr>
    </w:p>
    <w:p w14:paraId="0C6EC656">
      <w:pPr>
        <w:pStyle w:val="6"/>
        <w:ind w:firstLine="0"/>
        <w:rPr>
          <w:rFonts w:hint="eastAsia" w:ascii="宋体" w:hAnsi="宋体" w:eastAsia="宋体" w:cs="宋体"/>
          <w:b/>
          <w:color w:val="auto"/>
          <w:sz w:val="32"/>
          <w:highlight w:val="none"/>
        </w:rPr>
      </w:pPr>
    </w:p>
    <w:p w14:paraId="5817B148">
      <w:pPr>
        <w:rPr>
          <w:rFonts w:hint="eastAsia" w:ascii="宋体" w:hAnsi="宋体" w:eastAsia="宋体" w:cs="宋体"/>
          <w:b/>
          <w:color w:val="auto"/>
          <w:sz w:val="32"/>
          <w:highlight w:val="none"/>
        </w:rPr>
      </w:pPr>
    </w:p>
    <w:p w14:paraId="412E6477">
      <w:pPr>
        <w:spacing w:line="240" w:lineRule="atLeast"/>
        <w:jc w:val="center"/>
        <w:rPr>
          <w:rFonts w:hint="eastAsia" w:ascii="宋体" w:hAnsi="宋体" w:eastAsia="宋体" w:cs="宋体"/>
          <w:b/>
          <w:color w:val="auto"/>
          <w:sz w:val="44"/>
          <w:szCs w:val="44"/>
          <w:highlight w:val="none"/>
          <w:lang w:eastAsia="zh-CN"/>
        </w:rPr>
      </w:pPr>
    </w:p>
    <w:p w14:paraId="1B5E80BF">
      <w:pPr>
        <w:spacing w:line="240" w:lineRule="atLeast"/>
        <w:jc w:val="center"/>
        <w:rPr>
          <w:rFonts w:hint="eastAsia" w:ascii="宋体" w:hAnsi="宋体" w:eastAsia="宋体" w:cs="宋体"/>
          <w:b/>
          <w:color w:val="auto"/>
          <w:sz w:val="44"/>
          <w:szCs w:val="44"/>
          <w:highlight w:val="none"/>
          <w:lang w:eastAsia="zh-CN"/>
        </w:rPr>
      </w:pPr>
    </w:p>
    <w:p w14:paraId="1EB196EC">
      <w:pPr>
        <w:spacing w:line="240" w:lineRule="atLeast"/>
        <w:jc w:val="center"/>
        <w:rPr>
          <w:rFonts w:hint="eastAsia" w:ascii="宋体" w:hAnsi="宋体" w:eastAsia="宋体" w:cs="宋体"/>
          <w:b/>
          <w:color w:val="auto"/>
          <w:sz w:val="44"/>
          <w:szCs w:val="44"/>
          <w:highlight w:val="none"/>
          <w:lang w:eastAsia="zh-CN"/>
        </w:rPr>
      </w:pPr>
    </w:p>
    <w:p w14:paraId="46DDE7D6">
      <w:pPr>
        <w:spacing w:line="240" w:lineRule="atLeast"/>
        <w:jc w:val="center"/>
        <w:rPr>
          <w:rFonts w:hint="eastAsia" w:ascii="宋体" w:hAnsi="宋体" w:eastAsia="宋体" w:cs="宋体"/>
          <w:b/>
          <w:color w:val="auto"/>
          <w:sz w:val="44"/>
          <w:szCs w:val="44"/>
          <w:highlight w:val="none"/>
          <w:lang w:eastAsia="zh-CN"/>
        </w:rPr>
      </w:pPr>
    </w:p>
    <w:p w14:paraId="017EBC0B">
      <w:pPr>
        <w:spacing w:line="240" w:lineRule="atLeast"/>
        <w:jc w:val="center"/>
        <w:rPr>
          <w:rFonts w:hint="eastAsia" w:ascii="宋体" w:hAnsi="宋体" w:eastAsia="宋体" w:cs="宋体"/>
          <w:b/>
          <w:color w:val="auto"/>
          <w:sz w:val="44"/>
          <w:szCs w:val="44"/>
          <w:highlight w:val="none"/>
          <w:lang w:eastAsia="zh-CN"/>
        </w:rPr>
      </w:pPr>
    </w:p>
    <w:p w14:paraId="32DD2DC0">
      <w:pPr>
        <w:spacing w:line="240" w:lineRule="atLeast"/>
        <w:jc w:val="center"/>
        <w:rPr>
          <w:rFonts w:hint="eastAsia" w:ascii="宋体" w:hAnsi="宋体" w:eastAsia="宋体" w:cs="宋体"/>
          <w:b/>
          <w:color w:val="auto"/>
          <w:sz w:val="44"/>
          <w:szCs w:val="44"/>
          <w:highlight w:val="none"/>
          <w:lang w:eastAsia="zh-CN"/>
        </w:rPr>
      </w:pPr>
    </w:p>
    <w:p w14:paraId="5BC57D4E">
      <w:pPr>
        <w:spacing w:line="240" w:lineRule="atLeast"/>
        <w:jc w:val="center"/>
        <w:rPr>
          <w:rFonts w:hint="eastAsia"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lang w:eastAsia="zh-CN"/>
        </w:rPr>
        <w:t>磋 商 文 件</w:t>
      </w:r>
    </w:p>
    <w:p w14:paraId="21F6322C">
      <w:pPr>
        <w:spacing w:line="240" w:lineRule="atLeast"/>
        <w:jc w:val="center"/>
        <w:rPr>
          <w:rFonts w:hint="eastAsia" w:ascii="宋体" w:hAnsi="宋体" w:eastAsia="宋体" w:cs="宋体"/>
          <w:b/>
          <w:color w:val="auto"/>
          <w:sz w:val="40"/>
          <w:szCs w:val="40"/>
          <w:highlight w:val="none"/>
        </w:rPr>
      </w:pPr>
    </w:p>
    <w:p w14:paraId="390F24E9">
      <w:pPr>
        <w:spacing w:line="240" w:lineRule="atLeast"/>
        <w:jc w:val="center"/>
        <w:rPr>
          <w:rFonts w:hint="default" w:ascii="宋体" w:hAnsi="宋体" w:eastAsia="宋体" w:cs="宋体"/>
          <w:b/>
          <w:color w:val="auto"/>
          <w:sz w:val="40"/>
          <w:szCs w:val="40"/>
          <w:highlight w:val="none"/>
          <w:lang w:val="en-US" w:eastAsia="zh-CN"/>
        </w:rPr>
      </w:pPr>
      <w:r>
        <w:rPr>
          <w:rFonts w:hint="eastAsia" w:ascii="宋体" w:hAnsi="宋体" w:eastAsia="宋体" w:cs="宋体"/>
          <w:b/>
          <w:color w:val="auto"/>
          <w:sz w:val="40"/>
          <w:szCs w:val="40"/>
          <w:highlight w:val="none"/>
        </w:rPr>
        <w:t>项目编号：</w:t>
      </w:r>
      <w:r>
        <w:rPr>
          <w:rFonts w:hint="eastAsia" w:ascii="宋体" w:hAnsi="宋体" w:cs="宋体"/>
          <w:b/>
          <w:color w:val="auto"/>
          <w:sz w:val="40"/>
          <w:szCs w:val="40"/>
          <w:highlight w:val="none"/>
          <w:lang w:eastAsia="zh-CN"/>
        </w:rPr>
        <w:t>XJHM-(CG)ZB-202</w:t>
      </w:r>
      <w:r>
        <w:rPr>
          <w:rFonts w:hint="eastAsia" w:ascii="宋体" w:hAnsi="宋体" w:cs="宋体"/>
          <w:b/>
          <w:color w:val="auto"/>
          <w:sz w:val="40"/>
          <w:szCs w:val="40"/>
          <w:highlight w:val="none"/>
          <w:lang w:val="en-US" w:eastAsia="zh-CN"/>
        </w:rPr>
        <w:t>5</w:t>
      </w:r>
      <w:r>
        <w:rPr>
          <w:rFonts w:hint="eastAsia" w:ascii="宋体" w:hAnsi="宋体" w:cs="宋体"/>
          <w:b/>
          <w:color w:val="auto"/>
          <w:sz w:val="40"/>
          <w:szCs w:val="40"/>
          <w:highlight w:val="none"/>
          <w:lang w:eastAsia="zh-CN"/>
        </w:rPr>
        <w:t>-0</w:t>
      </w:r>
      <w:r>
        <w:rPr>
          <w:rFonts w:hint="eastAsia" w:ascii="宋体" w:hAnsi="宋体" w:cs="宋体"/>
          <w:b/>
          <w:color w:val="auto"/>
          <w:sz w:val="40"/>
          <w:szCs w:val="40"/>
          <w:highlight w:val="none"/>
          <w:lang w:val="en-US" w:eastAsia="zh-CN"/>
        </w:rPr>
        <w:t>03</w:t>
      </w:r>
    </w:p>
    <w:p w14:paraId="11AB88E2">
      <w:pPr>
        <w:pStyle w:val="6"/>
        <w:rPr>
          <w:rFonts w:hint="eastAsia" w:ascii="宋体" w:hAnsi="宋体" w:eastAsia="宋体" w:cs="宋体"/>
          <w:color w:val="auto"/>
          <w:highlight w:val="none"/>
        </w:rPr>
      </w:pPr>
    </w:p>
    <w:p w14:paraId="1394A179">
      <w:pPr>
        <w:pStyle w:val="6"/>
        <w:rPr>
          <w:rFonts w:hint="eastAsia" w:ascii="宋体" w:hAnsi="宋体" w:eastAsia="宋体" w:cs="宋体"/>
          <w:color w:val="auto"/>
          <w:highlight w:val="none"/>
        </w:rPr>
      </w:pPr>
    </w:p>
    <w:p w14:paraId="528A3C12">
      <w:pPr>
        <w:spacing w:line="240" w:lineRule="atLeast"/>
        <w:jc w:val="center"/>
        <w:outlineLvl w:val="0"/>
        <w:rPr>
          <w:rFonts w:hint="eastAsia" w:ascii="宋体" w:hAnsi="宋体" w:eastAsia="宋体" w:cs="宋体"/>
          <w:b/>
          <w:color w:val="auto"/>
          <w:sz w:val="40"/>
          <w:szCs w:val="40"/>
          <w:highlight w:val="none"/>
        </w:rPr>
      </w:pPr>
      <w:bookmarkStart w:id="844" w:name="_Toc8381"/>
      <w:bookmarkStart w:id="845" w:name="_Toc17537"/>
      <w:bookmarkStart w:id="846" w:name="_Toc7062"/>
      <w:bookmarkStart w:id="847" w:name="_Toc22799"/>
      <w:bookmarkStart w:id="848" w:name="_Toc25236"/>
      <w:bookmarkStart w:id="849" w:name="_Toc11428"/>
      <w:bookmarkStart w:id="850" w:name="_Toc20854"/>
      <w:bookmarkStart w:id="851" w:name="_Toc4522"/>
      <w:bookmarkStart w:id="852" w:name="_Toc16427"/>
      <w:bookmarkStart w:id="853" w:name="_Toc5580"/>
      <w:bookmarkStart w:id="854" w:name="_Toc10296"/>
      <w:bookmarkStart w:id="855" w:name="_Toc25543"/>
      <w:bookmarkStart w:id="856" w:name="_Toc997"/>
      <w:bookmarkStart w:id="857" w:name="_Toc30135"/>
      <w:bookmarkStart w:id="858" w:name="_Toc28750"/>
      <w:bookmarkStart w:id="859" w:name="_Toc8709"/>
      <w:bookmarkStart w:id="860" w:name="_Toc29605"/>
      <w:bookmarkStart w:id="861" w:name="_Toc24544"/>
      <w:r>
        <w:rPr>
          <w:rFonts w:hint="eastAsia" w:ascii="宋体" w:hAnsi="宋体" w:eastAsia="宋体" w:cs="宋体"/>
          <w:b/>
          <w:color w:val="auto"/>
          <w:sz w:val="40"/>
          <w:szCs w:val="40"/>
          <w:highlight w:val="none"/>
        </w:rPr>
        <w:t>第 三 册</w:t>
      </w:r>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p>
    <w:p w14:paraId="4EA0F96D">
      <w:pPr>
        <w:spacing w:line="240" w:lineRule="atLeast"/>
        <w:jc w:val="center"/>
        <w:rPr>
          <w:rFonts w:hint="eastAsia" w:ascii="宋体" w:hAnsi="宋体" w:eastAsia="宋体" w:cs="宋体"/>
          <w:b/>
          <w:color w:val="auto"/>
          <w:sz w:val="32"/>
          <w:highlight w:val="none"/>
        </w:rPr>
      </w:pPr>
    </w:p>
    <w:p w14:paraId="0667F568">
      <w:pPr>
        <w:spacing w:line="240" w:lineRule="atLeast"/>
        <w:ind w:left="1080" w:leftChars="257" w:hanging="540"/>
        <w:jc w:val="center"/>
        <w:rPr>
          <w:rFonts w:hint="eastAsia" w:ascii="宋体" w:hAnsi="宋体" w:eastAsia="宋体" w:cs="宋体"/>
          <w:b/>
          <w:color w:val="auto"/>
          <w:sz w:val="52"/>
          <w:highlight w:val="none"/>
        </w:rPr>
      </w:pPr>
    </w:p>
    <w:p w14:paraId="49AA88C9">
      <w:pPr>
        <w:spacing w:line="240" w:lineRule="atLeast"/>
        <w:ind w:left="1080" w:leftChars="257" w:hanging="540"/>
        <w:jc w:val="center"/>
        <w:rPr>
          <w:rFonts w:hint="eastAsia" w:ascii="宋体" w:hAnsi="宋体" w:eastAsia="宋体" w:cs="宋体"/>
          <w:b/>
          <w:color w:val="auto"/>
          <w:sz w:val="52"/>
          <w:highlight w:val="none"/>
        </w:rPr>
      </w:pPr>
    </w:p>
    <w:p w14:paraId="14BCE02B">
      <w:pPr>
        <w:spacing w:line="240" w:lineRule="atLeast"/>
        <w:ind w:left="1080" w:leftChars="257" w:hanging="540"/>
        <w:jc w:val="center"/>
        <w:rPr>
          <w:rFonts w:hint="eastAsia" w:ascii="宋体" w:hAnsi="宋体" w:eastAsia="宋体" w:cs="宋体"/>
          <w:b/>
          <w:color w:val="auto"/>
          <w:sz w:val="52"/>
          <w:highlight w:val="none"/>
        </w:rPr>
      </w:pPr>
    </w:p>
    <w:p w14:paraId="7E8E3912">
      <w:pPr>
        <w:pStyle w:val="6"/>
        <w:rPr>
          <w:rFonts w:hint="eastAsia" w:ascii="宋体" w:hAnsi="宋体" w:eastAsia="宋体" w:cs="宋体"/>
          <w:b/>
          <w:color w:val="auto"/>
          <w:sz w:val="52"/>
          <w:highlight w:val="none"/>
        </w:rPr>
      </w:pPr>
    </w:p>
    <w:p w14:paraId="73C2911D">
      <w:pPr>
        <w:pStyle w:val="6"/>
        <w:rPr>
          <w:rFonts w:hint="eastAsia" w:ascii="宋体" w:hAnsi="宋体" w:eastAsia="宋体" w:cs="宋体"/>
          <w:b/>
          <w:color w:val="auto"/>
          <w:sz w:val="52"/>
          <w:highlight w:val="none"/>
        </w:rPr>
      </w:pPr>
    </w:p>
    <w:p w14:paraId="26C9AA82">
      <w:pPr>
        <w:pStyle w:val="6"/>
        <w:rPr>
          <w:rFonts w:hint="eastAsia" w:ascii="宋体" w:hAnsi="宋体" w:eastAsia="宋体" w:cs="宋体"/>
          <w:b/>
          <w:color w:val="auto"/>
          <w:sz w:val="52"/>
          <w:highlight w:val="none"/>
        </w:rPr>
      </w:pPr>
    </w:p>
    <w:p w14:paraId="4853E50D">
      <w:pPr>
        <w:spacing w:line="240" w:lineRule="atLeast"/>
        <w:jc w:val="both"/>
        <w:rPr>
          <w:rFonts w:hint="eastAsia" w:ascii="宋体" w:hAnsi="宋体" w:eastAsia="宋体" w:cs="宋体"/>
          <w:b/>
          <w:color w:val="auto"/>
          <w:sz w:val="52"/>
          <w:highlight w:val="none"/>
        </w:rPr>
        <w:sectPr>
          <w:headerReference r:id="rId9" w:type="default"/>
          <w:pgSz w:w="11907" w:h="16840"/>
          <w:pgMar w:top="1474" w:right="1814" w:bottom="1474" w:left="1814" w:header="851" w:footer="851" w:gutter="0"/>
          <w:pgNumType w:fmt="decimal"/>
          <w:cols w:space="720" w:num="1"/>
          <w:docGrid w:linePitch="462" w:charSpace="0"/>
        </w:sectPr>
      </w:pPr>
    </w:p>
    <w:bookmarkEnd w:id="843"/>
    <w:p w14:paraId="0B127D05">
      <w:pPr>
        <w:pStyle w:val="2"/>
        <w:rPr>
          <w:rFonts w:hint="eastAsia" w:ascii="宋体" w:hAnsi="宋体" w:eastAsia="宋体" w:cs="宋体"/>
          <w:color w:val="auto"/>
          <w:highlight w:val="none"/>
        </w:rPr>
      </w:pPr>
      <w:bookmarkStart w:id="862" w:name="_Toc12089"/>
      <w:bookmarkStart w:id="863" w:name="_Toc6865"/>
      <w:bookmarkStart w:id="864" w:name="_Toc32068"/>
      <w:bookmarkStart w:id="865" w:name="_Toc18466"/>
      <w:bookmarkStart w:id="866" w:name="_Toc4796"/>
      <w:bookmarkStart w:id="867" w:name="_Toc515647833"/>
      <w:r>
        <w:rPr>
          <w:rFonts w:hint="eastAsia" w:ascii="宋体" w:hAnsi="宋体" w:eastAsia="宋体" w:cs="宋体"/>
          <w:color w:val="auto"/>
          <w:highlight w:val="none"/>
        </w:rPr>
        <w:t>第7章 合</w:t>
      </w:r>
      <w:r>
        <w:rPr>
          <w:rFonts w:hint="eastAsia" w:hAnsi="宋体" w:cs="宋体"/>
          <w:color w:val="auto"/>
          <w:highlight w:val="none"/>
          <w:lang w:val="en-US" w:eastAsia="zh-CN"/>
        </w:rPr>
        <w:t xml:space="preserve">  </w:t>
      </w:r>
      <w:r>
        <w:rPr>
          <w:rFonts w:hint="eastAsia" w:ascii="宋体" w:hAnsi="宋体" w:eastAsia="宋体" w:cs="宋体"/>
          <w:color w:val="auto"/>
          <w:highlight w:val="none"/>
        </w:rPr>
        <w:t>同</w:t>
      </w:r>
      <w:bookmarkEnd w:id="862"/>
      <w:bookmarkEnd w:id="863"/>
      <w:bookmarkEnd w:id="864"/>
      <w:bookmarkEnd w:id="865"/>
      <w:bookmarkEnd w:id="866"/>
      <w:bookmarkEnd w:id="867"/>
      <w:bookmarkStart w:id="868" w:name="_Hlt487972895"/>
      <w:bookmarkEnd w:id="868"/>
      <w:bookmarkStart w:id="869" w:name="_Toc487900382"/>
      <w:bookmarkStart w:id="870" w:name="_Toc216513788"/>
    </w:p>
    <w:bookmarkEnd w:id="869"/>
    <w:bookmarkEnd w:id="870"/>
    <w:p w14:paraId="5A448917">
      <w:pPr>
        <w:rPr>
          <w:rFonts w:hint="eastAsia" w:ascii="宋体" w:hAnsi="宋体" w:eastAsia="宋体" w:cs="宋体"/>
          <w:color w:val="auto"/>
          <w:highlight w:val="none"/>
        </w:rPr>
      </w:pPr>
    </w:p>
    <w:p w14:paraId="35422A4B">
      <w:pPr>
        <w:adjustRightInd w:val="0"/>
        <w:snapToGrid w:val="0"/>
        <w:spacing w:line="360" w:lineRule="auto"/>
        <w:jc w:val="center"/>
        <w:outlineLvl w:val="9"/>
        <w:rPr>
          <w:rFonts w:hint="eastAsia" w:ascii="宋体" w:hAnsi="宋体" w:eastAsia="宋体" w:cs="宋体"/>
          <w:b/>
          <w:bCs/>
          <w:color w:val="auto"/>
          <w:sz w:val="24"/>
          <w:szCs w:val="24"/>
          <w:highlight w:val="none"/>
          <w:lang w:eastAsia="zh-CN"/>
        </w:rPr>
      </w:pPr>
      <w:bookmarkStart w:id="871" w:name="_Toc331685783"/>
      <w:r>
        <w:rPr>
          <w:rFonts w:hint="eastAsia" w:ascii="宋体" w:hAnsi="宋体" w:eastAsia="宋体" w:cs="宋体"/>
          <w:b/>
          <w:bCs/>
          <w:color w:val="auto"/>
          <w:sz w:val="24"/>
          <w:szCs w:val="24"/>
          <w:highlight w:val="none"/>
        </w:rPr>
        <w:t>《建设工程施工合同（示范文本）》</w:t>
      </w:r>
      <w:r>
        <w:rPr>
          <w:rFonts w:hint="eastAsia" w:ascii="宋体" w:hAnsi="宋体" w:eastAsia="宋体" w:cs="宋体"/>
          <w:b/>
          <w:bCs/>
          <w:color w:val="auto"/>
          <w:sz w:val="24"/>
          <w:szCs w:val="24"/>
          <w:highlight w:val="none"/>
          <w:lang w:eastAsia="zh-CN"/>
        </w:rPr>
        <w:t>仅供参考</w:t>
      </w:r>
    </w:p>
    <w:p w14:paraId="2D5CB0B0">
      <w:pPr>
        <w:adjustRightInd w:val="0"/>
        <w:snapToGrid w:val="0"/>
        <w:spacing w:line="360" w:lineRule="auto"/>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第一部分 合同协议书</w:t>
      </w:r>
    </w:p>
    <w:p w14:paraId="5A00FC09">
      <w:pPr>
        <w:spacing w:line="360" w:lineRule="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发包人（采购人）：</w:t>
      </w:r>
      <w:r>
        <w:rPr>
          <w:rFonts w:hint="eastAsia" w:ascii="宋体" w:hAnsi="宋体" w:eastAsia="宋体" w:cs="宋体"/>
          <w:color w:val="auto"/>
          <w:sz w:val="24"/>
          <w:szCs w:val="24"/>
          <w:highlight w:val="none"/>
          <w:u w:val="single"/>
        </w:rPr>
        <w:t>                          </w:t>
      </w:r>
    </w:p>
    <w:p w14:paraId="6F2D63A3">
      <w:pPr>
        <w:spacing w:line="360" w:lineRule="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承包人（成交供应商）：</w:t>
      </w:r>
      <w:r>
        <w:rPr>
          <w:rFonts w:hint="eastAsia" w:ascii="宋体" w:hAnsi="宋体" w:eastAsia="宋体" w:cs="宋体"/>
          <w:color w:val="auto"/>
          <w:sz w:val="24"/>
          <w:szCs w:val="24"/>
          <w:highlight w:val="none"/>
          <w:u w:val="single"/>
        </w:rPr>
        <w:t>                      </w:t>
      </w:r>
    </w:p>
    <w:p w14:paraId="45D41C36">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w:t>
      </w:r>
      <w:r>
        <w:rPr>
          <w:rFonts w:hint="eastAsia" w:ascii="宋体" w:hAnsi="宋体" w:eastAsia="宋体" w:cs="宋体"/>
          <w:color w:val="auto"/>
          <w:sz w:val="24"/>
          <w:szCs w:val="24"/>
          <w:highlight w:val="none"/>
          <w:lang w:eastAsia="zh-CN"/>
        </w:rPr>
        <w:t>民法典</w:t>
      </w:r>
      <w:r>
        <w:rPr>
          <w:rFonts w:hint="eastAsia" w:ascii="宋体" w:hAnsi="宋体" w:eastAsia="宋体" w:cs="宋体"/>
          <w:color w:val="auto"/>
          <w:sz w:val="24"/>
          <w:szCs w:val="24"/>
          <w:highlight w:val="none"/>
        </w:rPr>
        <w:t>》、《中华人民共和国建筑法》及有关法律规定，遵循平等、自愿、公平和诚实信用的原则，双方就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工程施工及有关事项协商一致，共同达成如下协议：</w:t>
      </w:r>
    </w:p>
    <w:p w14:paraId="300F31D0">
      <w:pPr>
        <w:spacing w:line="360" w:lineRule="auto"/>
        <w:ind w:firstLine="480" w:firstLineChars="200"/>
        <w:outlineLvl w:val="9"/>
        <w:rPr>
          <w:rFonts w:hint="eastAsia" w:ascii="宋体" w:hAnsi="宋体" w:eastAsia="宋体" w:cs="宋体"/>
          <w:bCs/>
          <w:color w:val="auto"/>
          <w:sz w:val="24"/>
          <w:szCs w:val="24"/>
          <w:highlight w:val="none"/>
        </w:rPr>
      </w:pPr>
      <w:bookmarkStart w:id="872" w:name="_Toc351203481"/>
      <w:r>
        <w:rPr>
          <w:rFonts w:hint="eastAsia" w:ascii="宋体" w:hAnsi="宋体" w:eastAsia="宋体" w:cs="宋体"/>
          <w:color w:val="auto"/>
          <w:sz w:val="24"/>
          <w:szCs w:val="24"/>
          <w:highlight w:val="none"/>
        </w:rPr>
        <w:t>一、工程概况</w:t>
      </w:r>
      <w:bookmarkEnd w:id="872"/>
    </w:p>
    <w:p w14:paraId="2FDFBBD7">
      <w:pPr>
        <w:spacing w:line="360" w:lineRule="auto"/>
        <w:ind w:firstLine="470" w:firstLineChars="196"/>
        <w:outlineLvl w:val="9"/>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1.工程名称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41E98EF5">
      <w:pPr>
        <w:spacing w:line="360" w:lineRule="auto"/>
        <w:ind w:firstLine="470" w:firstLineChars="196"/>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2.工程地点：</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6BEA0FC2">
      <w:pPr>
        <w:spacing w:line="360" w:lineRule="auto"/>
        <w:ind w:firstLine="470" w:firstLineChars="196"/>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3.工程立项批准文号：</w:t>
      </w:r>
      <w:r>
        <w:rPr>
          <w:rFonts w:hint="eastAsia" w:ascii="宋体" w:hAnsi="宋体" w:eastAsia="宋体" w:cs="宋体"/>
          <w:color w:val="auto"/>
          <w:sz w:val="24"/>
          <w:szCs w:val="24"/>
          <w:highlight w:val="none"/>
          <w:u w:val="single"/>
        </w:rPr>
        <w:t xml:space="preserve">       </w:t>
      </w:r>
      <w:r>
        <w:rPr>
          <w:rFonts w:hint="eastAsia" w:ascii="宋体" w:hAnsi="宋体" w:eastAsia="宋体" w:cs="宋体"/>
          <w:bCs/>
          <w:color w:val="auto"/>
          <w:sz w:val="24"/>
          <w:szCs w:val="24"/>
          <w:highlight w:val="none"/>
        </w:rPr>
        <w:t>。</w:t>
      </w:r>
    </w:p>
    <w:p w14:paraId="74735433">
      <w:pPr>
        <w:spacing w:line="360" w:lineRule="auto"/>
        <w:ind w:firstLine="470" w:firstLineChars="196"/>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4.资金来源：</w:t>
      </w:r>
      <w:r>
        <w:rPr>
          <w:rFonts w:hint="eastAsia" w:ascii="宋体" w:hAnsi="宋体" w:eastAsia="宋体" w:cs="宋体"/>
          <w:color w:val="auto"/>
          <w:sz w:val="24"/>
          <w:szCs w:val="24"/>
          <w:highlight w:val="none"/>
          <w:u w:val="single"/>
        </w:rPr>
        <w:t xml:space="preserve">       </w:t>
      </w:r>
      <w:r>
        <w:rPr>
          <w:rFonts w:hint="eastAsia" w:ascii="宋体" w:hAnsi="宋体" w:eastAsia="宋体" w:cs="宋体"/>
          <w:bCs/>
          <w:color w:val="auto"/>
          <w:sz w:val="24"/>
          <w:szCs w:val="24"/>
          <w:highlight w:val="none"/>
        </w:rPr>
        <w:t>。</w:t>
      </w:r>
    </w:p>
    <w:p w14:paraId="72037B81">
      <w:pPr>
        <w:spacing w:line="360" w:lineRule="auto"/>
        <w:ind w:firstLine="470" w:firstLineChars="196"/>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5.工程内容：</w:t>
      </w:r>
      <w:r>
        <w:rPr>
          <w:rFonts w:hint="eastAsia" w:ascii="宋体" w:hAnsi="宋体" w:eastAsia="宋体" w:cs="宋体"/>
          <w:color w:val="auto"/>
          <w:sz w:val="24"/>
          <w:szCs w:val="24"/>
          <w:highlight w:val="none"/>
          <w:u w:val="single"/>
        </w:rPr>
        <w:t xml:space="preserve">       </w:t>
      </w:r>
      <w:r>
        <w:rPr>
          <w:rFonts w:hint="eastAsia" w:ascii="宋体" w:hAnsi="宋体" w:eastAsia="宋体" w:cs="宋体"/>
          <w:bCs/>
          <w:color w:val="auto"/>
          <w:sz w:val="24"/>
          <w:szCs w:val="24"/>
          <w:highlight w:val="none"/>
        </w:rPr>
        <w:t>。</w:t>
      </w:r>
    </w:p>
    <w:p w14:paraId="012FFDCE">
      <w:pPr>
        <w:spacing w:line="360" w:lineRule="auto"/>
        <w:ind w:firstLine="470" w:firstLineChars="196"/>
        <w:outlineLvl w:val="9"/>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群体工程应附《承包人承揽工程项目一览表》（附件1）。</w:t>
      </w:r>
    </w:p>
    <w:p w14:paraId="0C43AB2A">
      <w:pPr>
        <w:spacing w:line="360" w:lineRule="auto"/>
        <w:ind w:firstLine="470" w:firstLineChars="196"/>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6.工程承包范围：</w:t>
      </w:r>
    </w:p>
    <w:p w14:paraId="0A623AAE">
      <w:pPr>
        <w:spacing w:line="360" w:lineRule="auto"/>
        <w:ind w:firstLine="463" w:firstLineChars="193"/>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w:t>
      </w:r>
    </w:p>
    <w:p w14:paraId="551EE12E">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09F8B68C">
      <w:pPr>
        <w:spacing w:line="360" w:lineRule="auto"/>
        <w:ind w:firstLine="480" w:firstLineChars="200"/>
        <w:outlineLvl w:val="9"/>
        <w:rPr>
          <w:rFonts w:hint="eastAsia" w:ascii="宋体" w:hAnsi="宋体" w:eastAsia="宋体" w:cs="宋体"/>
          <w:color w:val="auto"/>
          <w:sz w:val="24"/>
          <w:szCs w:val="24"/>
          <w:highlight w:val="none"/>
        </w:rPr>
      </w:pPr>
      <w:bookmarkStart w:id="873" w:name="_Toc351203482"/>
      <w:r>
        <w:rPr>
          <w:rFonts w:hint="eastAsia" w:ascii="宋体" w:hAnsi="宋体" w:eastAsia="宋体" w:cs="宋体"/>
          <w:color w:val="auto"/>
          <w:sz w:val="24"/>
          <w:szCs w:val="24"/>
          <w:highlight w:val="none"/>
        </w:rPr>
        <w:t>二、合同工期</w:t>
      </w:r>
      <w:bookmarkEnd w:id="873"/>
    </w:p>
    <w:p w14:paraId="124F6E77">
      <w:pPr>
        <w:spacing w:line="360" w:lineRule="auto"/>
        <w:ind w:firstLine="459"/>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计划开工日期：</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日。</w:t>
      </w:r>
    </w:p>
    <w:p w14:paraId="3A98539D">
      <w:pPr>
        <w:spacing w:line="360" w:lineRule="auto"/>
        <w:ind w:firstLine="459"/>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计划竣工日期：</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日。</w:t>
      </w:r>
    </w:p>
    <w:p w14:paraId="353D72EA">
      <w:pPr>
        <w:spacing w:line="360" w:lineRule="auto"/>
        <w:ind w:firstLine="459"/>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工期总日历天数：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天。工期总日历天数与根据前述计划开竣工日期计算的工期天数不一致的，以工期总日历天数为准。</w:t>
      </w:r>
    </w:p>
    <w:p w14:paraId="479290B0">
      <w:pPr>
        <w:spacing w:line="360" w:lineRule="auto"/>
        <w:ind w:firstLine="480" w:firstLineChars="200"/>
        <w:outlineLvl w:val="9"/>
        <w:rPr>
          <w:rFonts w:hint="eastAsia" w:ascii="宋体" w:hAnsi="宋体" w:eastAsia="宋体" w:cs="宋体"/>
          <w:bCs/>
          <w:color w:val="auto"/>
          <w:sz w:val="24"/>
          <w:szCs w:val="24"/>
          <w:highlight w:val="none"/>
        </w:rPr>
      </w:pPr>
      <w:bookmarkStart w:id="874" w:name="_Toc351203483"/>
      <w:r>
        <w:rPr>
          <w:rFonts w:hint="eastAsia" w:ascii="宋体" w:hAnsi="宋体" w:eastAsia="宋体" w:cs="宋体"/>
          <w:color w:val="auto"/>
          <w:sz w:val="24"/>
          <w:szCs w:val="24"/>
          <w:highlight w:val="none"/>
        </w:rPr>
        <w:t>三、质量标准</w:t>
      </w:r>
      <w:bookmarkEnd w:id="874"/>
    </w:p>
    <w:p w14:paraId="26032EB8">
      <w:pPr>
        <w:spacing w:line="360" w:lineRule="auto"/>
        <w:ind w:firstLine="459"/>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工程质量符合</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标准。</w:t>
      </w:r>
    </w:p>
    <w:p w14:paraId="6D40D597">
      <w:pPr>
        <w:spacing w:line="360" w:lineRule="auto"/>
        <w:ind w:firstLine="480" w:firstLineChars="200"/>
        <w:outlineLvl w:val="9"/>
        <w:rPr>
          <w:rFonts w:hint="eastAsia" w:ascii="宋体" w:hAnsi="宋体" w:eastAsia="宋体" w:cs="宋体"/>
          <w:bCs/>
          <w:color w:val="auto"/>
          <w:sz w:val="24"/>
          <w:szCs w:val="24"/>
          <w:highlight w:val="none"/>
        </w:rPr>
      </w:pPr>
      <w:bookmarkStart w:id="875" w:name="_Toc351203484"/>
      <w:r>
        <w:rPr>
          <w:rFonts w:hint="eastAsia" w:ascii="宋体" w:hAnsi="宋体" w:eastAsia="宋体" w:cs="宋体"/>
          <w:color w:val="auto"/>
          <w:sz w:val="24"/>
          <w:szCs w:val="24"/>
          <w:highlight w:val="none"/>
        </w:rPr>
        <w:t>四、签约合同价与合同价格形式</w:t>
      </w:r>
      <w:bookmarkEnd w:id="875"/>
      <w:r>
        <w:rPr>
          <w:rFonts w:hint="eastAsia" w:ascii="宋体" w:hAnsi="宋体" w:eastAsia="宋体" w:cs="宋体"/>
          <w:color w:val="auto"/>
          <w:sz w:val="24"/>
          <w:szCs w:val="24"/>
          <w:highlight w:val="none"/>
        </w:rPr>
        <w:tab/>
      </w:r>
    </w:p>
    <w:p w14:paraId="594CB6E7">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1.签约合同价为：</w:t>
      </w:r>
    </w:p>
    <w:p w14:paraId="4EACEFB3">
      <w:pPr>
        <w:spacing w:line="360" w:lineRule="auto"/>
        <w:ind w:firstLine="600" w:firstLineChars="2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5E055C03">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2.合同价格形式：</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4FD556DB">
      <w:pPr>
        <w:spacing w:line="360" w:lineRule="auto"/>
        <w:ind w:firstLine="480" w:firstLineChars="200"/>
        <w:outlineLvl w:val="9"/>
        <w:rPr>
          <w:rFonts w:hint="eastAsia" w:ascii="宋体" w:hAnsi="宋体" w:eastAsia="宋体" w:cs="宋体"/>
          <w:color w:val="auto"/>
          <w:sz w:val="24"/>
          <w:szCs w:val="24"/>
          <w:highlight w:val="none"/>
        </w:rPr>
      </w:pPr>
      <w:bookmarkStart w:id="876" w:name="_Toc351203485"/>
      <w:r>
        <w:rPr>
          <w:rFonts w:hint="eastAsia" w:ascii="宋体" w:hAnsi="宋体" w:eastAsia="宋体" w:cs="宋体"/>
          <w:color w:val="auto"/>
          <w:sz w:val="24"/>
          <w:szCs w:val="24"/>
          <w:highlight w:val="none"/>
        </w:rPr>
        <w:t>五、</w:t>
      </w:r>
      <w:bookmarkEnd w:id="876"/>
      <w:r>
        <w:rPr>
          <w:rFonts w:hint="eastAsia" w:ascii="宋体" w:hAnsi="宋体" w:eastAsia="宋体" w:cs="宋体"/>
          <w:color w:val="auto"/>
          <w:sz w:val="24"/>
          <w:szCs w:val="24"/>
          <w:highlight w:val="none"/>
        </w:rPr>
        <w:t>项目经理</w:t>
      </w:r>
    </w:p>
    <w:p w14:paraId="524F6728">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承包人项目经理：</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2F6FE151">
      <w:pPr>
        <w:spacing w:line="360" w:lineRule="auto"/>
        <w:ind w:firstLine="480" w:firstLineChars="200"/>
        <w:outlineLvl w:val="9"/>
        <w:rPr>
          <w:rFonts w:hint="eastAsia" w:ascii="宋体" w:hAnsi="宋体" w:eastAsia="宋体" w:cs="宋体"/>
          <w:bCs/>
          <w:color w:val="auto"/>
          <w:sz w:val="24"/>
          <w:szCs w:val="24"/>
          <w:highlight w:val="none"/>
        </w:rPr>
      </w:pPr>
      <w:bookmarkStart w:id="877" w:name="_Toc351203486"/>
      <w:r>
        <w:rPr>
          <w:rFonts w:hint="eastAsia" w:ascii="宋体" w:hAnsi="宋体" w:eastAsia="宋体" w:cs="宋体"/>
          <w:color w:val="auto"/>
          <w:sz w:val="24"/>
          <w:szCs w:val="24"/>
          <w:highlight w:val="none"/>
        </w:rPr>
        <w:t>六、合同文件构成</w:t>
      </w:r>
      <w:bookmarkEnd w:id="877"/>
    </w:p>
    <w:p w14:paraId="3513593F">
      <w:pPr>
        <w:spacing w:line="360" w:lineRule="auto"/>
        <w:ind w:firstLine="480" w:firstLineChars="2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本协议书与下列文件一起构成合同文件：</w:t>
      </w:r>
    </w:p>
    <w:p w14:paraId="3785F27E">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（1）成交通知书；</w:t>
      </w:r>
    </w:p>
    <w:p w14:paraId="1653A1A2">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（2）报价函及其附录； </w:t>
      </w:r>
    </w:p>
    <w:p w14:paraId="22746D89">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（3）专用合同条款及其附件；</w:t>
      </w:r>
    </w:p>
    <w:p w14:paraId="0939E800">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（4）通用合同条款；</w:t>
      </w:r>
    </w:p>
    <w:p w14:paraId="52A2BB1A">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（5）技术标准和要求；</w:t>
      </w:r>
    </w:p>
    <w:p w14:paraId="530D2405">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（6）图纸；</w:t>
      </w:r>
    </w:p>
    <w:p w14:paraId="4F7F9C55">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（7）已标价工程量清单或预算书；</w:t>
      </w:r>
    </w:p>
    <w:p w14:paraId="2A6B4FF8">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（8）其他合同文件。</w:t>
      </w:r>
    </w:p>
    <w:p w14:paraId="315FFA3B">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w:t>
      </w:r>
    </w:p>
    <w:p w14:paraId="1CCA24EF">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392A0D83">
      <w:pPr>
        <w:spacing w:line="360" w:lineRule="auto"/>
        <w:ind w:firstLine="480" w:firstLineChars="200"/>
        <w:outlineLvl w:val="9"/>
        <w:rPr>
          <w:rFonts w:hint="eastAsia" w:ascii="宋体" w:hAnsi="宋体" w:eastAsia="宋体" w:cs="宋体"/>
          <w:bCs/>
          <w:color w:val="auto"/>
          <w:sz w:val="24"/>
          <w:szCs w:val="24"/>
          <w:highlight w:val="none"/>
        </w:rPr>
      </w:pPr>
      <w:bookmarkStart w:id="878" w:name="_Toc351203487"/>
      <w:r>
        <w:rPr>
          <w:rFonts w:hint="eastAsia" w:ascii="宋体" w:hAnsi="宋体" w:eastAsia="宋体" w:cs="宋体"/>
          <w:color w:val="auto"/>
          <w:sz w:val="24"/>
          <w:szCs w:val="24"/>
          <w:highlight w:val="none"/>
        </w:rPr>
        <w:t>七、承诺</w:t>
      </w:r>
      <w:bookmarkEnd w:id="878"/>
    </w:p>
    <w:p w14:paraId="478A8FD4">
      <w:pPr>
        <w:spacing w:line="360" w:lineRule="auto"/>
        <w:ind w:firstLine="480" w:firstLineChars="2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1.发包人承诺按照法律规定履行项目审批手续、筹集工程建设资金并按照合同约定的期限和方式支付合同价款。</w:t>
      </w:r>
    </w:p>
    <w:p w14:paraId="5E6096FB">
      <w:pPr>
        <w:spacing w:line="360" w:lineRule="auto"/>
        <w:ind w:firstLine="480" w:firstLineChars="2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14:paraId="1E9002CA">
      <w:pPr>
        <w:spacing w:line="360" w:lineRule="auto"/>
        <w:ind w:firstLine="480" w:firstLineChars="2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3.发包人和承包人通过竞争性谈判形式确定合作关系并签订合同，双方理解并承诺不再就同一工程另行签订与合同实质性内容相背离的协议。</w:t>
      </w:r>
    </w:p>
    <w:p w14:paraId="10B882CB">
      <w:pPr>
        <w:spacing w:line="360" w:lineRule="auto"/>
        <w:ind w:firstLine="480" w:firstLineChars="200"/>
        <w:outlineLvl w:val="9"/>
        <w:rPr>
          <w:rFonts w:hint="eastAsia" w:ascii="宋体" w:hAnsi="宋体" w:eastAsia="宋体" w:cs="宋体"/>
          <w:bCs/>
          <w:color w:val="auto"/>
          <w:sz w:val="24"/>
          <w:szCs w:val="24"/>
          <w:highlight w:val="none"/>
        </w:rPr>
      </w:pPr>
      <w:bookmarkStart w:id="879" w:name="_Toc351203488"/>
      <w:r>
        <w:rPr>
          <w:rFonts w:hint="eastAsia" w:ascii="宋体" w:hAnsi="宋体" w:eastAsia="宋体" w:cs="宋体"/>
          <w:color w:val="auto"/>
          <w:sz w:val="24"/>
          <w:szCs w:val="24"/>
          <w:highlight w:val="none"/>
        </w:rPr>
        <w:t>八、词语含义</w:t>
      </w:r>
      <w:bookmarkEnd w:id="879"/>
    </w:p>
    <w:p w14:paraId="4B388DAD">
      <w:pPr>
        <w:spacing w:line="360" w:lineRule="auto"/>
        <w:ind w:firstLine="480" w:firstLineChars="2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本协议书中词语含义与第二部分通用合同条款中赋予的含义相同。</w:t>
      </w:r>
    </w:p>
    <w:p w14:paraId="30A6B084">
      <w:pPr>
        <w:spacing w:line="360" w:lineRule="auto"/>
        <w:ind w:firstLine="480" w:firstLineChars="200"/>
        <w:outlineLvl w:val="9"/>
        <w:rPr>
          <w:rFonts w:hint="eastAsia" w:ascii="宋体" w:hAnsi="宋体" w:eastAsia="宋体" w:cs="宋体"/>
          <w:bCs/>
          <w:color w:val="auto"/>
          <w:sz w:val="24"/>
          <w:szCs w:val="24"/>
          <w:highlight w:val="none"/>
        </w:rPr>
      </w:pPr>
      <w:bookmarkStart w:id="880" w:name="_Toc351203489"/>
      <w:r>
        <w:rPr>
          <w:rFonts w:hint="eastAsia" w:ascii="宋体" w:hAnsi="宋体" w:eastAsia="宋体" w:cs="宋体"/>
          <w:color w:val="auto"/>
          <w:sz w:val="24"/>
          <w:szCs w:val="24"/>
          <w:highlight w:val="none"/>
        </w:rPr>
        <w:t>九、签订时间</w:t>
      </w:r>
      <w:bookmarkEnd w:id="880"/>
    </w:p>
    <w:p w14:paraId="2FB42D04">
      <w:pPr>
        <w:spacing w:line="360" w:lineRule="auto"/>
        <w:ind w:firstLine="480" w:firstLineChars="2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日签订。</w:t>
      </w:r>
    </w:p>
    <w:p w14:paraId="010565A1">
      <w:pPr>
        <w:spacing w:line="360" w:lineRule="auto"/>
        <w:ind w:firstLine="480" w:firstLineChars="200"/>
        <w:outlineLvl w:val="9"/>
        <w:rPr>
          <w:rFonts w:hint="eastAsia" w:ascii="宋体" w:hAnsi="宋体" w:eastAsia="宋体" w:cs="宋体"/>
          <w:bCs/>
          <w:color w:val="auto"/>
          <w:sz w:val="24"/>
          <w:szCs w:val="24"/>
          <w:highlight w:val="none"/>
        </w:rPr>
      </w:pPr>
      <w:bookmarkStart w:id="881" w:name="_Toc351203490"/>
      <w:r>
        <w:rPr>
          <w:rFonts w:hint="eastAsia" w:ascii="宋体" w:hAnsi="宋体" w:eastAsia="宋体" w:cs="宋体"/>
          <w:color w:val="auto"/>
          <w:sz w:val="24"/>
          <w:szCs w:val="24"/>
          <w:highlight w:val="none"/>
        </w:rPr>
        <w:t>十、签订地点</w:t>
      </w:r>
      <w:bookmarkEnd w:id="881"/>
    </w:p>
    <w:p w14:paraId="1BD3A120">
      <w:pPr>
        <w:spacing w:line="360" w:lineRule="auto"/>
        <w:ind w:firstLine="480" w:firstLineChars="2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签订。</w:t>
      </w:r>
    </w:p>
    <w:p w14:paraId="469BBA56">
      <w:pPr>
        <w:spacing w:line="360" w:lineRule="auto"/>
        <w:ind w:firstLine="480" w:firstLineChars="200"/>
        <w:outlineLvl w:val="9"/>
        <w:rPr>
          <w:rFonts w:hint="eastAsia" w:ascii="宋体" w:hAnsi="宋体" w:eastAsia="宋体" w:cs="宋体"/>
          <w:bCs/>
          <w:color w:val="auto"/>
          <w:sz w:val="24"/>
          <w:szCs w:val="24"/>
          <w:highlight w:val="none"/>
        </w:rPr>
      </w:pPr>
      <w:bookmarkStart w:id="882" w:name="_Toc351203491"/>
      <w:r>
        <w:rPr>
          <w:rFonts w:hint="eastAsia" w:ascii="宋体" w:hAnsi="宋体" w:eastAsia="宋体" w:cs="宋体"/>
          <w:color w:val="auto"/>
          <w:sz w:val="24"/>
          <w:szCs w:val="24"/>
          <w:highlight w:val="none"/>
        </w:rPr>
        <w:t>十一、补充协议</w:t>
      </w:r>
      <w:bookmarkEnd w:id="882"/>
    </w:p>
    <w:p w14:paraId="5C713F7A">
      <w:pPr>
        <w:spacing w:line="360" w:lineRule="auto"/>
        <w:ind w:firstLine="480" w:firstLineChars="2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合同未尽事宜，合同当事人另行签订补充协议，补充协议是合同的组成部分。</w:t>
      </w:r>
    </w:p>
    <w:p w14:paraId="700D70D7">
      <w:pPr>
        <w:spacing w:line="360" w:lineRule="auto"/>
        <w:ind w:firstLine="480" w:firstLineChars="200"/>
        <w:outlineLvl w:val="9"/>
        <w:rPr>
          <w:rFonts w:hint="eastAsia" w:ascii="宋体" w:hAnsi="宋体" w:eastAsia="宋体" w:cs="宋体"/>
          <w:color w:val="auto"/>
          <w:sz w:val="24"/>
          <w:szCs w:val="24"/>
          <w:highlight w:val="none"/>
        </w:rPr>
      </w:pPr>
      <w:bookmarkStart w:id="883" w:name="_Toc351203492"/>
      <w:r>
        <w:rPr>
          <w:rFonts w:hint="eastAsia" w:ascii="宋体" w:hAnsi="宋体" w:eastAsia="宋体" w:cs="宋体"/>
          <w:color w:val="auto"/>
          <w:sz w:val="24"/>
          <w:szCs w:val="24"/>
          <w:highlight w:val="none"/>
        </w:rPr>
        <w:t>十二、合同生效</w:t>
      </w:r>
      <w:bookmarkEnd w:id="883"/>
    </w:p>
    <w:p w14:paraId="6DCDC256">
      <w:pPr>
        <w:spacing w:line="360" w:lineRule="auto"/>
        <w:ind w:firstLine="480" w:firstLineChars="2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本合同自</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生效。</w:t>
      </w:r>
    </w:p>
    <w:p w14:paraId="4D7F74BA">
      <w:pPr>
        <w:spacing w:line="360" w:lineRule="auto"/>
        <w:ind w:firstLine="480" w:firstLineChars="200"/>
        <w:outlineLvl w:val="9"/>
        <w:rPr>
          <w:rFonts w:hint="eastAsia" w:ascii="宋体" w:hAnsi="宋体" w:eastAsia="宋体" w:cs="宋体"/>
          <w:color w:val="auto"/>
          <w:sz w:val="24"/>
          <w:szCs w:val="24"/>
          <w:highlight w:val="none"/>
        </w:rPr>
      </w:pPr>
      <w:bookmarkStart w:id="884" w:name="_Toc351203493"/>
      <w:r>
        <w:rPr>
          <w:rFonts w:hint="eastAsia" w:ascii="宋体" w:hAnsi="宋体" w:eastAsia="宋体" w:cs="宋体"/>
          <w:color w:val="auto"/>
          <w:sz w:val="24"/>
          <w:szCs w:val="24"/>
          <w:highlight w:val="none"/>
        </w:rPr>
        <w:t>十三、合同份数</w:t>
      </w:r>
      <w:bookmarkEnd w:id="884"/>
    </w:p>
    <w:p w14:paraId="079DD49A">
      <w:pPr>
        <w:spacing w:line="360" w:lineRule="auto"/>
        <w:ind w:firstLine="480" w:firstLineChars="200"/>
        <w:outlineLvl w:val="9"/>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rPr>
        <w:t>本合同一式</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份，均具有同等法律效力，发包人执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份，承包人执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w:t>
      </w:r>
      <w:r>
        <w:rPr>
          <w:rFonts w:hint="eastAsia" w:ascii="宋体" w:hAnsi="宋体" w:eastAsia="宋体" w:cs="宋体"/>
          <w:color w:val="auto"/>
          <w:sz w:val="24"/>
          <w:szCs w:val="24"/>
          <w:highlight w:val="none"/>
          <w:lang w:val="zh-CN"/>
        </w:rPr>
        <w:t>采购代理机构</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份</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市（县、区）财政部门</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份。</w:t>
      </w:r>
    </w:p>
    <w:p w14:paraId="08184650">
      <w:pPr>
        <w:pStyle w:val="9"/>
        <w:outlineLvl w:val="9"/>
        <w:rPr>
          <w:rFonts w:hint="eastAsia" w:ascii="宋体" w:hAnsi="宋体" w:eastAsia="宋体" w:cs="宋体"/>
          <w:color w:val="auto"/>
          <w:sz w:val="24"/>
          <w:szCs w:val="24"/>
          <w:highlight w:val="none"/>
          <w:lang w:val="zh-CN"/>
        </w:rPr>
      </w:pPr>
    </w:p>
    <w:p w14:paraId="4477971B">
      <w:pPr>
        <w:pStyle w:val="22"/>
        <w:outlineLvl w:val="9"/>
        <w:rPr>
          <w:rFonts w:hint="eastAsia" w:ascii="宋体" w:hAnsi="宋体" w:eastAsia="宋体" w:cs="宋体"/>
          <w:color w:val="auto"/>
          <w:sz w:val="24"/>
          <w:szCs w:val="24"/>
          <w:highlight w:val="none"/>
        </w:rPr>
      </w:pPr>
    </w:p>
    <w:p w14:paraId="369AF11A">
      <w:pPr>
        <w:spacing w:line="360" w:lineRule="auto"/>
        <w:ind w:left="424" w:leftChars="20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  (公章)             承包人：  (公章)</w:t>
      </w:r>
    </w:p>
    <w:p w14:paraId="073D78F7">
      <w:pPr>
        <w:spacing w:line="360" w:lineRule="auto"/>
        <w:ind w:left="424" w:leftChars="202"/>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p w14:paraId="6D7E79D4">
      <w:pPr>
        <w:spacing w:line="360" w:lineRule="auto"/>
        <w:ind w:left="424" w:leftChars="20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  法定代表人或其授权代表：</w:t>
      </w:r>
    </w:p>
    <w:p w14:paraId="4DDAE4D7">
      <w:pPr>
        <w:spacing w:line="360" w:lineRule="auto"/>
        <w:ind w:left="424" w:leftChars="20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                    （签字）</w:t>
      </w:r>
    </w:p>
    <w:p w14:paraId="0DB52FA0">
      <w:pPr>
        <w:spacing w:line="360" w:lineRule="auto"/>
        <w:ind w:left="424" w:leftChars="20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地  址：</w:t>
      </w:r>
      <w:r>
        <w:rPr>
          <w:rFonts w:hint="eastAsia" w:ascii="宋体" w:hAnsi="宋体" w:eastAsia="宋体" w:cs="宋体"/>
          <w:color w:val="auto"/>
          <w:sz w:val="24"/>
          <w:szCs w:val="24"/>
          <w:highlight w:val="none"/>
          <w:u w:val="single"/>
        </w:rPr>
        <w:t xml:space="preserve">       </w:t>
      </w:r>
    </w:p>
    <w:p w14:paraId="2A3D76FE">
      <w:pPr>
        <w:spacing w:line="360" w:lineRule="auto"/>
        <w:ind w:left="424" w:leftChars="20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t xml:space="preserve">   </w:t>
      </w:r>
    </w:p>
    <w:p w14:paraId="7412E042">
      <w:pPr>
        <w:spacing w:line="360" w:lineRule="auto"/>
        <w:ind w:left="424" w:leftChars="20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  话：</w:t>
      </w:r>
      <w:r>
        <w:rPr>
          <w:rFonts w:hint="eastAsia" w:ascii="宋体" w:hAnsi="宋体" w:eastAsia="宋体" w:cs="宋体"/>
          <w:color w:val="auto"/>
          <w:sz w:val="24"/>
          <w:szCs w:val="24"/>
          <w:highlight w:val="none"/>
          <w:u w:val="single"/>
        </w:rPr>
        <w:t xml:space="preserve">     </w:t>
      </w:r>
    </w:p>
    <w:p w14:paraId="552A2FB7">
      <w:pPr>
        <w:spacing w:line="360" w:lineRule="auto"/>
        <w:ind w:left="424" w:leftChars="20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  真：</w:t>
      </w:r>
      <w:r>
        <w:rPr>
          <w:rFonts w:hint="eastAsia" w:ascii="宋体" w:hAnsi="宋体" w:eastAsia="宋体" w:cs="宋体"/>
          <w:color w:val="auto"/>
          <w:sz w:val="24"/>
          <w:szCs w:val="24"/>
          <w:highlight w:val="none"/>
          <w:u w:val="single"/>
        </w:rPr>
        <w:t xml:space="preserve">     </w:t>
      </w:r>
    </w:p>
    <w:p w14:paraId="0A59337C">
      <w:pPr>
        <w:spacing w:line="360" w:lineRule="auto"/>
        <w:ind w:left="424" w:leftChars="20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电子信箱：</w:t>
      </w:r>
      <w:r>
        <w:rPr>
          <w:rFonts w:hint="eastAsia" w:ascii="宋体" w:hAnsi="宋体" w:eastAsia="宋体" w:cs="宋体"/>
          <w:color w:val="auto"/>
          <w:sz w:val="24"/>
          <w:szCs w:val="24"/>
          <w:highlight w:val="none"/>
          <w:u w:val="single"/>
        </w:rPr>
        <w:t xml:space="preserve">   </w:t>
      </w:r>
    </w:p>
    <w:p w14:paraId="7A2F9D41">
      <w:pPr>
        <w:spacing w:line="360" w:lineRule="auto"/>
        <w:ind w:left="424" w:leftChars="20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rPr>
        <w:t xml:space="preserve">   </w:t>
      </w:r>
    </w:p>
    <w:p w14:paraId="7F92EDDA">
      <w:pPr>
        <w:spacing w:line="360" w:lineRule="auto"/>
        <w:ind w:left="424" w:leftChars="202"/>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账  号：</w:t>
      </w:r>
      <w:r>
        <w:rPr>
          <w:rFonts w:hint="eastAsia" w:ascii="宋体" w:hAnsi="宋体" w:eastAsia="宋体" w:cs="宋体"/>
          <w:color w:val="auto"/>
          <w:sz w:val="24"/>
          <w:szCs w:val="24"/>
          <w:highlight w:val="none"/>
          <w:u w:val="single"/>
        </w:rPr>
        <w:t xml:space="preserve">     </w:t>
      </w:r>
    </w:p>
    <w:p w14:paraId="00641D97">
      <w:pPr>
        <w:spacing w:line="360" w:lineRule="auto"/>
        <w:ind w:left="424" w:leftChars="202"/>
        <w:outlineLvl w:val="9"/>
        <w:rPr>
          <w:rFonts w:hint="eastAsia" w:ascii="宋体" w:hAnsi="宋体" w:eastAsia="宋体" w:cs="宋体"/>
          <w:color w:val="auto"/>
          <w:sz w:val="24"/>
          <w:szCs w:val="24"/>
          <w:highlight w:val="none"/>
          <w:u w:val="single"/>
        </w:rPr>
      </w:pPr>
    </w:p>
    <w:p w14:paraId="4C70CB70">
      <w:pPr>
        <w:spacing w:line="360" w:lineRule="auto"/>
        <w:ind w:left="424" w:leftChars="202"/>
        <w:outlineLvl w:val="9"/>
        <w:rPr>
          <w:rFonts w:hint="eastAsia" w:ascii="宋体" w:hAnsi="宋体" w:eastAsia="宋体" w:cs="宋体"/>
          <w:color w:val="auto"/>
          <w:sz w:val="24"/>
          <w:szCs w:val="24"/>
          <w:highlight w:val="none"/>
          <w:u w:val="single"/>
        </w:rPr>
      </w:pPr>
    </w:p>
    <w:p w14:paraId="4C5D1BBE">
      <w:pPr>
        <w:spacing w:line="360" w:lineRule="auto"/>
        <w:ind w:left="424" w:leftChars="202"/>
        <w:outlineLvl w:val="9"/>
        <w:rPr>
          <w:rFonts w:hint="eastAsia" w:ascii="宋体" w:hAnsi="宋体" w:eastAsia="宋体" w:cs="宋体"/>
          <w:color w:val="auto"/>
          <w:sz w:val="24"/>
          <w:szCs w:val="24"/>
          <w:highlight w:val="none"/>
          <w:u w:val="single"/>
        </w:rPr>
      </w:pPr>
    </w:p>
    <w:p w14:paraId="68DD895A">
      <w:pPr>
        <w:spacing w:line="360" w:lineRule="auto"/>
        <w:ind w:left="424" w:leftChars="202"/>
        <w:outlineLvl w:val="9"/>
        <w:rPr>
          <w:rFonts w:hint="eastAsia" w:ascii="宋体" w:hAnsi="宋体" w:eastAsia="宋体" w:cs="宋体"/>
          <w:color w:val="auto"/>
          <w:sz w:val="24"/>
          <w:szCs w:val="24"/>
          <w:highlight w:val="none"/>
          <w:u w:val="single"/>
        </w:rPr>
      </w:pPr>
    </w:p>
    <w:p w14:paraId="52455278">
      <w:pPr>
        <w:jc w:val="center"/>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color w:val="auto"/>
          <w:sz w:val="24"/>
          <w:szCs w:val="24"/>
          <w:highlight w:val="none"/>
        </w:rPr>
        <w:t>第二部分  通用条款</w:t>
      </w:r>
    </w:p>
    <w:p w14:paraId="3EB5D86A">
      <w:pPr>
        <w:jc w:val="center"/>
        <w:outlineLvl w:val="9"/>
        <w:rPr>
          <w:rFonts w:hint="eastAsia" w:ascii="宋体" w:hAnsi="宋体" w:eastAsia="宋体" w:cs="宋体"/>
          <w:color w:val="auto"/>
          <w:sz w:val="24"/>
          <w:szCs w:val="24"/>
          <w:highlight w:val="none"/>
        </w:rPr>
      </w:pPr>
    </w:p>
    <w:p w14:paraId="500B1AD7">
      <w:pPr>
        <w:jc w:val="center"/>
        <w:outlineLvl w:val="9"/>
        <w:rPr>
          <w:rFonts w:hint="eastAsia" w:ascii="宋体" w:hAnsi="宋体" w:eastAsia="宋体" w:cs="宋体"/>
          <w:color w:val="auto"/>
          <w:sz w:val="24"/>
          <w:szCs w:val="24"/>
          <w:highlight w:val="none"/>
        </w:rPr>
      </w:pPr>
    </w:p>
    <w:p w14:paraId="152514A8">
      <w:pPr>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用合同条款直接引用住房城乡建设部、国家工商行政管理总局“关于印发建设工程施工合同（示范文本）的通知”执行《建设工程施工合同（示范文本）》（GF-2017-0201）通用合同条款第二部分“通用合同条款”。</w:t>
      </w:r>
    </w:p>
    <w:p w14:paraId="1AAAD178">
      <w:pPr>
        <w:spacing w:line="360" w:lineRule="auto"/>
        <w:jc w:val="center"/>
        <w:outlineLvl w:val="9"/>
        <w:rPr>
          <w:rFonts w:hint="eastAsia" w:ascii="宋体" w:hAnsi="宋体" w:eastAsia="宋体" w:cs="宋体"/>
          <w:color w:val="auto"/>
          <w:sz w:val="24"/>
          <w:szCs w:val="24"/>
          <w:highlight w:val="none"/>
        </w:rPr>
      </w:pPr>
    </w:p>
    <w:p w14:paraId="1658743D">
      <w:pPr>
        <w:spacing w:line="360" w:lineRule="auto"/>
        <w:jc w:val="center"/>
        <w:outlineLvl w:val="9"/>
        <w:rPr>
          <w:rFonts w:hint="eastAsia" w:ascii="宋体" w:hAnsi="宋体" w:eastAsia="宋体" w:cs="宋体"/>
          <w:color w:val="auto"/>
          <w:sz w:val="24"/>
          <w:szCs w:val="24"/>
          <w:highlight w:val="none"/>
        </w:rPr>
      </w:pPr>
    </w:p>
    <w:p w14:paraId="1E9A3CC8">
      <w:pPr>
        <w:spacing w:line="360" w:lineRule="auto"/>
        <w:jc w:val="center"/>
        <w:outlineLvl w:val="9"/>
        <w:rPr>
          <w:rFonts w:hint="eastAsia" w:ascii="宋体" w:hAnsi="宋体" w:eastAsia="宋体" w:cs="宋体"/>
          <w:b/>
          <w:color w:val="auto"/>
          <w:sz w:val="24"/>
          <w:szCs w:val="24"/>
          <w:highlight w:val="none"/>
        </w:rPr>
      </w:pPr>
    </w:p>
    <w:p w14:paraId="26D5B410">
      <w:pPr>
        <w:spacing w:line="360" w:lineRule="auto"/>
        <w:jc w:val="center"/>
        <w:outlineLvl w:val="9"/>
        <w:rPr>
          <w:rFonts w:hint="eastAsia" w:ascii="宋体" w:hAnsi="宋体" w:eastAsia="宋体" w:cs="宋体"/>
          <w:b/>
          <w:color w:val="auto"/>
          <w:sz w:val="24"/>
          <w:szCs w:val="24"/>
          <w:highlight w:val="none"/>
        </w:rPr>
      </w:pPr>
    </w:p>
    <w:p w14:paraId="07269B63">
      <w:pPr>
        <w:spacing w:line="360" w:lineRule="auto"/>
        <w:jc w:val="center"/>
        <w:outlineLvl w:val="9"/>
        <w:rPr>
          <w:rFonts w:hint="eastAsia" w:ascii="宋体" w:hAnsi="宋体" w:eastAsia="宋体" w:cs="宋体"/>
          <w:b/>
          <w:color w:val="auto"/>
          <w:sz w:val="24"/>
          <w:szCs w:val="24"/>
          <w:highlight w:val="none"/>
        </w:rPr>
      </w:pPr>
    </w:p>
    <w:p w14:paraId="4C772091">
      <w:pPr>
        <w:spacing w:line="360" w:lineRule="auto"/>
        <w:jc w:val="center"/>
        <w:outlineLvl w:val="9"/>
        <w:rPr>
          <w:rFonts w:hint="eastAsia" w:ascii="宋体" w:hAnsi="宋体" w:eastAsia="宋体" w:cs="宋体"/>
          <w:b/>
          <w:color w:val="auto"/>
          <w:sz w:val="24"/>
          <w:szCs w:val="24"/>
          <w:highlight w:val="none"/>
        </w:rPr>
      </w:pPr>
    </w:p>
    <w:p w14:paraId="03695AD6">
      <w:pPr>
        <w:spacing w:line="360" w:lineRule="auto"/>
        <w:jc w:val="center"/>
        <w:outlineLvl w:val="9"/>
        <w:rPr>
          <w:rFonts w:hint="eastAsia" w:ascii="宋体" w:hAnsi="宋体" w:eastAsia="宋体" w:cs="宋体"/>
          <w:b/>
          <w:color w:val="auto"/>
          <w:sz w:val="24"/>
          <w:szCs w:val="24"/>
          <w:highlight w:val="none"/>
        </w:rPr>
      </w:pPr>
    </w:p>
    <w:p w14:paraId="52A8DE4D">
      <w:pPr>
        <w:spacing w:line="360" w:lineRule="auto"/>
        <w:jc w:val="center"/>
        <w:outlineLvl w:val="9"/>
        <w:rPr>
          <w:rFonts w:hint="eastAsia" w:ascii="宋体" w:hAnsi="宋体" w:eastAsia="宋体" w:cs="宋体"/>
          <w:b/>
          <w:color w:val="auto"/>
          <w:sz w:val="24"/>
          <w:szCs w:val="24"/>
          <w:highlight w:val="none"/>
        </w:rPr>
      </w:pPr>
    </w:p>
    <w:p w14:paraId="5444AA83">
      <w:pPr>
        <w:spacing w:line="360" w:lineRule="auto"/>
        <w:jc w:val="center"/>
        <w:outlineLvl w:val="9"/>
        <w:rPr>
          <w:rFonts w:hint="eastAsia" w:ascii="宋体" w:hAnsi="宋体" w:eastAsia="宋体" w:cs="宋体"/>
          <w:b/>
          <w:color w:val="auto"/>
          <w:sz w:val="24"/>
          <w:szCs w:val="24"/>
          <w:highlight w:val="none"/>
        </w:rPr>
      </w:pPr>
    </w:p>
    <w:p w14:paraId="201D4F8D">
      <w:pPr>
        <w:spacing w:line="360" w:lineRule="auto"/>
        <w:jc w:val="center"/>
        <w:outlineLvl w:val="9"/>
        <w:rPr>
          <w:rFonts w:hint="eastAsia" w:ascii="宋体" w:hAnsi="宋体" w:eastAsia="宋体" w:cs="宋体"/>
          <w:b/>
          <w:color w:val="auto"/>
          <w:sz w:val="24"/>
          <w:szCs w:val="24"/>
          <w:highlight w:val="none"/>
        </w:rPr>
      </w:pPr>
    </w:p>
    <w:p w14:paraId="497E6458">
      <w:pPr>
        <w:spacing w:line="360" w:lineRule="auto"/>
        <w:jc w:val="center"/>
        <w:outlineLvl w:val="9"/>
        <w:rPr>
          <w:rFonts w:hint="eastAsia" w:ascii="宋体" w:hAnsi="宋体" w:eastAsia="宋体" w:cs="宋体"/>
          <w:b/>
          <w:color w:val="auto"/>
          <w:sz w:val="24"/>
          <w:szCs w:val="24"/>
          <w:highlight w:val="none"/>
        </w:rPr>
      </w:pPr>
    </w:p>
    <w:p w14:paraId="501E3D52">
      <w:pPr>
        <w:spacing w:line="360" w:lineRule="auto"/>
        <w:jc w:val="center"/>
        <w:outlineLvl w:val="9"/>
        <w:rPr>
          <w:rFonts w:hint="eastAsia" w:ascii="宋体" w:hAnsi="宋体" w:eastAsia="宋体" w:cs="宋体"/>
          <w:b/>
          <w:color w:val="auto"/>
          <w:sz w:val="24"/>
          <w:szCs w:val="24"/>
          <w:highlight w:val="none"/>
        </w:rPr>
      </w:pPr>
    </w:p>
    <w:p w14:paraId="77752A82">
      <w:pPr>
        <w:spacing w:line="360" w:lineRule="auto"/>
        <w:jc w:val="center"/>
        <w:outlineLvl w:val="9"/>
        <w:rPr>
          <w:rFonts w:hint="eastAsia" w:ascii="宋体" w:hAnsi="宋体" w:eastAsia="宋体" w:cs="宋体"/>
          <w:b/>
          <w:color w:val="auto"/>
          <w:sz w:val="24"/>
          <w:szCs w:val="24"/>
          <w:highlight w:val="none"/>
        </w:rPr>
      </w:pPr>
    </w:p>
    <w:p w14:paraId="1E0A3E8A">
      <w:pPr>
        <w:spacing w:line="360" w:lineRule="auto"/>
        <w:jc w:val="center"/>
        <w:outlineLvl w:val="9"/>
        <w:rPr>
          <w:rFonts w:hint="eastAsia" w:ascii="宋体" w:hAnsi="宋体" w:eastAsia="宋体" w:cs="宋体"/>
          <w:b/>
          <w:color w:val="auto"/>
          <w:sz w:val="24"/>
          <w:szCs w:val="24"/>
          <w:highlight w:val="none"/>
        </w:rPr>
      </w:pPr>
    </w:p>
    <w:p w14:paraId="0A3D9877">
      <w:pPr>
        <w:spacing w:line="360" w:lineRule="auto"/>
        <w:jc w:val="center"/>
        <w:outlineLvl w:val="9"/>
        <w:rPr>
          <w:rFonts w:hint="eastAsia" w:ascii="宋体" w:hAnsi="宋体" w:eastAsia="宋体" w:cs="宋体"/>
          <w:b/>
          <w:color w:val="auto"/>
          <w:sz w:val="24"/>
          <w:szCs w:val="24"/>
          <w:highlight w:val="none"/>
        </w:rPr>
      </w:pPr>
    </w:p>
    <w:p w14:paraId="5873FC21">
      <w:pPr>
        <w:spacing w:line="360" w:lineRule="auto"/>
        <w:jc w:val="center"/>
        <w:outlineLvl w:val="9"/>
        <w:rPr>
          <w:rFonts w:hint="eastAsia" w:ascii="宋体" w:hAnsi="宋体" w:eastAsia="宋体" w:cs="宋体"/>
          <w:b/>
          <w:color w:val="auto"/>
          <w:sz w:val="24"/>
          <w:szCs w:val="24"/>
          <w:highlight w:val="none"/>
        </w:rPr>
      </w:pPr>
    </w:p>
    <w:p w14:paraId="3EC6B6EE">
      <w:pPr>
        <w:spacing w:line="360" w:lineRule="auto"/>
        <w:jc w:val="center"/>
        <w:outlineLvl w:val="9"/>
        <w:rPr>
          <w:rFonts w:hint="eastAsia" w:ascii="宋体" w:hAnsi="宋体" w:eastAsia="宋体" w:cs="宋体"/>
          <w:b/>
          <w:color w:val="auto"/>
          <w:sz w:val="24"/>
          <w:szCs w:val="24"/>
          <w:highlight w:val="none"/>
        </w:rPr>
      </w:pPr>
    </w:p>
    <w:p w14:paraId="3FBE1A88">
      <w:pPr>
        <w:spacing w:line="360" w:lineRule="auto"/>
        <w:jc w:val="center"/>
        <w:outlineLvl w:val="9"/>
        <w:rPr>
          <w:rFonts w:hint="eastAsia" w:ascii="宋体" w:hAnsi="宋体" w:eastAsia="宋体" w:cs="宋体"/>
          <w:b/>
          <w:color w:val="auto"/>
          <w:sz w:val="24"/>
          <w:szCs w:val="24"/>
          <w:highlight w:val="none"/>
        </w:rPr>
      </w:pPr>
    </w:p>
    <w:p w14:paraId="7390A2D2">
      <w:pPr>
        <w:pStyle w:val="9"/>
        <w:outlineLvl w:val="9"/>
        <w:rPr>
          <w:rFonts w:hint="eastAsia" w:ascii="宋体" w:hAnsi="宋体" w:eastAsia="宋体" w:cs="宋体"/>
          <w:b/>
          <w:color w:val="auto"/>
          <w:sz w:val="24"/>
          <w:szCs w:val="24"/>
          <w:highlight w:val="none"/>
        </w:rPr>
      </w:pPr>
    </w:p>
    <w:p w14:paraId="0E74DD48">
      <w:pPr>
        <w:pStyle w:val="22"/>
        <w:outlineLvl w:val="9"/>
        <w:rPr>
          <w:rFonts w:hint="eastAsia" w:ascii="宋体" w:hAnsi="宋体" w:eastAsia="宋体" w:cs="宋体"/>
          <w:b/>
          <w:color w:val="auto"/>
          <w:sz w:val="24"/>
          <w:szCs w:val="24"/>
          <w:highlight w:val="none"/>
        </w:rPr>
      </w:pPr>
    </w:p>
    <w:p w14:paraId="4F022ED7">
      <w:pPr>
        <w:pStyle w:val="22"/>
        <w:outlineLvl w:val="9"/>
        <w:rPr>
          <w:rFonts w:hint="eastAsia" w:ascii="宋体" w:hAnsi="宋体" w:eastAsia="宋体" w:cs="宋体"/>
          <w:b/>
          <w:color w:val="auto"/>
          <w:sz w:val="24"/>
          <w:szCs w:val="24"/>
          <w:highlight w:val="none"/>
        </w:rPr>
      </w:pPr>
    </w:p>
    <w:p w14:paraId="430EEF56">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2BE2AD2F">
      <w:pPr>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eastAsia="zh-CN"/>
        </w:rPr>
        <w:t>三部分</w:t>
      </w:r>
      <w:r>
        <w:rPr>
          <w:rFonts w:hint="eastAsia" w:ascii="宋体" w:hAnsi="宋体" w:eastAsia="宋体" w:cs="宋体"/>
          <w:b/>
          <w:bCs/>
          <w:color w:val="auto"/>
          <w:sz w:val="24"/>
          <w:szCs w:val="24"/>
          <w:highlight w:val="none"/>
        </w:rPr>
        <w:t xml:space="preserve">  专用合同条款</w:t>
      </w:r>
    </w:p>
    <w:p w14:paraId="0AACDABA">
      <w:pPr>
        <w:spacing w:after="120" w:afterLines="0" w:line="360" w:lineRule="auto"/>
        <w:outlineLvl w:val="9"/>
        <w:rPr>
          <w:rFonts w:hint="eastAsia" w:ascii="宋体" w:hAnsi="宋体" w:eastAsia="宋体" w:cs="宋体"/>
          <w:color w:val="auto"/>
          <w:sz w:val="24"/>
          <w:szCs w:val="24"/>
          <w:highlight w:val="none"/>
        </w:rPr>
      </w:pPr>
      <w:bookmarkStart w:id="885" w:name="_Toc351203633"/>
      <w:r>
        <w:rPr>
          <w:rFonts w:hint="eastAsia" w:ascii="宋体" w:hAnsi="宋体" w:eastAsia="宋体" w:cs="宋体"/>
          <w:color w:val="auto"/>
          <w:sz w:val="24"/>
          <w:szCs w:val="24"/>
          <w:highlight w:val="none"/>
        </w:rPr>
        <w:t>1</w:t>
      </w:r>
      <w:bookmarkStart w:id="886" w:name="_Toc292559866"/>
      <w:bookmarkStart w:id="887" w:name="_Toc297120456"/>
      <w:bookmarkStart w:id="888" w:name="_Toc296944495"/>
      <w:bookmarkStart w:id="889" w:name="_Toc292559361"/>
      <w:bookmarkStart w:id="890" w:name="_Toc296347155"/>
      <w:bookmarkStart w:id="891" w:name="_Toc297048342"/>
      <w:bookmarkStart w:id="892" w:name="_Toc296503156"/>
      <w:bookmarkStart w:id="893" w:name="_Toc296891196"/>
      <w:bookmarkStart w:id="894" w:name="_Toc296346657"/>
      <w:bookmarkStart w:id="895" w:name="_Toc296890984"/>
      <w:r>
        <w:rPr>
          <w:rFonts w:hint="eastAsia" w:ascii="宋体" w:hAnsi="宋体" w:eastAsia="宋体" w:cs="宋体"/>
          <w:color w:val="auto"/>
          <w:sz w:val="24"/>
          <w:szCs w:val="24"/>
          <w:highlight w:val="none"/>
        </w:rPr>
        <w:t>. 一般约定</w:t>
      </w:r>
      <w:bookmarkEnd w:id="885"/>
    </w:p>
    <w:bookmarkEnd w:id="886"/>
    <w:bookmarkEnd w:id="887"/>
    <w:bookmarkEnd w:id="888"/>
    <w:bookmarkEnd w:id="889"/>
    <w:bookmarkEnd w:id="890"/>
    <w:bookmarkEnd w:id="891"/>
    <w:bookmarkEnd w:id="892"/>
    <w:bookmarkEnd w:id="893"/>
    <w:bookmarkEnd w:id="894"/>
    <w:bookmarkEnd w:id="895"/>
    <w:p w14:paraId="38A644DF">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词语定义</w:t>
      </w:r>
    </w:p>
    <w:p w14:paraId="0CDA07DC">
      <w:pPr>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1.1.1合同</w:t>
      </w:r>
    </w:p>
    <w:p w14:paraId="37956BF8">
      <w:pPr>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1.1.1.10其他合同文件</w:t>
      </w:r>
      <w:r>
        <w:rPr>
          <w:rFonts w:hint="eastAsia" w:ascii="宋体" w:hAnsi="宋体" w:eastAsia="宋体" w:cs="宋体"/>
          <w:color w:val="auto"/>
          <w:sz w:val="24"/>
          <w:szCs w:val="24"/>
          <w:highlight w:val="none"/>
          <w:u w:val="single"/>
        </w:rPr>
        <w:t xml:space="preserve">（1）中标通知书、（2）投标函及其附表、（3）专用条款及其附件、（4）通用条款、（5）技术标准和要求、（6）图纸、（7）已标价工程量清单或预算书、（8）其他合同文件 </w:t>
      </w:r>
      <w:r>
        <w:rPr>
          <w:rFonts w:hint="eastAsia" w:ascii="宋体" w:hAnsi="宋体" w:eastAsia="宋体" w:cs="宋体"/>
          <w:color w:val="auto"/>
          <w:sz w:val="24"/>
          <w:szCs w:val="24"/>
          <w:highlight w:val="none"/>
        </w:rPr>
        <w:t>。</w:t>
      </w:r>
    </w:p>
    <w:p w14:paraId="52C27719">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合同当事人及其他相关方</w:t>
      </w:r>
    </w:p>
    <w:p w14:paraId="089CDA3C">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1.1.2.4监理人：</w:t>
      </w:r>
    </w:p>
    <w:p w14:paraId="0617BB41">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xml:space="preserve">                         </w:t>
      </w:r>
      <w:r>
        <w:rPr>
          <w:rFonts w:hint="eastAsia" w:ascii="宋体" w:hAnsi="宋体" w:eastAsia="宋体" w:cs="宋体"/>
          <w:color w:val="auto"/>
          <w:sz w:val="24"/>
          <w:szCs w:val="24"/>
          <w:highlight w:val="none"/>
        </w:rPr>
        <w:t>；</w:t>
      </w:r>
    </w:p>
    <w:p w14:paraId="36FE0C4E">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167066A7">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14D4B0F7">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635FA92B">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1BBE6B0A">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 设计人：</w:t>
      </w:r>
    </w:p>
    <w:p w14:paraId="012FD29C">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xml:space="preserve">                            </w:t>
      </w:r>
      <w:r>
        <w:rPr>
          <w:rFonts w:hint="eastAsia" w:ascii="宋体" w:hAnsi="宋体" w:eastAsia="宋体" w:cs="宋体"/>
          <w:color w:val="auto"/>
          <w:sz w:val="24"/>
          <w:szCs w:val="24"/>
          <w:highlight w:val="none"/>
        </w:rPr>
        <w:t>；</w:t>
      </w:r>
    </w:p>
    <w:p w14:paraId="36EA07FD">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rPr>
        <w:t>                         </w:t>
      </w:r>
      <w:r>
        <w:rPr>
          <w:rFonts w:hint="eastAsia" w:ascii="宋体" w:hAnsi="宋体" w:eastAsia="宋体" w:cs="宋体"/>
          <w:color w:val="auto"/>
          <w:sz w:val="24"/>
          <w:szCs w:val="24"/>
          <w:highlight w:val="none"/>
        </w:rPr>
        <w:t>；</w:t>
      </w:r>
    </w:p>
    <w:p w14:paraId="03E22DD4">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                        </w:t>
      </w:r>
      <w:r>
        <w:rPr>
          <w:rFonts w:hint="eastAsia" w:ascii="宋体" w:hAnsi="宋体" w:eastAsia="宋体" w:cs="宋体"/>
          <w:color w:val="auto"/>
          <w:sz w:val="24"/>
          <w:szCs w:val="24"/>
          <w:highlight w:val="none"/>
        </w:rPr>
        <w:t>；</w:t>
      </w:r>
    </w:p>
    <w:p w14:paraId="2301ADE5">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14:paraId="45516973">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76986318">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工程和设备</w:t>
      </w:r>
    </w:p>
    <w:p w14:paraId="045990A6">
      <w:pPr>
        <w:spacing w:line="360" w:lineRule="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1.1.3.7 作为施工现场组成部分的其他场所包括：</w:t>
      </w:r>
      <w:r>
        <w:rPr>
          <w:rFonts w:hint="eastAsia" w:ascii="宋体" w:hAnsi="宋体" w:eastAsia="宋体" w:cs="宋体"/>
          <w:color w:val="auto"/>
          <w:sz w:val="24"/>
          <w:szCs w:val="24"/>
          <w:highlight w:val="none"/>
          <w:u w:val="single"/>
        </w:rPr>
        <w:t>承包人向发包人、设计部门、造价部门和监理提供生活及办公设施</w:t>
      </w:r>
      <w:r>
        <w:rPr>
          <w:rFonts w:hint="eastAsia" w:ascii="宋体" w:hAnsi="宋体" w:eastAsia="宋体" w:cs="宋体"/>
          <w:color w:val="auto"/>
          <w:sz w:val="24"/>
          <w:szCs w:val="24"/>
          <w:highlight w:val="none"/>
        </w:rPr>
        <w:t>。</w:t>
      </w:r>
    </w:p>
    <w:p w14:paraId="54C01F05">
      <w:pPr>
        <w:spacing w:line="360" w:lineRule="auto"/>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1.1.3.9 永久占地包括：</w:t>
      </w:r>
      <w:r>
        <w:rPr>
          <w:rFonts w:hint="eastAsia" w:ascii="宋体" w:hAnsi="宋体" w:eastAsia="宋体" w:cs="宋体"/>
          <w:color w:val="auto"/>
          <w:kern w:val="0"/>
          <w:sz w:val="24"/>
          <w:szCs w:val="24"/>
          <w:highlight w:val="none"/>
          <w:u w:val="single"/>
        </w:rPr>
        <w:t>依据设计图纸确定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p>
    <w:p w14:paraId="2BB1E93D">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1.1.3.10 临时占地包括：</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194C21D5">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1.3法律 </w:t>
      </w:r>
    </w:p>
    <w:p w14:paraId="5FF74085">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适用于合同的其他规范性文件：</w:t>
      </w:r>
      <w:r>
        <w:rPr>
          <w:rFonts w:hint="eastAsia" w:ascii="宋体" w:hAnsi="宋体" w:eastAsia="宋体" w:cs="宋体"/>
          <w:color w:val="auto"/>
          <w:sz w:val="24"/>
          <w:szCs w:val="24"/>
          <w:highlight w:val="none"/>
          <w:u w:val="single"/>
        </w:rPr>
        <w:t>《中华人民共和国</w:t>
      </w:r>
      <w:r>
        <w:rPr>
          <w:rFonts w:hint="eastAsia" w:ascii="宋体" w:hAnsi="宋体" w:eastAsia="宋体" w:cs="宋体"/>
          <w:color w:val="auto"/>
          <w:sz w:val="24"/>
          <w:szCs w:val="24"/>
          <w:highlight w:val="none"/>
          <w:u w:val="single"/>
          <w:lang w:eastAsia="zh-CN"/>
        </w:rPr>
        <w:t>民法典</w:t>
      </w:r>
      <w:r>
        <w:rPr>
          <w:rFonts w:hint="eastAsia" w:ascii="宋体" w:hAnsi="宋体" w:eastAsia="宋体" w:cs="宋体"/>
          <w:color w:val="auto"/>
          <w:sz w:val="24"/>
          <w:szCs w:val="24"/>
          <w:highlight w:val="none"/>
          <w:u w:val="single"/>
        </w:rPr>
        <w:t>》、《建筑设计防火规范》（GB50016-2015）</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《建筑物防雷设计规范》（GB50057-2010）</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《低压配电设计规范》（GB50054-2011）</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《建筑照明设计标准》（GB50034-2013）</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《供配电系统设计规范》（GB50052-2009）</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《电力工程电缆设计规范》（GB50217-2007）</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《民用建筑电气设计规范》（JGJ16-2008）</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《建筑电气照明装置施工与验收规范》（GB50617-2010）《室外环境照明指南》（CIE-37）</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《都市城区照明指南》（CIE-92）</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《泛光照明和装饰工程照明指南》（CIE-94）</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《城区照明指南》（CIE-136）《城市夜景照明设计规范》（JGJ-T163-2008）</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《城市道路照明设计标准》（CJJ45-2006）</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《城市道路照明工程施工及验收规范》（CJJ89-2012）</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《民用建筑电线电缆防火设计规程》 DBJ50-164-2013《建筑安装工程承包合同条例》、《建筑法》、《安全生产法》、《建筑工程质量管理条例》、《建筑工程施工质量验收规范》、《建筑工程质量评定检验标准》等国家、行业现行的最新颁布实施的工程施工规范、工程质量验收规范、验收标准、安全标准、环保标准、消防标准</w:t>
      </w:r>
      <w:r>
        <w:rPr>
          <w:rFonts w:hint="eastAsia" w:ascii="宋体" w:hAnsi="宋体" w:eastAsia="宋体" w:cs="宋体"/>
          <w:color w:val="auto"/>
          <w:sz w:val="24"/>
          <w:szCs w:val="24"/>
          <w:highlight w:val="none"/>
        </w:rPr>
        <w:t>。</w:t>
      </w:r>
    </w:p>
    <w:p w14:paraId="6D601EFE">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标准和规范</w:t>
      </w:r>
    </w:p>
    <w:p w14:paraId="1C8F3053">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1.4.1适用于工程的标准规范包括：</w:t>
      </w:r>
      <w:r>
        <w:rPr>
          <w:rFonts w:hint="eastAsia" w:ascii="宋体" w:hAnsi="宋体" w:eastAsia="宋体" w:cs="宋体"/>
          <w:color w:val="auto"/>
          <w:sz w:val="24"/>
          <w:szCs w:val="24"/>
          <w:highlight w:val="none"/>
          <w:u w:val="single"/>
        </w:rPr>
        <w:t>执行通用合同条款本条款。执行有关工程建设的国家、部、行业及地方标准以及相应的规范、规程等，地方标准有高于或严于现行国家、部、行业标准的，承包人应熟悉并遵守。</w:t>
      </w:r>
    </w:p>
    <w:p w14:paraId="1E12F3D3">
      <w:pPr>
        <w:spacing w:line="360" w:lineRule="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1.4.2 发包人提供国外标准、规范的名称：</w:t>
      </w:r>
      <w:r>
        <w:rPr>
          <w:rFonts w:hint="eastAsia" w:ascii="宋体" w:hAnsi="宋体" w:eastAsia="宋体" w:cs="宋体"/>
          <w:color w:val="auto"/>
          <w:kern w:val="0"/>
          <w:sz w:val="24"/>
          <w:szCs w:val="24"/>
          <w:highlight w:val="none"/>
          <w:u w:val="single"/>
        </w:rPr>
        <w:t xml:space="preserve"> 无                         </w:t>
      </w:r>
      <w:r>
        <w:rPr>
          <w:rFonts w:hint="eastAsia" w:ascii="宋体" w:hAnsi="宋体" w:eastAsia="宋体" w:cs="宋体"/>
          <w:color w:val="auto"/>
          <w:kern w:val="0"/>
          <w:sz w:val="24"/>
          <w:szCs w:val="24"/>
          <w:highlight w:val="none"/>
        </w:rPr>
        <w:t>；</w:t>
      </w:r>
    </w:p>
    <w:p w14:paraId="08967FAF">
      <w:pPr>
        <w:spacing w:line="360" w:lineRule="auto"/>
        <w:ind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发包人提供国外标准、规范的份数：</w:t>
      </w:r>
      <w:r>
        <w:rPr>
          <w:rFonts w:hint="eastAsia" w:ascii="宋体" w:hAnsi="宋体" w:eastAsia="宋体" w:cs="宋体"/>
          <w:color w:val="auto"/>
          <w:kern w:val="0"/>
          <w:sz w:val="24"/>
          <w:szCs w:val="24"/>
          <w:highlight w:val="none"/>
          <w:u w:val="single"/>
        </w:rPr>
        <w:t xml:space="preserve">   无                         </w:t>
      </w:r>
      <w:r>
        <w:rPr>
          <w:rFonts w:hint="eastAsia" w:ascii="宋体" w:hAnsi="宋体" w:eastAsia="宋体" w:cs="宋体"/>
          <w:color w:val="auto"/>
          <w:kern w:val="0"/>
          <w:sz w:val="24"/>
          <w:szCs w:val="24"/>
          <w:highlight w:val="none"/>
        </w:rPr>
        <w:t>；</w:t>
      </w:r>
    </w:p>
    <w:p w14:paraId="39C5B8D7">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发包人提供国外标准、规范的名称：</w:t>
      </w:r>
      <w:r>
        <w:rPr>
          <w:rFonts w:hint="eastAsia" w:ascii="宋体" w:hAnsi="宋体" w:eastAsia="宋体" w:cs="宋体"/>
          <w:color w:val="auto"/>
          <w:kern w:val="0"/>
          <w:sz w:val="24"/>
          <w:szCs w:val="24"/>
          <w:highlight w:val="none"/>
          <w:u w:val="single"/>
        </w:rPr>
        <w:t xml:space="preserve">   无                          </w:t>
      </w:r>
      <w:r>
        <w:rPr>
          <w:rFonts w:hint="eastAsia" w:ascii="宋体" w:hAnsi="宋体" w:eastAsia="宋体" w:cs="宋体"/>
          <w:color w:val="auto"/>
          <w:kern w:val="0"/>
          <w:sz w:val="24"/>
          <w:szCs w:val="24"/>
          <w:highlight w:val="none"/>
        </w:rPr>
        <w:t>。</w:t>
      </w:r>
    </w:p>
    <w:p w14:paraId="7F71151B">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1.4.3发包人对工程的技术标准和功能要求的特殊要求：</w:t>
      </w:r>
      <w:r>
        <w:rPr>
          <w:rFonts w:hint="eastAsia" w:ascii="宋体" w:hAnsi="宋体" w:eastAsia="宋体" w:cs="宋体"/>
          <w:color w:val="auto"/>
          <w:kern w:val="0"/>
          <w:sz w:val="24"/>
          <w:szCs w:val="24"/>
          <w:highlight w:val="none"/>
          <w:u w:val="single"/>
        </w:rPr>
        <w:t>无</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p>
    <w:p w14:paraId="42770F57">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合同文件的优先顺序</w:t>
      </w:r>
    </w:p>
    <w:p w14:paraId="75419680">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left="0" w:leftChars="0" w:right="0" w:rightChars="0" w:firstLine="360" w:firstLineChars="150"/>
        <w:jc w:val="both"/>
        <w:textAlignment w:val="auto"/>
        <w:outlineLvl w:val="9"/>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rPr>
        <w:t>合同文件组成及优先顺序为：</w:t>
      </w:r>
      <w:r>
        <w:rPr>
          <w:rFonts w:hint="eastAsia" w:ascii="宋体" w:hAnsi="宋体" w:eastAsia="宋体" w:cs="宋体"/>
          <w:color w:val="auto"/>
          <w:kern w:val="0"/>
          <w:sz w:val="24"/>
          <w:szCs w:val="24"/>
          <w:highlight w:val="none"/>
          <w:u w:val="single"/>
        </w:rPr>
        <w:t>（1）合同协议书（2）中标通知书（3）投标书及其附件（4）本合同专用条款及其附件（5）本合同通用条款（6）标准、规范及有关技术文件（7）图纸（8）已标价工程量清单（9）招标文件、补疑及答疑文件（10）其他合同文件</w:t>
      </w:r>
      <w:r>
        <w:rPr>
          <w:rFonts w:hint="eastAsia" w:ascii="宋体" w:hAnsi="宋体" w:eastAsia="宋体" w:cs="宋体"/>
          <w:color w:val="auto"/>
          <w:sz w:val="24"/>
          <w:szCs w:val="24"/>
          <w:highlight w:val="none"/>
        </w:rPr>
        <w:t>。</w:t>
      </w:r>
    </w:p>
    <w:p w14:paraId="51A5AA6F">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图纸和承包人文件</w:t>
      </w:r>
      <w:r>
        <w:rPr>
          <w:rFonts w:hint="eastAsia" w:ascii="宋体" w:hAnsi="宋体" w:eastAsia="宋体" w:cs="宋体"/>
          <w:color w:val="auto"/>
          <w:sz w:val="24"/>
          <w:szCs w:val="24"/>
          <w:highlight w:val="none"/>
        </w:rPr>
        <w:tab/>
      </w:r>
    </w:p>
    <w:p w14:paraId="0831EF0B">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图纸的提供</w:t>
      </w:r>
    </w:p>
    <w:p w14:paraId="5BB2BDF9">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发包人向承包人提供图纸的期限：</w:t>
      </w:r>
      <w:r>
        <w:rPr>
          <w:rFonts w:hint="eastAsia" w:ascii="宋体" w:hAnsi="宋体" w:eastAsia="宋体" w:cs="宋体"/>
          <w:color w:val="auto"/>
          <w:sz w:val="24"/>
          <w:szCs w:val="24"/>
          <w:highlight w:val="none"/>
          <w:u w:val="single"/>
        </w:rPr>
        <w:t>合同签订后10天内</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w:t>
      </w:r>
    </w:p>
    <w:p w14:paraId="04BAB7F9">
      <w:pPr>
        <w:spacing w:line="360" w:lineRule="auto"/>
        <w:ind w:firstLine="480" w:firstLineChars="2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发包人向承包人提供图纸的数量：</w:t>
      </w:r>
      <w:r>
        <w:rPr>
          <w:rFonts w:hint="eastAsia" w:ascii="宋体" w:hAnsi="宋体" w:eastAsia="宋体" w:cs="宋体"/>
          <w:color w:val="auto"/>
          <w:sz w:val="24"/>
          <w:szCs w:val="24"/>
          <w:highlight w:val="none"/>
          <w:u w:val="single"/>
        </w:rPr>
        <w:t>向承包人免费提供完整的施工设计图纸</w:t>
      </w:r>
      <w:r>
        <w:rPr>
          <w:rFonts w:hint="eastAsia" w:ascii="宋体" w:hAnsi="宋体" w:eastAsia="宋体" w:cs="宋体"/>
          <w:color w:val="auto"/>
          <w:sz w:val="24"/>
          <w:szCs w:val="24"/>
          <w:highlight w:val="none"/>
          <w:u w:val="single"/>
          <w:lang w:val="en-US" w:eastAsia="zh-CN"/>
        </w:rPr>
        <w:t>二</w:t>
      </w:r>
      <w:r>
        <w:rPr>
          <w:rFonts w:hint="eastAsia" w:ascii="宋体" w:hAnsi="宋体" w:eastAsia="宋体" w:cs="宋体"/>
          <w:color w:val="auto"/>
          <w:sz w:val="24"/>
          <w:szCs w:val="24"/>
          <w:highlight w:val="none"/>
          <w:u w:val="single"/>
        </w:rPr>
        <w:t>套，由于承包人自身原因造成需要加晒图纸，承包人应提请发包人加晒，费用由承包人自理</w:t>
      </w:r>
      <w:r>
        <w:rPr>
          <w:rFonts w:hint="eastAsia" w:ascii="宋体" w:hAnsi="宋体" w:eastAsia="宋体" w:cs="宋体"/>
          <w:color w:val="auto"/>
          <w:sz w:val="24"/>
          <w:szCs w:val="24"/>
          <w:highlight w:val="none"/>
          <w:u w:val="none"/>
        </w:rPr>
        <w:t>。</w:t>
      </w:r>
    </w:p>
    <w:p w14:paraId="76A818D9">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发包人向承包人提供图纸的内容：</w:t>
      </w:r>
      <w:r>
        <w:rPr>
          <w:rFonts w:hint="eastAsia" w:ascii="宋体" w:hAnsi="宋体" w:eastAsia="宋体" w:cs="宋体"/>
          <w:color w:val="auto"/>
          <w:sz w:val="24"/>
          <w:szCs w:val="24"/>
          <w:highlight w:val="none"/>
          <w:u w:val="single"/>
        </w:rPr>
        <w:t>全套施工图纸</w:t>
      </w:r>
      <w:r>
        <w:rPr>
          <w:rFonts w:hint="eastAsia" w:ascii="宋体" w:hAnsi="宋体" w:eastAsia="宋体" w:cs="宋体"/>
          <w:color w:val="auto"/>
          <w:sz w:val="24"/>
          <w:szCs w:val="24"/>
          <w:highlight w:val="none"/>
        </w:rPr>
        <w:t>。</w:t>
      </w:r>
    </w:p>
    <w:p w14:paraId="586CBB47">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 承包人文件</w:t>
      </w:r>
    </w:p>
    <w:p w14:paraId="22EF4F6C">
      <w:pPr>
        <w:spacing w:line="360" w:lineRule="auto"/>
        <w:ind w:firstLine="480" w:firstLineChars="200"/>
        <w:jc w:val="lef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需要由承包人提供的文件，包括：</w:t>
      </w:r>
      <w:r>
        <w:rPr>
          <w:rFonts w:hint="eastAsia" w:ascii="宋体" w:hAnsi="宋体" w:eastAsia="宋体" w:cs="宋体"/>
          <w:color w:val="auto"/>
          <w:sz w:val="24"/>
          <w:szCs w:val="24"/>
          <w:highlight w:val="none"/>
          <w:u w:val="single"/>
        </w:rPr>
        <w:t>施工组织设计（施工方案）、施工进度计划、安全生产保证措施、文明施工保证措施、治安保卫措施、本项目资金使用计划、事故应急处理预案及事故处理办法</w:t>
      </w:r>
      <w:r>
        <w:rPr>
          <w:rFonts w:hint="eastAsia" w:ascii="宋体" w:hAnsi="宋体" w:eastAsia="宋体" w:cs="宋体"/>
          <w:color w:val="auto"/>
          <w:sz w:val="24"/>
          <w:szCs w:val="24"/>
          <w:highlight w:val="none"/>
        </w:rPr>
        <w:t>；</w:t>
      </w:r>
    </w:p>
    <w:p w14:paraId="5AC09185">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承包人提供的文件的期限为：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接到中标通知书后3天内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6EFF44A7">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承包人提供的文件的数量为：</w:t>
      </w:r>
      <w:r>
        <w:rPr>
          <w:rFonts w:hint="eastAsia" w:ascii="宋体" w:hAnsi="宋体" w:eastAsia="宋体" w:cs="宋体"/>
          <w:color w:val="auto"/>
          <w:sz w:val="24"/>
          <w:szCs w:val="24"/>
          <w:highlight w:val="none"/>
          <w:u w:val="single"/>
        </w:rPr>
        <w:t xml:space="preserve">一式四份，正本一份副本三份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4D16D10D">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承包人提供的文件的形式为：</w:t>
      </w:r>
      <w:r>
        <w:rPr>
          <w:rFonts w:hint="eastAsia" w:ascii="宋体" w:hAnsi="宋体" w:eastAsia="宋体" w:cs="宋体"/>
          <w:color w:val="auto"/>
          <w:sz w:val="24"/>
          <w:szCs w:val="24"/>
          <w:highlight w:val="none"/>
          <w:u w:val="single"/>
        </w:rPr>
        <w:t>书面文件</w:t>
      </w:r>
      <w:r>
        <w:rPr>
          <w:rFonts w:hint="eastAsia" w:ascii="宋体" w:hAnsi="宋体" w:eastAsia="宋体" w:cs="宋体"/>
          <w:color w:val="auto"/>
          <w:sz w:val="24"/>
          <w:szCs w:val="24"/>
          <w:highlight w:val="none"/>
        </w:rPr>
        <w:t>；</w:t>
      </w:r>
    </w:p>
    <w:p w14:paraId="5A883E3F">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发包人审批承包人文件的期限：</w:t>
      </w:r>
      <w:r>
        <w:rPr>
          <w:rFonts w:hint="eastAsia" w:ascii="宋体" w:hAnsi="宋体" w:eastAsia="宋体" w:cs="宋体"/>
          <w:color w:val="auto"/>
          <w:sz w:val="24"/>
          <w:szCs w:val="24"/>
          <w:highlight w:val="none"/>
          <w:u w:val="single"/>
        </w:rPr>
        <w:t></w:t>
      </w:r>
      <w:r>
        <w:rPr>
          <w:rFonts w:hint="eastAsia" w:ascii="宋体" w:hAnsi="宋体" w:eastAsia="宋体" w:cs="宋体"/>
          <w:color w:val="auto"/>
          <w:spacing w:val="-9"/>
          <w:sz w:val="24"/>
          <w:szCs w:val="24"/>
          <w:highlight w:val="none"/>
          <w:u w:val="single"/>
        </w:rPr>
        <w:t xml:space="preserve">在承包人提供文件后3天内审定完毕 </w:t>
      </w:r>
      <w:r>
        <w:rPr>
          <w:rFonts w:hint="eastAsia" w:ascii="宋体" w:hAnsi="宋体" w:eastAsia="宋体" w:cs="宋体"/>
          <w:color w:val="auto"/>
          <w:spacing w:val="-9"/>
          <w:sz w:val="24"/>
          <w:szCs w:val="24"/>
          <w:highlight w:val="none"/>
          <w:u w:val="single"/>
          <w:lang w:val="en-US" w:eastAsia="zh-CN"/>
        </w:rPr>
        <w:t xml:space="preserve"> </w:t>
      </w:r>
      <w:r>
        <w:rPr>
          <w:rFonts w:hint="eastAsia" w:ascii="宋体" w:hAnsi="宋体" w:eastAsia="宋体" w:cs="宋体"/>
          <w:color w:val="auto"/>
          <w:spacing w:val="-9"/>
          <w:sz w:val="24"/>
          <w:szCs w:val="24"/>
          <w:highlight w:val="none"/>
        </w:rPr>
        <w:t>。</w:t>
      </w:r>
    </w:p>
    <w:p w14:paraId="12AA94EB">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 现场图纸准备</w:t>
      </w:r>
    </w:p>
    <w:p w14:paraId="483C54E0">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关于现场图纸准备的约定：</w:t>
      </w:r>
      <w:r>
        <w:rPr>
          <w:rFonts w:hint="eastAsia" w:ascii="宋体" w:hAnsi="宋体" w:eastAsia="宋体" w:cs="宋体"/>
          <w:color w:val="auto"/>
          <w:sz w:val="24"/>
          <w:szCs w:val="24"/>
          <w:highlight w:val="none"/>
          <w:u w:val="single"/>
        </w:rPr>
        <w:t>执行</w:t>
      </w:r>
      <w:r>
        <w:rPr>
          <w:rFonts w:hint="eastAsia" w:ascii="宋体" w:hAnsi="宋体" w:eastAsia="宋体" w:cs="宋体"/>
          <w:color w:val="auto"/>
          <w:sz w:val="24"/>
          <w:szCs w:val="24"/>
          <w:highlight w:val="none"/>
          <w:u w:val="single"/>
          <w:lang w:eastAsia="zh-CN"/>
        </w:rPr>
        <w:t>合同</w:t>
      </w:r>
      <w:r>
        <w:rPr>
          <w:rFonts w:hint="eastAsia" w:ascii="宋体" w:hAnsi="宋体" w:eastAsia="宋体" w:cs="宋体"/>
          <w:color w:val="auto"/>
          <w:sz w:val="24"/>
          <w:szCs w:val="24"/>
          <w:highlight w:val="none"/>
          <w:u w:val="single"/>
        </w:rPr>
        <w:t xml:space="preserve">通用条款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7CA308F7">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 联络</w:t>
      </w:r>
    </w:p>
    <w:p w14:paraId="40CD09D9">
      <w:pPr>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1.7.1发包人和承包人应当在</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天内将与合同有关的通知、批准、证明、证书、指示、指令、要求、请求、同意、意见、确定和决定等书面函件送达对方当事人。</w:t>
      </w:r>
    </w:p>
    <w:p w14:paraId="6212487F">
      <w:pPr>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1.7.2 发包人接收文件的地点：</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kern w:val="0"/>
          <w:sz w:val="24"/>
          <w:szCs w:val="24"/>
          <w:highlight w:val="none"/>
        </w:rPr>
        <w:t>；</w:t>
      </w:r>
    </w:p>
    <w:p w14:paraId="0AE52BFC">
      <w:pPr>
        <w:spacing w:line="360" w:lineRule="auto"/>
        <w:ind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发包人指定的接收人为：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kern w:val="0"/>
          <w:sz w:val="24"/>
          <w:szCs w:val="24"/>
          <w:highlight w:val="none"/>
        </w:rPr>
        <w:t>。</w:t>
      </w:r>
    </w:p>
    <w:p w14:paraId="3F6C5ABF">
      <w:pPr>
        <w:spacing w:line="360" w:lineRule="auto"/>
        <w:ind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承包人接收文件的地点：</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22910946">
      <w:pPr>
        <w:spacing w:line="360" w:lineRule="auto"/>
        <w:ind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承包人指定的接收人为：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7ACA9CEB">
      <w:pPr>
        <w:spacing w:line="360" w:lineRule="auto"/>
        <w:ind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监理人接收文件的地点：</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0E7C800E">
      <w:pPr>
        <w:spacing w:line="360" w:lineRule="auto"/>
        <w:ind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监理人指定的接收人为：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                     </w:t>
      </w:r>
      <w:r>
        <w:rPr>
          <w:rFonts w:hint="eastAsia" w:ascii="宋体" w:hAnsi="宋体" w:eastAsia="宋体" w:cs="宋体"/>
          <w:color w:val="auto"/>
          <w:kern w:val="0"/>
          <w:sz w:val="24"/>
          <w:szCs w:val="24"/>
          <w:highlight w:val="none"/>
        </w:rPr>
        <w:t>。</w:t>
      </w:r>
    </w:p>
    <w:p w14:paraId="2E3186D7">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 交通运输</w:t>
      </w:r>
    </w:p>
    <w:p w14:paraId="0F49CE6D">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896" w:name="_Toc304295521"/>
      <w:bookmarkStart w:id="897" w:name="_Toc303539100"/>
      <w:bookmarkStart w:id="898" w:name="_Toc318581155"/>
      <w:bookmarkStart w:id="899" w:name="_Toc312677986"/>
      <w:bookmarkStart w:id="900" w:name="_Toc300934943"/>
      <w:r>
        <w:rPr>
          <w:rFonts w:hint="eastAsia" w:ascii="宋体" w:hAnsi="宋体" w:eastAsia="宋体" w:cs="宋体"/>
          <w:color w:val="auto"/>
          <w:sz w:val="24"/>
          <w:szCs w:val="24"/>
          <w:highlight w:val="none"/>
        </w:rPr>
        <w:t>.10.1 出入现场的权利</w:t>
      </w:r>
    </w:p>
    <w:p w14:paraId="58EC4C2D">
      <w:pPr>
        <w:spacing w:line="360" w:lineRule="auto"/>
        <w:ind w:left="596" w:leftChars="284"/>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关于出入现场的权利的约定：</w:t>
      </w:r>
      <w:r>
        <w:rPr>
          <w:rFonts w:hint="eastAsia" w:ascii="宋体" w:hAnsi="宋体" w:eastAsia="宋体" w:cs="宋体"/>
          <w:color w:val="auto"/>
          <w:sz w:val="24"/>
          <w:szCs w:val="24"/>
          <w:highlight w:val="none"/>
          <w:u w:val="single"/>
        </w:rPr>
        <w:t>执行</w:t>
      </w:r>
      <w:r>
        <w:rPr>
          <w:rFonts w:hint="eastAsia" w:ascii="宋体" w:hAnsi="宋体" w:eastAsia="宋体" w:cs="宋体"/>
          <w:color w:val="auto"/>
          <w:sz w:val="24"/>
          <w:szCs w:val="24"/>
          <w:highlight w:val="none"/>
          <w:u w:val="single"/>
          <w:lang w:eastAsia="zh-CN"/>
        </w:rPr>
        <w:t>合同</w:t>
      </w:r>
      <w:r>
        <w:rPr>
          <w:rFonts w:hint="eastAsia" w:ascii="宋体" w:hAnsi="宋体" w:eastAsia="宋体" w:cs="宋体"/>
          <w:color w:val="auto"/>
          <w:sz w:val="24"/>
          <w:szCs w:val="24"/>
          <w:highlight w:val="none"/>
          <w:u w:val="single"/>
        </w:rPr>
        <w:t>通用条款</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bookmarkEnd w:id="896"/>
    <w:bookmarkEnd w:id="897"/>
    <w:bookmarkEnd w:id="898"/>
    <w:bookmarkEnd w:id="899"/>
    <w:bookmarkEnd w:id="900"/>
    <w:p w14:paraId="7BD9151A">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901" w:name="_Toc312677987"/>
      <w:bookmarkStart w:id="902" w:name="_Toc303539101"/>
      <w:bookmarkStart w:id="903" w:name="_Toc300934944"/>
      <w:bookmarkStart w:id="904" w:name="_Toc318581156"/>
      <w:bookmarkStart w:id="905" w:name="_Toc304295522"/>
      <w:r>
        <w:rPr>
          <w:rFonts w:hint="eastAsia" w:ascii="宋体" w:hAnsi="宋体" w:eastAsia="宋体" w:cs="宋体"/>
          <w:color w:val="auto"/>
          <w:sz w:val="24"/>
          <w:szCs w:val="24"/>
          <w:highlight w:val="none"/>
        </w:rPr>
        <w:t>.10.3 场内交通</w:t>
      </w:r>
    </w:p>
    <w:p w14:paraId="6B9A8DE9">
      <w:pPr>
        <w:spacing w:line="360" w:lineRule="auto"/>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关于场外交通和场内交通的边界的约定：</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以施工现场围墙准</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w:t>
      </w:r>
    </w:p>
    <w:p w14:paraId="0DFD601E">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关于发包人向承包人免费提供满足工程施工需要的场内道路和交通设施的约定：</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sz w:val="24"/>
          <w:szCs w:val="24"/>
          <w:highlight w:val="none"/>
        </w:rPr>
        <w:t>。</w:t>
      </w:r>
      <w:bookmarkEnd w:id="901"/>
      <w:bookmarkEnd w:id="902"/>
      <w:bookmarkEnd w:id="903"/>
      <w:bookmarkEnd w:id="904"/>
      <w:bookmarkEnd w:id="905"/>
      <w:r>
        <w:rPr>
          <w:rFonts w:hint="eastAsia" w:ascii="宋体" w:hAnsi="宋体" w:eastAsia="宋体" w:cs="宋体"/>
          <w:color w:val="auto"/>
          <w:sz w:val="24"/>
          <w:szCs w:val="24"/>
          <w:highlight w:val="none"/>
        </w:rPr>
        <w:t xml:space="preserve"> </w:t>
      </w:r>
      <w:bookmarkStart w:id="906" w:name="_Toc318581157"/>
    </w:p>
    <w:p w14:paraId="6D2B913D">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1.10.4超大件和超重件的运输</w:t>
      </w:r>
    </w:p>
    <w:p w14:paraId="4FC42370">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运输超大件或超重件所需的道路和桥梁临时加固改造费用和其他有关费用由</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sz w:val="24"/>
          <w:szCs w:val="24"/>
          <w:highlight w:val="none"/>
        </w:rPr>
        <w:t>承担。</w:t>
      </w:r>
    </w:p>
    <w:bookmarkEnd w:id="906"/>
    <w:p w14:paraId="31499E7C">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知识产权</w:t>
      </w:r>
    </w:p>
    <w:p w14:paraId="2586442E">
      <w:pPr>
        <w:spacing w:line="360" w:lineRule="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sz w:val="24"/>
          <w:szCs w:val="24"/>
          <w:highlight w:val="none"/>
        </w:rPr>
        <w:t>。</w:t>
      </w:r>
    </w:p>
    <w:p w14:paraId="025A7508">
      <w:pPr>
        <w:spacing w:line="360" w:lineRule="auto"/>
        <w:ind w:left="596" w:leftChars="284"/>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关于发包人提供的上述文件的使用限制的要求：</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287832DE">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 关于承包人为实施工程所编制文件的著作权的归属：</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04E6AD70">
      <w:pPr>
        <w:spacing w:line="360" w:lineRule="auto"/>
        <w:ind w:firstLine="480" w:firstLineChars="2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关于承包人提供的上述文件的使用限制的要求：</w:t>
      </w:r>
      <w:r>
        <w:rPr>
          <w:rFonts w:hint="eastAsia" w:ascii="宋体" w:hAnsi="宋体" w:eastAsia="宋体" w:cs="宋体"/>
          <w:color w:val="auto"/>
          <w:sz w:val="24"/>
          <w:szCs w:val="24"/>
          <w:highlight w:val="none"/>
          <w:u w:val="single"/>
        </w:rPr>
        <w:t>执行</w:t>
      </w:r>
      <w:r>
        <w:rPr>
          <w:rFonts w:hint="eastAsia" w:ascii="宋体" w:hAnsi="宋体" w:eastAsia="宋体" w:cs="宋体"/>
          <w:color w:val="auto"/>
          <w:sz w:val="24"/>
          <w:szCs w:val="24"/>
          <w:highlight w:val="none"/>
          <w:u w:val="single"/>
          <w:lang w:eastAsia="zh-CN"/>
        </w:rPr>
        <w:t>合同</w:t>
      </w:r>
      <w:r>
        <w:rPr>
          <w:rFonts w:hint="eastAsia" w:ascii="宋体" w:hAnsi="宋体" w:eastAsia="宋体" w:cs="宋体"/>
          <w:color w:val="auto"/>
          <w:sz w:val="24"/>
          <w:szCs w:val="24"/>
          <w:highlight w:val="none"/>
          <w:u w:val="single"/>
        </w:rPr>
        <w:t>通用条款</w:t>
      </w:r>
      <w:r>
        <w:rPr>
          <w:rFonts w:hint="eastAsia" w:ascii="宋体" w:hAnsi="宋体" w:eastAsia="宋体" w:cs="宋体"/>
          <w:color w:val="auto"/>
          <w:sz w:val="24"/>
          <w:szCs w:val="24"/>
          <w:highlight w:val="none"/>
        </w:rPr>
        <w:t>。</w:t>
      </w:r>
    </w:p>
    <w:p w14:paraId="4F1C3F54">
      <w:pPr>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1.11.4 承包人在施工过程中所采用的专利、专有技术、技术秘密的使用费的承担方式：</w:t>
      </w:r>
      <w:r>
        <w:rPr>
          <w:rFonts w:hint="eastAsia" w:ascii="宋体" w:hAnsi="宋体" w:eastAsia="宋体" w:cs="宋体"/>
          <w:color w:val="auto"/>
          <w:sz w:val="24"/>
          <w:szCs w:val="24"/>
          <w:highlight w:val="none"/>
          <w:u w:val="single"/>
        </w:rPr>
        <w:t>执行</w:t>
      </w:r>
      <w:r>
        <w:rPr>
          <w:rFonts w:hint="eastAsia" w:ascii="宋体" w:hAnsi="宋体" w:eastAsia="宋体" w:cs="宋体"/>
          <w:color w:val="auto"/>
          <w:sz w:val="24"/>
          <w:szCs w:val="24"/>
          <w:highlight w:val="none"/>
          <w:u w:val="single"/>
          <w:lang w:eastAsia="zh-CN"/>
        </w:rPr>
        <w:t>合同</w:t>
      </w:r>
      <w:r>
        <w:rPr>
          <w:rFonts w:hint="eastAsia" w:ascii="宋体" w:hAnsi="宋体" w:eastAsia="宋体" w:cs="宋体"/>
          <w:color w:val="auto"/>
          <w:sz w:val="24"/>
          <w:szCs w:val="24"/>
          <w:highlight w:val="none"/>
          <w:u w:val="single"/>
        </w:rPr>
        <w:t>通用条款</w:t>
      </w:r>
      <w:r>
        <w:rPr>
          <w:rFonts w:hint="eastAsia" w:ascii="宋体" w:hAnsi="宋体" w:eastAsia="宋体" w:cs="宋体"/>
          <w:color w:val="auto"/>
          <w:kern w:val="0"/>
          <w:sz w:val="24"/>
          <w:szCs w:val="24"/>
          <w:highlight w:val="none"/>
        </w:rPr>
        <w:t>。</w:t>
      </w:r>
    </w:p>
    <w:p w14:paraId="70CD7919">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1.13工程量清单错误的修正</w:t>
      </w:r>
    </w:p>
    <w:p w14:paraId="4B9449BD">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出现工程量清单错误时，是否调整合同价格：</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允许</w:t>
      </w:r>
      <w:r>
        <w:rPr>
          <w:rFonts w:hint="eastAsia" w:ascii="宋体" w:hAnsi="宋体" w:eastAsia="宋体" w:cs="宋体"/>
          <w:color w:val="auto"/>
          <w:sz w:val="24"/>
          <w:szCs w:val="24"/>
          <w:highlight w:val="none"/>
          <w:u w:val="single"/>
        </w:rPr>
        <w:t xml:space="preserve">调整   </w:t>
      </w:r>
      <w:r>
        <w:rPr>
          <w:rFonts w:hint="eastAsia" w:ascii="宋体" w:hAnsi="宋体" w:eastAsia="宋体" w:cs="宋体"/>
          <w:color w:val="auto"/>
          <w:kern w:val="0"/>
          <w:sz w:val="24"/>
          <w:szCs w:val="24"/>
          <w:highlight w:val="none"/>
        </w:rPr>
        <w:t>。</w:t>
      </w:r>
    </w:p>
    <w:p w14:paraId="0F4C75DF">
      <w:pPr>
        <w:spacing w:line="360" w:lineRule="auto"/>
        <w:ind w:firstLine="480" w:firstLineChars="2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允许调整合同价格的工程量偏差范围：</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63AF8A3B">
      <w:pPr>
        <w:spacing w:after="120" w:afterLines="0" w:line="360" w:lineRule="auto"/>
        <w:outlineLvl w:val="9"/>
        <w:rPr>
          <w:rFonts w:hint="eastAsia" w:ascii="宋体" w:hAnsi="宋体" w:eastAsia="宋体" w:cs="宋体"/>
          <w:color w:val="auto"/>
          <w:sz w:val="24"/>
          <w:szCs w:val="24"/>
          <w:highlight w:val="none"/>
        </w:rPr>
      </w:pPr>
      <w:bookmarkStart w:id="907" w:name="_Toc351203634"/>
      <w:r>
        <w:rPr>
          <w:rFonts w:hint="eastAsia" w:ascii="宋体" w:hAnsi="宋体" w:eastAsia="宋体" w:cs="宋体"/>
          <w:color w:val="auto"/>
          <w:sz w:val="24"/>
          <w:szCs w:val="24"/>
          <w:highlight w:val="none"/>
        </w:rPr>
        <w:t>2</w:t>
      </w:r>
      <w:bookmarkStart w:id="908" w:name="_Toc296346658"/>
      <w:bookmarkStart w:id="909" w:name="_Toc296503157"/>
      <w:bookmarkStart w:id="910" w:name="_Toc297120457"/>
      <w:bookmarkStart w:id="911" w:name="_Toc296944496"/>
      <w:bookmarkStart w:id="912" w:name="_Toc296347156"/>
      <w:bookmarkStart w:id="913" w:name="_Toc296891197"/>
      <w:bookmarkStart w:id="914" w:name="_Toc297048343"/>
      <w:bookmarkStart w:id="915" w:name="_Toc292559867"/>
      <w:bookmarkStart w:id="916" w:name="_Toc292559362"/>
      <w:bookmarkStart w:id="917" w:name="_Toc296890985"/>
      <w:r>
        <w:rPr>
          <w:rFonts w:hint="eastAsia" w:ascii="宋体" w:hAnsi="宋体" w:eastAsia="宋体" w:cs="宋体"/>
          <w:color w:val="auto"/>
          <w:sz w:val="24"/>
          <w:szCs w:val="24"/>
          <w:highlight w:val="none"/>
        </w:rPr>
        <w:t>. 发包人</w:t>
      </w:r>
      <w:bookmarkEnd w:id="907"/>
    </w:p>
    <w:bookmarkEnd w:id="908"/>
    <w:bookmarkEnd w:id="909"/>
    <w:bookmarkEnd w:id="910"/>
    <w:bookmarkEnd w:id="911"/>
    <w:bookmarkEnd w:id="912"/>
    <w:bookmarkEnd w:id="913"/>
    <w:bookmarkEnd w:id="914"/>
    <w:bookmarkEnd w:id="915"/>
    <w:bookmarkEnd w:id="916"/>
    <w:bookmarkEnd w:id="917"/>
    <w:p w14:paraId="5D584C33">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发包人代表</w:t>
      </w:r>
    </w:p>
    <w:p w14:paraId="5AC36487">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发包人代表：</w:t>
      </w:r>
    </w:p>
    <w:p w14:paraId="481C9338">
      <w:pPr>
        <w:adjustRightInd w:val="0"/>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p>
    <w:p w14:paraId="61F9ECA8">
      <w:pPr>
        <w:adjustRightInd w:val="0"/>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p>
    <w:p w14:paraId="64B5BEC7">
      <w:pPr>
        <w:adjustRightInd w:val="0"/>
        <w:snapToGrid w:val="0"/>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5EB8F88">
      <w:pPr>
        <w:adjustRightInd w:val="0"/>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00A9C20C">
      <w:pPr>
        <w:adjustRightInd w:val="0"/>
        <w:snapToGrid w:val="0"/>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eastAsia="zh-CN"/>
        </w:rPr>
        <w:t>；</w:t>
      </w:r>
    </w:p>
    <w:p w14:paraId="6360E78C">
      <w:pPr>
        <w:adjustRightInd w:val="0"/>
        <w:snapToGrid w:val="0"/>
        <w:spacing w:line="360" w:lineRule="auto"/>
        <w:ind w:firstLine="480" w:firstLineChars="200"/>
        <w:outlineLvl w:val="9"/>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lang w:val="en-US" w:eastAsia="zh-CN"/>
        </w:rPr>
        <w:t xml:space="preserve">                  </w:t>
      </w:r>
    </w:p>
    <w:p w14:paraId="1C2A5736">
      <w:pPr>
        <w:spacing w:line="360" w:lineRule="auto"/>
        <w:ind w:firstLine="480" w:firstLineChars="2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发包人对发包人代表的授权范围如下：1、</w:t>
      </w:r>
      <w:r>
        <w:rPr>
          <w:rFonts w:hint="eastAsia" w:ascii="宋体" w:hAnsi="宋体" w:eastAsia="宋体" w:cs="宋体"/>
          <w:color w:val="auto"/>
          <w:sz w:val="24"/>
          <w:szCs w:val="24"/>
          <w:highlight w:val="none"/>
          <w:u w:val="single"/>
        </w:rPr>
        <w:t>督促监理工程师按照监理合同办事；2、协调各有关单位工作；3、工程进度与工程量的确认；4、督促并控制好工程进度、质量、投资</w:t>
      </w:r>
      <w:r>
        <w:rPr>
          <w:rFonts w:hint="eastAsia" w:ascii="宋体" w:hAnsi="宋体" w:eastAsia="宋体" w:cs="宋体"/>
          <w:color w:val="auto"/>
          <w:sz w:val="24"/>
          <w:szCs w:val="24"/>
          <w:highlight w:val="none"/>
        </w:rPr>
        <w:t>。</w:t>
      </w:r>
    </w:p>
    <w:p w14:paraId="689FFAC7">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施工现场、施工条件和基础资料的提供</w:t>
      </w:r>
    </w:p>
    <w:p w14:paraId="1A31ACD3">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提供施工现场</w:t>
      </w:r>
    </w:p>
    <w:p w14:paraId="2B4AF231">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关于发包人移交施工现场的期限要求：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开工前7天  </w:t>
      </w:r>
      <w:r>
        <w:rPr>
          <w:rFonts w:hint="eastAsia" w:ascii="宋体" w:hAnsi="宋体" w:eastAsia="宋体" w:cs="宋体"/>
          <w:color w:val="auto"/>
          <w:sz w:val="24"/>
          <w:szCs w:val="24"/>
          <w:highlight w:val="none"/>
        </w:rPr>
        <w:t>。</w:t>
      </w:r>
    </w:p>
    <w:p w14:paraId="36EA4524">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提供施工条件</w:t>
      </w:r>
    </w:p>
    <w:p w14:paraId="098BB3B6">
      <w:pPr>
        <w:spacing w:line="360" w:lineRule="auto"/>
        <w:ind w:firstLine="480" w:firstLineChars="2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关于发包人应负责提供施工所需要的条件，包括：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执行通用条款     </w:t>
      </w:r>
      <w:r>
        <w:rPr>
          <w:rFonts w:hint="eastAsia" w:ascii="宋体" w:hAnsi="宋体" w:eastAsia="宋体" w:cs="宋体"/>
          <w:color w:val="auto"/>
          <w:sz w:val="24"/>
          <w:szCs w:val="24"/>
          <w:highlight w:val="none"/>
        </w:rPr>
        <w:t>。</w:t>
      </w:r>
    </w:p>
    <w:p w14:paraId="050C8B22">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资金来源证明及支付担保</w:t>
      </w:r>
    </w:p>
    <w:p w14:paraId="24D0B044">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发包人提供资金来源证明的期限要求：</w:t>
      </w:r>
      <w:r>
        <w:rPr>
          <w:rFonts w:hint="eastAsia" w:ascii="宋体" w:hAnsi="宋体" w:eastAsia="宋体" w:cs="宋体"/>
          <w:color w:val="auto"/>
          <w:sz w:val="24"/>
          <w:szCs w:val="24"/>
          <w:highlight w:val="none"/>
          <w:u w:val="single"/>
        </w:rPr>
        <w:t xml:space="preserve">无              </w:t>
      </w:r>
      <w:r>
        <w:rPr>
          <w:rFonts w:hint="eastAsia" w:ascii="宋体" w:hAnsi="宋体" w:eastAsia="宋体" w:cs="宋体"/>
          <w:color w:val="auto"/>
          <w:sz w:val="24"/>
          <w:szCs w:val="24"/>
          <w:highlight w:val="none"/>
        </w:rPr>
        <w:t>。</w:t>
      </w:r>
    </w:p>
    <w:p w14:paraId="3B36AA20">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发包人是否提供支付担保：</w:t>
      </w:r>
      <w:r>
        <w:rPr>
          <w:rFonts w:hint="eastAsia" w:ascii="宋体" w:hAnsi="宋体" w:eastAsia="宋体" w:cs="宋体"/>
          <w:color w:val="auto"/>
          <w:sz w:val="24"/>
          <w:szCs w:val="24"/>
          <w:highlight w:val="none"/>
          <w:u w:val="single"/>
        </w:rPr>
        <w:t xml:space="preserve">无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37AFC0C">
      <w:pPr>
        <w:spacing w:line="360" w:lineRule="auto"/>
        <w:ind w:firstLine="480" w:firstLineChars="2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发包人提供支付担保的形式：</w:t>
      </w:r>
      <w:r>
        <w:rPr>
          <w:rFonts w:hint="eastAsia" w:ascii="宋体" w:hAnsi="宋体" w:eastAsia="宋体" w:cs="宋体"/>
          <w:color w:val="auto"/>
          <w:sz w:val="24"/>
          <w:szCs w:val="24"/>
          <w:highlight w:val="none"/>
          <w:u w:val="single"/>
        </w:rPr>
        <w:t>无                 </w:t>
      </w:r>
      <w:r>
        <w:rPr>
          <w:rFonts w:hint="eastAsia" w:ascii="宋体" w:hAnsi="宋体" w:eastAsia="宋体" w:cs="宋体"/>
          <w:color w:val="auto"/>
          <w:sz w:val="24"/>
          <w:szCs w:val="24"/>
          <w:highlight w:val="none"/>
        </w:rPr>
        <w:t>。</w:t>
      </w:r>
    </w:p>
    <w:p w14:paraId="23E2935F">
      <w:pPr>
        <w:spacing w:after="120" w:afterLines="0" w:line="360" w:lineRule="auto"/>
        <w:outlineLvl w:val="9"/>
        <w:rPr>
          <w:rFonts w:hint="eastAsia" w:ascii="宋体" w:hAnsi="宋体" w:eastAsia="宋体" w:cs="宋体"/>
          <w:color w:val="auto"/>
          <w:sz w:val="24"/>
          <w:szCs w:val="24"/>
          <w:highlight w:val="none"/>
        </w:rPr>
      </w:pPr>
      <w:bookmarkStart w:id="918" w:name="_Toc351203635"/>
      <w:r>
        <w:rPr>
          <w:rFonts w:hint="eastAsia" w:ascii="宋体" w:hAnsi="宋体" w:eastAsia="宋体" w:cs="宋体"/>
          <w:color w:val="auto"/>
          <w:sz w:val="24"/>
          <w:szCs w:val="24"/>
          <w:highlight w:val="none"/>
        </w:rPr>
        <w:t>3</w:t>
      </w:r>
      <w:bookmarkStart w:id="919" w:name="_Toc296347157"/>
      <w:bookmarkStart w:id="920" w:name="_Toc292559363"/>
      <w:bookmarkStart w:id="921" w:name="_Toc296346659"/>
      <w:bookmarkStart w:id="922" w:name="_Toc296891198"/>
      <w:bookmarkStart w:id="923" w:name="_Toc297120458"/>
      <w:bookmarkStart w:id="924" w:name="_Toc292559868"/>
      <w:bookmarkStart w:id="925" w:name="_Toc296503158"/>
      <w:bookmarkStart w:id="926" w:name="_Toc297048344"/>
      <w:bookmarkStart w:id="927" w:name="_Toc296944497"/>
      <w:bookmarkStart w:id="928" w:name="_Toc296890986"/>
      <w:r>
        <w:rPr>
          <w:rFonts w:hint="eastAsia" w:ascii="宋体" w:hAnsi="宋体" w:eastAsia="宋体" w:cs="宋体"/>
          <w:color w:val="auto"/>
          <w:sz w:val="24"/>
          <w:szCs w:val="24"/>
          <w:highlight w:val="none"/>
        </w:rPr>
        <w:t>. 承包人</w:t>
      </w:r>
      <w:bookmarkEnd w:id="918"/>
    </w:p>
    <w:bookmarkEnd w:id="919"/>
    <w:bookmarkEnd w:id="920"/>
    <w:bookmarkEnd w:id="921"/>
    <w:bookmarkEnd w:id="922"/>
    <w:bookmarkEnd w:id="923"/>
    <w:bookmarkEnd w:id="924"/>
    <w:bookmarkEnd w:id="925"/>
    <w:bookmarkEnd w:id="926"/>
    <w:bookmarkEnd w:id="927"/>
    <w:bookmarkEnd w:id="928"/>
    <w:p w14:paraId="09B3B13A">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承包人的一般义务</w:t>
      </w:r>
    </w:p>
    <w:p w14:paraId="051584F0">
      <w:pPr>
        <w:spacing w:line="360" w:lineRule="auto"/>
        <w:ind w:firstLine="480" w:firstLineChars="200"/>
        <w:jc w:val="lef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（5）</w:t>
      </w:r>
      <w:r>
        <w:rPr>
          <w:rFonts w:hint="eastAsia" w:ascii="宋体" w:hAnsi="宋体" w:eastAsia="宋体" w:cs="宋体"/>
          <w:color w:val="auto"/>
          <w:sz w:val="24"/>
          <w:szCs w:val="24"/>
          <w:highlight w:val="none"/>
        </w:rPr>
        <w:t>承包人提交的竣工资料的内容：</w:t>
      </w:r>
      <w:r>
        <w:rPr>
          <w:rFonts w:hint="eastAsia" w:ascii="宋体" w:hAnsi="宋体" w:eastAsia="宋体" w:cs="宋体"/>
          <w:color w:val="auto"/>
          <w:sz w:val="24"/>
          <w:szCs w:val="24"/>
          <w:highlight w:val="none"/>
          <w:u w:val="single"/>
        </w:rPr>
        <w:t xml:space="preserve">1、完整准确的竣工图纸；2、竣工内业资料 </w:t>
      </w:r>
      <w:r>
        <w:rPr>
          <w:rFonts w:hint="eastAsia" w:ascii="宋体" w:hAnsi="宋体" w:eastAsia="宋体" w:cs="宋体"/>
          <w:color w:val="auto"/>
          <w:sz w:val="24"/>
          <w:szCs w:val="24"/>
          <w:highlight w:val="none"/>
        </w:rPr>
        <w:t>。</w:t>
      </w:r>
    </w:p>
    <w:p w14:paraId="3463B02F">
      <w:pPr>
        <w:spacing w:line="360" w:lineRule="auto"/>
        <w:ind w:firstLine="600" w:firstLineChars="25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承包人需要提交的竣工资料套数：</w:t>
      </w:r>
      <w:r>
        <w:rPr>
          <w:rFonts w:hint="eastAsia" w:ascii="宋体" w:hAnsi="宋体" w:eastAsia="宋体" w:cs="宋体"/>
          <w:color w:val="auto"/>
          <w:sz w:val="24"/>
          <w:szCs w:val="24"/>
          <w:highlight w:val="none"/>
          <w:u w:val="single"/>
        </w:rPr>
        <w:t>竣工图</w:t>
      </w:r>
      <w:r>
        <w:rPr>
          <w:rFonts w:hint="eastAsia" w:ascii="宋体" w:hAnsi="宋体" w:eastAsia="宋体" w:cs="宋体"/>
          <w:color w:val="auto"/>
          <w:sz w:val="24"/>
          <w:szCs w:val="24"/>
          <w:highlight w:val="none"/>
          <w:u w:val="single"/>
          <w:lang w:eastAsia="zh-CN"/>
        </w:rPr>
        <w:t>二</w:t>
      </w:r>
      <w:r>
        <w:rPr>
          <w:rFonts w:hint="eastAsia" w:ascii="宋体" w:hAnsi="宋体" w:eastAsia="宋体" w:cs="宋体"/>
          <w:color w:val="auto"/>
          <w:sz w:val="24"/>
          <w:szCs w:val="24"/>
          <w:highlight w:val="none"/>
          <w:u w:val="single"/>
        </w:rPr>
        <w:t>套；竣工资料二套</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 xml:space="preserve">电子竣工资料一套 </w:t>
      </w:r>
      <w:r>
        <w:rPr>
          <w:rFonts w:hint="eastAsia" w:ascii="宋体" w:hAnsi="宋体" w:eastAsia="宋体" w:cs="宋体"/>
          <w:color w:val="auto"/>
          <w:sz w:val="24"/>
          <w:szCs w:val="24"/>
          <w:highlight w:val="none"/>
        </w:rPr>
        <w:t>。</w:t>
      </w:r>
    </w:p>
    <w:p w14:paraId="1AD9CFC7">
      <w:pPr>
        <w:spacing w:line="360" w:lineRule="auto"/>
        <w:ind w:left="638" w:leftChars="304"/>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承包人提交的竣工资料的费用承担：</w:t>
      </w:r>
      <w:r>
        <w:rPr>
          <w:rFonts w:hint="eastAsia" w:ascii="宋体" w:hAnsi="宋体" w:eastAsia="宋体" w:cs="宋体"/>
          <w:color w:val="auto"/>
          <w:sz w:val="24"/>
          <w:szCs w:val="24"/>
          <w:highlight w:val="none"/>
          <w:u w:val="single"/>
        </w:rPr>
        <w:t xml:space="preserve">发生费用由承包人承担  </w:t>
      </w:r>
      <w:r>
        <w:rPr>
          <w:rFonts w:hint="eastAsia" w:ascii="宋体" w:hAnsi="宋体" w:eastAsia="宋体" w:cs="宋体"/>
          <w:color w:val="auto"/>
          <w:sz w:val="24"/>
          <w:szCs w:val="24"/>
          <w:highlight w:val="none"/>
        </w:rPr>
        <w:t>。</w:t>
      </w:r>
    </w:p>
    <w:p w14:paraId="6BA75AB3">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638" w:leftChars="304" w:right="0" w:righ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承包人提交的竣工资料移交时间：</w:t>
      </w:r>
      <w:r>
        <w:rPr>
          <w:rFonts w:hint="eastAsia" w:ascii="宋体" w:hAnsi="宋体" w:eastAsia="宋体" w:cs="宋体"/>
          <w:color w:val="auto"/>
          <w:sz w:val="24"/>
          <w:szCs w:val="24"/>
          <w:highlight w:val="none"/>
          <w:u w:val="single"/>
        </w:rPr>
        <w:t xml:space="preserve">  竣工验收合格后</w:t>
      </w:r>
      <w:r>
        <w:rPr>
          <w:rFonts w:hint="eastAsia" w:ascii="宋体" w:hAnsi="宋体" w:eastAsia="宋体" w:cs="宋体"/>
          <w:color w:val="auto"/>
          <w:sz w:val="24"/>
          <w:szCs w:val="24"/>
          <w:highlight w:val="none"/>
          <w:u w:val="single"/>
          <w:lang w:val="en-US" w:eastAsia="zh-CN"/>
        </w:rPr>
        <w:t>15</w:t>
      </w:r>
      <w:r>
        <w:rPr>
          <w:rFonts w:hint="eastAsia" w:ascii="宋体" w:hAnsi="宋体" w:eastAsia="宋体" w:cs="宋体"/>
          <w:color w:val="auto"/>
          <w:sz w:val="24"/>
          <w:szCs w:val="24"/>
          <w:highlight w:val="none"/>
          <w:u w:val="single"/>
        </w:rPr>
        <w:t xml:space="preserve">日内移交   </w:t>
      </w:r>
      <w:r>
        <w:rPr>
          <w:rFonts w:hint="eastAsia" w:ascii="宋体" w:hAnsi="宋体" w:eastAsia="宋体" w:cs="宋体"/>
          <w:color w:val="auto"/>
          <w:sz w:val="24"/>
          <w:szCs w:val="24"/>
          <w:highlight w:val="none"/>
        </w:rPr>
        <w:t>。</w:t>
      </w:r>
    </w:p>
    <w:p w14:paraId="57080FDD">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firstLine="600" w:firstLineChars="25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承包人提交的竣工资料形式要求：</w:t>
      </w:r>
      <w:r>
        <w:rPr>
          <w:rFonts w:hint="eastAsia" w:ascii="宋体" w:hAnsi="宋体" w:eastAsia="宋体" w:cs="宋体"/>
          <w:color w:val="auto"/>
          <w:sz w:val="24"/>
          <w:szCs w:val="24"/>
          <w:highlight w:val="none"/>
          <w:u w:val="single"/>
        </w:rPr>
        <w:t xml:space="preserve">  书面形式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1D02C49">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（6）承包人应履行的其他义务：1）</w:t>
      </w:r>
      <w:r>
        <w:rPr>
          <w:rFonts w:hint="eastAsia" w:ascii="宋体" w:hAnsi="宋体" w:eastAsia="宋体" w:cs="宋体"/>
          <w:color w:val="auto"/>
          <w:kern w:val="0"/>
          <w:sz w:val="24"/>
          <w:szCs w:val="24"/>
          <w:highlight w:val="none"/>
          <w:u w:val="single"/>
        </w:rPr>
        <w:t>承包人施工时必须与电信、广电、给水、电力等有关部门密切配合，保质保量完成施工任务</w:t>
      </w:r>
      <w:r>
        <w:rPr>
          <w:rFonts w:hint="eastAsia" w:ascii="宋体" w:hAnsi="宋体" w:eastAsia="宋体" w:cs="宋体"/>
          <w:color w:val="auto"/>
          <w:kern w:val="0"/>
          <w:sz w:val="24"/>
          <w:szCs w:val="24"/>
          <w:highlight w:val="none"/>
          <w:u w:val="none"/>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承包人在施工时，必须全面协调好与周边环境关系，施工时承包人因自身原因未处理好周边环境关系而导致工程停工，发包人将不承担由引起的工期延误及其他工程费用损失。</w:t>
      </w:r>
    </w:p>
    <w:p w14:paraId="55C95C79">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项目负责人</w:t>
      </w:r>
    </w:p>
    <w:p w14:paraId="52476C3A">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3.2.1 </w:t>
      </w:r>
      <w:r>
        <w:rPr>
          <w:rFonts w:hint="eastAsia" w:ascii="宋体" w:hAnsi="宋体" w:eastAsia="宋体" w:cs="宋体"/>
          <w:color w:val="auto"/>
          <w:sz w:val="24"/>
          <w:szCs w:val="24"/>
          <w:highlight w:val="none"/>
        </w:rPr>
        <w:t>项目负责人：</w:t>
      </w:r>
    </w:p>
    <w:p w14:paraId="77A16849">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0134FCDE">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41F503FD">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建造师执业资格等级：</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46B017D8">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建造师注册证书号：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4590ED4F">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建造师执业印章号：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67688AF3">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安全生产考核合格证书号：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57D57D67">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11896ED8">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6A0E32E6">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22F86B33">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承包人对项目负责人的授权范围如下：</w:t>
      </w:r>
      <w:r>
        <w:rPr>
          <w:rFonts w:hint="eastAsia" w:ascii="宋体" w:hAnsi="宋体" w:eastAsia="宋体" w:cs="宋体"/>
          <w:color w:val="auto"/>
          <w:sz w:val="24"/>
          <w:szCs w:val="24"/>
          <w:highlight w:val="none"/>
          <w:u w:val="single"/>
        </w:rPr>
        <w:t xml:space="preserve">执行通用条款   </w:t>
      </w:r>
      <w:r>
        <w:rPr>
          <w:rFonts w:hint="eastAsia" w:ascii="宋体" w:hAnsi="宋体" w:eastAsia="宋体" w:cs="宋体"/>
          <w:color w:val="auto"/>
          <w:sz w:val="24"/>
          <w:szCs w:val="24"/>
          <w:highlight w:val="none"/>
        </w:rPr>
        <w:t>。</w:t>
      </w:r>
    </w:p>
    <w:p w14:paraId="41571913">
      <w:pPr>
        <w:spacing w:line="360" w:lineRule="auto"/>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关于项目负责人每月在施工现场的时间要求：</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1555D5A2">
      <w:pPr>
        <w:spacing w:line="360" w:lineRule="auto"/>
        <w:ind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承包人未提交劳动合同，以及没有为项目负责人缴纳社会保险证明的违约责任：</w:t>
      </w:r>
      <w:r>
        <w:rPr>
          <w:rFonts w:hint="eastAsia" w:ascii="宋体" w:hAnsi="宋体" w:eastAsia="宋体" w:cs="宋体"/>
          <w:color w:val="auto"/>
          <w:sz w:val="24"/>
          <w:szCs w:val="24"/>
          <w:highlight w:val="none"/>
          <w:u w:val="single"/>
        </w:rPr>
        <w:t xml:space="preserve">  另行约定     </w:t>
      </w:r>
      <w:r>
        <w:rPr>
          <w:rFonts w:hint="eastAsia" w:ascii="宋体" w:hAnsi="宋体" w:eastAsia="宋体" w:cs="宋体"/>
          <w:color w:val="auto"/>
          <w:sz w:val="24"/>
          <w:szCs w:val="24"/>
          <w:highlight w:val="none"/>
        </w:rPr>
        <w:t>。</w:t>
      </w:r>
    </w:p>
    <w:p w14:paraId="2D1F0072">
      <w:pPr>
        <w:spacing w:line="360" w:lineRule="auto"/>
        <w:ind w:firstLine="480" w:firstLineChars="2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项目负责人未经批准，擅自离开施工现场的违约责任：</w:t>
      </w:r>
      <w:r>
        <w:rPr>
          <w:rFonts w:hint="eastAsia" w:ascii="宋体" w:hAnsi="宋体" w:eastAsia="宋体" w:cs="宋体"/>
          <w:color w:val="auto"/>
          <w:sz w:val="24"/>
          <w:szCs w:val="24"/>
          <w:highlight w:val="none"/>
          <w:u w:val="single"/>
        </w:rPr>
        <w:t xml:space="preserve">   另行约定</w:t>
      </w:r>
      <w:r>
        <w:rPr>
          <w:rFonts w:hint="eastAsia" w:ascii="宋体" w:hAnsi="宋体" w:eastAsia="宋体" w:cs="宋体"/>
          <w:color w:val="auto"/>
          <w:sz w:val="24"/>
          <w:szCs w:val="24"/>
          <w:highlight w:val="none"/>
        </w:rPr>
        <w:t>。</w:t>
      </w:r>
    </w:p>
    <w:p w14:paraId="6359218C">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承包人擅自更换项目负责人的违约责任：</w:t>
      </w:r>
      <w:r>
        <w:rPr>
          <w:rFonts w:hint="eastAsia" w:ascii="宋体" w:hAnsi="宋体" w:eastAsia="宋体" w:cs="宋体"/>
          <w:color w:val="auto"/>
          <w:sz w:val="24"/>
          <w:szCs w:val="24"/>
          <w:highlight w:val="none"/>
          <w:u w:val="single"/>
        </w:rPr>
        <w:t xml:space="preserve"> 另行约定</w:t>
      </w:r>
      <w:r>
        <w:rPr>
          <w:rFonts w:hint="eastAsia" w:ascii="宋体" w:hAnsi="宋体" w:eastAsia="宋体" w:cs="宋体"/>
          <w:color w:val="auto"/>
          <w:sz w:val="24"/>
          <w:szCs w:val="24"/>
          <w:highlight w:val="none"/>
        </w:rPr>
        <w:t>。</w:t>
      </w:r>
    </w:p>
    <w:p w14:paraId="1F26FC06">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 承包人无正当理由拒绝更换项目负责人的违约责任：</w:t>
      </w:r>
      <w:r>
        <w:rPr>
          <w:rFonts w:hint="eastAsia" w:ascii="宋体" w:hAnsi="宋体" w:eastAsia="宋体" w:cs="宋体"/>
          <w:color w:val="auto"/>
          <w:sz w:val="24"/>
          <w:szCs w:val="24"/>
          <w:highlight w:val="none"/>
          <w:u w:val="single"/>
        </w:rPr>
        <w:t>另行约定</w:t>
      </w:r>
      <w:r>
        <w:rPr>
          <w:rFonts w:hint="eastAsia" w:ascii="宋体" w:hAnsi="宋体" w:eastAsia="宋体" w:cs="宋体"/>
          <w:color w:val="auto"/>
          <w:sz w:val="24"/>
          <w:szCs w:val="24"/>
          <w:highlight w:val="none"/>
        </w:rPr>
        <w:t>。</w:t>
      </w:r>
    </w:p>
    <w:p w14:paraId="21E7C0B4">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承包人人员</w:t>
      </w:r>
    </w:p>
    <w:p w14:paraId="06549DD7">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承包人提交项目管理机构及施工现场管理人员安排报告的期限：</w:t>
      </w:r>
      <w:r>
        <w:rPr>
          <w:rFonts w:hint="eastAsia" w:ascii="宋体" w:hAnsi="宋体" w:eastAsia="宋体" w:cs="宋体"/>
          <w:color w:val="auto"/>
          <w:sz w:val="24"/>
          <w:szCs w:val="24"/>
          <w:highlight w:val="none"/>
          <w:u w:val="single"/>
        </w:rPr>
        <w:t xml:space="preserve">接到开工通知后3天内 </w:t>
      </w:r>
      <w:r>
        <w:rPr>
          <w:rFonts w:hint="eastAsia" w:ascii="宋体" w:hAnsi="宋体" w:eastAsia="宋体" w:cs="宋体"/>
          <w:color w:val="auto"/>
          <w:sz w:val="24"/>
          <w:szCs w:val="24"/>
          <w:highlight w:val="none"/>
        </w:rPr>
        <w:t>。</w:t>
      </w:r>
    </w:p>
    <w:p w14:paraId="401D5457">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承包人无正当理由拒绝撤换主要施工管理人员的违约责任：</w:t>
      </w:r>
      <w:r>
        <w:rPr>
          <w:rFonts w:hint="eastAsia" w:ascii="宋体" w:hAnsi="宋体" w:eastAsia="宋体" w:cs="宋体"/>
          <w:color w:val="auto"/>
          <w:kern w:val="0"/>
          <w:sz w:val="24"/>
          <w:szCs w:val="24"/>
          <w:highlight w:val="none"/>
          <w:u w:val="single"/>
        </w:rPr>
        <w:t xml:space="preserve">若擅自变更，则承包人承担中标价2%的违约金 </w:t>
      </w:r>
      <w:r>
        <w:rPr>
          <w:rFonts w:hint="eastAsia" w:ascii="宋体" w:hAnsi="宋体" w:eastAsia="宋体" w:cs="宋体"/>
          <w:color w:val="auto"/>
          <w:sz w:val="24"/>
          <w:szCs w:val="24"/>
          <w:highlight w:val="none"/>
        </w:rPr>
        <w:t>。</w:t>
      </w:r>
    </w:p>
    <w:p w14:paraId="47240024">
      <w:pPr>
        <w:spacing w:line="360" w:lineRule="auto"/>
        <w:ind w:firstLine="480" w:firstLineChars="2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承包人主要施工管理人员离开施工现场的批准要求：</w:t>
      </w:r>
      <w:r>
        <w:rPr>
          <w:rFonts w:hint="eastAsia" w:ascii="宋体" w:hAnsi="宋体" w:eastAsia="宋体" w:cs="宋体"/>
          <w:color w:val="auto"/>
          <w:sz w:val="24"/>
          <w:szCs w:val="24"/>
          <w:highlight w:val="none"/>
          <w:u w:val="single"/>
        </w:rPr>
        <w:t>执行</w:t>
      </w:r>
      <w:r>
        <w:rPr>
          <w:rFonts w:hint="eastAsia" w:ascii="宋体" w:hAnsi="宋体" w:eastAsia="宋体" w:cs="宋体"/>
          <w:color w:val="auto"/>
          <w:sz w:val="24"/>
          <w:szCs w:val="24"/>
          <w:highlight w:val="none"/>
          <w:u w:val="single"/>
          <w:lang w:eastAsia="zh-CN"/>
        </w:rPr>
        <w:t>合同</w:t>
      </w:r>
      <w:r>
        <w:rPr>
          <w:rFonts w:hint="eastAsia" w:ascii="宋体" w:hAnsi="宋体" w:eastAsia="宋体" w:cs="宋体"/>
          <w:color w:val="auto"/>
          <w:sz w:val="24"/>
          <w:szCs w:val="24"/>
          <w:highlight w:val="none"/>
          <w:u w:val="single"/>
        </w:rPr>
        <w:t xml:space="preserve">通用条款 </w:t>
      </w:r>
      <w:r>
        <w:rPr>
          <w:rFonts w:hint="eastAsia" w:ascii="宋体" w:hAnsi="宋体" w:eastAsia="宋体" w:cs="宋体"/>
          <w:color w:val="auto"/>
          <w:sz w:val="24"/>
          <w:szCs w:val="24"/>
          <w:highlight w:val="none"/>
        </w:rPr>
        <w:t>。</w:t>
      </w:r>
    </w:p>
    <w:p w14:paraId="495DE9B1">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承包人擅自更换主要施工管理人员的违约责任：</w:t>
      </w:r>
      <w:r>
        <w:rPr>
          <w:rFonts w:hint="eastAsia" w:ascii="宋体" w:hAnsi="宋体" w:eastAsia="宋体" w:cs="宋体"/>
          <w:color w:val="auto"/>
          <w:sz w:val="24"/>
          <w:szCs w:val="24"/>
          <w:highlight w:val="none"/>
          <w:u w:val="single"/>
        </w:rPr>
        <w:t>未经发包人同意不得擅自更换主要</w:t>
      </w:r>
      <w:r>
        <w:rPr>
          <w:rFonts w:hint="eastAsia" w:ascii="宋体" w:hAnsi="宋体" w:eastAsia="宋体" w:cs="宋体"/>
          <w:color w:val="auto"/>
          <w:spacing w:val="-3"/>
          <w:sz w:val="24"/>
          <w:szCs w:val="24"/>
          <w:highlight w:val="none"/>
          <w:u w:val="single"/>
        </w:rPr>
        <w:t>施工管理人员</w:t>
      </w:r>
      <w:r>
        <w:rPr>
          <w:rFonts w:hint="eastAsia" w:ascii="宋体" w:hAnsi="宋体" w:eastAsia="宋体" w:cs="宋体"/>
          <w:color w:val="auto"/>
          <w:sz w:val="24"/>
          <w:szCs w:val="24"/>
          <w:highlight w:val="none"/>
          <w:u w:val="single"/>
        </w:rPr>
        <w:t xml:space="preserve">，否则承包人承担中标价2%的违约金 </w:t>
      </w:r>
      <w:r>
        <w:rPr>
          <w:rFonts w:hint="eastAsia" w:ascii="宋体" w:hAnsi="宋体" w:eastAsia="宋体" w:cs="宋体"/>
          <w:color w:val="auto"/>
          <w:sz w:val="24"/>
          <w:szCs w:val="24"/>
          <w:highlight w:val="none"/>
        </w:rPr>
        <w:t>。</w:t>
      </w:r>
    </w:p>
    <w:p w14:paraId="7F28206F">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承包人主要施工管理人员擅自离开施工现场的违约责任：</w:t>
      </w:r>
      <w:r>
        <w:rPr>
          <w:rFonts w:hint="eastAsia" w:ascii="宋体" w:hAnsi="宋体" w:eastAsia="宋体" w:cs="宋体"/>
          <w:color w:val="auto"/>
          <w:sz w:val="24"/>
          <w:szCs w:val="24"/>
          <w:highlight w:val="none"/>
          <w:u w:val="single"/>
        </w:rPr>
        <w:t xml:space="preserve">项目管理班子人员在施工现场时间必须与投标文件承诺相一致。如未经工程师书面同意达不到承诺要求的，项目技术负责人每缺一天罚款2000元，其他每缺一天罚款300元，并在当月的工程进度款中扣除 </w:t>
      </w:r>
      <w:r>
        <w:rPr>
          <w:rFonts w:hint="eastAsia" w:ascii="宋体" w:hAnsi="宋体" w:eastAsia="宋体" w:cs="宋体"/>
          <w:color w:val="auto"/>
          <w:sz w:val="24"/>
          <w:szCs w:val="24"/>
          <w:highlight w:val="none"/>
        </w:rPr>
        <w:t>。</w:t>
      </w:r>
    </w:p>
    <w:p w14:paraId="3EE31709">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929" w:name="_Toc297216151"/>
      <w:bookmarkStart w:id="930" w:name="_Toc292559364"/>
      <w:bookmarkStart w:id="931" w:name="_Toc296944498"/>
      <w:bookmarkStart w:id="932" w:name="_Toc297123492"/>
      <w:bookmarkStart w:id="933" w:name="_Toc297120459"/>
      <w:bookmarkStart w:id="934" w:name="_Toc296347158"/>
      <w:bookmarkStart w:id="935" w:name="_Toc296890987"/>
      <w:bookmarkStart w:id="936" w:name="_Toc297048345"/>
      <w:bookmarkStart w:id="937" w:name="_Toc296346660"/>
      <w:bookmarkStart w:id="938" w:name="_Toc296891199"/>
      <w:bookmarkStart w:id="939" w:name="_Toc303539102"/>
      <w:bookmarkStart w:id="940" w:name="_Toc304295523"/>
      <w:bookmarkStart w:id="941" w:name="_Toc300934945"/>
      <w:bookmarkStart w:id="942" w:name="_Toc312677988"/>
      <w:bookmarkStart w:id="943" w:name="_Toc292559869"/>
      <w:bookmarkStart w:id="944" w:name="_Toc296503159"/>
      <w:r>
        <w:rPr>
          <w:rFonts w:hint="eastAsia" w:ascii="宋体" w:hAnsi="宋体" w:eastAsia="宋体" w:cs="宋体"/>
          <w:color w:val="auto"/>
          <w:sz w:val="24"/>
          <w:szCs w:val="24"/>
          <w:highlight w:val="none"/>
        </w:rPr>
        <w:t>.5 分包</w:t>
      </w:r>
    </w:p>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p w14:paraId="620D2007">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945" w:name="_Toc292559365"/>
      <w:bookmarkStart w:id="946" w:name="_Toc296346661"/>
      <w:bookmarkStart w:id="947" w:name="_Toc296347159"/>
      <w:bookmarkStart w:id="948" w:name="_Toc297216152"/>
      <w:bookmarkStart w:id="949" w:name="_Toc296503160"/>
      <w:bookmarkStart w:id="950" w:name="_Toc304295524"/>
      <w:bookmarkStart w:id="951" w:name="_Toc297120460"/>
      <w:bookmarkStart w:id="952" w:name="_Toc303539103"/>
      <w:bookmarkStart w:id="953" w:name="_Toc296891200"/>
      <w:bookmarkStart w:id="954" w:name="_Toc300934946"/>
      <w:bookmarkStart w:id="955" w:name="_Toc297048346"/>
      <w:bookmarkStart w:id="956" w:name="_Toc292559870"/>
      <w:bookmarkStart w:id="957" w:name="_Toc296890988"/>
      <w:bookmarkStart w:id="958" w:name="_Toc296944499"/>
      <w:bookmarkStart w:id="959" w:name="_Toc297123493"/>
      <w:bookmarkStart w:id="960" w:name="_Toc312677989"/>
      <w:bookmarkStart w:id="961" w:name="_Toc318581158"/>
      <w:r>
        <w:rPr>
          <w:rFonts w:hint="eastAsia" w:ascii="宋体" w:hAnsi="宋体" w:eastAsia="宋体" w:cs="宋体"/>
          <w:color w:val="auto"/>
          <w:sz w:val="24"/>
          <w:szCs w:val="24"/>
          <w:highlight w:val="none"/>
        </w:rPr>
        <w:t>.5.1 分包的一般约定</w:t>
      </w:r>
    </w:p>
    <w:p w14:paraId="050F737C">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禁止分包的工程包括：</w:t>
      </w:r>
      <w:r>
        <w:rPr>
          <w:rFonts w:hint="eastAsia" w:ascii="宋体" w:hAnsi="宋体" w:eastAsia="宋体" w:cs="宋体"/>
          <w:color w:val="auto"/>
          <w:sz w:val="24"/>
          <w:szCs w:val="24"/>
          <w:highlight w:val="none"/>
          <w:u w:val="single"/>
        </w:rPr>
        <w:t>合同协议书中工程承包范围内全部内容 。</w:t>
      </w:r>
    </w:p>
    <w:p w14:paraId="623DC832">
      <w:pPr>
        <w:spacing w:line="360" w:lineRule="auto"/>
        <w:jc w:val="lef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主体结构、关键性工作的范围：</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Start w:id="962" w:name="_Toc296891201"/>
      <w:bookmarkStart w:id="963" w:name="_Toc303539104"/>
      <w:bookmarkStart w:id="964" w:name="_Toc297048347"/>
      <w:bookmarkStart w:id="965" w:name="_Toc304295525"/>
      <w:bookmarkStart w:id="966" w:name="_Toc296346662"/>
      <w:bookmarkStart w:id="967" w:name="_Toc300934947"/>
      <w:bookmarkStart w:id="968" w:name="_Toc296503161"/>
      <w:bookmarkStart w:id="969" w:name="_Toc297216153"/>
      <w:bookmarkStart w:id="970" w:name="_Toc296347160"/>
      <w:bookmarkStart w:id="971" w:name="_Toc296944500"/>
      <w:bookmarkStart w:id="972" w:name="_Toc297123494"/>
      <w:bookmarkStart w:id="973" w:name="_Toc297120461"/>
      <w:bookmarkStart w:id="974" w:name="_Toc296890989"/>
    </w:p>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p w14:paraId="3C427954">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975" w:name="_Toc318581159"/>
      <w:bookmarkStart w:id="976" w:name="_Toc312677990"/>
      <w:r>
        <w:rPr>
          <w:rFonts w:hint="eastAsia" w:ascii="宋体" w:hAnsi="宋体" w:eastAsia="宋体" w:cs="宋体"/>
          <w:color w:val="auto"/>
          <w:sz w:val="24"/>
          <w:szCs w:val="24"/>
          <w:highlight w:val="none"/>
        </w:rPr>
        <w:t>.5.2分包的确定</w:t>
      </w:r>
    </w:p>
    <w:p w14:paraId="5F984ABF">
      <w:pPr>
        <w:spacing w:line="360" w:lineRule="auto"/>
        <w:ind w:firstLine="480" w:firstLineChars="2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允许分包的专业工程包括：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737818B">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其他关于分包的约定：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9B55D63">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3.5.4 分包合同价款</w:t>
      </w:r>
    </w:p>
    <w:p w14:paraId="37392A66">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关于分包合同价款支付的约定：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bookmarkEnd w:id="975"/>
    <w:bookmarkEnd w:id="976"/>
    <w:p w14:paraId="03A61861">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 工程照管与成品、半成品保护</w:t>
      </w:r>
    </w:p>
    <w:p w14:paraId="03AA26C2">
      <w:pPr>
        <w:spacing w:before="120" w:beforeLines="0" w:after="120" w:afterLines="0" w:line="360" w:lineRule="auto"/>
        <w:ind w:firstLine="480" w:firstLineChars="200"/>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承包人负责照管工程及工程相关的材料、工程设备的起始时间：</w:t>
      </w:r>
      <w:r>
        <w:rPr>
          <w:rFonts w:hint="eastAsia" w:ascii="宋体" w:hAnsi="宋体" w:eastAsia="宋体" w:cs="宋体"/>
          <w:color w:val="auto"/>
          <w:spacing w:val="-4"/>
          <w:kern w:val="0"/>
          <w:sz w:val="24"/>
          <w:szCs w:val="24"/>
          <w:highlight w:val="none"/>
          <w:u w:val="single"/>
        </w:rPr>
        <w:t>执行</w:t>
      </w:r>
      <w:r>
        <w:rPr>
          <w:rFonts w:hint="eastAsia" w:ascii="宋体" w:hAnsi="宋体" w:eastAsia="宋体" w:cs="宋体"/>
          <w:color w:val="auto"/>
          <w:spacing w:val="-4"/>
          <w:kern w:val="0"/>
          <w:sz w:val="24"/>
          <w:szCs w:val="24"/>
          <w:highlight w:val="none"/>
          <w:u w:val="single"/>
          <w:lang w:eastAsia="zh-CN"/>
        </w:rPr>
        <w:t>合同</w:t>
      </w:r>
      <w:r>
        <w:rPr>
          <w:rFonts w:hint="eastAsia" w:ascii="宋体" w:hAnsi="宋体" w:eastAsia="宋体" w:cs="宋体"/>
          <w:color w:val="auto"/>
          <w:spacing w:val="-4"/>
          <w:kern w:val="0"/>
          <w:sz w:val="24"/>
          <w:szCs w:val="24"/>
          <w:highlight w:val="none"/>
          <w:u w:val="single"/>
        </w:rPr>
        <w:t xml:space="preserve">通用条款 </w:t>
      </w:r>
      <w:r>
        <w:rPr>
          <w:rFonts w:hint="eastAsia" w:ascii="宋体" w:hAnsi="宋体" w:eastAsia="宋体" w:cs="宋体"/>
          <w:color w:val="auto"/>
          <w:spacing w:val="-4"/>
          <w:kern w:val="0"/>
          <w:sz w:val="24"/>
          <w:szCs w:val="24"/>
          <w:highlight w:val="none"/>
        </w:rPr>
        <w:t>。</w:t>
      </w:r>
    </w:p>
    <w:p w14:paraId="2C94BDD5">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 履约担保</w:t>
      </w:r>
    </w:p>
    <w:p w14:paraId="1FFF1C9E">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承包人是否提供履约担保：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不提供</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9BCCFF3">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承包人提供履约担保的形式、金额及期限的：</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2C11586">
      <w:pPr>
        <w:spacing w:after="120" w:afterLines="0" w:line="360" w:lineRule="auto"/>
        <w:outlineLvl w:val="9"/>
        <w:rPr>
          <w:rFonts w:hint="eastAsia" w:ascii="宋体" w:hAnsi="宋体" w:eastAsia="宋体" w:cs="宋体"/>
          <w:color w:val="auto"/>
          <w:sz w:val="24"/>
          <w:szCs w:val="24"/>
          <w:highlight w:val="none"/>
        </w:rPr>
      </w:pPr>
      <w:bookmarkStart w:id="977" w:name="_Toc351203636"/>
      <w:r>
        <w:rPr>
          <w:rFonts w:hint="eastAsia" w:ascii="宋体" w:hAnsi="宋体" w:eastAsia="宋体" w:cs="宋体"/>
          <w:color w:val="auto"/>
          <w:sz w:val="24"/>
          <w:szCs w:val="24"/>
          <w:highlight w:val="none"/>
        </w:rPr>
        <w:t>4</w:t>
      </w:r>
      <w:bookmarkStart w:id="978" w:name="_Toc267251413"/>
      <w:bookmarkStart w:id="979" w:name="_Toc296890990"/>
      <w:bookmarkStart w:id="980" w:name="_Toc296346663"/>
      <w:bookmarkStart w:id="981" w:name="_Toc297120462"/>
      <w:bookmarkStart w:id="982" w:name="_Toc297048348"/>
      <w:bookmarkStart w:id="983" w:name="_Toc292559871"/>
      <w:bookmarkStart w:id="984" w:name="_Toc296891202"/>
      <w:bookmarkStart w:id="985" w:name="_Toc292559366"/>
      <w:bookmarkStart w:id="986" w:name="_Toc296347161"/>
      <w:bookmarkStart w:id="987" w:name="_Toc296944501"/>
      <w:bookmarkStart w:id="988" w:name="_Toc296503162"/>
      <w:r>
        <w:rPr>
          <w:rFonts w:hint="eastAsia" w:ascii="宋体" w:hAnsi="宋体" w:eastAsia="宋体" w:cs="宋体"/>
          <w:color w:val="auto"/>
          <w:sz w:val="24"/>
          <w:szCs w:val="24"/>
          <w:highlight w:val="none"/>
        </w:rPr>
        <w:t>. 监</w:t>
      </w:r>
      <w:bookmarkEnd w:id="978"/>
      <w:bookmarkEnd w:id="979"/>
      <w:bookmarkEnd w:id="980"/>
      <w:bookmarkEnd w:id="981"/>
      <w:bookmarkEnd w:id="982"/>
      <w:bookmarkEnd w:id="983"/>
      <w:bookmarkEnd w:id="984"/>
      <w:bookmarkEnd w:id="985"/>
      <w:bookmarkEnd w:id="986"/>
      <w:bookmarkEnd w:id="987"/>
      <w:bookmarkEnd w:id="988"/>
      <w:r>
        <w:rPr>
          <w:rFonts w:hint="eastAsia" w:ascii="宋体" w:hAnsi="宋体" w:eastAsia="宋体" w:cs="宋体"/>
          <w:color w:val="auto"/>
          <w:sz w:val="24"/>
          <w:szCs w:val="24"/>
          <w:highlight w:val="none"/>
        </w:rPr>
        <w:t>理人</w:t>
      </w:r>
      <w:bookmarkEnd w:id="977"/>
    </w:p>
    <w:p w14:paraId="50FD02F4">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4.1监理人的一般规定</w:t>
      </w:r>
    </w:p>
    <w:p w14:paraId="5131B842">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关于监理人的监理内容：</w:t>
      </w:r>
      <w:r>
        <w:rPr>
          <w:rFonts w:hint="eastAsia" w:ascii="宋体" w:hAnsi="宋体" w:eastAsia="宋体" w:cs="宋体"/>
          <w:color w:val="auto"/>
          <w:sz w:val="24"/>
          <w:szCs w:val="24"/>
          <w:highlight w:val="none"/>
          <w:u w:val="single"/>
        </w:rPr>
        <w:t xml:space="preserve"> 按照发包人与监理方签订的合同，依照合同和有关法律、法规、负责和主持整个项目的监理工作，在合同规定范围内，对工程项目施工进行全过程监理（包括工程质量、工期进度、安全文明施工管理、工程量与工程款的审核等）</w:t>
      </w:r>
      <w:r>
        <w:rPr>
          <w:rFonts w:hint="eastAsia" w:ascii="宋体" w:hAnsi="宋体" w:eastAsia="宋体" w:cs="宋体"/>
          <w:color w:val="auto"/>
          <w:sz w:val="24"/>
          <w:szCs w:val="24"/>
          <w:highlight w:val="none"/>
        </w:rPr>
        <w:t>。</w:t>
      </w:r>
    </w:p>
    <w:p w14:paraId="05DF4E0E">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关于监理人的监理权限：</w:t>
      </w:r>
      <w:r>
        <w:rPr>
          <w:rFonts w:hint="eastAsia" w:ascii="宋体" w:hAnsi="宋体" w:eastAsia="宋体" w:cs="宋体"/>
          <w:color w:val="auto"/>
          <w:sz w:val="24"/>
          <w:szCs w:val="24"/>
          <w:highlight w:val="none"/>
          <w:u w:val="single"/>
        </w:rPr>
        <w:t xml:space="preserve"> 三控制、二管理、一协调及安全管理，具体以发包人与监理公司签订的《监理合同》授权为准。需要取得发包人批准才能行使的职权：详见本工程《建设工程委托监理合同》</w:t>
      </w:r>
      <w:r>
        <w:rPr>
          <w:rFonts w:hint="eastAsia" w:ascii="宋体" w:hAnsi="宋体" w:eastAsia="宋体" w:cs="宋体"/>
          <w:color w:val="auto"/>
          <w:sz w:val="24"/>
          <w:szCs w:val="24"/>
          <w:highlight w:val="none"/>
        </w:rPr>
        <w:t xml:space="preserve">。 </w:t>
      </w:r>
    </w:p>
    <w:p w14:paraId="1E5F6347">
      <w:pPr>
        <w:spacing w:after="120" w:afterLines="0" w:line="360" w:lineRule="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关于监理人在施工现场的办公场所、生活场所的提供和费用承担的约定：</w:t>
      </w:r>
      <w:r>
        <w:rPr>
          <w:rFonts w:hint="eastAsia" w:ascii="宋体" w:hAnsi="宋体" w:eastAsia="宋体" w:cs="宋体"/>
          <w:color w:val="auto"/>
          <w:sz w:val="24"/>
          <w:szCs w:val="24"/>
          <w:highlight w:val="none"/>
          <w:u w:val="single"/>
        </w:rPr>
        <w:t xml:space="preserve"> 承包人应向发包人提供2间办公用房，所需费用列入措施费。</w:t>
      </w:r>
    </w:p>
    <w:p w14:paraId="0CFC8006">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监理人员</w:t>
      </w:r>
    </w:p>
    <w:p w14:paraId="5EE2E557">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w:t>
      </w:r>
    </w:p>
    <w:p w14:paraId="2B19AC4B">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56A5B7E9">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3671FA0A">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监理工程师执业资格证书号：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19E8DC7C">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63B4D653">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4CC7201F">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3857826E">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关于监理人的其他约定：</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1C35FFE9">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商定或确定</w:t>
      </w:r>
    </w:p>
    <w:p w14:paraId="36694D7A">
      <w:pPr>
        <w:spacing w:line="360" w:lineRule="auto"/>
        <w:ind w:firstLine="480" w:firstLineChars="200"/>
        <w:outlineLvl w:val="9"/>
        <w:rPr>
          <w:rFonts w:hint="eastAsia" w:ascii="宋体" w:hAnsi="宋体" w:eastAsia="宋体" w:cs="宋体"/>
          <w:color w:val="auto"/>
          <w:sz w:val="24"/>
          <w:szCs w:val="24"/>
          <w:highlight w:val="none"/>
        </w:rPr>
      </w:pPr>
      <w:bookmarkStart w:id="989" w:name="_Toc267251418"/>
      <w:r>
        <w:rPr>
          <w:rFonts w:hint="eastAsia" w:ascii="宋体" w:hAnsi="宋体" w:eastAsia="宋体" w:cs="宋体"/>
          <w:color w:val="auto"/>
          <w:sz w:val="24"/>
          <w:szCs w:val="24"/>
          <w:highlight w:val="none"/>
        </w:rPr>
        <w:t>在发包人和承包人不能通过协商达成一致意见时，发包人授权监理人对以下事项进行确定：</w:t>
      </w:r>
    </w:p>
    <w:p w14:paraId="72AF0F95">
      <w:pPr>
        <w:autoSpaceDE w:val="0"/>
        <w:autoSpaceDN w:val="0"/>
        <w:adjustRightInd w:val="0"/>
        <w:spacing w:line="360" w:lineRule="auto"/>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66174D8D">
      <w:pPr>
        <w:autoSpaceDE w:val="0"/>
        <w:autoSpaceDN w:val="0"/>
        <w:adjustRightInd w:val="0"/>
        <w:spacing w:line="360" w:lineRule="auto"/>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281A788">
      <w:pPr>
        <w:autoSpaceDE w:val="0"/>
        <w:autoSpaceDN w:val="0"/>
        <w:adjustRightInd w:val="0"/>
        <w:spacing w:line="360" w:lineRule="auto"/>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C0355DA">
      <w:pPr>
        <w:spacing w:line="360" w:lineRule="auto"/>
        <w:ind w:left="0" w:leftChars="0" w:firstLine="0" w:firstLineChars="0"/>
        <w:outlineLvl w:val="9"/>
        <w:rPr>
          <w:rFonts w:hint="eastAsia" w:ascii="宋体" w:hAnsi="宋体" w:eastAsia="宋体" w:cs="宋体"/>
          <w:color w:val="auto"/>
          <w:sz w:val="24"/>
          <w:szCs w:val="24"/>
          <w:highlight w:val="none"/>
        </w:rPr>
      </w:pPr>
      <w:bookmarkStart w:id="990" w:name="_Toc351203637"/>
      <w:r>
        <w:rPr>
          <w:rFonts w:hint="eastAsia" w:ascii="宋体" w:hAnsi="宋体" w:eastAsia="宋体" w:cs="宋体"/>
          <w:color w:val="auto"/>
          <w:sz w:val="24"/>
          <w:szCs w:val="24"/>
          <w:highlight w:val="none"/>
        </w:rPr>
        <w:t>5</w:t>
      </w:r>
      <w:bookmarkEnd w:id="989"/>
      <w:bookmarkStart w:id="991" w:name="_Toc292559872"/>
      <w:bookmarkStart w:id="992" w:name="_Toc296890991"/>
      <w:bookmarkStart w:id="993" w:name="_Toc296891203"/>
      <w:bookmarkStart w:id="994" w:name="_Toc296347162"/>
      <w:bookmarkStart w:id="995" w:name="_Toc296503163"/>
      <w:bookmarkStart w:id="996" w:name="_Toc297048349"/>
      <w:bookmarkStart w:id="997" w:name="_Toc296346664"/>
      <w:bookmarkStart w:id="998" w:name="_Toc297120463"/>
      <w:bookmarkStart w:id="999" w:name="_Toc292559367"/>
      <w:bookmarkStart w:id="1000" w:name="_Toc296944502"/>
      <w:r>
        <w:rPr>
          <w:rFonts w:hint="eastAsia" w:ascii="宋体" w:hAnsi="宋体" w:eastAsia="宋体" w:cs="宋体"/>
          <w:color w:val="auto"/>
          <w:sz w:val="24"/>
          <w:szCs w:val="24"/>
          <w:highlight w:val="none"/>
        </w:rPr>
        <w:t>. 工程质量</w:t>
      </w:r>
      <w:bookmarkEnd w:id="990"/>
    </w:p>
    <w:p w14:paraId="3F6E8B2D">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质量要求</w:t>
      </w:r>
    </w:p>
    <w:p w14:paraId="6DA5D54C">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bookmarkStart w:id="1001" w:name="_Toc312677997"/>
      <w:bookmarkStart w:id="1002" w:name="_Toc300934949"/>
      <w:bookmarkStart w:id="1003" w:name="_Toc303539106"/>
      <w:bookmarkStart w:id="1004" w:name="_Toc318581164"/>
      <w:bookmarkStart w:id="1005" w:name="_Toc297123496"/>
      <w:bookmarkStart w:id="1006" w:name="_Toc304295527"/>
      <w:bookmarkStart w:id="1007" w:name="_Toc297216155"/>
      <w:r>
        <w:rPr>
          <w:rFonts w:hint="eastAsia" w:ascii="宋体" w:hAnsi="宋体" w:eastAsia="宋体" w:cs="宋体"/>
          <w:color w:val="auto"/>
          <w:sz w:val="24"/>
          <w:szCs w:val="24"/>
          <w:highlight w:val="none"/>
        </w:rPr>
        <w:t>.1.1 特殊质量标准和要求：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A1F6E33">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本款补充如下内容：</w:t>
      </w:r>
    </w:p>
    <w:p w14:paraId="217A0D7C">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承包人应按合同约定对材料、工程设备以及工程的部位及其施工工艺进行全过程的质量检查和检验，并作详细记录，编制工程质量报表，报送监理人审查。承包人应准确、详细填写质检表格。特殊工序、关键部位承包人应编制专项作业措施计划，并报监理人批准后方可实施。</w:t>
      </w:r>
    </w:p>
    <w:p w14:paraId="45D9F961">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承包人应配备专职质量检查人员，建立完善的质量检查制度。承包人应按技术标准和要求（合同技术条款）约定的内容和期限，编制工程质量保证措施文件，包括质量检查机构的组织和岗位责任、质量检查人员的组成、质量检查程序和实施细则等，提交监理人审批。监理人应在技术标准和要求（合同技术条款）约定的期限内批复承包人。</w:t>
      </w:r>
    </w:p>
    <w:p w14:paraId="3678B082">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质量评定</w:t>
      </w:r>
    </w:p>
    <w:p w14:paraId="5F64C05F">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1、发包人应组织设计、施工、监理进行工程项目划分，并确定主要单位工程、主要分部工程、 重要隐蔽单元工程和关键部位单元工程，报质量监督机构核准备案。</w:t>
      </w:r>
    </w:p>
    <w:p w14:paraId="6AEDA5E5">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工程实施过程中，单位工程、主要分部工程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重要隐蔽单元工程和关键部位单元工程的项目划分需要调整时，承包人应重新报备。</w:t>
      </w:r>
    </w:p>
    <w:p w14:paraId="124DA2D1">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承包人应在单元（工序） 工程质量自评合格后，报监理人复核质量等级并签证认可。</w:t>
      </w:r>
    </w:p>
    <w:p w14:paraId="2FA523D5">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质量事故处理</w:t>
      </w:r>
    </w:p>
    <w:p w14:paraId="30E8074A">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发生质量事故时， 承包人应及时向发包人和监理人报告。</w:t>
      </w:r>
    </w:p>
    <w:p w14:paraId="5C04B4FB">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质量事故调查处理由发包人按相关规定履行手续，承包人应配合。</w:t>
      </w:r>
    </w:p>
    <w:p w14:paraId="60039023">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承包人应对质量缺陷进行备案。发包人委托监理人对质量缺陷备案情况进行监督检查并履行相关手续。</w:t>
      </w:r>
    </w:p>
    <w:p w14:paraId="6621802D">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质量与检验</w:t>
      </w:r>
    </w:p>
    <w:p w14:paraId="1DB20CE4">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承包人及其分包人随时接受发包人、工程总监、行政主管部门、质量管理部门、安全管理部门、行业质量安全检查人员或发包人委派的第三方质量检查单位所进行的安全质量的监督和检查。承包人为此类监督、检查提供方便。</w:t>
      </w:r>
    </w:p>
    <w:p w14:paraId="1502C000">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发包人委托第三方对施工质量进行检查、检验、检测和试验时，以书面形式通知承包人。第三方的验收结果视为发包人的验收结果。</w:t>
      </w:r>
    </w:p>
    <w:p w14:paraId="698B9A90">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承包人按照设计文件、施工标准的规定和合同约定，对永久性工程的设备、材料、部件 进行检查、检验、检测和试验，不合格的不得使用。并有义务自费修复和更换不合格的设备、材料、部件，因此造成竣工日期延误的由承包人负责。</w:t>
      </w:r>
    </w:p>
    <w:p w14:paraId="59FC89D5">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质检部位与参检方。检部位分为：发包人、监理人与承包人三方参检的部位；监理人与承包人两方参检的部位；第三方或承包人一方参检的部位。经承包人一方检查合格的部位，报发包人或监理人备案。发包人和工程总监有权随时对备案的部位进行抽查或全面检查。</w:t>
      </w:r>
    </w:p>
    <w:p w14:paraId="52358991">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通知参检方的参检。承包人自行检查、检验、检测和试验合格的，通知相关参检单位参 加检查。参检方未能按时参加的，承包人将自检合格的结果于其后的 24 小时内送交发包人或（和）监理人签字，24小时后未能签字，视为质检结果已被发包人认可。此后 3 日内，承包人发出视为包人或（和）监理人已确认该质检结果的通知。</w:t>
      </w:r>
    </w:p>
    <w:p w14:paraId="3D29D9FA">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质量检查的权利。发包人及其授权的监理人或第三方，在不妨碍承包人正常作业的情况下，具有对施工区域进行质量监督、检查、检验、检测和试验的权利。承包人为此类质量检查活动提供便利。经质检发现因承包人原因引起的质量缺陷，有权下达修复、暂停、拆除、返工、重新施工、更换等指令。由此增加的费用由承包人承担，使竣工日期延误时，不予延长。</w:t>
      </w:r>
    </w:p>
    <w:p w14:paraId="0C034B9F">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重新进行质量检查。经质量检查合格的工程部位，发包人有权在不影响工程正常施工的条件下，重新进行质量检查。其检查、检验、检测、试验的结果不合格时，因此发生的费用由承包人承担，造成工程关键路径延误的，竣工日期不予延长；其检查、检验、检测、试验的结果合格时，发包人承担增加的费用或（和）使竣工日期延误</w:t>
      </w:r>
    </w:p>
    <w:p w14:paraId="5A51FFAA">
      <w:pPr>
        <w:spacing w:line="360" w:lineRule="auto"/>
        <w:ind w:firstLine="480" w:firstLineChars="200"/>
        <w:jc w:val="lef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关于工程奖项的约定：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DAA0289">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隐蔽工程检查</w:t>
      </w:r>
    </w:p>
    <w:p w14:paraId="3050DC11">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5.3.2承包人提前通知监理人隐蔽工程检查的期限的约定：</w:t>
      </w:r>
      <w:r>
        <w:rPr>
          <w:rFonts w:hint="eastAsia" w:ascii="宋体" w:hAnsi="宋体" w:eastAsia="宋体" w:cs="宋体"/>
          <w:color w:val="auto"/>
          <w:sz w:val="24"/>
          <w:szCs w:val="24"/>
          <w:highlight w:val="none"/>
          <w:u w:val="single"/>
        </w:rPr>
        <w:t>执行</w:t>
      </w:r>
      <w:r>
        <w:rPr>
          <w:rFonts w:hint="eastAsia" w:ascii="宋体" w:hAnsi="宋体" w:eastAsia="宋体" w:cs="宋体"/>
          <w:color w:val="auto"/>
          <w:sz w:val="24"/>
          <w:szCs w:val="24"/>
          <w:highlight w:val="none"/>
          <w:u w:val="single"/>
          <w:lang w:eastAsia="zh-CN"/>
        </w:rPr>
        <w:t>合同</w:t>
      </w:r>
      <w:r>
        <w:rPr>
          <w:rFonts w:hint="eastAsia" w:ascii="宋体" w:hAnsi="宋体" w:eastAsia="宋体" w:cs="宋体"/>
          <w:color w:val="auto"/>
          <w:sz w:val="24"/>
          <w:szCs w:val="24"/>
          <w:highlight w:val="none"/>
          <w:u w:val="single"/>
        </w:rPr>
        <w:t>通用</w:t>
      </w:r>
      <w:r>
        <w:rPr>
          <w:rFonts w:hint="eastAsia" w:ascii="宋体" w:hAnsi="宋体" w:eastAsia="宋体" w:cs="宋体"/>
          <w:color w:val="auto"/>
          <w:sz w:val="24"/>
          <w:szCs w:val="24"/>
          <w:highlight w:val="none"/>
          <w:u w:val="single"/>
          <w:lang w:eastAsia="zh-CN"/>
        </w:rPr>
        <w:t>条</w:t>
      </w:r>
      <w:r>
        <w:rPr>
          <w:rFonts w:hint="eastAsia" w:ascii="宋体" w:hAnsi="宋体" w:eastAsia="宋体" w:cs="宋体"/>
          <w:color w:val="auto"/>
          <w:sz w:val="24"/>
          <w:szCs w:val="24"/>
          <w:highlight w:val="none"/>
          <w:u w:val="single"/>
        </w:rPr>
        <w:t xml:space="preserve">款 </w:t>
      </w:r>
      <w:r>
        <w:rPr>
          <w:rFonts w:hint="eastAsia" w:ascii="宋体" w:hAnsi="宋体" w:eastAsia="宋体" w:cs="宋体"/>
          <w:color w:val="auto"/>
          <w:sz w:val="24"/>
          <w:szCs w:val="24"/>
          <w:highlight w:val="none"/>
        </w:rPr>
        <w:t>。</w:t>
      </w:r>
    </w:p>
    <w:p w14:paraId="3AD82658">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监理人不能按时进行检查时，应提前</w:t>
      </w:r>
      <w:r>
        <w:rPr>
          <w:rFonts w:hint="eastAsia" w:ascii="宋体" w:hAnsi="宋体" w:eastAsia="宋体" w:cs="宋体"/>
          <w:color w:val="auto"/>
          <w:sz w:val="24"/>
          <w:szCs w:val="24"/>
          <w:highlight w:val="none"/>
          <w:u w:val="single"/>
        </w:rPr>
        <w:t xml:space="preserve">  24   </w:t>
      </w:r>
      <w:r>
        <w:rPr>
          <w:rFonts w:hint="eastAsia" w:ascii="宋体" w:hAnsi="宋体" w:eastAsia="宋体" w:cs="宋体"/>
          <w:color w:val="auto"/>
          <w:sz w:val="24"/>
          <w:szCs w:val="24"/>
          <w:highlight w:val="none"/>
        </w:rPr>
        <w:t>小时提交书面延期要求。</w:t>
      </w:r>
    </w:p>
    <w:p w14:paraId="1C68CDE5">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 xml:space="preserve">   48   </w:t>
      </w:r>
      <w:r>
        <w:rPr>
          <w:rFonts w:hint="eastAsia" w:ascii="宋体" w:hAnsi="宋体" w:eastAsia="宋体" w:cs="宋体"/>
          <w:color w:val="auto"/>
          <w:sz w:val="24"/>
          <w:szCs w:val="24"/>
          <w:highlight w:val="none"/>
        </w:rPr>
        <w:t>小时。</w:t>
      </w:r>
    </w:p>
    <w:p w14:paraId="6D626E18">
      <w:pPr>
        <w:spacing w:line="360" w:lineRule="auto"/>
        <w:ind w:left="0" w:leftChars="0" w:firstLine="0" w:firstLineChars="0"/>
        <w:outlineLvl w:val="9"/>
        <w:rPr>
          <w:rFonts w:hint="eastAsia" w:ascii="宋体" w:hAnsi="宋体" w:eastAsia="宋体" w:cs="宋体"/>
          <w:color w:val="auto"/>
          <w:sz w:val="24"/>
          <w:szCs w:val="24"/>
          <w:highlight w:val="none"/>
        </w:rPr>
      </w:pPr>
      <w:bookmarkStart w:id="1008" w:name="_Toc351203638"/>
      <w:r>
        <w:rPr>
          <w:rFonts w:hint="eastAsia" w:ascii="宋体" w:hAnsi="宋体" w:eastAsia="宋体" w:cs="宋体"/>
          <w:color w:val="auto"/>
          <w:sz w:val="24"/>
          <w:szCs w:val="24"/>
          <w:highlight w:val="none"/>
        </w:rPr>
        <w:t>6. 安全文明施工与环境保护</w:t>
      </w:r>
      <w:bookmarkEnd w:id="1008"/>
    </w:p>
    <w:p w14:paraId="3AB90B01">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6.1安全文明施工</w:t>
      </w:r>
    </w:p>
    <w:p w14:paraId="32C82259">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 项目安全生产的达标目标及相应事项的约定：</w:t>
      </w:r>
      <w:r>
        <w:rPr>
          <w:rFonts w:hint="eastAsia" w:ascii="宋体" w:hAnsi="宋体" w:eastAsia="宋体" w:cs="宋体"/>
          <w:color w:val="auto"/>
          <w:sz w:val="24"/>
          <w:szCs w:val="24"/>
          <w:highlight w:val="none"/>
          <w:u w:val="single"/>
        </w:rPr>
        <w:t xml:space="preserve"> 承包人应按照相关内容和国家行业规范要求采取有效的安全措施，以保证自身及第三人和周边环境的安全 </w:t>
      </w:r>
      <w:r>
        <w:rPr>
          <w:rFonts w:hint="eastAsia" w:ascii="宋体" w:hAnsi="宋体" w:eastAsia="宋体" w:cs="宋体"/>
          <w:color w:val="auto"/>
          <w:sz w:val="24"/>
          <w:szCs w:val="24"/>
          <w:highlight w:val="none"/>
        </w:rPr>
        <w:t>。</w:t>
      </w:r>
    </w:p>
    <w:p w14:paraId="220B3CA2">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6.1.4 关于治安保卫的特别约定：</w:t>
      </w:r>
      <w:r>
        <w:rPr>
          <w:rFonts w:hint="eastAsia" w:ascii="宋体" w:hAnsi="宋体" w:eastAsia="宋体" w:cs="宋体"/>
          <w:color w:val="auto"/>
          <w:sz w:val="24"/>
          <w:szCs w:val="24"/>
          <w:highlight w:val="none"/>
          <w:u w:val="single"/>
        </w:rPr>
        <w:t xml:space="preserve">  施工现场的安全保卫工作（包括此项工作发生的费用）均由承包人承担</w:t>
      </w:r>
      <w:r>
        <w:rPr>
          <w:rFonts w:hint="eastAsia" w:ascii="宋体" w:hAnsi="宋体" w:eastAsia="宋体" w:cs="宋体"/>
          <w:color w:val="auto"/>
          <w:sz w:val="24"/>
          <w:szCs w:val="24"/>
          <w:highlight w:val="none"/>
        </w:rPr>
        <w:t>。</w:t>
      </w:r>
    </w:p>
    <w:p w14:paraId="67490225">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u w:val="single"/>
        </w:rPr>
        <w:t>关于编制施工场地治安管理计划的约定：</w:t>
      </w:r>
      <w:r>
        <w:rPr>
          <w:rFonts w:hint="eastAsia" w:ascii="宋体" w:hAnsi="宋体" w:eastAsia="宋体" w:cs="宋体"/>
          <w:b w:val="0"/>
          <w:bCs w:val="0"/>
          <w:color w:val="auto"/>
          <w:sz w:val="24"/>
          <w:szCs w:val="24"/>
          <w:highlight w:val="none"/>
          <w:u w:val="single"/>
          <w:lang w:eastAsia="zh-CN"/>
        </w:rPr>
        <w:t>①</w:t>
      </w:r>
      <w:r>
        <w:rPr>
          <w:rFonts w:hint="eastAsia" w:ascii="宋体" w:hAnsi="宋体" w:eastAsia="宋体" w:cs="宋体"/>
          <w:b w:val="0"/>
          <w:bCs w:val="0"/>
          <w:color w:val="auto"/>
          <w:sz w:val="24"/>
          <w:szCs w:val="24"/>
          <w:highlight w:val="none"/>
          <w:u w:val="single"/>
        </w:rPr>
        <w:t>承包人必须按照规定进行施工现场文明施工管理，所发生的费用由承包人承担。</w:t>
      </w:r>
      <w:r>
        <w:rPr>
          <w:rFonts w:hint="eastAsia" w:ascii="宋体" w:hAnsi="宋体" w:eastAsia="宋体" w:cs="宋体"/>
          <w:b w:val="0"/>
          <w:bCs w:val="0"/>
          <w:color w:val="auto"/>
          <w:sz w:val="24"/>
          <w:szCs w:val="24"/>
          <w:highlight w:val="none"/>
          <w:u w:val="single"/>
          <w:lang w:eastAsia="zh-CN"/>
        </w:rPr>
        <w:t>②</w:t>
      </w:r>
      <w:r>
        <w:rPr>
          <w:rFonts w:hint="eastAsia" w:ascii="宋体" w:hAnsi="宋体" w:eastAsia="宋体" w:cs="宋体"/>
          <w:b w:val="0"/>
          <w:bCs w:val="0"/>
          <w:color w:val="auto"/>
          <w:sz w:val="24"/>
          <w:szCs w:val="24"/>
          <w:highlight w:val="none"/>
          <w:u w:val="single"/>
        </w:rPr>
        <w:t>承包人必须做好施工现场的安全围护栏（网）等防护</w:t>
      </w:r>
      <w:r>
        <w:rPr>
          <w:rFonts w:hint="eastAsia" w:ascii="宋体" w:hAnsi="宋体" w:eastAsia="宋体" w:cs="宋体"/>
          <w:color w:val="auto"/>
          <w:sz w:val="24"/>
          <w:szCs w:val="24"/>
          <w:highlight w:val="none"/>
          <w:u w:val="single"/>
        </w:rPr>
        <w:t>性措施，并设置必要的警示牌，做到文明施工，安全施工，建立重大事故报告制，加强安全教育，采取必要的一切防护措施，必须消除一切不安全隐患的存在和发生，协调处理好和周围住户的关系。</w:t>
      </w:r>
      <w:r>
        <w:rPr>
          <w:rFonts w:hint="eastAsia" w:ascii="宋体" w:hAnsi="宋体" w:eastAsia="宋体" w:cs="宋体"/>
          <w:color w:val="auto"/>
          <w:sz w:val="24"/>
          <w:szCs w:val="24"/>
          <w:highlight w:val="none"/>
          <w:u w:val="single"/>
          <w:lang w:eastAsia="zh-CN"/>
        </w:rPr>
        <w:t>③</w:t>
      </w:r>
      <w:r>
        <w:rPr>
          <w:rFonts w:hint="eastAsia" w:ascii="宋体" w:hAnsi="宋体" w:eastAsia="宋体" w:cs="宋体"/>
          <w:color w:val="auto"/>
          <w:sz w:val="24"/>
          <w:szCs w:val="24"/>
          <w:highlight w:val="none"/>
          <w:u w:val="single"/>
        </w:rPr>
        <w:t>乙方应根据《建筑施工安全检查标准》和《强制性条文》及有关建筑施工安全生产条例及甲方的有关管理要求，确保安全生产，同时做好社会治安综合治理工作，严格执行文明施工、标准化管理规定，明确具体措施，积极落实各项安全生产工作，杜绝重大伤亡事故。</w:t>
      </w:r>
    </w:p>
    <w:p w14:paraId="66CAF322">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关于编制施工场地治安管理计划的约定：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DA8923C">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 文明施工</w:t>
      </w:r>
    </w:p>
    <w:p w14:paraId="63816953">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合同当事人对文明施工的要求：</w:t>
      </w:r>
      <w:r>
        <w:rPr>
          <w:rFonts w:hint="eastAsia" w:ascii="宋体" w:hAnsi="宋体" w:eastAsia="宋体" w:cs="宋体"/>
          <w:color w:val="auto"/>
          <w:sz w:val="24"/>
          <w:szCs w:val="24"/>
          <w:highlight w:val="none"/>
          <w:u w:val="single"/>
        </w:rPr>
        <w:t>1、承包人必须按照规定进行施工现场文明施工管理，所发生的费用由承包人承担。2、承包人必须做好施工现场的安全围护栏（网）等防护性措施，并设置必要的警示牌，做到文明施工，安全施工，建立重大事故报告制，加强安全教育，采取必要的一切防护措施，必须消除一切不安全隐患的存在和发生，协调处理好和周边住户的关系。3、承包人应根据《建筑施工安全检查标准》和《强制性条文》及有关建筑施工安全生产条例及发包方的有关管理要求，确保安全生产，同时做好社会治安综合治理工作，严格执行文明施工、标准化管理规定，明确具体措施，积极落实各项安全生产工作，杜绝重大伤亡事故</w:t>
      </w:r>
      <w:r>
        <w:rPr>
          <w:rFonts w:hint="eastAsia" w:ascii="宋体" w:hAnsi="宋体" w:eastAsia="宋体" w:cs="宋体"/>
          <w:color w:val="auto"/>
          <w:sz w:val="24"/>
          <w:szCs w:val="24"/>
          <w:highlight w:val="none"/>
        </w:rPr>
        <w:t>。</w:t>
      </w:r>
    </w:p>
    <w:p w14:paraId="4993BBFC">
      <w:pPr>
        <w:spacing w:line="360" w:lineRule="auto"/>
        <w:ind w:firstLine="480" w:firstLineChars="200"/>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增加：（1）承包人应按照批准的施工环保措施计划有序地堆放和处理施工废弃物，避免对环境造成破坏。因承包人任意堆放或弃置施工废弃物造成妨碍公共交通、影响城镇居民生活、危及居民安全、破坏周边环境，或者影响其他承包人施工等后果的，承包人应承担责任。</w:t>
      </w:r>
    </w:p>
    <w:p w14:paraId="3F9A2833">
      <w:pPr>
        <w:spacing w:line="360" w:lineRule="auto"/>
        <w:ind w:firstLine="480" w:firstLineChars="200"/>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）承包人应按合同约定采取有效措施，对施工开挖的边坡及时进行支护，维护排水设施，避免因施工造成的地质灾害。</w:t>
      </w:r>
    </w:p>
    <w:p w14:paraId="39FE9C07">
      <w:pPr>
        <w:spacing w:line="360" w:lineRule="auto"/>
        <w:ind w:firstLine="480" w:firstLineChars="200"/>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）承包人应按合同约定，加强对噪声、粉尘、废气、废水和废油的控制，努力降低噪声，控制粉尘和废气浓度，做好废水和废油的治理和排放。</w:t>
      </w:r>
    </w:p>
    <w:p w14:paraId="0D207537">
      <w:pPr>
        <w:spacing w:line="360" w:lineRule="auto"/>
        <w:ind w:firstLine="480" w:firstLineChars="200"/>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）在施工期间，承包人应随时保持现场整洁，施工设备和材料、工程设备应整齐妥善存放和储存，废料与垃圾及不再需要的临时设施应及时从现场清除、拆除并运走。</w:t>
      </w:r>
    </w:p>
    <w:p w14:paraId="06109D15">
      <w:pPr>
        <w:spacing w:line="360" w:lineRule="auto"/>
        <w:ind w:firstLine="480" w:firstLineChars="200"/>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）施工现场残留、废弃的垃圾，承包人及时或定期运到发包人或当地有关行政部门指定的地点， 防止对周围环境的污染及对作业的影响。因此导致当地行政部门的罚款、赔偿等增加的费用，由承包人承担。</w:t>
      </w:r>
    </w:p>
    <w:p w14:paraId="76269821">
      <w:pPr>
        <w:spacing w:line="360" w:lineRule="auto"/>
        <w:ind w:firstLine="480" w:firstLineChars="200"/>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在施工期间，承包人应严格遵守保护耕地的相关规定，规范用地、科学用地、合理用地和节约用地。承包人应合理合理设置取土坑和弃土场，取土坑和弃土场的施工防护要符合要求，防止水土流失。承包人应严格控制临时占地数量，施工便道、各种料场、预制场要根据工程进度统筹考虑，尽可能利用荒坡、废弃地解决，不得占用农田。施工过程中要采取有效措施防止污染农田，项目完工后承包人应将临时占地自费恢复到临时占地使用前的状况。</w:t>
      </w:r>
    </w:p>
    <w:p w14:paraId="42A48F9E">
      <w:pPr>
        <w:spacing w:line="360" w:lineRule="auto"/>
        <w:ind w:firstLine="480" w:firstLineChars="200"/>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承包人应严格按照国家有关法规要求，做好施工过程中的生态保护和水土保持工作。施工中要尽可能减少对原地面的扰动，减少对地面草木的破坏，需要爆破作业的，应按规定进行控爆设计。雨季要完善施工中的临时排水系统，加强施工便道的管理。取（弃） 土场应先挡后弃，严禁在指定的取（弃） 土场以外的地方乱挖乱弃。</w:t>
      </w:r>
    </w:p>
    <w:p w14:paraId="64A6749A">
      <w:pPr>
        <w:spacing w:line="360" w:lineRule="auto"/>
        <w:ind w:firstLine="480" w:firstLineChars="200"/>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责任应由承包人负责。</w:t>
      </w:r>
    </w:p>
    <w:p w14:paraId="760C0B6A">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6.1.6 关于安全文明施工费支付比例和支付期限的约定：</w:t>
      </w:r>
      <w:r>
        <w:rPr>
          <w:rFonts w:hint="eastAsia" w:ascii="宋体" w:hAnsi="宋体" w:eastAsia="宋体" w:cs="宋体"/>
          <w:color w:val="auto"/>
          <w:sz w:val="24"/>
          <w:szCs w:val="24"/>
          <w:highlight w:val="none"/>
          <w:u w:val="single"/>
        </w:rPr>
        <w:t xml:space="preserve"> 执行</w:t>
      </w:r>
      <w:r>
        <w:rPr>
          <w:rFonts w:hint="eastAsia" w:ascii="宋体" w:hAnsi="宋体" w:eastAsia="宋体" w:cs="宋体"/>
          <w:color w:val="auto"/>
          <w:sz w:val="24"/>
          <w:szCs w:val="24"/>
          <w:highlight w:val="none"/>
          <w:u w:val="single"/>
          <w:lang w:eastAsia="zh-CN"/>
        </w:rPr>
        <w:t>合同</w:t>
      </w:r>
      <w:r>
        <w:rPr>
          <w:rFonts w:hint="eastAsia" w:ascii="宋体" w:hAnsi="宋体" w:eastAsia="宋体" w:cs="宋体"/>
          <w:color w:val="auto"/>
          <w:sz w:val="24"/>
          <w:szCs w:val="24"/>
          <w:highlight w:val="none"/>
          <w:u w:val="single"/>
        </w:rPr>
        <w:t xml:space="preserve">通用条款  </w:t>
      </w:r>
      <w:r>
        <w:rPr>
          <w:rFonts w:hint="eastAsia" w:ascii="宋体" w:hAnsi="宋体" w:eastAsia="宋体" w:cs="宋体"/>
          <w:color w:val="auto"/>
          <w:sz w:val="24"/>
          <w:szCs w:val="24"/>
          <w:highlight w:val="none"/>
        </w:rPr>
        <w:t>。</w:t>
      </w:r>
    </w:p>
    <w:bookmarkEnd w:id="1001"/>
    <w:bookmarkEnd w:id="1002"/>
    <w:bookmarkEnd w:id="1003"/>
    <w:bookmarkEnd w:id="1004"/>
    <w:bookmarkEnd w:id="1005"/>
    <w:bookmarkEnd w:id="1006"/>
    <w:bookmarkEnd w:id="1007"/>
    <w:p w14:paraId="449F46BA">
      <w:pPr>
        <w:spacing w:after="120" w:afterLines="0" w:line="360" w:lineRule="auto"/>
        <w:outlineLvl w:val="9"/>
        <w:rPr>
          <w:rFonts w:hint="eastAsia" w:ascii="宋体" w:hAnsi="宋体" w:eastAsia="宋体" w:cs="宋体"/>
          <w:color w:val="auto"/>
          <w:sz w:val="24"/>
          <w:szCs w:val="24"/>
          <w:highlight w:val="none"/>
        </w:rPr>
      </w:pPr>
      <w:bookmarkStart w:id="1009" w:name="_Toc351203639"/>
      <w:r>
        <w:rPr>
          <w:rFonts w:hint="eastAsia" w:ascii="宋体" w:hAnsi="宋体" w:eastAsia="宋体" w:cs="宋体"/>
          <w:color w:val="auto"/>
          <w:sz w:val="24"/>
          <w:szCs w:val="24"/>
          <w:highlight w:val="none"/>
        </w:rPr>
        <w:t>7. 工期和进度</w:t>
      </w:r>
      <w:bookmarkEnd w:id="1009"/>
    </w:p>
    <w:p w14:paraId="753E86E2">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施工组织设计</w:t>
      </w:r>
    </w:p>
    <w:p w14:paraId="45CE2E86">
      <w:pPr>
        <w:autoSpaceDE w:val="0"/>
        <w:autoSpaceDN w:val="0"/>
        <w:adjustRightInd w:val="0"/>
        <w:spacing w:line="360" w:lineRule="auto"/>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7.1.1 合</w:t>
      </w:r>
      <w:r>
        <w:rPr>
          <w:rFonts w:hint="eastAsia" w:ascii="宋体" w:hAnsi="宋体" w:eastAsia="宋体" w:cs="宋体"/>
          <w:color w:val="auto"/>
          <w:kern w:val="0"/>
          <w:sz w:val="24"/>
          <w:szCs w:val="24"/>
          <w:highlight w:val="none"/>
        </w:rPr>
        <w:t>同当事人约定的施工组织设计应包括的其他内容：</w:t>
      </w:r>
      <w:r>
        <w:rPr>
          <w:rFonts w:hint="eastAsia" w:ascii="宋体" w:hAnsi="宋体" w:eastAsia="宋体" w:cs="宋体"/>
          <w:color w:val="auto"/>
          <w:sz w:val="24"/>
          <w:szCs w:val="24"/>
          <w:highlight w:val="none"/>
          <w:u w:val="single"/>
        </w:rPr>
        <w:t xml:space="preserve"> 执行</w:t>
      </w:r>
      <w:r>
        <w:rPr>
          <w:rFonts w:hint="eastAsia" w:ascii="宋体" w:hAnsi="宋体" w:eastAsia="宋体" w:cs="宋体"/>
          <w:color w:val="auto"/>
          <w:sz w:val="24"/>
          <w:szCs w:val="24"/>
          <w:highlight w:val="none"/>
          <w:u w:val="single"/>
          <w:lang w:eastAsia="zh-CN"/>
        </w:rPr>
        <w:t>合同</w:t>
      </w:r>
      <w:r>
        <w:rPr>
          <w:rFonts w:hint="eastAsia" w:ascii="宋体" w:hAnsi="宋体" w:eastAsia="宋体" w:cs="宋体"/>
          <w:color w:val="auto"/>
          <w:sz w:val="24"/>
          <w:szCs w:val="24"/>
          <w:highlight w:val="none"/>
          <w:u w:val="single"/>
        </w:rPr>
        <w:t xml:space="preserve">通用条款 </w:t>
      </w:r>
      <w:r>
        <w:rPr>
          <w:rFonts w:hint="eastAsia" w:ascii="宋体" w:hAnsi="宋体" w:eastAsia="宋体" w:cs="宋体"/>
          <w:color w:val="auto"/>
          <w:sz w:val="24"/>
          <w:szCs w:val="24"/>
          <w:highlight w:val="none"/>
        </w:rPr>
        <w:t>。</w:t>
      </w:r>
    </w:p>
    <w:p w14:paraId="5C3F8B08">
      <w:pPr>
        <w:autoSpaceDE w:val="0"/>
        <w:autoSpaceDN w:val="0"/>
        <w:adjustRightInd w:val="0"/>
        <w:spacing w:line="360" w:lineRule="auto"/>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7.1.2 </w:t>
      </w:r>
      <w:r>
        <w:rPr>
          <w:rFonts w:hint="eastAsia" w:ascii="宋体" w:hAnsi="宋体" w:eastAsia="宋体" w:cs="宋体"/>
          <w:color w:val="auto"/>
          <w:kern w:val="0"/>
          <w:sz w:val="24"/>
          <w:szCs w:val="24"/>
          <w:highlight w:val="none"/>
        </w:rPr>
        <w:t>施工组织设计的提交和修改</w:t>
      </w:r>
    </w:p>
    <w:p w14:paraId="7A700702">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承包人提交详细施工组织设计的期限的约定：</w:t>
      </w:r>
      <w:r>
        <w:rPr>
          <w:rFonts w:hint="eastAsia" w:ascii="宋体" w:hAnsi="宋体" w:eastAsia="宋体" w:cs="宋体"/>
          <w:color w:val="auto"/>
          <w:sz w:val="24"/>
          <w:szCs w:val="24"/>
          <w:highlight w:val="none"/>
          <w:u w:val="single"/>
        </w:rPr>
        <w:t xml:space="preserve"> 收到中标通知书后三天内</w:t>
      </w:r>
      <w:r>
        <w:rPr>
          <w:rFonts w:hint="eastAsia" w:ascii="宋体" w:hAnsi="宋体" w:eastAsia="宋体" w:cs="宋体"/>
          <w:color w:val="auto"/>
          <w:sz w:val="24"/>
          <w:szCs w:val="24"/>
          <w:highlight w:val="none"/>
        </w:rPr>
        <w:t>。</w:t>
      </w:r>
    </w:p>
    <w:p w14:paraId="688AFEBD">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发包人和监理人在收到详细的施工组织设计后确认或提出修改意见的期限：</w:t>
      </w:r>
      <w:r>
        <w:rPr>
          <w:rFonts w:hint="eastAsia" w:ascii="宋体" w:hAnsi="宋体" w:eastAsia="宋体" w:cs="宋体"/>
          <w:color w:val="auto"/>
          <w:sz w:val="24"/>
          <w:szCs w:val="24"/>
          <w:highlight w:val="none"/>
          <w:u w:val="single"/>
        </w:rPr>
        <w:t xml:space="preserve">在承包人提供施工组织设计后七天内审定完毕；若发包人对其施工组织设计提出质疑或要求承包人进行修正，承包人在规定期限内应提供修正的施工组织设计，发包人应在七日内对承包人修正的施工组织设计进行最后审定 </w:t>
      </w:r>
      <w:r>
        <w:rPr>
          <w:rFonts w:hint="eastAsia" w:ascii="宋体" w:hAnsi="宋体" w:eastAsia="宋体" w:cs="宋体"/>
          <w:color w:val="auto"/>
          <w:sz w:val="24"/>
          <w:szCs w:val="24"/>
          <w:highlight w:val="none"/>
        </w:rPr>
        <w:t>。</w:t>
      </w:r>
    </w:p>
    <w:p w14:paraId="62E159BD">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1010" w:name="_Toc297216173"/>
      <w:bookmarkStart w:id="1011" w:name="_Toc312678005"/>
      <w:bookmarkStart w:id="1012" w:name="_Toc297123514"/>
      <w:bookmarkStart w:id="1013" w:name="_Toc303539123"/>
      <w:bookmarkStart w:id="1014" w:name="_Toc300934966"/>
      <w:bookmarkStart w:id="1015" w:name="_Toc304295541"/>
      <w:bookmarkStart w:id="1016" w:name="_Toc312677479"/>
      <w:r>
        <w:rPr>
          <w:rFonts w:hint="eastAsia" w:ascii="宋体" w:hAnsi="宋体" w:eastAsia="宋体" w:cs="宋体"/>
          <w:color w:val="auto"/>
          <w:sz w:val="24"/>
          <w:szCs w:val="24"/>
          <w:highlight w:val="none"/>
        </w:rPr>
        <w:t>.2 施工进度计划</w:t>
      </w:r>
    </w:p>
    <w:p w14:paraId="4FC2EBF8">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7.2.2 施工进度计划的修订</w:t>
      </w:r>
    </w:p>
    <w:p w14:paraId="3DC7C3C2">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发包人和监理人在收到修订的施工进度计划后确认或提出修改意见的期限：</w:t>
      </w:r>
      <w:r>
        <w:rPr>
          <w:rFonts w:hint="eastAsia" w:ascii="宋体" w:hAnsi="宋体" w:eastAsia="宋体" w:cs="宋体"/>
          <w:color w:val="auto"/>
          <w:sz w:val="24"/>
          <w:szCs w:val="24"/>
          <w:highlight w:val="none"/>
          <w:u w:val="single"/>
        </w:rPr>
        <w:t xml:space="preserve">      执行</w:t>
      </w:r>
      <w:r>
        <w:rPr>
          <w:rFonts w:hint="eastAsia" w:ascii="宋体" w:hAnsi="宋体" w:eastAsia="宋体" w:cs="宋体"/>
          <w:color w:val="auto"/>
          <w:sz w:val="24"/>
          <w:szCs w:val="24"/>
          <w:highlight w:val="none"/>
          <w:u w:val="single"/>
          <w:lang w:eastAsia="zh-CN"/>
        </w:rPr>
        <w:t>合同</w:t>
      </w:r>
      <w:r>
        <w:rPr>
          <w:rFonts w:hint="eastAsia" w:ascii="宋体" w:hAnsi="宋体" w:eastAsia="宋体" w:cs="宋体"/>
          <w:color w:val="auto"/>
          <w:sz w:val="24"/>
          <w:szCs w:val="24"/>
          <w:highlight w:val="none"/>
          <w:u w:val="single"/>
        </w:rPr>
        <w:t xml:space="preserve">通用条款  </w:t>
      </w:r>
      <w:r>
        <w:rPr>
          <w:rFonts w:hint="eastAsia" w:ascii="宋体" w:hAnsi="宋体" w:eastAsia="宋体" w:cs="宋体"/>
          <w:color w:val="auto"/>
          <w:sz w:val="24"/>
          <w:szCs w:val="24"/>
          <w:highlight w:val="none"/>
        </w:rPr>
        <w:t>。</w:t>
      </w:r>
    </w:p>
    <w:p w14:paraId="536B1C41">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开工</w:t>
      </w:r>
    </w:p>
    <w:p w14:paraId="5F2561BD">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7.3.1 开工准备</w:t>
      </w:r>
    </w:p>
    <w:p w14:paraId="6600B367">
      <w:pPr>
        <w:spacing w:line="360" w:lineRule="auto"/>
        <w:ind w:firstLine="645"/>
        <w:jc w:val="lef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关于承包人提交</w:t>
      </w:r>
      <w:r>
        <w:rPr>
          <w:rFonts w:hint="eastAsia" w:ascii="宋体" w:hAnsi="宋体" w:eastAsia="宋体" w:cs="宋体"/>
          <w:color w:val="auto"/>
          <w:kern w:val="0"/>
          <w:sz w:val="24"/>
          <w:szCs w:val="24"/>
          <w:highlight w:val="none"/>
        </w:rPr>
        <w:t>工程开工报审表的期限：</w:t>
      </w:r>
      <w:r>
        <w:rPr>
          <w:rFonts w:hint="eastAsia" w:ascii="宋体" w:hAnsi="宋体" w:eastAsia="宋体" w:cs="宋体"/>
          <w:color w:val="auto"/>
          <w:sz w:val="24"/>
          <w:szCs w:val="24"/>
          <w:highlight w:val="none"/>
          <w:u w:val="single"/>
        </w:rPr>
        <w:t xml:space="preserve">  执行</w:t>
      </w:r>
      <w:r>
        <w:rPr>
          <w:rFonts w:hint="eastAsia" w:ascii="宋体" w:hAnsi="宋体" w:eastAsia="宋体" w:cs="宋体"/>
          <w:color w:val="auto"/>
          <w:sz w:val="24"/>
          <w:szCs w:val="24"/>
          <w:highlight w:val="none"/>
          <w:u w:val="single"/>
          <w:lang w:eastAsia="zh-CN"/>
        </w:rPr>
        <w:t>合同</w:t>
      </w:r>
      <w:r>
        <w:rPr>
          <w:rFonts w:hint="eastAsia" w:ascii="宋体" w:hAnsi="宋体" w:eastAsia="宋体" w:cs="宋体"/>
          <w:color w:val="auto"/>
          <w:sz w:val="24"/>
          <w:szCs w:val="24"/>
          <w:highlight w:val="none"/>
          <w:u w:val="single"/>
        </w:rPr>
        <w:t xml:space="preserve">通用条款  </w:t>
      </w:r>
      <w:r>
        <w:rPr>
          <w:rFonts w:hint="eastAsia" w:ascii="宋体" w:hAnsi="宋体" w:eastAsia="宋体" w:cs="宋体"/>
          <w:color w:val="auto"/>
          <w:sz w:val="24"/>
          <w:szCs w:val="24"/>
          <w:highlight w:val="none"/>
        </w:rPr>
        <w:t>。</w:t>
      </w:r>
    </w:p>
    <w:p w14:paraId="33DD6871">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关于发包人应完成的其他开工准备工作及期限：</w:t>
      </w:r>
      <w:r>
        <w:rPr>
          <w:rFonts w:hint="eastAsia" w:ascii="宋体" w:hAnsi="宋体" w:eastAsia="宋体" w:cs="宋体"/>
          <w:color w:val="auto"/>
          <w:sz w:val="24"/>
          <w:szCs w:val="24"/>
          <w:highlight w:val="none"/>
          <w:u w:val="single"/>
        </w:rPr>
        <w:t xml:space="preserve">   执行</w:t>
      </w:r>
      <w:r>
        <w:rPr>
          <w:rFonts w:hint="eastAsia" w:ascii="宋体" w:hAnsi="宋体" w:eastAsia="宋体" w:cs="宋体"/>
          <w:color w:val="auto"/>
          <w:sz w:val="24"/>
          <w:szCs w:val="24"/>
          <w:highlight w:val="none"/>
          <w:u w:val="single"/>
          <w:lang w:eastAsia="zh-CN"/>
        </w:rPr>
        <w:t>合同</w:t>
      </w:r>
      <w:r>
        <w:rPr>
          <w:rFonts w:hint="eastAsia" w:ascii="宋体" w:hAnsi="宋体" w:eastAsia="宋体" w:cs="宋体"/>
          <w:color w:val="auto"/>
          <w:sz w:val="24"/>
          <w:szCs w:val="24"/>
          <w:highlight w:val="none"/>
          <w:u w:val="single"/>
        </w:rPr>
        <w:t xml:space="preserve">通用条款  </w:t>
      </w:r>
      <w:r>
        <w:rPr>
          <w:rFonts w:hint="eastAsia" w:ascii="宋体" w:hAnsi="宋体" w:eastAsia="宋体" w:cs="宋体"/>
          <w:color w:val="auto"/>
          <w:sz w:val="24"/>
          <w:szCs w:val="24"/>
          <w:highlight w:val="none"/>
        </w:rPr>
        <w:t>。</w:t>
      </w:r>
    </w:p>
    <w:p w14:paraId="7AE5BBB9">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关于承包人应完成的其他开工准备工作及期限：</w:t>
      </w:r>
      <w:r>
        <w:rPr>
          <w:rFonts w:hint="eastAsia" w:ascii="宋体" w:hAnsi="宋体" w:eastAsia="宋体" w:cs="宋体"/>
          <w:color w:val="auto"/>
          <w:sz w:val="24"/>
          <w:szCs w:val="24"/>
          <w:highlight w:val="none"/>
          <w:u w:val="single"/>
        </w:rPr>
        <w:t xml:space="preserve">   执行</w:t>
      </w:r>
      <w:r>
        <w:rPr>
          <w:rFonts w:hint="eastAsia" w:ascii="宋体" w:hAnsi="宋体" w:eastAsia="宋体" w:cs="宋体"/>
          <w:color w:val="auto"/>
          <w:sz w:val="24"/>
          <w:szCs w:val="24"/>
          <w:highlight w:val="none"/>
          <w:u w:val="single"/>
          <w:lang w:eastAsia="zh-CN"/>
        </w:rPr>
        <w:t>合同</w:t>
      </w:r>
      <w:r>
        <w:rPr>
          <w:rFonts w:hint="eastAsia" w:ascii="宋体" w:hAnsi="宋体" w:eastAsia="宋体" w:cs="宋体"/>
          <w:color w:val="auto"/>
          <w:sz w:val="24"/>
          <w:szCs w:val="24"/>
          <w:highlight w:val="none"/>
          <w:u w:val="single"/>
        </w:rPr>
        <w:t xml:space="preserve">通用条款  </w:t>
      </w:r>
      <w:r>
        <w:rPr>
          <w:rFonts w:hint="eastAsia" w:ascii="宋体" w:hAnsi="宋体" w:eastAsia="宋体" w:cs="宋体"/>
          <w:color w:val="auto"/>
          <w:sz w:val="24"/>
          <w:szCs w:val="24"/>
          <w:highlight w:val="none"/>
        </w:rPr>
        <w:t>。</w:t>
      </w:r>
    </w:p>
    <w:p w14:paraId="0035AC75">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7.3.2开工通知</w:t>
      </w:r>
    </w:p>
    <w:p w14:paraId="318FAD5B">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因发包人原因造成监理人未能在计划开工日期之日起</w:t>
      </w:r>
      <w:r>
        <w:rPr>
          <w:rFonts w:hint="eastAsia" w:ascii="宋体" w:hAnsi="宋体" w:eastAsia="宋体" w:cs="宋体"/>
          <w:color w:val="auto"/>
          <w:sz w:val="24"/>
          <w:szCs w:val="24"/>
          <w:highlight w:val="none"/>
          <w:u w:val="single"/>
        </w:rPr>
        <w:t xml:space="preserve"> 90  </w:t>
      </w:r>
      <w:r>
        <w:rPr>
          <w:rFonts w:hint="eastAsia" w:ascii="宋体" w:hAnsi="宋体" w:eastAsia="宋体" w:cs="宋体"/>
          <w:color w:val="auto"/>
          <w:sz w:val="24"/>
          <w:szCs w:val="24"/>
          <w:highlight w:val="none"/>
        </w:rPr>
        <w:t>天内发出开工通知的，承包人有权提出价格调整要求，或者解除合同。</w:t>
      </w:r>
    </w:p>
    <w:bookmarkEnd w:id="1010"/>
    <w:bookmarkEnd w:id="1011"/>
    <w:bookmarkEnd w:id="1012"/>
    <w:bookmarkEnd w:id="1013"/>
    <w:bookmarkEnd w:id="1014"/>
    <w:bookmarkEnd w:id="1015"/>
    <w:bookmarkEnd w:id="1016"/>
    <w:p w14:paraId="25B2464A">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测量放线</w:t>
      </w:r>
    </w:p>
    <w:p w14:paraId="45D531A2">
      <w:pPr>
        <w:spacing w:line="360" w:lineRule="auto"/>
        <w:jc w:val="lef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7.4.1发包人通过监理人向承包人提供测量基准点、基准线和水准点及其书面资料的期限：</w:t>
      </w:r>
      <w:r>
        <w:rPr>
          <w:rFonts w:hint="eastAsia" w:ascii="宋体" w:hAnsi="宋体" w:eastAsia="宋体" w:cs="宋体"/>
          <w:color w:val="auto"/>
          <w:sz w:val="24"/>
          <w:szCs w:val="24"/>
          <w:highlight w:val="none"/>
          <w:u w:val="single"/>
        </w:rPr>
        <w:t xml:space="preserve">  开工前7天内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23DCE8AD">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1017" w:name="_Toc304295546"/>
      <w:bookmarkStart w:id="1018" w:name="_Toc303539125"/>
      <w:bookmarkStart w:id="1019" w:name="_Toc300934968"/>
      <w:bookmarkStart w:id="1020" w:name="_Toc312677484"/>
      <w:bookmarkStart w:id="1021" w:name="_Toc312678010"/>
      <w:bookmarkStart w:id="1022" w:name="_Toc297216175"/>
      <w:bookmarkStart w:id="1023" w:name="_Toc297123516"/>
      <w:r>
        <w:rPr>
          <w:rFonts w:hint="eastAsia" w:ascii="宋体" w:hAnsi="宋体" w:eastAsia="宋体" w:cs="宋体"/>
          <w:color w:val="auto"/>
          <w:sz w:val="24"/>
          <w:szCs w:val="24"/>
          <w:highlight w:val="none"/>
        </w:rPr>
        <w:t>.5 工期延误</w:t>
      </w:r>
    </w:p>
    <w:bookmarkEnd w:id="1017"/>
    <w:bookmarkEnd w:id="1018"/>
    <w:bookmarkEnd w:id="1019"/>
    <w:bookmarkEnd w:id="1020"/>
    <w:bookmarkEnd w:id="1021"/>
    <w:bookmarkEnd w:id="1022"/>
    <w:bookmarkEnd w:id="1023"/>
    <w:p w14:paraId="078D42F2">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7.5.1 因发包人原因导致工期延误</w:t>
      </w:r>
    </w:p>
    <w:p w14:paraId="249FC590">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（7）因发包人原因导致工期延误的其他情形：</w:t>
      </w:r>
      <w:r>
        <w:rPr>
          <w:rFonts w:hint="eastAsia" w:ascii="宋体" w:hAnsi="宋体" w:eastAsia="宋体" w:cs="宋体"/>
          <w:color w:val="auto"/>
          <w:sz w:val="24"/>
          <w:szCs w:val="24"/>
          <w:highlight w:val="none"/>
          <w:u w:val="single"/>
        </w:rPr>
        <w:t xml:space="preserve">   执行</w:t>
      </w:r>
      <w:r>
        <w:rPr>
          <w:rFonts w:hint="eastAsia" w:ascii="宋体" w:hAnsi="宋体" w:eastAsia="宋体" w:cs="宋体"/>
          <w:color w:val="auto"/>
          <w:sz w:val="24"/>
          <w:szCs w:val="24"/>
          <w:highlight w:val="none"/>
          <w:u w:val="single"/>
          <w:lang w:eastAsia="zh-CN"/>
        </w:rPr>
        <w:t>合同</w:t>
      </w:r>
      <w:r>
        <w:rPr>
          <w:rFonts w:hint="eastAsia" w:ascii="宋体" w:hAnsi="宋体" w:eastAsia="宋体" w:cs="宋体"/>
          <w:color w:val="auto"/>
          <w:sz w:val="24"/>
          <w:szCs w:val="24"/>
          <w:highlight w:val="none"/>
          <w:u w:val="single"/>
        </w:rPr>
        <w:t xml:space="preserve">通用条款   </w:t>
      </w:r>
      <w:r>
        <w:rPr>
          <w:rFonts w:hint="eastAsia" w:ascii="宋体" w:hAnsi="宋体" w:eastAsia="宋体" w:cs="宋体"/>
          <w:color w:val="auto"/>
          <w:sz w:val="24"/>
          <w:szCs w:val="24"/>
          <w:highlight w:val="none"/>
        </w:rPr>
        <w:t>。</w:t>
      </w:r>
    </w:p>
    <w:p w14:paraId="5E6EEFFA">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1024" w:name="_Toc312678012"/>
      <w:bookmarkStart w:id="1025" w:name="_Toc312677486"/>
      <w:bookmarkStart w:id="1026" w:name="_Toc318581169"/>
      <w:bookmarkStart w:id="1027" w:name="_Toc297123518"/>
      <w:bookmarkStart w:id="1028" w:name="_Toc300934970"/>
      <w:bookmarkStart w:id="1029" w:name="_Toc303539127"/>
      <w:bookmarkStart w:id="1030" w:name="_Toc304295548"/>
      <w:bookmarkStart w:id="1031" w:name="_Toc297216177"/>
      <w:r>
        <w:rPr>
          <w:rFonts w:hint="eastAsia" w:ascii="宋体" w:hAnsi="宋体" w:eastAsia="宋体" w:cs="宋体"/>
          <w:color w:val="auto"/>
          <w:sz w:val="24"/>
          <w:szCs w:val="24"/>
          <w:highlight w:val="none"/>
        </w:rPr>
        <w:t>.5.2 因承包人原因导致工期延误</w:t>
      </w:r>
    </w:p>
    <w:bookmarkEnd w:id="1024"/>
    <w:bookmarkEnd w:id="1025"/>
    <w:bookmarkEnd w:id="1026"/>
    <w:p w14:paraId="5617A483">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w:t>
      </w:r>
      <w:bookmarkStart w:id="1032" w:name="_Toc312677487"/>
      <w:bookmarkStart w:id="1033" w:name="_Toc312678013"/>
      <w:bookmarkStart w:id="1034" w:name="_Toc318581170"/>
      <w:r>
        <w:rPr>
          <w:rFonts w:hint="eastAsia" w:ascii="宋体" w:hAnsi="宋体" w:eastAsia="宋体" w:cs="宋体"/>
          <w:color w:val="auto"/>
          <w:sz w:val="24"/>
          <w:szCs w:val="24"/>
          <w:highlight w:val="none"/>
        </w:rPr>
        <w:t>承包人原因造成工期延误，逾期竣工违约金的计算方法为：</w:t>
      </w:r>
      <w:r>
        <w:rPr>
          <w:rFonts w:hint="eastAsia" w:ascii="宋体" w:hAnsi="宋体" w:eastAsia="宋体" w:cs="宋体"/>
          <w:color w:val="auto"/>
          <w:sz w:val="24"/>
          <w:szCs w:val="24"/>
          <w:highlight w:val="none"/>
          <w:u w:val="single"/>
        </w:rPr>
        <w:t xml:space="preserve"> </w:t>
      </w:r>
      <w:bookmarkEnd w:id="1027"/>
      <w:bookmarkEnd w:id="1028"/>
      <w:bookmarkEnd w:id="1029"/>
      <w:bookmarkEnd w:id="1030"/>
      <w:bookmarkEnd w:id="1031"/>
      <w:bookmarkEnd w:id="1032"/>
      <w:bookmarkEnd w:id="1033"/>
      <w:r>
        <w:rPr>
          <w:rFonts w:hint="eastAsia" w:ascii="宋体" w:hAnsi="宋体" w:eastAsia="宋体" w:cs="宋体"/>
          <w:color w:val="auto"/>
          <w:sz w:val="24"/>
          <w:szCs w:val="24"/>
          <w:highlight w:val="none"/>
          <w:u w:val="single" w:color="auto"/>
        </w:rPr>
        <w:t>除每天向发包人支付合同价万分之五的工期违约金外，还必须承担由此给发包人造成的其他经济损失，直至追究法律责任</w:t>
      </w:r>
      <w:r>
        <w:rPr>
          <w:rFonts w:hint="eastAsia" w:ascii="宋体" w:hAnsi="宋体" w:eastAsia="宋体" w:cs="宋体"/>
          <w:color w:val="auto"/>
          <w:sz w:val="24"/>
          <w:szCs w:val="24"/>
          <w:highlight w:val="none"/>
        </w:rPr>
        <w:t>。</w:t>
      </w:r>
    </w:p>
    <w:bookmarkEnd w:id="1034"/>
    <w:p w14:paraId="19135828">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因承包人原因造成工期延误，逾</w:t>
      </w:r>
      <w:bookmarkStart w:id="1035" w:name="_Toc312678014"/>
      <w:bookmarkStart w:id="1036" w:name="_Toc318581171"/>
      <w:r>
        <w:rPr>
          <w:rFonts w:hint="eastAsia" w:ascii="宋体" w:hAnsi="宋体" w:eastAsia="宋体" w:cs="宋体"/>
          <w:color w:val="auto"/>
          <w:sz w:val="24"/>
          <w:szCs w:val="24"/>
          <w:highlight w:val="none"/>
        </w:rPr>
        <w:t>期竣工违约金的上限：</w:t>
      </w:r>
      <w:r>
        <w:rPr>
          <w:rFonts w:hint="eastAsia" w:ascii="宋体" w:hAnsi="宋体" w:eastAsia="宋体" w:cs="宋体"/>
          <w:color w:val="auto"/>
          <w:sz w:val="24"/>
          <w:szCs w:val="24"/>
          <w:highlight w:val="none"/>
          <w:u w:val="single"/>
        </w:rPr>
        <w:t xml:space="preserve">  合同价款的5‰ </w:t>
      </w:r>
      <w:r>
        <w:rPr>
          <w:rFonts w:hint="eastAsia" w:ascii="宋体" w:hAnsi="宋体" w:eastAsia="宋体" w:cs="宋体"/>
          <w:color w:val="auto"/>
          <w:sz w:val="24"/>
          <w:szCs w:val="24"/>
          <w:highlight w:val="none"/>
        </w:rPr>
        <w:t>。</w:t>
      </w:r>
    </w:p>
    <w:bookmarkEnd w:id="1035"/>
    <w:bookmarkEnd w:id="1036"/>
    <w:p w14:paraId="3AF4E491">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1037" w:name="_Toc312678015"/>
      <w:bookmarkStart w:id="1038" w:name="_Toc304295549"/>
      <w:bookmarkStart w:id="1039" w:name="_Toc297216178"/>
      <w:bookmarkStart w:id="1040" w:name="_Toc303539128"/>
      <w:bookmarkStart w:id="1041" w:name="_Toc297123519"/>
      <w:bookmarkStart w:id="1042" w:name="_Toc300934971"/>
      <w:r>
        <w:rPr>
          <w:rFonts w:hint="eastAsia" w:ascii="宋体" w:hAnsi="宋体" w:eastAsia="宋体" w:cs="宋体"/>
          <w:color w:val="auto"/>
          <w:sz w:val="24"/>
          <w:szCs w:val="24"/>
          <w:highlight w:val="none"/>
        </w:rPr>
        <w:t>.6 不</w:t>
      </w:r>
      <w:bookmarkEnd w:id="1037"/>
      <w:bookmarkEnd w:id="1038"/>
      <w:bookmarkEnd w:id="1039"/>
      <w:bookmarkEnd w:id="1040"/>
      <w:bookmarkEnd w:id="1041"/>
      <w:bookmarkEnd w:id="1042"/>
      <w:r>
        <w:rPr>
          <w:rFonts w:hint="eastAsia" w:ascii="宋体" w:hAnsi="宋体" w:eastAsia="宋体" w:cs="宋体"/>
          <w:color w:val="auto"/>
          <w:sz w:val="24"/>
          <w:szCs w:val="24"/>
          <w:highlight w:val="none"/>
        </w:rPr>
        <w:t>利物质条件</w:t>
      </w:r>
    </w:p>
    <w:p w14:paraId="1EEAC757">
      <w:pPr>
        <w:spacing w:line="360" w:lineRule="auto"/>
        <w:ind w:firstLine="480" w:firstLineChars="200"/>
        <w:jc w:val="left"/>
        <w:outlineLvl w:val="9"/>
        <w:rPr>
          <w:rFonts w:hint="eastAsia" w:ascii="宋体" w:hAnsi="宋体" w:eastAsia="宋体" w:cs="宋体"/>
          <w:color w:val="auto"/>
          <w:sz w:val="24"/>
          <w:szCs w:val="24"/>
          <w:highlight w:val="none"/>
        </w:rPr>
      </w:pPr>
      <w:bookmarkStart w:id="1043" w:name="_Toc297123520"/>
      <w:bookmarkStart w:id="1044" w:name="_Toc304295550"/>
      <w:bookmarkStart w:id="1045" w:name="_Toc297216179"/>
      <w:bookmarkStart w:id="1046" w:name="_Toc318581172"/>
      <w:bookmarkStart w:id="1047" w:name="_Toc312678016"/>
      <w:bookmarkStart w:id="1048" w:name="_Toc303539129"/>
      <w:bookmarkStart w:id="1049" w:name="_Toc300934972"/>
      <w:r>
        <w:rPr>
          <w:rFonts w:hint="eastAsia" w:ascii="宋体" w:hAnsi="宋体" w:eastAsia="宋体" w:cs="宋体"/>
          <w:color w:val="auto"/>
          <w:sz w:val="24"/>
          <w:szCs w:val="24"/>
          <w:highlight w:val="none"/>
        </w:rPr>
        <w:t>不利物质条件的其他情形和有关约定：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实际地质条件与地勘文件不符等，工期延误，并增加费用 </w:t>
      </w:r>
      <w:r>
        <w:rPr>
          <w:rFonts w:hint="eastAsia" w:ascii="宋体" w:hAnsi="宋体" w:eastAsia="宋体" w:cs="宋体"/>
          <w:color w:val="auto"/>
          <w:sz w:val="24"/>
          <w:szCs w:val="24"/>
          <w:highlight w:val="none"/>
        </w:rPr>
        <w:t>。</w:t>
      </w:r>
    </w:p>
    <w:bookmarkEnd w:id="1043"/>
    <w:bookmarkEnd w:id="1044"/>
    <w:bookmarkEnd w:id="1045"/>
    <w:bookmarkEnd w:id="1046"/>
    <w:bookmarkEnd w:id="1047"/>
    <w:bookmarkEnd w:id="1048"/>
    <w:bookmarkEnd w:id="1049"/>
    <w:p w14:paraId="31603226">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1050" w:name="_Toc304295551"/>
      <w:bookmarkStart w:id="1051" w:name="_Toc297216180"/>
      <w:bookmarkStart w:id="1052" w:name="_Toc312678017"/>
      <w:bookmarkStart w:id="1053" w:name="_Toc303539130"/>
      <w:bookmarkStart w:id="1054" w:name="_Toc297123521"/>
      <w:bookmarkStart w:id="1055" w:name="_Toc300934973"/>
      <w:r>
        <w:rPr>
          <w:rFonts w:hint="eastAsia" w:ascii="宋体" w:hAnsi="宋体" w:eastAsia="宋体" w:cs="宋体"/>
          <w:color w:val="auto"/>
          <w:sz w:val="24"/>
          <w:szCs w:val="24"/>
          <w:highlight w:val="none"/>
        </w:rPr>
        <w:t>.7异常恶劣的气候条件</w:t>
      </w:r>
    </w:p>
    <w:bookmarkEnd w:id="1050"/>
    <w:bookmarkEnd w:id="1051"/>
    <w:bookmarkEnd w:id="1052"/>
    <w:bookmarkEnd w:id="1053"/>
    <w:bookmarkEnd w:id="1054"/>
    <w:bookmarkEnd w:id="1055"/>
    <w:p w14:paraId="4EE1F6A3">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发包人和承包人同意以下情形视为异常恶劣的气候条件：</w:t>
      </w:r>
    </w:p>
    <w:p w14:paraId="42B73D92">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70329D1C">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58A649AD">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7A62F5E1">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 提前竣工的奖励</w:t>
      </w:r>
    </w:p>
    <w:p w14:paraId="1F3E76BF">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7.9.2提前竣工的奖励：</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39F6752C">
      <w:pPr>
        <w:spacing w:after="120" w:afterLines="0" w:line="360" w:lineRule="auto"/>
        <w:outlineLvl w:val="9"/>
        <w:rPr>
          <w:rFonts w:hint="eastAsia" w:ascii="宋体" w:hAnsi="宋体" w:eastAsia="宋体" w:cs="宋体"/>
          <w:color w:val="auto"/>
          <w:sz w:val="24"/>
          <w:szCs w:val="24"/>
          <w:highlight w:val="none"/>
        </w:rPr>
      </w:pPr>
      <w:bookmarkStart w:id="1056" w:name="_Toc351203640"/>
      <w:r>
        <w:rPr>
          <w:rFonts w:hint="eastAsia" w:ascii="宋体" w:hAnsi="宋体" w:eastAsia="宋体" w:cs="宋体"/>
          <w:color w:val="auto"/>
          <w:sz w:val="24"/>
          <w:szCs w:val="24"/>
          <w:highlight w:val="none"/>
        </w:rPr>
        <w:t>8. 材料与设备</w:t>
      </w:r>
      <w:bookmarkEnd w:id="1056"/>
    </w:p>
    <w:bookmarkEnd w:id="991"/>
    <w:bookmarkEnd w:id="992"/>
    <w:bookmarkEnd w:id="993"/>
    <w:bookmarkEnd w:id="994"/>
    <w:bookmarkEnd w:id="995"/>
    <w:bookmarkEnd w:id="996"/>
    <w:bookmarkEnd w:id="997"/>
    <w:bookmarkEnd w:id="998"/>
    <w:bookmarkEnd w:id="999"/>
    <w:bookmarkEnd w:id="1000"/>
    <w:p w14:paraId="0A43C309">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bookmarkStart w:id="1057" w:name="_Toc297048353"/>
      <w:bookmarkStart w:id="1058" w:name="_Toc280868654"/>
      <w:bookmarkStart w:id="1059" w:name="_Toc312678019"/>
      <w:bookmarkStart w:id="1060" w:name="_Toc296891207"/>
      <w:bookmarkStart w:id="1061" w:name="_Toc300934979"/>
      <w:bookmarkStart w:id="1062" w:name="_Toc297123527"/>
      <w:bookmarkStart w:id="1063" w:name="_Toc303539136"/>
      <w:bookmarkStart w:id="1064" w:name="_Toc297120467"/>
      <w:bookmarkStart w:id="1065" w:name="_Toc292559372"/>
      <w:bookmarkStart w:id="1066" w:name="_Toc292559877"/>
      <w:bookmarkStart w:id="1067" w:name="_Toc312677493"/>
      <w:bookmarkStart w:id="1068" w:name="_Toc304295556"/>
      <w:bookmarkStart w:id="1069" w:name="_Toc296347166"/>
      <w:bookmarkStart w:id="1070" w:name="_Toc296503167"/>
      <w:bookmarkStart w:id="1071" w:name="_Toc296944506"/>
      <w:bookmarkStart w:id="1072" w:name="_Toc296346668"/>
      <w:bookmarkStart w:id="1073" w:name="_Toc296890995"/>
      <w:bookmarkStart w:id="1074" w:name="_Toc297216186"/>
      <w:bookmarkStart w:id="1075" w:name="_Toc280868655"/>
      <w:bookmarkStart w:id="1076" w:name="_Toc267251424"/>
      <w:bookmarkStart w:id="1077" w:name="_Toc280868656"/>
      <w:r>
        <w:rPr>
          <w:rFonts w:hint="eastAsia" w:ascii="宋体" w:hAnsi="宋体" w:eastAsia="宋体" w:cs="宋体"/>
          <w:color w:val="auto"/>
          <w:sz w:val="24"/>
          <w:szCs w:val="24"/>
          <w:highlight w:val="none"/>
        </w:rPr>
        <w:t>.4材料与工程设备的保管与使用</w:t>
      </w:r>
    </w:p>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p w14:paraId="3C3FA9EC">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bookmarkStart w:id="1078" w:name="_Toc292559878"/>
      <w:bookmarkStart w:id="1079" w:name="_Toc292559373"/>
      <w:bookmarkStart w:id="1080" w:name="_Toc297120468"/>
      <w:bookmarkStart w:id="1081" w:name="_Toc300934980"/>
      <w:bookmarkStart w:id="1082" w:name="_Toc296346669"/>
      <w:bookmarkStart w:id="1083" w:name="_Toc296944507"/>
      <w:bookmarkStart w:id="1084" w:name="_Toc297048354"/>
      <w:bookmarkStart w:id="1085" w:name="_Toc296890996"/>
      <w:bookmarkStart w:id="1086" w:name="_Toc303539137"/>
      <w:bookmarkStart w:id="1087" w:name="_Toc304295557"/>
      <w:bookmarkStart w:id="1088" w:name="_Toc312678020"/>
      <w:bookmarkStart w:id="1089" w:name="_Toc297123528"/>
      <w:bookmarkStart w:id="1090" w:name="_Toc318581173"/>
      <w:bookmarkStart w:id="1091" w:name="_Toc296503168"/>
      <w:bookmarkStart w:id="1092" w:name="_Toc296347167"/>
      <w:bookmarkStart w:id="1093" w:name="_Toc312677494"/>
      <w:bookmarkStart w:id="1094" w:name="_Toc297216187"/>
      <w:bookmarkStart w:id="1095" w:name="_Toc296891208"/>
      <w:r>
        <w:rPr>
          <w:rFonts w:hint="eastAsia" w:ascii="宋体" w:hAnsi="宋体" w:eastAsia="宋体" w:cs="宋体"/>
          <w:color w:val="auto"/>
          <w:sz w:val="24"/>
          <w:szCs w:val="24"/>
          <w:highlight w:val="none"/>
        </w:rPr>
        <w:t>.4.1发包人供应的材料设备的保管费用的承担：</w:t>
      </w:r>
      <w:r>
        <w:rPr>
          <w:rFonts w:hint="eastAsia" w:ascii="宋体" w:hAnsi="宋体" w:eastAsia="宋体" w:cs="宋体"/>
          <w:color w:val="auto"/>
          <w:sz w:val="24"/>
          <w:szCs w:val="24"/>
          <w:highlight w:val="none"/>
          <w:u w:val="single"/>
        </w:rPr>
        <w:t xml:space="preserve">  执行</w:t>
      </w:r>
      <w:r>
        <w:rPr>
          <w:rFonts w:hint="eastAsia" w:ascii="宋体" w:hAnsi="宋体" w:eastAsia="宋体" w:cs="宋体"/>
          <w:color w:val="auto"/>
          <w:sz w:val="24"/>
          <w:szCs w:val="24"/>
          <w:highlight w:val="none"/>
          <w:u w:val="single"/>
          <w:lang w:eastAsia="zh-CN"/>
        </w:rPr>
        <w:t>合同</w:t>
      </w:r>
      <w:r>
        <w:rPr>
          <w:rFonts w:hint="eastAsia" w:ascii="宋体" w:hAnsi="宋体" w:eastAsia="宋体" w:cs="宋体"/>
          <w:color w:val="auto"/>
          <w:sz w:val="24"/>
          <w:szCs w:val="24"/>
          <w:highlight w:val="none"/>
          <w:u w:val="single"/>
        </w:rPr>
        <w:t xml:space="preserve">通用条款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bookmarkEnd w:id="1078"/>
      <w:bookmarkEnd w:id="1079"/>
    </w:p>
    <w:p w14:paraId="55A42212">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 样品</w:t>
      </w:r>
    </w:p>
    <w:p w14:paraId="058FBD3D">
      <w:pPr>
        <w:autoSpaceDE w:val="0"/>
        <w:autoSpaceDN w:val="0"/>
        <w:adjustRightInd w:val="0"/>
        <w:spacing w:line="360" w:lineRule="auto"/>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8.6.1</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样品的报送与封存</w:t>
      </w:r>
    </w:p>
    <w:p w14:paraId="1BB1634E">
      <w:pPr>
        <w:autoSpaceDE w:val="0"/>
        <w:autoSpaceDN w:val="0"/>
        <w:adjustRightInd w:val="0"/>
        <w:spacing w:line="360" w:lineRule="auto"/>
        <w:jc w:val="lef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需要承包人报送样品的材料或工程设备，样品的种类、名称、规格、数量要求：</w:t>
      </w:r>
      <w:r>
        <w:rPr>
          <w:rFonts w:hint="eastAsia" w:ascii="宋体" w:hAnsi="宋体" w:eastAsia="宋体" w:cs="宋体"/>
          <w:color w:val="auto"/>
          <w:sz w:val="24"/>
          <w:szCs w:val="24"/>
          <w:highlight w:val="none"/>
          <w:u w:val="single"/>
        </w:rPr>
        <w:t xml:space="preserve">   </w:t>
      </w:r>
    </w:p>
    <w:p w14:paraId="325243AA">
      <w:pPr>
        <w:autoSpaceDE w:val="0"/>
        <w:autoSpaceDN w:val="0"/>
        <w:adjustRightInd w:val="0"/>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执行</w:t>
      </w:r>
      <w:r>
        <w:rPr>
          <w:rFonts w:hint="eastAsia" w:ascii="宋体" w:hAnsi="宋体" w:eastAsia="宋体" w:cs="宋体"/>
          <w:color w:val="auto"/>
          <w:sz w:val="24"/>
          <w:szCs w:val="24"/>
          <w:highlight w:val="none"/>
          <w:u w:val="single"/>
          <w:lang w:eastAsia="zh-CN"/>
        </w:rPr>
        <w:t>合同</w:t>
      </w:r>
      <w:r>
        <w:rPr>
          <w:rFonts w:hint="eastAsia" w:ascii="宋体" w:hAnsi="宋体" w:eastAsia="宋体" w:cs="宋体"/>
          <w:color w:val="auto"/>
          <w:sz w:val="24"/>
          <w:szCs w:val="24"/>
          <w:highlight w:val="none"/>
          <w:u w:val="single"/>
        </w:rPr>
        <w:t xml:space="preserve">通用条款   </w:t>
      </w:r>
      <w:r>
        <w:rPr>
          <w:rFonts w:hint="eastAsia" w:ascii="宋体" w:hAnsi="宋体" w:eastAsia="宋体" w:cs="宋体"/>
          <w:color w:val="auto"/>
          <w:sz w:val="24"/>
          <w:szCs w:val="24"/>
          <w:highlight w:val="none"/>
        </w:rPr>
        <w:t>。</w:t>
      </w:r>
    </w:p>
    <w:p w14:paraId="4C944078">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 施工设备和临时设施</w:t>
      </w:r>
    </w:p>
    <w:p w14:paraId="1DE9F00A">
      <w:pPr>
        <w:keepNext w:val="0"/>
        <w:keepLines w:val="0"/>
        <w:pageBreakBefore w:val="0"/>
        <w:widowControl w:val="0"/>
        <w:kinsoku/>
        <w:wordWrap/>
        <w:overflowPunct/>
        <w:topLinePunct w:val="0"/>
        <w:autoSpaceDE w:val="0"/>
        <w:autoSpaceDN w:val="0"/>
        <w:bidi w:val="0"/>
        <w:adjustRightInd w:val="0"/>
        <w:snapToGrid/>
        <w:spacing w:before="0" w:beforeLines="0" w:line="360" w:lineRule="auto"/>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8.8.1 承包人提供的施工设备和临时设施</w:t>
      </w:r>
    </w:p>
    <w:p w14:paraId="70194632">
      <w:pPr>
        <w:keepNext w:val="0"/>
        <w:keepLines w:val="0"/>
        <w:pageBreakBefore w:val="0"/>
        <w:widowControl w:val="0"/>
        <w:kinsoku/>
        <w:wordWrap/>
        <w:overflowPunct/>
        <w:topLinePunct w:val="0"/>
        <w:autoSpaceDE w:val="0"/>
        <w:autoSpaceDN w:val="0"/>
        <w:bidi w:val="0"/>
        <w:adjustRightInd w:val="0"/>
        <w:snapToGrid/>
        <w:spacing w:before="0" w:beforeLines="0" w:line="360" w:lineRule="auto"/>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关于修建临时设施费用承担的约定：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p w14:paraId="32EC4327">
      <w:pPr>
        <w:keepNext w:val="0"/>
        <w:keepLines w:val="0"/>
        <w:pageBreakBefore w:val="0"/>
        <w:widowControl w:val="0"/>
        <w:kinsoku/>
        <w:wordWrap/>
        <w:overflowPunct/>
        <w:topLinePunct w:val="0"/>
        <w:bidi w:val="0"/>
        <w:snapToGrid/>
        <w:spacing w:before="0" w:beforeLines="0" w:after="120" w:afterLines="0" w:line="360" w:lineRule="auto"/>
        <w:ind w:left="0" w:leftChars="0" w:right="0" w:rightChars="0" w:firstLine="0" w:firstLineChars="0"/>
        <w:textAlignment w:val="auto"/>
        <w:outlineLvl w:val="9"/>
        <w:rPr>
          <w:rFonts w:hint="eastAsia" w:ascii="宋体" w:hAnsi="宋体" w:eastAsia="宋体" w:cs="宋体"/>
          <w:color w:val="auto"/>
          <w:sz w:val="24"/>
          <w:szCs w:val="24"/>
          <w:highlight w:val="none"/>
        </w:rPr>
      </w:pPr>
      <w:bookmarkStart w:id="1096" w:name="_Toc351203641"/>
      <w:r>
        <w:rPr>
          <w:rFonts w:hint="eastAsia" w:ascii="宋体" w:hAnsi="宋体" w:eastAsia="宋体" w:cs="宋体"/>
          <w:color w:val="auto"/>
          <w:sz w:val="24"/>
          <w:szCs w:val="24"/>
          <w:highlight w:val="none"/>
        </w:rPr>
        <w:t>9</w:t>
      </w:r>
      <w:bookmarkEnd w:id="1075"/>
      <w:bookmarkEnd w:id="1076"/>
      <w:bookmarkEnd w:id="1077"/>
      <w:bookmarkStart w:id="1097" w:name="_Toc312677495"/>
      <w:bookmarkStart w:id="1098" w:name="_Toc297216192"/>
      <w:bookmarkStart w:id="1099" w:name="_Toc312678021"/>
      <w:bookmarkStart w:id="1100" w:name="_Toc300934982"/>
      <w:bookmarkStart w:id="1101" w:name="_Toc303539139"/>
      <w:bookmarkStart w:id="1102" w:name="_Toc304295559"/>
      <w:bookmarkStart w:id="1103" w:name="_Toc297123533"/>
      <w:bookmarkStart w:id="1104" w:name="_Toc296347172"/>
      <w:bookmarkStart w:id="1105" w:name="_Toc297120473"/>
      <w:bookmarkStart w:id="1106" w:name="_Toc296944512"/>
      <w:bookmarkStart w:id="1107" w:name="_Toc292559883"/>
      <w:bookmarkStart w:id="1108" w:name="_Toc296891001"/>
      <w:bookmarkStart w:id="1109" w:name="_Toc267251428"/>
      <w:bookmarkStart w:id="1110" w:name="_Toc296346674"/>
      <w:bookmarkStart w:id="1111" w:name="_Toc297048359"/>
      <w:bookmarkStart w:id="1112" w:name="_Toc267251427"/>
      <w:bookmarkStart w:id="1113" w:name="_Toc296503173"/>
      <w:bookmarkStart w:id="1114" w:name="_Toc296891213"/>
      <w:bookmarkStart w:id="1115" w:name="_Toc292559378"/>
      <w:r>
        <w:rPr>
          <w:rFonts w:hint="eastAsia" w:ascii="宋体" w:hAnsi="宋体" w:eastAsia="宋体" w:cs="宋体"/>
          <w:color w:val="auto"/>
          <w:sz w:val="24"/>
          <w:szCs w:val="24"/>
          <w:highlight w:val="none"/>
        </w:rPr>
        <w:t>. 试验与检验</w:t>
      </w:r>
      <w:bookmarkEnd w:id="1096"/>
    </w:p>
    <w:bookmarkEnd w:id="1097"/>
    <w:bookmarkEnd w:id="1098"/>
    <w:bookmarkEnd w:id="1099"/>
    <w:bookmarkEnd w:id="1100"/>
    <w:bookmarkEnd w:id="1101"/>
    <w:bookmarkEnd w:id="1102"/>
    <w:bookmarkEnd w:id="1103"/>
    <w:p w14:paraId="686AF17B">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bookmarkStart w:id="1116" w:name="_Toc297216193"/>
      <w:bookmarkStart w:id="1117" w:name="_Toc312678022"/>
      <w:bookmarkStart w:id="1118" w:name="_Toc312677496"/>
      <w:bookmarkStart w:id="1119" w:name="_Toc300934983"/>
      <w:bookmarkStart w:id="1120" w:name="_Toc297123534"/>
      <w:bookmarkStart w:id="1121" w:name="_Toc304295560"/>
      <w:bookmarkStart w:id="1122" w:name="_Toc303539140"/>
      <w:r>
        <w:rPr>
          <w:rFonts w:hint="eastAsia" w:ascii="宋体" w:hAnsi="宋体" w:eastAsia="宋体" w:cs="宋体"/>
          <w:color w:val="auto"/>
          <w:sz w:val="24"/>
          <w:szCs w:val="24"/>
          <w:highlight w:val="none"/>
        </w:rPr>
        <w:t>.1试验设备与试验人员</w:t>
      </w:r>
    </w:p>
    <w:bookmarkEnd w:id="1116"/>
    <w:bookmarkEnd w:id="1117"/>
    <w:bookmarkEnd w:id="1118"/>
    <w:bookmarkEnd w:id="1119"/>
    <w:bookmarkEnd w:id="1120"/>
    <w:bookmarkEnd w:id="1121"/>
    <w:bookmarkEnd w:id="1122"/>
    <w:p w14:paraId="6F747467">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bookmarkStart w:id="1123" w:name="_Toc297216194"/>
      <w:bookmarkStart w:id="1124" w:name="_Toc312677497"/>
      <w:bookmarkStart w:id="1125" w:name="_Toc300934984"/>
      <w:bookmarkStart w:id="1126" w:name="_Toc303539141"/>
      <w:bookmarkStart w:id="1127" w:name="_Toc297123535"/>
      <w:bookmarkStart w:id="1128" w:name="_Toc312678023"/>
      <w:bookmarkStart w:id="1129" w:name="_Toc304295561"/>
      <w:bookmarkStart w:id="1130" w:name="_Toc318581174"/>
      <w:r>
        <w:rPr>
          <w:rFonts w:hint="eastAsia" w:ascii="宋体" w:hAnsi="宋体" w:eastAsia="宋体" w:cs="宋体"/>
          <w:color w:val="auto"/>
          <w:sz w:val="24"/>
          <w:szCs w:val="24"/>
          <w:highlight w:val="none"/>
        </w:rPr>
        <w:t>.1.2 试验设备</w:t>
      </w:r>
    </w:p>
    <w:p w14:paraId="27C0CECD">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施工现场需要配置的试验场所：</w:t>
      </w:r>
      <w:bookmarkEnd w:id="1123"/>
      <w:bookmarkEnd w:id="1124"/>
      <w:bookmarkEnd w:id="1125"/>
      <w:bookmarkEnd w:id="1126"/>
      <w:bookmarkEnd w:id="1127"/>
      <w:bookmarkEnd w:id="1128"/>
      <w:bookmarkEnd w:id="1129"/>
      <w:bookmarkStart w:id="1131" w:name="_Toc303539142"/>
      <w:bookmarkStart w:id="1132" w:name="_Toc297216195"/>
      <w:bookmarkStart w:id="1133" w:name="_Toc300934985"/>
      <w:bookmarkStart w:id="1134" w:name="_Toc312677498"/>
      <w:bookmarkStart w:id="1135" w:name="_Toc312678024"/>
      <w:bookmarkStart w:id="1136" w:name="_Toc297123536"/>
      <w:bookmarkStart w:id="1137" w:name="_Toc304295562"/>
      <w:r>
        <w:rPr>
          <w:rFonts w:hint="eastAsia" w:ascii="宋体" w:hAnsi="宋体" w:eastAsia="宋体" w:cs="宋体"/>
          <w:color w:val="auto"/>
          <w:sz w:val="24"/>
          <w:szCs w:val="24"/>
          <w:highlight w:val="none"/>
          <w:u w:val="single"/>
        </w:rPr>
        <w:t xml:space="preserve">按有关规定执行  </w:t>
      </w:r>
      <w:r>
        <w:rPr>
          <w:rFonts w:hint="eastAsia" w:ascii="宋体" w:hAnsi="宋体" w:eastAsia="宋体" w:cs="宋体"/>
          <w:color w:val="auto"/>
          <w:sz w:val="24"/>
          <w:szCs w:val="24"/>
          <w:highlight w:val="none"/>
        </w:rPr>
        <w:t xml:space="preserve">。 </w:t>
      </w:r>
    </w:p>
    <w:p w14:paraId="513275E8">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施工现场需要配备的试验设备：</w:t>
      </w:r>
      <w:r>
        <w:rPr>
          <w:rFonts w:hint="eastAsia" w:ascii="宋体" w:hAnsi="宋体" w:eastAsia="宋体" w:cs="宋体"/>
          <w:color w:val="auto"/>
          <w:sz w:val="24"/>
          <w:szCs w:val="24"/>
          <w:highlight w:val="none"/>
          <w:u w:val="single"/>
        </w:rPr>
        <w:t xml:space="preserve"> 按有关规定执行  </w:t>
      </w:r>
      <w:r>
        <w:rPr>
          <w:rFonts w:hint="eastAsia" w:ascii="宋体" w:hAnsi="宋体" w:eastAsia="宋体" w:cs="宋体"/>
          <w:color w:val="auto"/>
          <w:sz w:val="24"/>
          <w:szCs w:val="24"/>
          <w:highlight w:val="none"/>
        </w:rPr>
        <w:t xml:space="preserve">。 </w:t>
      </w:r>
    </w:p>
    <w:p w14:paraId="1801297C">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施工现场需要具备的其他试验条件：</w:t>
      </w:r>
      <w:r>
        <w:rPr>
          <w:rFonts w:hint="eastAsia" w:ascii="宋体" w:hAnsi="宋体" w:eastAsia="宋体" w:cs="宋体"/>
          <w:color w:val="auto"/>
          <w:sz w:val="24"/>
          <w:szCs w:val="24"/>
          <w:highlight w:val="none"/>
          <w:u w:val="single"/>
        </w:rPr>
        <w:t xml:space="preserve">按有关规定执行  </w:t>
      </w:r>
      <w:r>
        <w:rPr>
          <w:rFonts w:hint="eastAsia" w:ascii="宋体" w:hAnsi="宋体" w:eastAsia="宋体" w:cs="宋体"/>
          <w:color w:val="auto"/>
          <w:sz w:val="24"/>
          <w:szCs w:val="24"/>
          <w:highlight w:val="none"/>
        </w:rPr>
        <w:t xml:space="preserve">。 </w:t>
      </w:r>
    </w:p>
    <w:p w14:paraId="3E957F93">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9.4 现场工艺试验 </w:t>
      </w:r>
    </w:p>
    <w:p w14:paraId="5C3656E8">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现场工艺试验的有关约定：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bookmarkEnd w:id="1130"/>
    <w:bookmarkEnd w:id="1131"/>
    <w:bookmarkEnd w:id="1132"/>
    <w:bookmarkEnd w:id="1133"/>
    <w:bookmarkEnd w:id="1134"/>
    <w:bookmarkEnd w:id="1135"/>
    <w:bookmarkEnd w:id="1136"/>
    <w:bookmarkEnd w:id="1137"/>
    <w:p w14:paraId="1A5D0997">
      <w:pPr>
        <w:spacing w:after="120" w:afterLines="0" w:line="360" w:lineRule="auto"/>
        <w:outlineLvl w:val="9"/>
        <w:rPr>
          <w:rFonts w:hint="eastAsia" w:ascii="宋体" w:hAnsi="宋体" w:eastAsia="宋体" w:cs="宋体"/>
          <w:color w:val="auto"/>
          <w:sz w:val="24"/>
          <w:szCs w:val="24"/>
          <w:highlight w:val="none"/>
        </w:rPr>
      </w:pPr>
      <w:bookmarkStart w:id="1138" w:name="_Toc351203642"/>
      <w:r>
        <w:rPr>
          <w:rFonts w:hint="eastAsia" w:ascii="宋体" w:hAnsi="宋体" w:eastAsia="宋体" w:cs="宋体"/>
          <w:color w:val="auto"/>
          <w:sz w:val="24"/>
          <w:szCs w:val="24"/>
          <w:highlight w:val="none"/>
        </w:rPr>
        <w:t>1</w:t>
      </w:r>
      <w:bookmarkEnd w:id="1104"/>
      <w:bookmarkEnd w:id="1105"/>
      <w:bookmarkEnd w:id="1106"/>
      <w:bookmarkEnd w:id="1107"/>
      <w:bookmarkEnd w:id="1108"/>
      <w:bookmarkEnd w:id="1109"/>
      <w:bookmarkEnd w:id="1110"/>
      <w:bookmarkEnd w:id="1111"/>
      <w:bookmarkEnd w:id="1112"/>
      <w:bookmarkEnd w:id="1113"/>
      <w:bookmarkEnd w:id="1114"/>
      <w:bookmarkEnd w:id="1115"/>
      <w:bookmarkStart w:id="1139" w:name="_Toc297048379"/>
      <w:bookmarkStart w:id="1140" w:name="_Toc296891021"/>
      <w:bookmarkStart w:id="1141" w:name="_Toc296944532"/>
      <w:bookmarkStart w:id="1142" w:name="_Toc296346694"/>
      <w:bookmarkStart w:id="1143" w:name="_Toc297120493"/>
      <w:bookmarkStart w:id="1144" w:name="_Toc296503193"/>
      <w:bookmarkStart w:id="1145" w:name="_Toc297123540"/>
      <w:bookmarkStart w:id="1146" w:name="_Toc296891233"/>
      <w:bookmarkStart w:id="1147" w:name="_Toc303539146"/>
      <w:bookmarkStart w:id="1148" w:name="_Toc296347192"/>
      <w:bookmarkStart w:id="1149" w:name="_Toc304295566"/>
      <w:bookmarkStart w:id="1150" w:name="_Toc292559903"/>
      <w:bookmarkStart w:id="1151" w:name="_Toc297216199"/>
      <w:bookmarkStart w:id="1152" w:name="_Toc292559398"/>
      <w:bookmarkStart w:id="1153" w:name="_Toc300934989"/>
      <w:bookmarkStart w:id="1154" w:name="_Toc312678025"/>
      <w:bookmarkStart w:id="1155" w:name="_Toc312677499"/>
      <w:bookmarkStart w:id="1156" w:name="_Toc267251439"/>
      <w:bookmarkStart w:id="1157" w:name="_Toc267251440"/>
      <w:bookmarkStart w:id="1158" w:name="_Toc267251437"/>
      <w:bookmarkStart w:id="1159" w:name="_Toc267251435"/>
      <w:bookmarkStart w:id="1160" w:name="_Toc267251433"/>
      <w:bookmarkStart w:id="1161" w:name="_Toc267251441"/>
      <w:bookmarkStart w:id="1162" w:name="_Toc267251442"/>
      <w:r>
        <w:rPr>
          <w:rFonts w:hint="eastAsia" w:ascii="宋体" w:hAnsi="宋体" w:eastAsia="宋体" w:cs="宋体"/>
          <w:color w:val="auto"/>
          <w:sz w:val="24"/>
          <w:szCs w:val="24"/>
          <w:highlight w:val="none"/>
        </w:rPr>
        <w:t>0. 变更</w:t>
      </w:r>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p>
    <w:bookmarkEnd w:id="1154"/>
    <w:bookmarkEnd w:id="1155"/>
    <w:p w14:paraId="254C91BF">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1163" w:name="_Toc292559904"/>
      <w:bookmarkStart w:id="1164" w:name="_Toc303539147"/>
      <w:bookmarkStart w:id="1165" w:name="_Toc296891022"/>
      <w:bookmarkStart w:id="1166" w:name="_Toc296891234"/>
      <w:bookmarkStart w:id="1167" w:name="_Toc297123541"/>
      <w:bookmarkStart w:id="1168" w:name="_Toc296347193"/>
      <w:bookmarkStart w:id="1169" w:name="_Toc296944533"/>
      <w:bookmarkStart w:id="1170" w:name="_Toc296346695"/>
      <w:bookmarkStart w:id="1171" w:name="_Toc312678026"/>
      <w:bookmarkStart w:id="1172" w:name="_Toc292559399"/>
      <w:bookmarkStart w:id="1173" w:name="_Toc296503194"/>
      <w:bookmarkStart w:id="1174" w:name="_Toc297216200"/>
      <w:bookmarkStart w:id="1175" w:name="_Toc297048380"/>
      <w:bookmarkStart w:id="1176" w:name="_Toc304295567"/>
      <w:bookmarkStart w:id="1177" w:name="_Toc297120494"/>
      <w:bookmarkStart w:id="1178" w:name="_Toc300934990"/>
      <w:bookmarkStart w:id="1179" w:name="_Toc312677500"/>
      <w:r>
        <w:rPr>
          <w:rFonts w:hint="eastAsia" w:ascii="宋体" w:hAnsi="宋体" w:eastAsia="宋体" w:cs="宋体"/>
          <w:color w:val="auto"/>
          <w:sz w:val="24"/>
          <w:szCs w:val="24"/>
          <w:highlight w:val="none"/>
        </w:rPr>
        <w:t>0.1变更的范围</w:t>
      </w:r>
    </w:p>
    <w:p w14:paraId="533BD465">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关于变更的范围的约定：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1)增加或减少合同中任何工作，或追加额外的工程</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rPr>
        <w:t>2)取消合同中任何工作，但转由他人实施的工作除外；3）改变合同中任何工作的质量标准或其他特性；4）改变工程的基线、标高、位置和尺寸；5）改变工程的时间安排或实施顺序</w:t>
      </w:r>
      <w:r>
        <w:rPr>
          <w:rFonts w:hint="eastAsia" w:ascii="宋体" w:hAnsi="宋体" w:eastAsia="宋体" w:cs="宋体"/>
          <w:color w:val="auto"/>
          <w:sz w:val="24"/>
          <w:szCs w:val="24"/>
          <w:highlight w:val="none"/>
          <w:u w:val="single"/>
        </w:rPr>
        <w:t>。</w:t>
      </w:r>
    </w:p>
    <w:p w14:paraId="47AF6DB4">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 变更估价</w:t>
      </w:r>
    </w:p>
    <w:p w14:paraId="5D11E716">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10.4.1 变更估价原则</w:t>
      </w:r>
    </w:p>
    <w:p w14:paraId="1EA35165">
      <w:pPr>
        <w:spacing w:line="360" w:lineRule="auto"/>
        <w:jc w:val="lef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关于变更估价的约定: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执行</w:t>
      </w:r>
      <w:r>
        <w:rPr>
          <w:rFonts w:hint="eastAsia" w:ascii="宋体" w:hAnsi="宋体" w:eastAsia="宋体" w:cs="宋体"/>
          <w:color w:val="auto"/>
          <w:sz w:val="24"/>
          <w:szCs w:val="24"/>
          <w:highlight w:val="none"/>
          <w:u w:val="single"/>
          <w:lang w:eastAsia="zh-CN"/>
        </w:rPr>
        <w:t>合同</w:t>
      </w:r>
      <w:r>
        <w:rPr>
          <w:rFonts w:hint="eastAsia" w:ascii="宋体" w:hAnsi="宋体" w:eastAsia="宋体" w:cs="宋体"/>
          <w:color w:val="auto"/>
          <w:sz w:val="24"/>
          <w:szCs w:val="24"/>
          <w:highlight w:val="none"/>
          <w:u w:val="single"/>
        </w:rPr>
        <w:t xml:space="preserve">通用条款          </w:t>
      </w:r>
      <w:r>
        <w:rPr>
          <w:rFonts w:hint="eastAsia" w:ascii="宋体" w:hAnsi="宋体" w:eastAsia="宋体" w:cs="宋体"/>
          <w:color w:val="auto"/>
          <w:sz w:val="24"/>
          <w:szCs w:val="24"/>
          <w:highlight w:val="none"/>
        </w:rPr>
        <w:t>。</w:t>
      </w:r>
    </w:p>
    <w:p w14:paraId="73FE8723">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Start w:id="1180" w:name="_Toc297216203"/>
      <w:bookmarkStart w:id="1181" w:name="_Toc297123544"/>
      <w:bookmarkStart w:id="1182" w:name="_Toc297120497"/>
      <w:bookmarkStart w:id="1183" w:name="_Toc296503197"/>
      <w:bookmarkStart w:id="1184" w:name="_Toc296944536"/>
      <w:bookmarkStart w:id="1185" w:name="_Toc296891025"/>
      <w:bookmarkStart w:id="1186" w:name="_Toc292559402"/>
      <w:bookmarkStart w:id="1187" w:name="_Toc296347196"/>
      <w:bookmarkStart w:id="1188" w:name="_Toc296891237"/>
      <w:bookmarkStart w:id="1189" w:name="_Toc297048383"/>
      <w:bookmarkStart w:id="1190" w:name="_Toc292559907"/>
      <w:bookmarkStart w:id="1191" w:name="_Toc296346698"/>
      <w:bookmarkStart w:id="1192" w:name="_Toc303539150"/>
      <w:bookmarkStart w:id="1193" w:name="_Toc300934993"/>
      <w:bookmarkStart w:id="1194" w:name="_Toc304295570"/>
      <w:bookmarkStart w:id="1195" w:name="_Toc312678029"/>
      <w:bookmarkStart w:id="1196" w:name="_Toc312677503"/>
      <w:r>
        <w:rPr>
          <w:rFonts w:hint="eastAsia" w:ascii="宋体" w:hAnsi="宋体" w:eastAsia="宋体" w:cs="宋体"/>
          <w:color w:val="auto"/>
          <w:sz w:val="24"/>
          <w:szCs w:val="24"/>
          <w:highlight w:val="none"/>
        </w:rPr>
        <w:t>0.5承</w:t>
      </w:r>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Start w:id="1197" w:name="_Toc297216204"/>
      <w:bookmarkStart w:id="1198" w:name="_Toc303539151"/>
      <w:bookmarkStart w:id="1199" w:name="_Toc297048389"/>
      <w:bookmarkStart w:id="1200" w:name="_Toc292559913"/>
      <w:bookmarkStart w:id="1201" w:name="_Toc296891243"/>
      <w:bookmarkStart w:id="1202" w:name="_Toc296346704"/>
      <w:bookmarkStart w:id="1203" w:name="_Toc296891031"/>
      <w:bookmarkStart w:id="1204" w:name="_Toc297120503"/>
      <w:bookmarkStart w:id="1205" w:name="_Toc296503203"/>
      <w:bookmarkStart w:id="1206" w:name="_Toc292559408"/>
      <w:bookmarkStart w:id="1207" w:name="_Toc296347202"/>
      <w:bookmarkStart w:id="1208" w:name="_Toc300934994"/>
      <w:bookmarkStart w:id="1209" w:name="_Toc297123545"/>
      <w:bookmarkStart w:id="1210" w:name="_Toc296944542"/>
      <w:r>
        <w:rPr>
          <w:rFonts w:hint="eastAsia" w:ascii="宋体" w:hAnsi="宋体" w:eastAsia="宋体" w:cs="宋体"/>
          <w:color w:val="auto"/>
          <w:sz w:val="24"/>
          <w:szCs w:val="24"/>
          <w:highlight w:val="none"/>
        </w:rPr>
        <w:t>包人的合理化建议</w:t>
      </w:r>
    </w:p>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p w14:paraId="73F7FAA0">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监理人审查承包人合理化建议的期限：</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02CDC3B2">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发包人审批承包人合理化建议的期限：</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03A6E33">
      <w:pPr>
        <w:spacing w:line="360" w:lineRule="auto"/>
        <w:jc w:val="lef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w:t>
      </w:r>
      <w:bookmarkStart w:id="1211" w:name="_Toc292559409"/>
      <w:bookmarkStart w:id="1212" w:name="_Toc312678030"/>
      <w:bookmarkStart w:id="1213" w:name="_Toc296347203"/>
      <w:bookmarkStart w:id="1214" w:name="_Toc296503204"/>
      <w:bookmarkStart w:id="1215" w:name="_Toc297123546"/>
      <w:bookmarkStart w:id="1216" w:name="_Toc297120504"/>
      <w:bookmarkStart w:id="1217" w:name="_Toc312677504"/>
      <w:bookmarkStart w:id="1218" w:name="_Toc292559914"/>
      <w:bookmarkStart w:id="1219" w:name="_Toc297048390"/>
      <w:bookmarkStart w:id="1220" w:name="_Toc304295571"/>
      <w:bookmarkStart w:id="1221" w:name="_Toc296891244"/>
      <w:bookmarkStart w:id="1222" w:name="_Toc318581175"/>
      <w:bookmarkStart w:id="1223" w:name="_Toc296346705"/>
      <w:bookmarkStart w:id="1224" w:name="_Toc296944543"/>
      <w:bookmarkStart w:id="1225" w:name="_Toc297216205"/>
      <w:bookmarkStart w:id="1226" w:name="_Toc296891032"/>
      <w:bookmarkStart w:id="1227" w:name="_Toc303539152"/>
      <w:bookmarkStart w:id="1228" w:name="_Toc300934995"/>
      <w:r>
        <w:rPr>
          <w:rFonts w:hint="eastAsia" w:ascii="宋体" w:hAnsi="宋体" w:eastAsia="宋体" w:cs="宋体"/>
          <w:color w:val="auto"/>
          <w:sz w:val="24"/>
          <w:szCs w:val="24"/>
          <w:highlight w:val="none"/>
        </w:rPr>
        <w:t>包人提出的合理化建议降低了合同价格或者提高了工程经济效益的奖励的方法和金额为：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p w14:paraId="3A3FA839">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1229" w:name="_Toc300934997"/>
      <w:bookmarkStart w:id="1230" w:name="_Toc296346700"/>
      <w:bookmarkStart w:id="1231" w:name="_Toc297123548"/>
      <w:bookmarkStart w:id="1232" w:name="_Toc296891027"/>
      <w:bookmarkStart w:id="1233" w:name="_Toc297120499"/>
      <w:bookmarkStart w:id="1234" w:name="_Toc297048385"/>
      <w:bookmarkStart w:id="1235" w:name="_Toc296503199"/>
      <w:bookmarkStart w:id="1236" w:name="_Toc292559909"/>
      <w:bookmarkStart w:id="1237" w:name="_Toc304295574"/>
      <w:bookmarkStart w:id="1238" w:name="_Toc296347198"/>
      <w:bookmarkStart w:id="1239" w:name="_Toc303539154"/>
      <w:bookmarkStart w:id="1240" w:name="_Toc296944538"/>
      <w:bookmarkStart w:id="1241" w:name="_Toc297216207"/>
      <w:bookmarkStart w:id="1242" w:name="_Toc296891239"/>
      <w:bookmarkStart w:id="1243" w:name="_Toc312677507"/>
      <w:bookmarkStart w:id="1244" w:name="_Toc292559404"/>
      <w:bookmarkStart w:id="1245" w:name="_Toc312678033"/>
      <w:r>
        <w:rPr>
          <w:rFonts w:hint="eastAsia" w:ascii="宋体" w:hAnsi="宋体" w:eastAsia="宋体" w:cs="宋体"/>
          <w:color w:val="auto"/>
          <w:sz w:val="24"/>
          <w:szCs w:val="24"/>
          <w:highlight w:val="none"/>
        </w:rPr>
        <w:t>0.7 暂估价</w:t>
      </w:r>
    </w:p>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p w14:paraId="57D62FF3">
      <w:pPr>
        <w:spacing w:line="360" w:lineRule="auto"/>
        <w:ind w:firstLine="480" w:firstLineChars="200"/>
        <w:jc w:val="lef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暂</w:t>
      </w:r>
      <w:bookmarkStart w:id="1246" w:name="_Toc318581176"/>
      <w:bookmarkStart w:id="1247" w:name="_Toc312678034"/>
      <w:bookmarkStart w:id="1248" w:name="_Toc312677508"/>
      <w:r>
        <w:rPr>
          <w:rFonts w:hint="eastAsia" w:ascii="宋体" w:hAnsi="宋体" w:eastAsia="宋体" w:cs="宋体"/>
          <w:color w:val="auto"/>
          <w:kern w:val="0"/>
          <w:sz w:val="24"/>
          <w:szCs w:val="24"/>
          <w:highlight w:val="none"/>
        </w:rPr>
        <w:t>估价材料和工程设备的明细</w:t>
      </w:r>
      <w:r>
        <w:rPr>
          <w:rFonts w:hint="eastAsia" w:ascii="宋体" w:hAnsi="宋体" w:eastAsia="宋体" w:cs="宋体"/>
          <w:color w:val="auto"/>
          <w:kern w:val="0"/>
          <w:sz w:val="24"/>
          <w:szCs w:val="24"/>
          <w:highlight w:val="none"/>
          <w:u w:val="single"/>
        </w:rPr>
        <w:t>/。</w:t>
      </w:r>
    </w:p>
    <w:bookmarkEnd w:id="1246"/>
    <w:bookmarkEnd w:id="1247"/>
    <w:bookmarkEnd w:id="1248"/>
    <w:p w14:paraId="6B883165">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1249" w:name="_Toc318581177"/>
      <w:bookmarkStart w:id="1250" w:name="_Toc312677509"/>
      <w:bookmarkStart w:id="1251" w:name="_Toc312678035"/>
      <w:r>
        <w:rPr>
          <w:rFonts w:hint="eastAsia" w:ascii="宋体" w:hAnsi="宋体" w:eastAsia="宋体" w:cs="宋体"/>
          <w:color w:val="auto"/>
          <w:sz w:val="24"/>
          <w:szCs w:val="24"/>
          <w:highlight w:val="none"/>
        </w:rPr>
        <w:t>0.7.1 依法必须招标的暂估价项目</w:t>
      </w:r>
      <w:bookmarkEnd w:id="1249"/>
      <w:bookmarkEnd w:id="1250"/>
      <w:bookmarkEnd w:id="1251"/>
      <w:r>
        <w:rPr>
          <w:rFonts w:hint="eastAsia" w:ascii="宋体" w:hAnsi="宋体" w:eastAsia="宋体" w:cs="宋体"/>
          <w:color w:val="auto"/>
          <w:kern w:val="0"/>
          <w:sz w:val="24"/>
          <w:szCs w:val="24"/>
          <w:highlight w:val="none"/>
          <w:u w:val="single"/>
        </w:rPr>
        <w:t>/。</w:t>
      </w:r>
    </w:p>
    <w:p w14:paraId="7BD9152A">
      <w:pPr>
        <w:spacing w:line="360" w:lineRule="auto"/>
        <w:jc w:val="left"/>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10.7.2 不属于依法必须招标的暂估价项目</w:t>
      </w:r>
      <w:r>
        <w:rPr>
          <w:rFonts w:hint="eastAsia" w:ascii="宋体" w:hAnsi="宋体" w:eastAsia="宋体" w:cs="宋体"/>
          <w:color w:val="auto"/>
          <w:kern w:val="0"/>
          <w:sz w:val="24"/>
          <w:szCs w:val="24"/>
          <w:highlight w:val="none"/>
          <w:u w:val="single"/>
        </w:rPr>
        <w:t>/。</w:t>
      </w:r>
    </w:p>
    <w:p w14:paraId="485B78B0">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承包人直接实施的暂估价项目的约定：</w:t>
      </w:r>
      <w:r>
        <w:rPr>
          <w:rFonts w:hint="eastAsia" w:ascii="宋体" w:hAnsi="宋体" w:eastAsia="宋体" w:cs="宋体"/>
          <w:color w:val="auto"/>
          <w:sz w:val="24"/>
          <w:szCs w:val="24"/>
          <w:highlight w:val="none"/>
          <w:u w:val="single"/>
        </w:rPr>
        <w:t xml:space="preserve">执行通用条款          </w:t>
      </w:r>
    </w:p>
    <w:p w14:paraId="54E4060B">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 暂列金额</w:t>
      </w:r>
    </w:p>
    <w:p w14:paraId="61207892">
      <w:pPr>
        <w:autoSpaceDE w:val="0"/>
        <w:autoSpaceDN w:val="0"/>
        <w:adjustRightInd w:val="0"/>
        <w:spacing w:line="360" w:lineRule="auto"/>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合同当事人关于暂列金额使用的约定：</w:t>
      </w:r>
      <w:r>
        <w:rPr>
          <w:rFonts w:hint="eastAsia" w:ascii="宋体" w:hAnsi="宋体" w:eastAsia="宋体" w:cs="宋体"/>
          <w:color w:val="auto"/>
          <w:sz w:val="24"/>
          <w:szCs w:val="24"/>
          <w:highlight w:val="none"/>
          <w:u w:val="single"/>
        </w:rPr>
        <w:t xml:space="preserve">若发生按实际计取、不发生不计取  </w:t>
      </w:r>
      <w:r>
        <w:rPr>
          <w:rFonts w:hint="eastAsia" w:ascii="宋体" w:hAnsi="宋体" w:eastAsia="宋体" w:cs="宋体"/>
          <w:color w:val="auto"/>
          <w:kern w:val="0"/>
          <w:sz w:val="24"/>
          <w:szCs w:val="24"/>
          <w:highlight w:val="none"/>
        </w:rPr>
        <w:t>。</w:t>
      </w:r>
    </w:p>
    <w:p w14:paraId="10BACFE3">
      <w:pPr>
        <w:spacing w:after="120" w:afterLines="0" w:line="360" w:lineRule="auto"/>
        <w:outlineLvl w:val="9"/>
        <w:rPr>
          <w:rFonts w:hint="eastAsia" w:ascii="宋体" w:hAnsi="宋体" w:eastAsia="宋体" w:cs="宋体"/>
          <w:color w:val="auto"/>
          <w:sz w:val="24"/>
          <w:szCs w:val="24"/>
          <w:highlight w:val="none"/>
        </w:rPr>
      </w:pPr>
      <w:bookmarkStart w:id="1252" w:name="_Toc351203643"/>
      <w:r>
        <w:rPr>
          <w:rFonts w:hint="eastAsia" w:ascii="宋体" w:hAnsi="宋体" w:eastAsia="宋体" w:cs="宋体"/>
          <w:color w:val="auto"/>
          <w:sz w:val="24"/>
          <w:szCs w:val="24"/>
          <w:highlight w:val="none"/>
        </w:rPr>
        <w:t>11. 价格调整</w:t>
      </w:r>
      <w:bookmarkEnd w:id="1252"/>
    </w:p>
    <w:p w14:paraId="03BCEA10">
      <w:pPr>
        <w:spacing w:after="120" w:afterLines="0" w:line="360" w:lineRule="auto"/>
        <w:outlineLvl w:val="9"/>
        <w:rPr>
          <w:rFonts w:hint="eastAsia" w:ascii="宋体" w:hAnsi="宋体" w:eastAsia="宋体" w:cs="宋体"/>
          <w:color w:val="auto"/>
          <w:sz w:val="24"/>
          <w:szCs w:val="24"/>
          <w:highlight w:val="none"/>
        </w:rPr>
      </w:pPr>
      <w:bookmarkStart w:id="1253" w:name="_Toc304295577"/>
      <w:bookmarkStart w:id="1254" w:name="_Toc292559911"/>
      <w:bookmarkStart w:id="1255" w:name="_Toc297123550"/>
      <w:bookmarkStart w:id="1256" w:name="_Toc296891241"/>
      <w:bookmarkStart w:id="1257" w:name="_Toc296944540"/>
      <w:bookmarkStart w:id="1258" w:name="_Toc300935000"/>
      <w:bookmarkStart w:id="1259" w:name="_Toc296503201"/>
      <w:bookmarkStart w:id="1260" w:name="_Toc296347200"/>
      <w:bookmarkStart w:id="1261" w:name="_Toc297048387"/>
      <w:bookmarkStart w:id="1262" w:name="_Toc296346702"/>
      <w:bookmarkStart w:id="1263" w:name="_Toc297120501"/>
      <w:bookmarkStart w:id="1264" w:name="_Toc297216209"/>
      <w:bookmarkStart w:id="1265" w:name="_Toc296891029"/>
      <w:bookmarkStart w:id="1266" w:name="_Toc292559406"/>
      <w:bookmarkStart w:id="1267" w:name="_Toc312678039"/>
      <w:bookmarkStart w:id="1268" w:name="_Toc303539157"/>
      <w:r>
        <w:rPr>
          <w:rFonts w:hint="eastAsia" w:ascii="宋体" w:hAnsi="宋体" w:eastAsia="宋体" w:cs="宋体"/>
          <w:color w:val="auto"/>
          <w:sz w:val="24"/>
          <w:szCs w:val="24"/>
          <w:highlight w:val="none"/>
        </w:rPr>
        <w:t>11.1 市场价格波动引起的调整</w:t>
      </w:r>
    </w:p>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p w14:paraId="626FBB13">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市场价格波动是否调整合同价格的约定：</w:t>
      </w:r>
      <w:r>
        <w:rPr>
          <w:rFonts w:hint="eastAsia" w:ascii="宋体" w:hAnsi="宋体" w:eastAsia="宋体" w:cs="宋体"/>
          <w:color w:val="auto"/>
          <w:kern w:val="0"/>
          <w:sz w:val="24"/>
          <w:szCs w:val="24"/>
          <w:highlight w:val="none"/>
          <w:u w:val="single"/>
        </w:rPr>
        <w:t>市场价格波动超过合同当事人约定的范围，合同价格予以调整</w:t>
      </w:r>
      <w:r>
        <w:rPr>
          <w:rFonts w:hint="eastAsia" w:ascii="宋体" w:hAnsi="宋体" w:eastAsia="宋体" w:cs="宋体"/>
          <w:color w:val="auto"/>
          <w:sz w:val="24"/>
          <w:szCs w:val="24"/>
          <w:highlight w:val="none"/>
        </w:rPr>
        <w:t>。</w:t>
      </w:r>
    </w:p>
    <w:p w14:paraId="35752813">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因市场价格波动调整合同价格，采用以下第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种方式对合同价格进行调整：</w:t>
      </w:r>
    </w:p>
    <w:p w14:paraId="5915025A">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第1种方式：采用价格指数进行价格调整。</w:t>
      </w:r>
    </w:p>
    <w:p w14:paraId="129147DB">
      <w:pPr>
        <w:spacing w:line="360" w:lineRule="auto"/>
        <w:ind w:firstLine="480" w:firstLineChars="200"/>
        <w:jc w:val="lef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关于各可调因子、定值和变值权重，以及基本价格指数及其来源的约定：</w:t>
      </w:r>
      <w:r>
        <w:rPr>
          <w:rFonts w:hint="eastAsia" w:ascii="宋体" w:hAnsi="宋体" w:eastAsia="宋体" w:cs="宋体"/>
          <w:color w:val="auto"/>
          <w:sz w:val="24"/>
          <w:szCs w:val="24"/>
          <w:highlight w:val="none"/>
          <w:u w:val="single"/>
        </w:rPr>
        <w:t xml:space="preserve">无      </w:t>
      </w:r>
      <w:r>
        <w:rPr>
          <w:rFonts w:hint="eastAsia" w:ascii="宋体" w:hAnsi="宋体" w:eastAsia="宋体" w:cs="宋体"/>
          <w:color w:val="auto"/>
          <w:sz w:val="24"/>
          <w:szCs w:val="24"/>
          <w:highlight w:val="none"/>
        </w:rPr>
        <w:t>；</w:t>
      </w:r>
    </w:p>
    <w:p w14:paraId="4A4B9404">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第2种方式：采用造价信息进行价格调整。</w:t>
      </w:r>
    </w:p>
    <w:p w14:paraId="12E730D7">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（2）关于基准价格的约定：</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2615404D">
      <w:pPr>
        <w:spacing w:line="360" w:lineRule="auto"/>
        <w:ind w:firstLine="480" w:firstLineChars="200"/>
        <w:jc w:val="left"/>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专用合同条款</w:t>
      </w:r>
      <w:r>
        <w:rPr>
          <w:rFonts w:hint="eastAsia" w:ascii="宋体" w:hAnsi="宋体" w:eastAsia="宋体" w:cs="宋体"/>
          <w:color w:val="auto"/>
          <w:sz w:val="24"/>
          <w:szCs w:val="24"/>
          <w:highlight w:val="none"/>
          <w:u w:val="none"/>
          <w:lang w:eastAsia="zh-CN"/>
        </w:rPr>
        <w:t>①</w:t>
      </w:r>
      <w:r>
        <w:rPr>
          <w:rFonts w:hint="eastAsia" w:ascii="宋体" w:hAnsi="宋体" w:eastAsia="宋体" w:cs="宋体"/>
          <w:color w:val="auto"/>
          <w:sz w:val="24"/>
          <w:szCs w:val="24"/>
          <w:highlight w:val="none"/>
          <w:u w:val="none"/>
        </w:rPr>
        <w:t>承包人在已标价工程量清单或预算书中载明的材料单价低于基准价格的：专用合同条款合同履行期间材料单价涨幅以基准价格为基础超过5%时，或材料单价跌幅以已标价工程量清单或预算书中载明材料单价为基础超过5%时，其超过部分据实调整。</w:t>
      </w:r>
    </w:p>
    <w:p w14:paraId="0F25F999">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②</w:t>
      </w:r>
      <w:r>
        <w:rPr>
          <w:rFonts w:hint="eastAsia" w:ascii="宋体" w:hAnsi="宋体" w:eastAsia="宋体" w:cs="宋体"/>
          <w:color w:val="auto"/>
          <w:sz w:val="24"/>
          <w:szCs w:val="24"/>
          <w:highlight w:val="none"/>
        </w:rPr>
        <w:t>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5  </w:t>
      </w:r>
      <w:r>
        <w:rPr>
          <w:rFonts w:hint="eastAsia" w:ascii="宋体" w:hAnsi="宋体" w:eastAsia="宋体" w:cs="宋体"/>
          <w:color w:val="auto"/>
          <w:sz w:val="24"/>
          <w:szCs w:val="24"/>
          <w:highlight w:val="none"/>
        </w:rPr>
        <w:t>%时，材料单价涨幅以已标价工程量清单或预算书中载明材料单价为基础超过</w:t>
      </w:r>
      <w:r>
        <w:rPr>
          <w:rFonts w:hint="eastAsia" w:ascii="宋体" w:hAnsi="宋体" w:eastAsia="宋体" w:cs="宋体"/>
          <w:color w:val="auto"/>
          <w:sz w:val="24"/>
          <w:szCs w:val="24"/>
          <w:highlight w:val="none"/>
          <w:u w:val="single"/>
        </w:rPr>
        <w:t xml:space="preserve">  5</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%时，其超过部分据实调整。</w:t>
      </w:r>
    </w:p>
    <w:p w14:paraId="67197951">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③</w:t>
      </w:r>
      <w:r>
        <w:rPr>
          <w:rFonts w:hint="eastAsia" w:ascii="宋体" w:hAnsi="宋体" w:eastAsia="宋体" w:cs="宋体"/>
          <w:color w:val="auto"/>
          <w:sz w:val="24"/>
          <w:szCs w:val="24"/>
          <w:highlight w:val="none"/>
        </w:rPr>
        <w:t>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5  </w:t>
      </w:r>
      <w:r>
        <w:rPr>
          <w:rFonts w:hint="eastAsia" w:ascii="宋体" w:hAnsi="宋体" w:eastAsia="宋体" w:cs="宋体"/>
          <w:color w:val="auto"/>
          <w:sz w:val="24"/>
          <w:szCs w:val="24"/>
          <w:highlight w:val="none"/>
        </w:rPr>
        <w:t>%时，其超过部分据实调整。</w:t>
      </w:r>
    </w:p>
    <w:p w14:paraId="56E96E81">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第3种方式：其他价格调整方式：</w:t>
      </w:r>
      <w:r>
        <w:rPr>
          <w:rFonts w:hint="eastAsia" w:ascii="宋体" w:hAnsi="宋体" w:eastAsia="宋体" w:cs="宋体"/>
          <w:color w:val="auto"/>
          <w:sz w:val="24"/>
          <w:szCs w:val="24"/>
          <w:highlight w:val="none"/>
          <w:u w:val="single"/>
        </w:rPr>
        <w:t xml:space="preserve"> 按合同工期平均信息价调整    </w:t>
      </w:r>
      <w:r>
        <w:rPr>
          <w:rFonts w:hint="eastAsia" w:ascii="宋体" w:hAnsi="宋体" w:eastAsia="宋体" w:cs="宋体"/>
          <w:color w:val="auto"/>
          <w:sz w:val="24"/>
          <w:szCs w:val="24"/>
          <w:highlight w:val="none"/>
        </w:rPr>
        <w:t>。</w:t>
      </w:r>
    </w:p>
    <w:bookmarkEnd w:id="1156"/>
    <w:bookmarkEnd w:id="1157"/>
    <w:bookmarkEnd w:id="1158"/>
    <w:bookmarkEnd w:id="1159"/>
    <w:bookmarkEnd w:id="1160"/>
    <w:bookmarkEnd w:id="1161"/>
    <w:p w14:paraId="68DC3F07">
      <w:pPr>
        <w:spacing w:after="120" w:afterLines="0" w:line="360" w:lineRule="auto"/>
        <w:outlineLvl w:val="9"/>
        <w:rPr>
          <w:rFonts w:hint="eastAsia" w:ascii="宋体" w:hAnsi="宋体" w:eastAsia="宋体" w:cs="宋体"/>
          <w:color w:val="auto"/>
          <w:sz w:val="24"/>
          <w:szCs w:val="24"/>
          <w:highlight w:val="none"/>
        </w:rPr>
      </w:pPr>
      <w:bookmarkStart w:id="1269" w:name="_Toc297048391"/>
      <w:bookmarkStart w:id="1270" w:name="_Toc296503205"/>
      <w:bookmarkStart w:id="1271" w:name="_Toc296944544"/>
      <w:bookmarkStart w:id="1272" w:name="_Toc292559915"/>
      <w:bookmarkStart w:id="1273" w:name="_Toc292559410"/>
      <w:bookmarkStart w:id="1274" w:name="_Toc296346706"/>
      <w:bookmarkStart w:id="1275" w:name="_Toc297120505"/>
      <w:bookmarkStart w:id="1276" w:name="_Toc296891245"/>
      <w:bookmarkStart w:id="1277" w:name="_Toc296891033"/>
      <w:bookmarkStart w:id="1278" w:name="_Toc296347204"/>
      <w:bookmarkStart w:id="1279" w:name="_Toc351203644"/>
      <w:bookmarkStart w:id="1280" w:name="_Toc312678040"/>
      <w:bookmarkStart w:id="1281" w:name="_Toc300935002"/>
      <w:bookmarkStart w:id="1282" w:name="_Toc303539159"/>
      <w:bookmarkStart w:id="1283" w:name="_Toc304295579"/>
      <w:bookmarkStart w:id="1284" w:name="_Toc297216211"/>
      <w:bookmarkStart w:id="1285" w:name="_Toc297123552"/>
      <w:r>
        <w:rPr>
          <w:rFonts w:hint="eastAsia" w:ascii="宋体" w:hAnsi="宋体" w:eastAsia="宋体" w:cs="宋体"/>
          <w:color w:val="auto"/>
          <w:sz w:val="24"/>
          <w:szCs w:val="24"/>
          <w:highlight w:val="none"/>
        </w:rPr>
        <w:t xml:space="preserve">12. </w:t>
      </w:r>
      <w:bookmarkEnd w:id="1269"/>
      <w:bookmarkEnd w:id="1270"/>
      <w:bookmarkEnd w:id="1271"/>
      <w:bookmarkEnd w:id="1272"/>
      <w:bookmarkEnd w:id="1273"/>
      <w:bookmarkEnd w:id="1274"/>
      <w:bookmarkEnd w:id="1275"/>
      <w:bookmarkEnd w:id="1276"/>
      <w:bookmarkEnd w:id="1277"/>
      <w:bookmarkEnd w:id="1278"/>
      <w:r>
        <w:rPr>
          <w:rFonts w:hint="eastAsia" w:ascii="宋体" w:hAnsi="宋体" w:eastAsia="宋体" w:cs="宋体"/>
          <w:color w:val="auto"/>
          <w:sz w:val="24"/>
          <w:szCs w:val="24"/>
          <w:highlight w:val="none"/>
        </w:rPr>
        <w:t>合同价格、计量与支付</w:t>
      </w:r>
      <w:bookmarkEnd w:id="1279"/>
    </w:p>
    <w:bookmarkEnd w:id="1280"/>
    <w:bookmarkEnd w:id="1281"/>
    <w:bookmarkEnd w:id="1282"/>
    <w:bookmarkEnd w:id="1283"/>
    <w:bookmarkEnd w:id="1284"/>
    <w:bookmarkEnd w:id="1285"/>
    <w:p w14:paraId="740A5775">
      <w:pPr>
        <w:spacing w:after="120" w:afterLines="0" w:line="360" w:lineRule="auto"/>
        <w:outlineLvl w:val="9"/>
        <w:rPr>
          <w:rFonts w:hint="eastAsia" w:ascii="宋体" w:hAnsi="宋体" w:eastAsia="宋体" w:cs="宋体"/>
          <w:color w:val="auto"/>
          <w:sz w:val="24"/>
          <w:szCs w:val="24"/>
          <w:highlight w:val="none"/>
        </w:rPr>
      </w:pPr>
      <w:bookmarkStart w:id="1286" w:name="_Toc267251461"/>
      <w:bookmarkStart w:id="1287" w:name="_Toc292559916"/>
      <w:bookmarkStart w:id="1288" w:name="_Toc292559411"/>
      <w:bookmarkStart w:id="1289" w:name="_Toc296346707"/>
      <w:bookmarkStart w:id="1290" w:name="_Toc296347205"/>
      <w:bookmarkStart w:id="1291" w:name="_Toc296891034"/>
      <w:bookmarkStart w:id="1292" w:name="_Toc297048392"/>
      <w:bookmarkStart w:id="1293" w:name="_Toc296944545"/>
      <w:bookmarkStart w:id="1294" w:name="_Toc296503206"/>
      <w:bookmarkStart w:id="1295" w:name="_Toc296891246"/>
      <w:bookmarkStart w:id="1296" w:name="_Toc297120506"/>
      <w:bookmarkStart w:id="1297" w:name="_Toc297123553"/>
      <w:bookmarkStart w:id="1298" w:name="_Toc300935003"/>
      <w:bookmarkStart w:id="1299" w:name="_Toc297216212"/>
      <w:bookmarkStart w:id="1300" w:name="_Toc304295580"/>
      <w:bookmarkStart w:id="1301" w:name="_Toc312678041"/>
      <w:bookmarkStart w:id="1302" w:name="_Toc303539160"/>
      <w:r>
        <w:rPr>
          <w:rFonts w:hint="eastAsia" w:ascii="宋体" w:hAnsi="宋体" w:eastAsia="宋体" w:cs="宋体"/>
          <w:color w:val="auto"/>
          <w:sz w:val="24"/>
          <w:szCs w:val="24"/>
          <w:highlight w:val="none"/>
        </w:rPr>
        <w:t>12.1 合</w:t>
      </w:r>
      <w:bookmarkEnd w:id="1286"/>
      <w:bookmarkEnd w:id="1287"/>
      <w:bookmarkEnd w:id="1288"/>
      <w:r>
        <w:rPr>
          <w:rFonts w:hint="eastAsia" w:ascii="宋体" w:hAnsi="宋体" w:eastAsia="宋体" w:cs="宋体"/>
          <w:color w:val="auto"/>
          <w:sz w:val="24"/>
          <w:szCs w:val="24"/>
          <w:highlight w:val="none"/>
        </w:rPr>
        <w:t>同价</w:t>
      </w:r>
      <w:bookmarkEnd w:id="1289"/>
      <w:bookmarkEnd w:id="1290"/>
      <w:bookmarkEnd w:id="1291"/>
      <w:bookmarkEnd w:id="1292"/>
      <w:bookmarkEnd w:id="1293"/>
      <w:bookmarkEnd w:id="1294"/>
      <w:bookmarkEnd w:id="1295"/>
      <w:bookmarkEnd w:id="1296"/>
      <w:r>
        <w:rPr>
          <w:rFonts w:hint="eastAsia" w:ascii="宋体" w:hAnsi="宋体" w:eastAsia="宋体" w:cs="宋体"/>
          <w:color w:val="auto"/>
          <w:sz w:val="24"/>
          <w:szCs w:val="24"/>
          <w:highlight w:val="none"/>
        </w:rPr>
        <w:t>格形式</w:t>
      </w:r>
    </w:p>
    <w:bookmarkEnd w:id="1297"/>
    <w:bookmarkEnd w:id="1298"/>
    <w:bookmarkEnd w:id="1299"/>
    <w:bookmarkEnd w:id="1300"/>
    <w:bookmarkEnd w:id="1301"/>
    <w:bookmarkEnd w:id="1302"/>
    <w:p w14:paraId="3B8F5D17">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1、单价合同。</w:t>
      </w:r>
    </w:p>
    <w:p w14:paraId="662D94DB">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综合单价包含的风险范围：</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u w:val="single"/>
        </w:rPr>
        <w:t>。</w:t>
      </w:r>
    </w:p>
    <w:p w14:paraId="6F7FA578">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风险费用的计算方法：</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224353F">
      <w:pPr>
        <w:spacing w:line="360" w:lineRule="auto"/>
        <w:jc w:val="lef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风险范围以外合同价格的调整方法：</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p>
    <w:p w14:paraId="2BB102C6">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A、因法律变化引起的调整按通用条款11.2执行；</w:t>
      </w:r>
    </w:p>
    <w:p w14:paraId="443686D2">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B、因市场价格波动引起的调整按11.1款（市场价格波动引起的调整）约定执行。</w:t>
      </w:r>
    </w:p>
    <w:p w14:paraId="06B9023F">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C、单价的调整</w:t>
      </w:r>
    </w:p>
    <w:p w14:paraId="1C37C315">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1）发包人提供的工程量清单有数量误差，或设计变更引起工程量数量增减，在本款下述约定的幅度内执行合同原有的价格；</w:t>
      </w:r>
    </w:p>
    <w:p w14:paraId="21A6E428">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凡合价金额占合同总价2%及以上的分部分项工程量清单项目，其工程量增加或减少超过本项目工程量15%及以上时，其增加部分工程量或减少后剩余部分工程量的相应的综合单价由承包人参考投标时所采用的计价依据提出适当单价，经发包人审定后，作为结算依据。</w:t>
      </w:r>
    </w:p>
    <w:p w14:paraId="5001073F">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2）发包人提供的工程量清单项目漏项，或变更引起新的工程项目，其相应单价确定方法为：</w:t>
      </w:r>
    </w:p>
    <w:p w14:paraId="62D274CC">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eq \o\ac(</w:instrText>
      </w:r>
      <w:r>
        <w:rPr>
          <w:rFonts w:hint="eastAsia" w:ascii="宋体" w:hAnsi="宋体" w:eastAsia="宋体" w:cs="宋体"/>
          <w:color w:val="auto"/>
          <w:position w:val="-4"/>
          <w:sz w:val="36"/>
          <w:szCs w:val="24"/>
          <w:highlight w:val="none"/>
        </w:rPr>
        <w:instrText xml:space="preserve">○</w:instrText>
      </w:r>
      <w:r>
        <w:rPr>
          <w:rFonts w:hint="eastAsia" w:ascii="宋体" w:hAnsi="宋体" w:eastAsia="宋体" w:cs="宋体"/>
          <w:color w:val="auto"/>
          <w:position w:val="0"/>
          <w:sz w:val="24"/>
          <w:szCs w:val="24"/>
          <w:highlight w:val="none"/>
        </w:rPr>
        <w:instrText xml:space="preserve">,1)</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已标价工程量清单或预算书有相同项目的，按照相同项目单价认定；</w:t>
      </w:r>
    </w:p>
    <w:p w14:paraId="2FF098FF">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eq \o\ac(</w:instrText>
      </w:r>
      <w:r>
        <w:rPr>
          <w:rFonts w:hint="eastAsia" w:ascii="宋体" w:hAnsi="宋体" w:eastAsia="宋体" w:cs="宋体"/>
          <w:color w:val="auto"/>
          <w:position w:val="-4"/>
          <w:sz w:val="36"/>
          <w:szCs w:val="24"/>
          <w:highlight w:val="none"/>
        </w:rPr>
        <w:instrText xml:space="preserve">○</w:instrText>
      </w:r>
      <w:r>
        <w:rPr>
          <w:rFonts w:hint="eastAsia" w:ascii="宋体" w:hAnsi="宋体" w:eastAsia="宋体" w:cs="宋体"/>
          <w:color w:val="auto"/>
          <w:position w:val="0"/>
          <w:sz w:val="24"/>
          <w:szCs w:val="24"/>
          <w:highlight w:val="none"/>
        </w:rPr>
        <w:instrText xml:space="preserve">,2)</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已标价工程量清单或预算书中无相同项目，但有类似项目的，参照类似项目的单价认定：</w:t>
      </w:r>
    </w:p>
    <w:p w14:paraId="2FE02CE3">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（a）某种材料（或半成品及成品）等级、标准变化时清单组合子目不变，仅调整不同材料价格；</w:t>
      </w:r>
    </w:p>
    <w:p w14:paraId="793F63E7">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（b）清单项目某一特征或工程内容变化，不影响其他特征及工作内容价格的，其他特征组合标准不变，仅调整发生变化的组合子目价格：</w:t>
      </w:r>
    </w:p>
    <w:p w14:paraId="0C22CE66">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③合同中没有类似工程项目单价的，由承包人参考投标时所采用的计价依据提出适当单价，经发包人确认后执行。</w:t>
      </w:r>
    </w:p>
    <w:p w14:paraId="5DB72914">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施工图纸或设计变更与工程量项目特征描述不符时，发承包双方应按新的项目特征确定相应工程量清单项目的综合单价。</w:t>
      </w:r>
    </w:p>
    <w:p w14:paraId="2A620849">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D、措施项目费调整</w:t>
      </w:r>
    </w:p>
    <w:p w14:paraId="107EC86D">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部分项工程量清单漏项或非承包人原因的工程变更，造成施工组织设计或施工方案变更，以及分部分项工程量变化，引起措施项目数量、内容发生变化，应调整措施项目费。原措施费中已有的措施项目，按原措施费的组价方法调整；原措施中没有的措施项目，由承包人根据措施项目变更情况，提出适当的措施费变更要求，经发包人确认后调整。</w:t>
      </w:r>
    </w:p>
    <w:p w14:paraId="7EDD3E0D">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（1）采用综合单价计价的措施项目，参考上述C款的规定，依据承发包双方确认的工程量和综合单价计算。</w:t>
      </w:r>
    </w:p>
    <w:p w14:paraId="3FA83360">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（2）采用以“项”计价的措施项目，应依据合同约定的措施项目金额和承发包双方确认调整后的措施费金额计算。</w:t>
      </w:r>
    </w:p>
    <w:p w14:paraId="7625DDF8">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w:t>
      </w:r>
    </w:p>
    <w:p w14:paraId="1DD3F23C">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总价包含的风险范围：</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99E0F0E">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风险费用的计算方法：</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06B3A53F">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风险范围以外合同价格的调整方法：</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2F09305">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3、其他价格方式：</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057FC76C">
      <w:pPr>
        <w:spacing w:after="120" w:afterLines="0" w:line="360" w:lineRule="auto"/>
        <w:outlineLvl w:val="9"/>
        <w:rPr>
          <w:rFonts w:hint="eastAsia" w:ascii="宋体" w:hAnsi="宋体" w:eastAsia="宋体" w:cs="宋体"/>
          <w:color w:val="auto"/>
          <w:sz w:val="24"/>
          <w:szCs w:val="24"/>
          <w:highlight w:val="none"/>
        </w:rPr>
      </w:pPr>
      <w:bookmarkStart w:id="1303" w:name="_Toc312678042"/>
      <w:bookmarkStart w:id="1304" w:name="_Toc304295581"/>
      <w:bookmarkStart w:id="1305" w:name="_Toc297123554"/>
      <w:bookmarkStart w:id="1306" w:name="_Toc303539161"/>
      <w:bookmarkStart w:id="1307" w:name="_Toc297216213"/>
      <w:bookmarkStart w:id="1308" w:name="_Toc300935004"/>
      <w:bookmarkStart w:id="1309" w:name="_Toc297120507"/>
      <w:bookmarkStart w:id="1310" w:name="_Toc292559412"/>
      <w:bookmarkStart w:id="1311" w:name="_Toc296891035"/>
      <w:bookmarkStart w:id="1312" w:name="_Toc296346708"/>
      <w:bookmarkStart w:id="1313" w:name="_Toc296891247"/>
      <w:bookmarkStart w:id="1314" w:name="_Toc296347206"/>
      <w:bookmarkStart w:id="1315" w:name="_Toc296944546"/>
      <w:bookmarkStart w:id="1316" w:name="_Toc297048393"/>
      <w:bookmarkStart w:id="1317" w:name="_Toc292559917"/>
      <w:bookmarkStart w:id="1318" w:name="_Toc296503207"/>
      <w:r>
        <w:rPr>
          <w:rFonts w:hint="eastAsia" w:ascii="宋体" w:hAnsi="宋体" w:eastAsia="宋体" w:cs="宋体"/>
          <w:color w:val="auto"/>
          <w:sz w:val="24"/>
          <w:szCs w:val="24"/>
          <w:highlight w:val="none"/>
        </w:rPr>
        <w:t>12.2 预付款</w:t>
      </w:r>
    </w:p>
    <w:bookmarkEnd w:id="1303"/>
    <w:bookmarkEnd w:id="1304"/>
    <w:bookmarkEnd w:id="1305"/>
    <w:bookmarkEnd w:id="1306"/>
    <w:bookmarkEnd w:id="1307"/>
    <w:bookmarkEnd w:id="1308"/>
    <w:p w14:paraId="49F4CFBA">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12.2.1 预付款的支付</w:t>
      </w:r>
    </w:p>
    <w:p w14:paraId="721D48D4">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预付款支付比例或金额：</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1C4D88C">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预付款支付期限：</w:t>
      </w:r>
      <w:r>
        <w:rPr>
          <w:rFonts w:hint="eastAsia" w:ascii="宋体" w:hAnsi="宋体" w:eastAsia="宋体" w:cs="宋体"/>
          <w:color w:val="auto"/>
          <w:sz w:val="24"/>
          <w:szCs w:val="24"/>
          <w:highlight w:val="none"/>
          <w:u w:val="single"/>
        </w:rPr>
        <w:t xml:space="preserve"> 合同签定并取得开工报告7日内 </w:t>
      </w:r>
      <w:r>
        <w:rPr>
          <w:rFonts w:hint="eastAsia" w:ascii="宋体" w:hAnsi="宋体" w:eastAsia="宋体" w:cs="宋体"/>
          <w:color w:val="auto"/>
          <w:sz w:val="24"/>
          <w:szCs w:val="24"/>
          <w:highlight w:val="none"/>
        </w:rPr>
        <w:t>。</w:t>
      </w:r>
    </w:p>
    <w:p w14:paraId="000F64F6">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预付款扣回的方式：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4B19FABA">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12.2.2 预付款担保</w:t>
      </w:r>
    </w:p>
    <w:p w14:paraId="09629713">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承包人提交预付款担保的期限：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424F8A3">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预付款担保的形式为：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bookmarkEnd w:id="1309"/>
    <w:bookmarkEnd w:id="1310"/>
    <w:bookmarkEnd w:id="1311"/>
    <w:bookmarkEnd w:id="1312"/>
    <w:bookmarkEnd w:id="1313"/>
    <w:bookmarkEnd w:id="1314"/>
    <w:bookmarkEnd w:id="1315"/>
    <w:bookmarkEnd w:id="1316"/>
    <w:bookmarkEnd w:id="1317"/>
    <w:bookmarkEnd w:id="1318"/>
    <w:p w14:paraId="35458CB5">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计量</w:t>
      </w:r>
    </w:p>
    <w:p w14:paraId="690B2BF1">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12.3.1 计量原则</w:t>
      </w:r>
    </w:p>
    <w:p w14:paraId="15F3B43E">
      <w:pPr>
        <w:spacing w:line="360" w:lineRule="auto"/>
        <w:ind w:firstLine="480" w:firstLineChars="200"/>
        <w:jc w:val="left"/>
        <w:outlineLvl w:val="9"/>
        <w:rPr>
          <w:rFonts w:hint="eastAsia" w:ascii="宋体" w:hAnsi="宋体" w:eastAsia="宋体" w:cs="宋体"/>
          <w:color w:val="auto"/>
          <w:sz w:val="24"/>
          <w:szCs w:val="24"/>
          <w:highlight w:val="none"/>
          <w:u w:val="single" w:color="auto"/>
        </w:rPr>
      </w:pPr>
      <w:r>
        <w:rPr>
          <w:rFonts w:hint="eastAsia" w:ascii="宋体" w:hAnsi="宋体" w:eastAsia="宋体" w:cs="宋体"/>
          <w:color w:val="auto"/>
          <w:sz w:val="24"/>
          <w:szCs w:val="24"/>
          <w:highlight w:val="none"/>
        </w:rPr>
        <w:t>工程量计算规则</w:t>
      </w:r>
      <w:r>
        <w:rPr>
          <w:rFonts w:hint="eastAsia" w:ascii="宋体" w:hAnsi="宋体" w:eastAsia="宋体" w:cs="宋体"/>
          <w:color w:val="auto"/>
          <w:sz w:val="24"/>
          <w:szCs w:val="24"/>
          <w:highlight w:val="none"/>
          <w:u w:val="single" w:color="auto"/>
        </w:rPr>
        <w:t>：。</w:t>
      </w:r>
    </w:p>
    <w:p w14:paraId="0D0B16A0">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12.3.2 计量周期</w:t>
      </w:r>
    </w:p>
    <w:p w14:paraId="697A310C">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关于计量周期的约定：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工程量按月进行计量    </w:t>
      </w:r>
      <w:r>
        <w:rPr>
          <w:rFonts w:hint="eastAsia" w:ascii="宋体" w:hAnsi="宋体" w:eastAsia="宋体" w:cs="宋体"/>
          <w:color w:val="auto"/>
          <w:sz w:val="24"/>
          <w:szCs w:val="24"/>
          <w:highlight w:val="none"/>
        </w:rPr>
        <w:t>。</w:t>
      </w:r>
    </w:p>
    <w:p w14:paraId="5BB59F24">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12.3.3 单价合同的计量</w:t>
      </w:r>
    </w:p>
    <w:p w14:paraId="7F0C7C51">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关于单价合同计量的约定：</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56DD6B0A">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12.3.4 总价合同的计量</w:t>
      </w:r>
    </w:p>
    <w:p w14:paraId="321481C2">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关于总价合同计量的约定：</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6246D69F">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12.3.5总价合同采用支付分解表计量支付的，是否适用第</w:t>
      </w:r>
      <w:r>
        <w:rPr>
          <w:rFonts w:hint="eastAsia" w:ascii="宋体" w:hAnsi="宋体" w:eastAsia="宋体" w:cs="宋体"/>
          <w:color w:val="auto"/>
          <w:kern w:val="0"/>
          <w:sz w:val="24"/>
          <w:szCs w:val="24"/>
          <w:highlight w:val="none"/>
        </w:rPr>
        <w:t xml:space="preserve">12.3.4 </w:t>
      </w:r>
      <w:r>
        <w:rPr>
          <w:rFonts w:hint="eastAsia" w:ascii="宋体" w:hAnsi="宋体" w:eastAsia="宋体" w:cs="宋体"/>
          <w:color w:val="auto"/>
          <w:sz w:val="24"/>
          <w:szCs w:val="24"/>
          <w:highlight w:val="none"/>
        </w:rPr>
        <w:t>项</w:t>
      </w:r>
      <w:r>
        <w:rPr>
          <w:rFonts w:hint="eastAsia" w:ascii="宋体" w:hAnsi="宋体" w:eastAsia="宋体" w:cs="宋体"/>
          <w:color w:val="auto"/>
          <w:kern w:val="0"/>
          <w:sz w:val="24"/>
          <w:szCs w:val="24"/>
          <w:highlight w:val="none"/>
        </w:rPr>
        <w:t>〔总价合同的计量〕</w:t>
      </w:r>
      <w:r>
        <w:rPr>
          <w:rFonts w:hint="eastAsia" w:ascii="宋体" w:hAnsi="宋体" w:eastAsia="宋体" w:cs="宋体"/>
          <w:color w:val="auto"/>
          <w:sz w:val="24"/>
          <w:szCs w:val="24"/>
          <w:highlight w:val="none"/>
        </w:rPr>
        <w:t>约定进行计量：</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419288A5">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12.3.6 其他价格形式合同的计量</w:t>
      </w:r>
    </w:p>
    <w:p w14:paraId="242865CE">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其他价格形式的计量方式和程序：</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79AAB45D">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 工程进度款支付</w:t>
      </w:r>
    </w:p>
    <w:p w14:paraId="00EFC266">
      <w:pPr>
        <w:spacing w:line="360" w:lineRule="auto"/>
        <w:jc w:val="left"/>
        <w:outlineLvl w:val="9"/>
        <w:rPr>
          <w:rFonts w:hint="eastAsia" w:ascii="宋体" w:hAnsi="宋体" w:eastAsia="宋体" w:cs="宋体"/>
          <w:color w:val="auto"/>
          <w:sz w:val="24"/>
          <w:szCs w:val="24"/>
          <w:highlight w:val="none"/>
        </w:rPr>
      </w:pPr>
      <w:bookmarkStart w:id="1319" w:name="_Toc300935006"/>
      <w:bookmarkStart w:id="1320" w:name="_Toc303539163"/>
      <w:bookmarkStart w:id="1321" w:name="_Toc296503211"/>
      <w:bookmarkStart w:id="1322" w:name="_Toc297048397"/>
      <w:bookmarkStart w:id="1323" w:name="_Toc296944550"/>
      <w:bookmarkStart w:id="1324" w:name="_Toc292559416"/>
      <w:bookmarkStart w:id="1325" w:name="_Toc297216215"/>
      <w:bookmarkStart w:id="1326" w:name="_Toc296347210"/>
      <w:bookmarkStart w:id="1327" w:name="_Toc296891039"/>
      <w:bookmarkStart w:id="1328" w:name="_Toc297120511"/>
      <w:bookmarkStart w:id="1329" w:name="_Toc292559921"/>
      <w:bookmarkStart w:id="1330" w:name="_Toc296891251"/>
      <w:bookmarkStart w:id="1331" w:name="_Toc297123556"/>
      <w:bookmarkStart w:id="1332" w:name="_Toc296346712"/>
      <w:r>
        <w:rPr>
          <w:rFonts w:hint="eastAsia" w:ascii="宋体" w:hAnsi="宋体" w:eastAsia="宋体" w:cs="宋体"/>
          <w:color w:val="auto"/>
          <w:sz w:val="24"/>
          <w:szCs w:val="24"/>
          <w:highlight w:val="none"/>
        </w:rPr>
        <w:t>12.4.1 付款周期</w:t>
      </w:r>
    </w:p>
    <w:p w14:paraId="4E2EE598">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关于付款周期的约定：</w:t>
      </w:r>
      <w:r>
        <w:rPr>
          <w:rFonts w:hint="eastAsia" w:ascii="宋体" w:hAnsi="宋体" w:eastAsia="宋体" w:cs="宋体"/>
          <w:color w:val="auto"/>
          <w:sz w:val="24"/>
          <w:szCs w:val="24"/>
          <w:highlight w:val="none"/>
          <w:u w:val="single"/>
          <w:lang w:val="en-US" w:eastAsia="zh-CN"/>
        </w:rPr>
        <w:t>合同签订后支付30%工程预付款，工程进度款按照工程进度支付，最多支付至90%，剩余10％待项目竣工验收结算完成后按照审定金额支付剩余尾款。</w:t>
      </w:r>
    </w:p>
    <w:p w14:paraId="7F43F035">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12.4.2 进度付款申请单的编制</w:t>
      </w:r>
    </w:p>
    <w:p w14:paraId="11F1609E">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关于进度付款申请单编制的约定：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执行通用条款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D10A4AE">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r>
        <w:rPr>
          <w:rFonts w:hint="eastAsia" w:ascii="宋体" w:hAnsi="宋体" w:eastAsia="宋体" w:cs="宋体"/>
          <w:color w:val="auto"/>
          <w:sz w:val="24"/>
          <w:szCs w:val="24"/>
          <w:highlight w:val="none"/>
        </w:rPr>
        <w:t>2.4.3 进度付款申请单的提交</w:t>
      </w:r>
    </w:p>
    <w:p w14:paraId="2E2E5B28">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（1）单价合同进度付款申请单提交的约定：</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sz w:val="24"/>
          <w:szCs w:val="24"/>
          <w:highlight w:val="none"/>
        </w:rPr>
        <w:t>。</w:t>
      </w:r>
    </w:p>
    <w:p w14:paraId="425428DE">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（2）总价合同进度付款申请单提交的约定：</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0B7D9BF9">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（3）其他价格形式合同进度付款申请单提交的约定：</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76961F59">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12.4.4 进度款审核和支付</w:t>
      </w:r>
    </w:p>
    <w:p w14:paraId="1584ABD0">
      <w:pPr>
        <w:spacing w:line="360" w:lineRule="auto"/>
        <w:ind w:firstLine="480" w:firstLineChars="200"/>
        <w:jc w:val="lef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（1）监理人审查并报送发包人的期限：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bidi="ar-SA"/>
        </w:rPr>
        <w:t>执行通用条款</w:t>
      </w:r>
      <w:r>
        <w:rPr>
          <w:rFonts w:hint="eastAsia" w:ascii="宋体" w:hAnsi="宋体" w:eastAsia="宋体" w:cs="宋体"/>
          <w:color w:val="auto"/>
          <w:sz w:val="24"/>
          <w:szCs w:val="24"/>
          <w:highlight w:val="none"/>
        </w:rPr>
        <w:t>。</w:t>
      </w:r>
    </w:p>
    <w:p w14:paraId="77E5202E">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发包人完成审批并签发进度款支付证书的期限：</w:t>
      </w:r>
      <w:r>
        <w:rPr>
          <w:rFonts w:hint="eastAsia" w:ascii="宋体" w:hAnsi="宋体" w:eastAsia="宋体" w:cs="宋体"/>
          <w:color w:val="auto"/>
          <w:kern w:val="2"/>
          <w:sz w:val="24"/>
          <w:szCs w:val="24"/>
          <w:highlight w:val="none"/>
          <w:u w:val="single"/>
          <w:lang w:val="en-US" w:eastAsia="zh-CN" w:bidi="ar-SA"/>
        </w:rPr>
        <w:t>执行通用条款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BCABACF">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（2）发包人支付进度款的期限：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甲乙双方签订合同时自行约定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15B4691">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发包人逾期支付进度款的违约金的计算方式：</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1163848E">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12.4.6 支付分解表的编制</w:t>
      </w:r>
    </w:p>
    <w:p w14:paraId="318602D2">
      <w:pPr>
        <w:spacing w:line="360" w:lineRule="auto"/>
        <w:ind w:firstLine="480" w:firstLineChars="200"/>
        <w:jc w:val="lef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2、总价合同支付分解表的编制与审批：</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48E856F4">
      <w:pPr>
        <w:spacing w:line="360" w:lineRule="auto"/>
        <w:ind w:firstLine="480" w:firstLineChars="200"/>
        <w:jc w:val="lef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3、单价合同的总价项目支付分解表的编制与审批：</w:t>
      </w:r>
      <w:r>
        <w:rPr>
          <w:rFonts w:hint="eastAsia" w:ascii="宋体" w:hAnsi="宋体" w:eastAsia="宋体" w:cs="宋体"/>
          <w:color w:val="auto"/>
          <w:sz w:val="24"/>
          <w:szCs w:val="24"/>
          <w:highlight w:val="none"/>
          <w:u w:val="single"/>
        </w:rPr>
        <w:t xml:space="preserve"> 无</w:t>
      </w:r>
      <w:r>
        <w:rPr>
          <w:rFonts w:hint="eastAsia" w:ascii="宋体" w:hAnsi="宋体" w:eastAsia="宋体" w:cs="宋体"/>
          <w:color w:val="auto"/>
          <w:sz w:val="24"/>
          <w:szCs w:val="24"/>
          <w:highlight w:val="none"/>
        </w:rPr>
        <w:t>。</w:t>
      </w:r>
    </w:p>
    <w:bookmarkEnd w:id="1162"/>
    <w:p w14:paraId="03D98042">
      <w:pPr>
        <w:spacing w:line="360" w:lineRule="auto"/>
        <w:jc w:val="left"/>
        <w:outlineLvl w:val="9"/>
        <w:rPr>
          <w:rFonts w:hint="eastAsia" w:ascii="宋体" w:hAnsi="宋体" w:eastAsia="宋体" w:cs="宋体"/>
          <w:color w:val="auto"/>
          <w:sz w:val="24"/>
          <w:szCs w:val="24"/>
          <w:highlight w:val="none"/>
        </w:rPr>
      </w:pPr>
      <w:bookmarkStart w:id="1333" w:name="_Toc351203645"/>
      <w:bookmarkStart w:id="1334" w:name="_Toc296346720"/>
      <w:bookmarkStart w:id="1335" w:name="_Toc292559424"/>
      <w:bookmarkStart w:id="1336" w:name="_Toc296347218"/>
      <w:bookmarkStart w:id="1337" w:name="_Toc296503219"/>
      <w:bookmarkStart w:id="1338" w:name="_Toc300935015"/>
      <w:bookmarkStart w:id="1339" w:name="_Toc312678053"/>
      <w:bookmarkStart w:id="1340" w:name="_Toc292559929"/>
      <w:bookmarkStart w:id="1341" w:name="_Toc304295593"/>
      <w:bookmarkStart w:id="1342" w:name="_Toc303539172"/>
      <w:bookmarkStart w:id="1343" w:name="_Toc297048405"/>
      <w:bookmarkStart w:id="1344" w:name="_Toc296891259"/>
      <w:bookmarkStart w:id="1345" w:name="_Toc296944558"/>
      <w:bookmarkStart w:id="1346" w:name="_Toc296891047"/>
      <w:bookmarkStart w:id="1347" w:name="_Toc297120519"/>
      <w:bookmarkStart w:id="1348" w:name="_Toc297123564"/>
      <w:bookmarkStart w:id="1349" w:name="_Toc297216223"/>
      <w:r>
        <w:rPr>
          <w:rFonts w:hint="eastAsia" w:ascii="宋体" w:hAnsi="宋体" w:eastAsia="宋体" w:cs="宋体"/>
          <w:color w:val="auto"/>
          <w:sz w:val="24"/>
          <w:szCs w:val="24"/>
          <w:highlight w:val="none"/>
        </w:rPr>
        <w:t>13. 验收和工程试车</w:t>
      </w:r>
      <w:bookmarkEnd w:id="1333"/>
    </w:p>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p w14:paraId="2F93C371">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分部分项工程验收</w:t>
      </w:r>
    </w:p>
    <w:p w14:paraId="16A07F11">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13.1.2监理人不能按时进行验收时，应提前</w:t>
      </w:r>
      <w:r>
        <w:rPr>
          <w:rFonts w:hint="eastAsia" w:ascii="宋体" w:hAnsi="宋体" w:eastAsia="宋体" w:cs="宋体"/>
          <w:color w:val="auto"/>
          <w:sz w:val="24"/>
          <w:szCs w:val="24"/>
          <w:highlight w:val="none"/>
          <w:u w:val="single"/>
        </w:rPr>
        <w:t xml:space="preserve">  24  </w:t>
      </w:r>
      <w:r>
        <w:rPr>
          <w:rFonts w:hint="eastAsia" w:ascii="宋体" w:hAnsi="宋体" w:eastAsia="宋体" w:cs="宋体"/>
          <w:color w:val="auto"/>
          <w:sz w:val="24"/>
          <w:szCs w:val="24"/>
          <w:highlight w:val="none"/>
        </w:rPr>
        <w:t>小时提交书面延期要求。</w:t>
      </w:r>
    </w:p>
    <w:p w14:paraId="7252B1DD">
      <w:pPr>
        <w:spacing w:line="360" w:lineRule="auto"/>
        <w:ind w:firstLine="480" w:firstLineChars="200"/>
        <w:jc w:val="left"/>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 xml:space="preserve">  48   </w:t>
      </w:r>
      <w:r>
        <w:rPr>
          <w:rFonts w:hint="eastAsia" w:ascii="宋体" w:hAnsi="宋体" w:eastAsia="宋体" w:cs="宋体"/>
          <w:color w:val="auto"/>
          <w:sz w:val="24"/>
          <w:szCs w:val="24"/>
          <w:highlight w:val="none"/>
        </w:rPr>
        <w:t>小时。</w:t>
      </w:r>
    </w:p>
    <w:p w14:paraId="74937181">
      <w:pPr>
        <w:spacing w:after="120" w:afterLines="0" w:line="360" w:lineRule="auto"/>
        <w:outlineLvl w:val="9"/>
        <w:rPr>
          <w:rFonts w:hint="eastAsia" w:ascii="宋体" w:hAnsi="宋体" w:eastAsia="宋体" w:cs="宋体"/>
          <w:color w:val="auto"/>
          <w:sz w:val="24"/>
          <w:szCs w:val="24"/>
          <w:highlight w:val="none"/>
        </w:rPr>
      </w:pPr>
      <w:bookmarkStart w:id="1350" w:name="_Toc292559428"/>
      <w:bookmarkStart w:id="1351" w:name="_Toc296503223"/>
      <w:bookmarkStart w:id="1352" w:name="_Toc296347222"/>
      <w:bookmarkStart w:id="1353" w:name="_Toc297216224"/>
      <w:bookmarkStart w:id="1354" w:name="_Toc296944562"/>
      <w:bookmarkStart w:id="1355" w:name="_Toc296891263"/>
      <w:bookmarkStart w:id="1356" w:name="_Toc297120523"/>
      <w:bookmarkStart w:id="1357" w:name="_Toc292559933"/>
      <w:bookmarkStart w:id="1358" w:name="_Toc312678056"/>
      <w:bookmarkStart w:id="1359" w:name="_Toc303539173"/>
      <w:bookmarkStart w:id="1360" w:name="_Toc297048409"/>
      <w:bookmarkStart w:id="1361" w:name="_Toc296346724"/>
      <w:bookmarkStart w:id="1362" w:name="_Toc296891051"/>
      <w:bookmarkStart w:id="1363" w:name="_Toc300935016"/>
      <w:bookmarkStart w:id="1364" w:name="_Toc304295596"/>
      <w:bookmarkStart w:id="1365" w:name="_Toc297123565"/>
      <w:bookmarkStart w:id="1366" w:name="_Toc267251473"/>
      <w:bookmarkStart w:id="1367" w:name="_Toc267251472"/>
      <w:bookmarkStart w:id="1368" w:name="_Toc267251475"/>
      <w:bookmarkStart w:id="1369" w:name="_Toc267251474"/>
      <w:bookmarkStart w:id="1370" w:name="_Toc267251476"/>
      <w:bookmarkStart w:id="1371" w:name="_Toc267251470"/>
      <w:bookmarkStart w:id="1372" w:name="_Toc267251471"/>
      <w:r>
        <w:rPr>
          <w:rFonts w:hint="eastAsia" w:ascii="宋体" w:hAnsi="宋体" w:eastAsia="宋体" w:cs="宋体"/>
          <w:color w:val="auto"/>
          <w:sz w:val="24"/>
          <w:szCs w:val="24"/>
          <w:highlight w:val="none"/>
        </w:rPr>
        <w:t>13.2 竣工验收</w:t>
      </w:r>
    </w:p>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p w14:paraId="0F25FE9C">
      <w:pPr>
        <w:spacing w:line="360" w:lineRule="auto"/>
        <w:jc w:val="left"/>
        <w:outlineLvl w:val="9"/>
        <w:rPr>
          <w:rFonts w:hint="eastAsia" w:ascii="宋体" w:hAnsi="宋体" w:eastAsia="宋体" w:cs="宋体"/>
          <w:color w:val="auto"/>
          <w:sz w:val="24"/>
          <w:szCs w:val="24"/>
          <w:highlight w:val="none"/>
        </w:rPr>
      </w:pPr>
      <w:bookmarkStart w:id="1373" w:name="_Toc280868704"/>
      <w:bookmarkStart w:id="1374" w:name="_Toc280868705"/>
      <w:bookmarkStart w:id="1375" w:name="_Toc280868706"/>
      <w:bookmarkStart w:id="1376" w:name="_Toc280868707"/>
      <w:bookmarkStart w:id="1377" w:name="_Toc280868708"/>
      <w:bookmarkStart w:id="1378" w:name="_Toc280868709"/>
      <w:r>
        <w:rPr>
          <w:rFonts w:hint="eastAsia" w:ascii="宋体" w:hAnsi="宋体" w:eastAsia="宋体" w:cs="宋体"/>
          <w:color w:val="auto"/>
          <w:sz w:val="24"/>
          <w:szCs w:val="24"/>
          <w:highlight w:val="none"/>
        </w:rPr>
        <w:t>13.2.2竣工验收程序</w:t>
      </w:r>
    </w:p>
    <w:bookmarkEnd w:id="1373"/>
    <w:p w14:paraId="1391D33B">
      <w:pPr>
        <w:spacing w:line="360" w:lineRule="auto"/>
        <w:ind w:firstLine="480" w:firstLineChars="200"/>
        <w:jc w:val="lef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关于竣工验收程序的约定：</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14BB5388">
      <w:pPr>
        <w:spacing w:line="360" w:lineRule="auto"/>
        <w:ind w:firstLine="480" w:firstLineChars="200"/>
        <w:jc w:val="lef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发包人不按照本项约定组织竣工验收、颁发工程接收证书的违约金的计算方法：</w:t>
      </w:r>
      <w:r>
        <w:rPr>
          <w:rFonts w:hint="eastAsia" w:ascii="宋体" w:hAnsi="宋体" w:eastAsia="宋体" w:cs="宋体"/>
          <w:color w:val="auto"/>
          <w:sz w:val="24"/>
          <w:szCs w:val="24"/>
          <w:highlight w:val="none"/>
          <w:u w:val="single"/>
        </w:rPr>
        <w:t xml:space="preserve">执行通用条款  </w:t>
      </w:r>
      <w:r>
        <w:rPr>
          <w:rFonts w:hint="eastAsia" w:ascii="宋体" w:hAnsi="宋体" w:eastAsia="宋体" w:cs="宋体"/>
          <w:color w:val="auto"/>
          <w:sz w:val="24"/>
          <w:szCs w:val="24"/>
          <w:highlight w:val="none"/>
        </w:rPr>
        <w:t>。</w:t>
      </w:r>
    </w:p>
    <w:bookmarkEnd w:id="1374"/>
    <w:p w14:paraId="2618ABD1">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13.2.5移交、接收全部与部分工程</w:t>
      </w:r>
    </w:p>
    <w:bookmarkEnd w:id="1375"/>
    <w:p w14:paraId="3A26BBA6">
      <w:pPr>
        <w:spacing w:line="360" w:lineRule="auto"/>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承包人向发包人移交工程的期限：</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5A0729FC">
      <w:pPr>
        <w:spacing w:line="360" w:lineRule="auto"/>
        <w:ind w:firstLine="480" w:firstLineChars="200"/>
        <w:jc w:val="lef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发包人未按本合同约定接收全部或部分工程的，违约金的计算方法为：</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bookmarkEnd w:id="1376"/>
    <w:p w14:paraId="7F75A893">
      <w:pPr>
        <w:spacing w:line="360" w:lineRule="auto"/>
        <w:ind w:firstLine="480" w:firstLineChars="200"/>
        <w:jc w:val="lef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承包人未按时移交工程的，违约金的计算方法为：</w:t>
      </w:r>
      <w:r>
        <w:rPr>
          <w:rFonts w:hint="eastAsia" w:ascii="宋体" w:hAnsi="宋体" w:eastAsia="宋体" w:cs="宋体"/>
          <w:color w:val="auto"/>
          <w:sz w:val="24"/>
          <w:szCs w:val="24"/>
          <w:highlight w:val="none"/>
          <w:u w:val="single"/>
        </w:rPr>
        <w:t xml:space="preserve">执行通用条款 </w:t>
      </w:r>
      <w:r>
        <w:rPr>
          <w:rFonts w:hint="eastAsia" w:ascii="宋体" w:hAnsi="宋体" w:eastAsia="宋体" w:cs="宋体"/>
          <w:color w:val="auto"/>
          <w:sz w:val="24"/>
          <w:szCs w:val="24"/>
          <w:highlight w:val="none"/>
        </w:rPr>
        <w:t>。</w:t>
      </w:r>
    </w:p>
    <w:p w14:paraId="2CA4634B">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工程试车</w:t>
      </w:r>
    </w:p>
    <w:bookmarkEnd w:id="1377"/>
    <w:p w14:paraId="54923219">
      <w:pPr>
        <w:spacing w:line="360" w:lineRule="auto"/>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13.3.1 试车程序</w:t>
      </w:r>
    </w:p>
    <w:p w14:paraId="2126D28D">
      <w:pPr>
        <w:spacing w:line="360" w:lineRule="auto"/>
        <w:ind w:firstLine="480" w:firstLineChars="200"/>
        <w:jc w:val="left"/>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工程试车内容：</w:t>
      </w:r>
      <w:r>
        <w:rPr>
          <w:rFonts w:hint="eastAsia" w:ascii="宋体" w:hAnsi="宋体" w:eastAsia="宋体" w:cs="宋体"/>
          <w:color w:val="auto"/>
          <w:kern w:val="0"/>
          <w:sz w:val="24"/>
          <w:szCs w:val="24"/>
          <w:highlight w:val="none"/>
          <w:u w:val="single"/>
        </w:rPr>
        <w:t>与本合同约定的承包范围一致</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w:t>
      </w:r>
    </w:p>
    <w:p w14:paraId="053792C4">
      <w:pPr>
        <w:spacing w:line="360" w:lineRule="auto"/>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（1）单机无负荷试车费用由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承担；</w:t>
      </w:r>
    </w:p>
    <w:p w14:paraId="59506BE1">
      <w:pPr>
        <w:spacing w:line="360" w:lineRule="auto"/>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（2）无负荷联动试车费用由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承担。</w:t>
      </w:r>
    </w:p>
    <w:p w14:paraId="60F890AC">
      <w:pPr>
        <w:spacing w:line="360" w:lineRule="auto"/>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13.3.3 投料试车</w:t>
      </w:r>
    </w:p>
    <w:p w14:paraId="6D028A45">
      <w:pPr>
        <w:spacing w:line="360" w:lineRule="auto"/>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关于投料试车相关事项的约定：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E2A4A97">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 竣工退场</w:t>
      </w:r>
    </w:p>
    <w:p w14:paraId="544D2754">
      <w:pPr>
        <w:spacing w:line="360" w:lineRule="auto"/>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13.6.1 竣工退场</w:t>
      </w:r>
    </w:p>
    <w:p w14:paraId="66E7FE9B">
      <w:pPr>
        <w:spacing w:line="360" w:lineRule="auto"/>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承包人完成竣工退场的期限：</w:t>
      </w:r>
      <w:r>
        <w:rPr>
          <w:rFonts w:hint="eastAsia" w:ascii="宋体" w:hAnsi="宋体" w:eastAsia="宋体" w:cs="宋体"/>
          <w:color w:val="auto"/>
          <w:sz w:val="24"/>
          <w:szCs w:val="24"/>
          <w:highlight w:val="none"/>
          <w:u w:val="single"/>
        </w:rPr>
        <w:t xml:space="preserve">  竣工验收后7天内移交。</w:t>
      </w:r>
    </w:p>
    <w:p w14:paraId="5D169DD1">
      <w:pPr>
        <w:spacing w:line="360" w:lineRule="auto"/>
        <w:jc w:val="left"/>
        <w:outlineLvl w:val="9"/>
        <w:rPr>
          <w:rFonts w:hint="eastAsia" w:ascii="宋体" w:hAnsi="宋体" w:eastAsia="宋体" w:cs="宋体"/>
          <w:color w:val="auto"/>
          <w:sz w:val="24"/>
          <w:szCs w:val="24"/>
          <w:highlight w:val="none"/>
        </w:rPr>
      </w:pPr>
      <w:bookmarkStart w:id="1379" w:name="_Toc351203646"/>
      <w:r>
        <w:rPr>
          <w:rFonts w:hint="eastAsia" w:ascii="宋体" w:hAnsi="宋体" w:eastAsia="宋体" w:cs="宋体"/>
          <w:color w:val="auto"/>
          <w:sz w:val="24"/>
          <w:szCs w:val="24"/>
          <w:highlight w:val="none"/>
        </w:rPr>
        <w:t>14. 竣工结算</w:t>
      </w:r>
      <w:bookmarkEnd w:id="1379"/>
    </w:p>
    <w:p w14:paraId="1321111D">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竣工付款申请</w:t>
      </w:r>
    </w:p>
    <w:p w14:paraId="33BF9572">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承包人提交竣工付款申请单的期限：</w:t>
      </w:r>
      <w:r>
        <w:rPr>
          <w:rFonts w:hint="eastAsia" w:ascii="宋体" w:hAnsi="宋体" w:eastAsia="宋体" w:cs="宋体"/>
          <w:color w:val="auto"/>
          <w:sz w:val="24"/>
          <w:szCs w:val="24"/>
          <w:highlight w:val="none"/>
          <w:u w:val="single"/>
        </w:rPr>
        <w:t xml:space="preserve">  竣工验收合格后28天内  </w:t>
      </w:r>
      <w:r>
        <w:rPr>
          <w:rFonts w:hint="eastAsia" w:ascii="宋体" w:hAnsi="宋体" w:eastAsia="宋体" w:cs="宋体"/>
          <w:color w:val="auto"/>
          <w:sz w:val="24"/>
          <w:szCs w:val="24"/>
          <w:highlight w:val="none"/>
        </w:rPr>
        <w:t>。</w:t>
      </w:r>
    </w:p>
    <w:p w14:paraId="0338BC9B">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竣工付款申请单应包括的内容：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执行通用条款         </w:t>
      </w:r>
      <w:r>
        <w:rPr>
          <w:rFonts w:hint="eastAsia" w:ascii="宋体" w:hAnsi="宋体" w:eastAsia="宋体" w:cs="宋体"/>
          <w:color w:val="auto"/>
          <w:sz w:val="24"/>
          <w:szCs w:val="24"/>
          <w:highlight w:val="none"/>
        </w:rPr>
        <w:t>。</w:t>
      </w:r>
    </w:p>
    <w:p w14:paraId="31E504ED">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竣工结算审核</w:t>
      </w:r>
    </w:p>
    <w:p w14:paraId="277EF622">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发包人审批竣工付款申请单的期限：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执行通用条款          </w:t>
      </w:r>
      <w:r>
        <w:rPr>
          <w:rFonts w:hint="eastAsia" w:ascii="宋体" w:hAnsi="宋体" w:eastAsia="宋体" w:cs="宋体"/>
          <w:color w:val="auto"/>
          <w:sz w:val="24"/>
          <w:szCs w:val="24"/>
          <w:highlight w:val="none"/>
        </w:rPr>
        <w:t>。</w:t>
      </w:r>
    </w:p>
    <w:p w14:paraId="6D80C105">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发包人完成竣工付款的期限：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执行通用条款            </w:t>
      </w:r>
      <w:r>
        <w:rPr>
          <w:rFonts w:hint="eastAsia" w:ascii="宋体" w:hAnsi="宋体" w:eastAsia="宋体" w:cs="宋体"/>
          <w:color w:val="auto"/>
          <w:sz w:val="24"/>
          <w:szCs w:val="24"/>
          <w:highlight w:val="none"/>
        </w:rPr>
        <w:t>。</w:t>
      </w:r>
    </w:p>
    <w:p w14:paraId="260A0364">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关于竣工付款证书异议部分复核的方式和程序：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执行通用条款      </w:t>
      </w:r>
      <w:r>
        <w:rPr>
          <w:rFonts w:hint="eastAsia" w:ascii="宋体" w:hAnsi="宋体" w:eastAsia="宋体" w:cs="宋体"/>
          <w:color w:val="auto"/>
          <w:sz w:val="24"/>
          <w:szCs w:val="24"/>
          <w:highlight w:val="none"/>
        </w:rPr>
        <w:t>。</w:t>
      </w:r>
    </w:p>
    <w:p w14:paraId="0BE47B71">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 最终结清</w:t>
      </w:r>
    </w:p>
    <w:p w14:paraId="62459506">
      <w:pPr>
        <w:spacing w:line="360" w:lineRule="auto"/>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14.4.1 最终结清申请单</w:t>
      </w:r>
    </w:p>
    <w:p w14:paraId="2B6F49DF">
      <w:pPr>
        <w:spacing w:line="360" w:lineRule="auto"/>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承包人提交最终结清申请单的份数：</w:t>
      </w:r>
      <w:r>
        <w:rPr>
          <w:rFonts w:hint="eastAsia" w:ascii="宋体" w:hAnsi="宋体" w:eastAsia="宋体" w:cs="宋体"/>
          <w:color w:val="auto"/>
          <w:sz w:val="24"/>
          <w:szCs w:val="24"/>
          <w:highlight w:val="none"/>
          <w:u w:val="single"/>
        </w:rPr>
        <w:t xml:space="preserve">   四份                        </w:t>
      </w:r>
      <w:r>
        <w:rPr>
          <w:rFonts w:hint="eastAsia" w:ascii="宋体" w:hAnsi="宋体" w:eastAsia="宋体" w:cs="宋体"/>
          <w:color w:val="auto"/>
          <w:sz w:val="24"/>
          <w:szCs w:val="24"/>
          <w:highlight w:val="none"/>
        </w:rPr>
        <w:t>。</w:t>
      </w:r>
    </w:p>
    <w:p w14:paraId="1AF4948D">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承包人提交最终结算申请单的期限：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竣</w:t>
      </w:r>
      <w:r>
        <w:rPr>
          <w:rFonts w:hint="eastAsia" w:ascii="宋体" w:hAnsi="宋体" w:eastAsia="宋体" w:cs="宋体"/>
          <w:color w:val="auto"/>
          <w:sz w:val="24"/>
          <w:szCs w:val="24"/>
          <w:highlight w:val="none"/>
          <w:u w:val="single"/>
        </w:rPr>
        <w:t xml:space="preserve">工验收合格30日内       </w:t>
      </w:r>
      <w:r>
        <w:rPr>
          <w:rFonts w:hint="eastAsia" w:ascii="宋体" w:hAnsi="宋体" w:eastAsia="宋体" w:cs="宋体"/>
          <w:color w:val="auto"/>
          <w:sz w:val="24"/>
          <w:szCs w:val="24"/>
          <w:highlight w:val="none"/>
        </w:rPr>
        <w:t xml:space="preserve">。 </w:t>
      </w:r>
    </w:p>
    <w:p w14:paraId="0B60E57B">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14.4.2 最终结清证书和支付</w:t>
      </w:r>
    </w:p>
    <w:p w14:paraId="43AE0C28">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（1）发包人完成最终结清申请单的审批并颁发最终结清证书的期限：</w:t>
      </w:r>
      <w:r>
        <w:rPr>
          <w:rFonts w:hint="eastAsia" w:ascii="宋体" w:hAnsi="宋体" w:eastAsia="宋体" w:cs="宋体"/>
          <w:color w:val="auto"/>
          <w:kern w:val="0"/>
          <w:sz w:val="24"/>
          <w:szCs w:val="24"/>
          <w:highlight w:val="none"/>
          <w:u w:val="single"/>
        </w:rPr>
        <w:t>竣</w:t>
      </w:r>
      <w:r>
        <w:rPr>
          <w:rFonts w:hint="eastAsia" w:ascii="宋体" w:hAnsi="宋体" w:eastAsia="宋体" w:cs="宋体"/>
          <w:color w:val="auto"/>
          <w:sz w:val="24"/>
          <w:szCs w:val="24"/>
          <w:highlight w:val="none"/>
          <w:u w:val="single"/>
        </w:rPr>
        <w:t>工验收合格后30日</w:t>
      </w:r>
      <w:r>
        <w:rPr>
          <w:rFonts w:hint="eastAsia" w:ascii="宋体" w:hAnsi="宋体" w:eastAsia="宋体" w:cs="宋体"/>
          <w:color w:val="auto"/>
          <w:sz w:val="24"/>
          <w:szCs w:val="24"/>
          <w:highlight w:val="none"/>
        </w:rPr>
        <w:t>。</w:t>
      </w:r>
    </w:p>
    <w:p w14:paraId="6371500D">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（2）发包人完成支付的期限：</w:t>
      </w:r>
      <w:r>
        <w:rPr>
          <w:rFonts w:hint="eastAsia" w:ascii="宋体" w:hAnsi="宋体" w:eastAsia="宋体" w:cs="宋体"/>
          <w:color w:val="auto"/>
          <w:sz w:val="24"/>
          <w:szCs w:val="24"/>
          <w:highlight w:val="none"/>
          <w:u w:val="single"/>
        </w:rPr>
        <w:t xml:space="preserve">  发包人应在颁发最终结清证书后7天内完成支付 </w:t>
      </w:r>
      <w:r>
        <w:rPr>
          <w:rFonts w:hint="eastAsia" w:ascii="宋体" w:hAnsi="宋体" w:eastAsia="宋体" w:cs="宋体"/>
          <w:color w:val="auto"/>
          <w:sz w:val="24"/>
          <w:szCs w:val="24"/>
          <w:highlight w:val="none"/>
        </w:rPr>
        <w:t>。</w:t>
      </w:r>
    </w:p>
    <w:bookmarkEnd w:id="1366"/>
    <w:bookmarkEnd w:id="1367"/>
    <w:bookmarkEnd w:id="1368"/>
    <w:bookmarkEnd w:id="1369"/>
    <w:bookmarkEnd w:id="1370"/>
    <w:bookmarkEnd w:id="1371"/>
    <w:bookmarkEnd w:id="1372"/>
    <w:bookmarkEnd w:id="1378"/>
    <w:p w14:paraId="1FE41AFC">
      <w:pPr>
        <w:spacing w:line="360" w:lineRule="auto"/>
        <w:jc w:val="left"/>
        <w:outlineLvl w:val="9"/>
        <w:rPr>
          <w:rFonts w:hint="eastAsia" w:ascii="宋体" w:hAnsi="宋体" w:eastAsia="宋体" w:cs="宋体"/>
          <w:color w:val="auto"/>
          <w:sz w:val="24"/>
          <w:szCs w:val="24"/>
          <w:highlight w:val="none"/>
        </w:rPr>
      </w:pPr>
      <w:bookmarkStart w:id="1380" w:name="_Toc351203647"/>
      <w:bookmarkStart w:id="1381" w:name="_Toc267251483"/>
      <w:bookmarkStart w:id="1382" w:name="_Toc267251484"/>
      <w:bookmarkStart w:id="1383" w:name="_Toc267251482"/>
      <w:bookmarkStart w:id="1384" w:name="_Toc267251485"/>
      <w:bookmarkStart w:id="1385" w:name="_Toc267251486"/>
      <w:bookmarkStart w:id="1386" w:name="_Toc267251489"/>
      <w:bookmarkStart w:id="1387" w:name="_Toc267251490"/>
      <w:bookmarkStart w:id="1388" w:name="_Toc267251488"/>
      <w:bookmarkStart w:id="1389" w:name="_Toc267251499"/>
      <w:bookmarkStart w:id="1390" w:name="_Toc267251492"/>
      <w:bookmarkStart w:id="1391" w:name="_Toc267251498"/>
      <w:bookmarkStart w:id="1392" w:name="_Toc267251502"/>
      <w:bookmarkStart w:id="1393" w:name="_Toc267251491"/>
      <w:bookmarkStart w:id="1394" w:name="_Toc267251493"/>
      <w:bookmarkStart w:id="1395" w:name="_Toc267251496"/>
      <w:bookmarkStart w:id="1396" w:name="_Toc267251494"/>
      <w:bookmarkStart w:id="1397" w:name="_Toc267251495"/>
      <w:bookmarkStart w:id="1398" w:name="_Toc267251501"/>
      <w:bookmarkStart w:id="1399" w:name="_Toc267251497"/>
      <w:bookmarkStart w:id="1400" w:name="_Toc267251503"/>
      <w:bookmarkStart w:id="1401" w:name="_Toc267251504"/>
      <w:bookmarkStart w:id="1402" w:name="_Toc267251506"/>
      <w:bookmarkStart w:id="1403" w:name="_Toc267251507"/>
      <w:bookmarkStart w:id="1404" w:name="_Toc267251508"/>
      <w:bookmarkStart w:id="1405" w:name="_Toc267251513"/>
      <w:bookmarkStart w:id="1406" w:name="_Toc267251510"/>
      <w:bookmarkStart w:id="1407" w:name="_Toc267251511"/>
      <w:bookmarkStart w:id="1408" w:name="_Toc267251515"/>
      <w:bookmarkStart w:id="1409" w:name="_Toc267251514"/>
      <w:bookmarkStart w:id="1410" w:name="_Toc267251509"/>
      <w:r>
        <w:rPr>
          <w:rFonts w:hint="eastAsia" w:ascii="宋体" w:hAnsi="宋体" w:eastAsia="宋体" w:cs="宋体"/>
          <w:color w:val="auto"/>
          <w:sz w:val="24"/>
          <w:szCs w:val="24"/>
          <w:highlight w:val="none"/>
        </w:rPr>
        <w:t>15. 缺陷责任期与保修</w:t>
      </w:r>
      <w:bookmarkEnd w:id="1380"/>
    </w:p>
    <w:p w14:paraId="33DA4323">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15.2缺陷责任期</w:t>
      </w:r>
      <w:bookmarkEnd w:id="1381"/>
    </w:p>
    <w:p w14:paraId="438260A8">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缺陷责任期的具体期限：</w:t>
      </w:r>
      <w:r>
        <w:rPr>
          <w:rFonts w:hint="eastAsia" w:ascii="宋体" w:hAnsi="宋体" w:eastAsia="宋体" w:cs="宋体"/>
          <w:color w:val="auto"/>
          <w:sz w:val="24"/>
          <w:szCs w:val="24"/>
          <w:highlight w:val="none"/>
          <w:u w:val="single"/>
        </w:rPr>
        <w:t xml:space="preserve">  竣工验收后24个月   </w:t>
      </w:r>
      <w:r>
        <w:rPr>
          <w:rFonts w:hint="eastAsia" w:ascii="宋体" w:hAnsi="宋体" w:eastAsia="宋体" w:cs="宋体"/>
          <w:color w:val="auto"/>
          <w:sz w:val="24"/>
          <w:szCs w:val="24"/>
          <w:highlight w:val="none"/>
        </w:rPr>
        <w:t>。</w:t>
      </w:r>
    </w:p>
    <w:p w14:paraId="7265A01D">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质量保证金</w:t>
      </w:r>
    </w:p>
    <w:p w14:paraId="2B350F66">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关于是否扣留质量保证金的约定：</w:t>
      </w:r>
      <w:r>
        <w:rPr>
          <w:rFonts w:hint="eastAsia" w:ascii="宋体" w:hAnsi="宋体" w:eastAsia="宋体" w:cs="宋体"/>
          <w:color w:val="auto"/>
          <w:sz w:val="24"/>
          <w:szCs w:val="24"/>
          <w:highlight w:val="none"/>
          <w:u w:val="single"/>
        </w:rPr>
        <w:t xml:space="preserve">扣留质量保证金  </w:t>
      </w:r>
      <w:r>
        <w:rPr>
          <w:rFonts w:hint="eastAsia" w:ascii="宋体" w:hAnsi="宋体" w:eastAsia="宋体" w:cs="宋体"/>
          <w:color w:val="auto"/>
          <w:sz w:val="24"/>
          <w:szCs w:val="24"/>
          <w:highlight w:val="none"/>
        </w:rPr>
        <w:t>。</w:t>
      </w:r>
    </w:p>
    <w:p w14:paraId="6CDF300D">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15.3.1 承包人提供质量保证金的方式</w:t>
      </w:r>
    </w:p>
    <w:p w14:paraId="78BD6719">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质量保证金采用以下第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 ） </w:t>
      </w:r>
      <w:r>
        <w:rPr>
          <w:rFonts w:hint="eastAsia" w:ascii="宋体" w:hAnsi="宋体" w:eastAsia="宋体" w:cs="宋体"/>
          <w:color w:val="auto"/>
          <w:sz w:val="24"/>
          <w:szCs w:val="24"/>
          <w:highlight w:val="none"/>
        </w:rPr>
        <w:t>种方式：</w:t>
      </w:r>
    </w:p>
    <w:p w14:paraId="29D372E2">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（1）质量保证金保函，保证金额为：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36222ED7">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的工程款；</w:t>
      </w:r>
    </w:p>
    <w:p w14:paraId="3854EEC9">
      <w:pPr>
        <w:spacing w:line="360" w:lineRule="auto"/>
        <w:jc w:val="lef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（3）其他方式: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302F4BCD">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15.3.2 质量保证金的扣留 </w:t>
      </w:r>
    </w:p>
    <w:p w14:paraId="29F9F929">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质量保证金的扣留采取以下第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w:t>
      </w:r>
    </w:p>
    <w:p w14:paraId="71518BA8">
      <w:pPr>
        <w:autoSpaceDE w:val="0"/>
        <w:autoSpaceDN w:val="0"/>
        <w:adjustRightInd w:val="0"/>
        <w:spacing w:line="360" w:lineRule="auto"/>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（1）在支付工程进度款时逐次扣留，在此情形下，质量保证金的计算基数不包括预付款的支付、扣回以及价格调整的金额；</w:t>
      </w:r>
    </w:p>
    <w:p w14:paraId="19EE0DA7">
      <w:pPr>
        <w:autoSpaceDE w:val="0"/>
        <w:autoSpaceDN w:val="0"/>
        <w:adjustRightInd w:val="0"/>
        <w:spacing w:line="360" w:lineRule="auto"/>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（2）工程竣工结算时一次性扣留质量保证金；</w:t>
      </w:r>
    </w:p>
    <w:p w14:paraId="40265EF1">
      <w:pPr>
        <w:autoSpaceDE w:val="0"/>
        <w:autoSpaceDN w:val="0"/>
        <w:adjustRightInd w:val="0"/>
        <w:spacing w:line="360" w:lineRule="auto"/>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（3）其他扣留方式:</w:t>
      </w:r>
      <w:r>
        <w:rPr>
          <w:rFonts w:hint="eastAsia" w:ascii="宋体" w:hAnsi="宋体" w:eastAsia="宋体" w:cs="宋体"/>
          <w:color w:val="auto"/>
          <w:kern w:val="0"/>
          <w:sz w:val="24"/>
          <w:szCs w:val="24"/>
          <w:highlight w:val="none"/>
          <w:u w:val="single"/>
        </w:rPr>
        <w:t xml:space="preserve">  无                              </w:t>
      </w:r>
      <w:r>
        <w:rPr>
          <w:rFonts w:hint="eastAsia" w:ascii="宋体" w:hAnsi="宋体" w:eastAsia="宋体" w:cs="宋体"/>
          <w:color w:val="auto"/>
          <w:kern w:val="0"/>
          <w:sz w:val="24"/>
          <w:szCs w:val="24"/>
          <w:highlight w:val="none"/>
        </w:rPr>
        <w:t>。</w:t>
      </w:r>
    </w:p>
    <w:p w14:paraId="6DE6E792">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关于质量保证金的补充约定：</w:t>
      </w:r>
      <w:r>
        <w:rPr>
          <w:rFonts w:hint="eastAsia" w:ascii="宋体" w:hAnsi="宋体" w:eastAsia="宋体" w:cs="宋体"/>
          <w:color w:val="auto"/>
          <w:kern w:val="0"/>
          <w:sz w:val="24"/>
          <w:szCs w:val="24"/>
          <w:highlight w:val="none"/>
          <w:u w:val="single"/>
        </w:rPr>
        <w:t xml:space="preserve"> 保修期满后28日内，扣除发包人代为维修发生的费用后，一次性无息支付给承包人   </w:t>
      </w:r>
      <w:r>
        <w:rPr>
          <w:rFonts w:hint="eastAsia" w:ascii="宋体" w:hAnsi="宋体" w:eastAsia="宋体" w:cs="宋体"/>
          <w:color w:val="auto"/>
          <w:kern w:val="0"/>
          <w:sz w:val="24"/>
          <w:szCs w:val="24"/>
          <w:highlight w:val="none"/>
        </w:rPr>
        <w:t>。</w:t>
      </w:r>
    </w:p>
    <w:bookmarkEnd w:id="1382"/>
    <w:bookmarkEnd w:id="1383"/>
    <w:p w14:paraId="5831817C">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15.4保修</w:t>
      </w:r>
    </w:p>
    <w:bookmarkEnd w:id="1384"/>
    <w:p w14:paraId="5716470F">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15.4.1 保修责任</w:t>
      </w:r>
    </w:p>
    <w:p w14:paraId="3F28D3DF">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工程保修期为：</w:t>
      </w:r>
      <w:r>
        <w:rPr>
          <w:rFonts w:hint="eastAsia" w:ascii="宋体" w:hAnsi="宋体" w:eastAsia="宋体" w:cs="宋体"/>
          <w:color w:val="auto"/>
          <w:sz w:val="24"/>
          <w:szCs w:val="24"/>
          <w:highlight w:val="none"/>
        </w:rPr>
        <w:t>屋面防水工程、有防水要求的卫生间、房间和外墙面的防渗为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5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年；装修工程为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年；电气管线、给排水管道、设备安装工程为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年；供热与供冷系统为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个采暖期、供冷期；住宅小区内的给排水设施、道路等配套工程为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14:paraId="2DC0EC65">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15.4.3 修复通知</w:t>
      </w:r>
    </w:p>
    <w:p w14:paraId="2142FA62">
      <w:pPr>
        <w:spacing w:line="360" w:lineRule="auto"/>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承包人收到保修通知并到达工程现场的合理时间：</w:t>
      </w:r>
      <w:r>
        <w:rPr>
          <w:rFonts w:hint="eastAsia" w:ascii="宋体" w:hAnsi="宋体" w:eastAsia="宋体" w:cs="宋体"/>
          <w:color w:val="auto"/>
          <w:kern w:val="0"/>
          <w:sz w:val="24"/>
          <w:szCs w:val="24"/>
          <w:highlight w:val="none"/>
          <w:u w:val="single"/>
        </w:rPr>
        <w:t xml:space="preserve"> 24小时内</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w:t>
      </w:r>
    </w:p>
    <w:bookmarkEnd w:id="1385"/>
    <w:bookmarkEnd w:id="1386"/>
    <w:bookmarkEnd w:id="1387"/>
    <w:bookmarkEnd w:id="1388"/>
    <w:p w14:paraId="7EE6B4B3">
      <w:pPr>
        <w:spacing w:line="360" w:lineRule="auto"/>
        <w:jc w:val="left"/>
        <w:outlineLvl w:val="9"/>
        <w:rPr>
          <w:rFonts w:hint="eastAsia" w:ascii="宋体" w:hAnsi="宋体" w:eastAsia="宋体" w:cs="宋体"/>
          <w:color w:val="auto"/>
          <w:sz w:val="24"/>
          <w:szCs w:val="24"/>
          <w:highlight w:val="none"/>
        </w:rPr>
      </w:pPr>
      <w:bookmarkStart w:id="1411" w:name="_Toc351203648"/>
      <w:bookmarkStart w:id="1412" w:name="_Toc280868717"/>
      <w:bookmarkStart w:id="1413" w:name="_Toc280868718"/>
      <w:r>
        <w:rPr>
          <w:rFonts w:hint="eastAsia" w:ascii="宋体" w:hAnsi="宋体" w:eastAsia="宋体" w:cs="宋体"/>
          <w:color w:val="auto"/>
          <w:sz w:val="24"/>
          <w:szCs w:val="24"/>
          <w:highlight w:val="none"/>
        </w:rPr>
        <w:t>16. 违约</w:t>
      </w:r>
      <w:bookmarkEnd w:id="1411"/>
    </w:p>
    <w:p w14:paraId="6036B4F4">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发包人违约</w:t>
      </w:r>
    </w:p>
    <w:p w14:paraId="0B2FEB01">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16.1.1发包人违约的情形</w:t>
      </w:r>
    </w:p>
    <w:p w14:paraId="1056AB5F">
      <w:pPr>
        <w:spacing w:line="360" w:lineRule="auto"/>
        <w:ind w:left="1200" w:hanging="1200" w:hangingChars="5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发包人违约的其他情形：</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执行合同通用条款</w:t>
      </w:r>
    </w:p>
    <w:p w14:paraId="1F5C8034">
      <w:pPr>
        <w:spacing w:line="360" w:lineRule="auto"/>
        <w:ind w:left="1200" w:hanging="1200" w:hangingChars="5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16.1.2 发包人违约的责任</w:t>
      </w:r>
    </w:p>
    <w:p w14:paraId="25AC741A">
      <w:pPr>
        <w:spacing w:line="360" w:lineRule="auto"/>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发包人违约责任的承担方式和计算方法：</w:t>
      </w:r>
    </w:p>
    <w:p w14:paraId="49A5EAE7">
      <w:pPr>
        <w:spacing w:line="360" w:lineRule="auto"/>
        <w:ind w:firstLine="480" w:firstLineChars="200"/>
        <w:jc w:val="left"/>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（1）因发包人原因未能在计划开工日期前7天内下达开工通知的违约责任：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执行合同通用条款</w:t>
      </w:r>
      <w:r>
        <w:rPr>
          <w:rFonts w:hint="eastAsia" w:ascii="宋体" w:hAnsi="宋体" w:eastAsia="宋体" w:cs="宋体"/>
          <w:color w:val="auto"/>
          <w:kern w:val="0"/>
          <w:sz w:val="24"/>
          <w:szCs w:val="24"/>
          <w:highlight w:val="none"/>
          <w:u w:val="single"/>
        </w:rPr>
        <w:t xml:space="preserve">  </w:t>
      </w:r>
    </w:p>
    <w:p w14:paraId="5F650814">
      <w:pPr>
        <w:spacing w:line="360" w:lineRule="auto"/>
        <w:ind w:firstLine="480" w:firstLineChars="200"/>
        <w:jc w:val="left"/>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（2）因发包人原因未能按合同约定支付合同价款的违约责任：</w:t>
      </w:r>
      <w:r>
        <w:rPr>
          <w:rFonts w:hint="eastAsia" w:ascii="宋体" w:hAnsi="宋体" w:eastAsia="宋体" w:cs="宋体"/>
          <w:color w:val="auto"/>
          <w:sz w:val="24"/>
          <w:szCs w:val="24"/>
          <w:highlight w:val="none"/>
          <w:u w:val="single"/>
        </w:rPr>
        <w:t>执行合同通用条款</w:t>
      </w:r>
      <w:r>
        <w:rPr>
          <w:rFonts w:hint="eastAsia" w:ascii="宋体" w:hAnsi="宋体" w:eastAsia="宋体" w:cs="宋体"/>
          <w:color w:val="auto"/>
          <w:kern w:val="0"/>
          <w:sz w:val="24"/>
          <w:szCs w:val="24"/>
          <w:highlight w:val="none"/>
          <w:u w:val="single"/>
        </w:rPr>
        <w:t xml:space="preserve">  </w:t>
      </w:r>
    </w:p>
    <w:p w14:paraId="31055D48">
      <w:pPr>
        <w:spacing w:line="360" w:lineRule="auto"/>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（3）发包人违反第10.1款〔变更的范围〕第（2）项约定，自行实施被取消的工作或转由他人实施的违约责任：</w:t>
      </w:r>
      <w:r>
        <w:rPr>
          <w:rFonts w:hint="eastAsia" w:ascii="宋体" w:hAnsi="宋体" w:eastAsia="宋体" w:cs="宋体"/>
          <w:color w:val="auto"/>
          <w:sz w:val="24"/>
          <w:szCs w:val="24"/>
          <w:highlight w:val="none"/>
          <w:u w:val="single"/>
        </w:rPr>
        <w:t>执行合同通用条款</w:t>
      </w:r>
      <w:r>
        <w:rPr>
          <w:rFonts w:hint="eastAsia" w:ascii="宋体" w:hAnsi="宋体" w:eastAsia="宋体" w:cs="宋体"/>
          <w:color w:val="auto"/>
          <w:kern w:val="0"/>
          <w:sz w:val="24"/>
          <w:szCs w:val="24"/>
          <w:highlight w:val="none"/>
          <w:u w:val="single"/>
        </w:rPr>
        <w:t xml:space="preserve">  </w:t>
      </w:r>
    </w:p>
    <w:p w14:paraId="469BAE9F">
      <w:pPr>
        <w:spacing w:line="360" w:lineRule="auto"/>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sz w:val="24"/>
          <w:szCs w:val="24"/>
          <w:highlight w:val="none"/>
          <w:u w:val="single"/>
        </w:rPr>
        <w:t>执行合同通用条款</w:t>
      </w:r>
      <w:r>
        <w:rPr>
          <w:rFonts w:hint="eastAsia" w:ascii="宋体" w:hAnsi="宋体" w:eastAsia="宋体" w:cs="宋体"/>
          <w:color w:val="auto"/>
          <w:kern w:val="0"/>
          <w:sz w:val="24"/>
          <w:szCs w:val="24"/>
          <w:highlight w:val="none"/>
          <w:u w:val="single"/>
        </w:rPr>
        <w:t xml:space="preserve">  </w:t>
      </w:r>
    </w:p>
    <w:p w14:paraId="2D73EBEB">
      <w:pPr>
        <w:spacing w:line="360" w:lineRule="auto"/>
        <w:ind w:firstLine="480" w:firstLineChars="200"/>
        <w:jc w:val="left"/>
        <w:outlineLvl w:val="9"/>
        <w:rPr>
          <w:rFonts w:hint="eastAsia" w:ascii="宋体" w:hAnsi="宋体" w:eastAsia="宋体" w:cs="宋体"/>
          <w:color w:val="auto"/>
          <w:kern w:val="0"/>
          <w:sz w:val="24"/>
          <w:szCs w:val="24"/>
          <w:highlight w:val="none"/>
          <w:u w:val="single"/>
          <w:lang w:eastAsia="zh-CN"/>
        </w:rPr>
      </w:pPr>
      <w:r>
        <w:rPr>
          <w:rFonts w:hint="eastAsia" w:ascii="宋体" w:hAnsi="宋体" w:eastAsia="宋体" w:cs="宋体"/>
          <w:color w:val="auto"/>
          <w:kern w:val="0"/>
          <w:sz w:val="24"/>
          <w:szCs w:val="24"/>
          <w:highlight w:val="none"/>
        </w:rPr>
        <w:t>（5）因发包人违反合同约定造成暂停施工的违约责任：</w:t>
      </w:r>
      <w:r>
        <w:rPr>
          <w:rFonts w:hint="eastAsia" w:ascii="宋体" w:hAnsi="宋体" w:eastAsia="宋体" w:cs="宋体"/>
          <w:color w:val="auto"/>
          <w:sz w:val="24"/>
          <w:szCs w:val="24"/>
          <w:highlight w:val="none"/>
          <w:u w:val="single"/>
        </w:rPr>
        <w:t>执行合同通用条款</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eastAsia="zh-CN"/>
        </w:rPr>
        <w:t>。</w:t>
      </w:r>
    </w:p>
    <w:p w14:paraId="38FCD5C7">
      <w:pPr>
        <w:spacing w:line="360" w:lineRule="auto"/>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（6）发包人无正当理由没有在约定期限内发出复工指示，导致承包人无法复工的违约责任：</w:t>
      </w:r>
      <w:r>
        <w:rPr>
          <w:rFonts w:hint="eastAsia" w:ascii="宋体" w:hAnsi="宋体" w:eastAsia="宋体" w:cs="宋体"/>
          <w:color w:val="auto"/>
          <w:sz w:val="24"/>
          <w:szCs w:val="24"/>
          <w:highlight w:val="none"/>
          <w:u w:val="single"/>
        </w:rPr>
        <w:t>执行合同通用条款</w:t>
      </w:r>
      <w:r>
        <w:rPr>
          <w:rFonts w:hint="eastAsia" w:ascii="宋体" w:hAnsi="宋体" w:eastAsia="宋体" w:cs="宋体"/>
          <w:color w:val="auto"/>
          <w:kern w:val="0"/>
          <w:sz w:val="24"/>
          <w:szCs w:val="24"/>
          <w:highlight w:val="none"/>
          <w:u w:val="single"/>
        </w:rPr>
        <w:t xml:space="preserve">  </w:t>
      </w:r>
    </w:p>
    <w:p w14:paraId="24075DF6">
      <w:pPr>
        <w:spacing w:line="360" w:lineRule="auto"/>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（7）其他：</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59AB293A">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16.1.3 因发包人违约解除合同</w:t>
      </w:r>
    </w:p>
    <w:p w14:paraId="20CF353B">
      <w:pPr>
        <w:autoSpaceDE w:val="0"/>
        <w:autoSpaceDN w:val="0"/>
        <w:adjustRightInd w:val="0"/>
        <w:spacing w:line="360" w:lineRule="auto"/>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承包人按16.1.1项〔发包人违约的情形〕约定暂停施工满</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28</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天后发包人仍不纠正其违约行为并致使合同目的不能实现的，承包人有权解除合同。</w:t>
      </w:r>
    </w:p>
    <w:p w14:paraId="79455B44">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承包人违约</w:t>
      </w:r>
    </w:p>
    <w:p w14:paraId="7367D297">
      <w:pPr>
        <w:spacing w:line="360" w:lineRule="auto"/>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16.2.1 承包人违约的情形</w:t>
      </w:r>
    </w:p>
    <w:p w14:paraId="47227EC4">
      <w:pPr>
        <w:spacing w:line="360" w:lineRule="auto"/>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承包人违约的其他情形：</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14:paraId="36EE6384">
      <w:pPr>
        <w:spacing w:line="360" w:lineRule="auto"/>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16.2.2承包人违约的责任</w:t>
      </w:r>
    </w:p>
    <w:p w14:paraId="6CAD2F10">
      <w:pPr>
        <w:spacing w:line="360" w:lineRule="auto"/>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承包人违约责任的承担方式和计算方法：</w:t>
      </w:r>
    </w:p>
    <w:p w14:paraId="18356BCF">
      <w:pPr>
        <w:spacing w:line="360" w:lineRule="auto"/>
        <w:ind w:firstLine="480" w:firstLineChars="200"/>
        <w:jc w:val="lef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１</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single"/>
        </w:rPr>
        <w:t>承包人应向发包人和监理单位提供月进度计划，若承包人月施工工期无故延迟达五天及以上，发包人将签发整改通知书，责令承包人限期抢回，并暂扣承包人30％的月应付工程进度款，待工期抢回后，再还暂扣款。</w:t>
      </w:r>
    </w:p>
    <w:p w14:paraId="3408D5DC">
      <w:pPr>
        <w:spacing w:line="360" w:lineRule="auto"/>
        <w:ind w:firstLine="360" w:firstLineChars="150"/>
        <w:jc w:val="lef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２、</w:t>
      </w:r>
      <w:r>
        <w:rPr>
          <w:rFonts w:hint="eastAsia" w:ascii="宋体" w:hAnsi="宋体" w:eastAsia="宋体" w:cs="宋体"/>
          <w:color w:val="auto"/>
          <w:sz w:val="24"/>
          <w:szCs w:val="24"/>
          <w:highlight w:val="none"/>
          <w:u w:val="single"/>
        </w:rPr>
        <w:t xml:space="preserve">为了确保工程质量，督促承包人严格按国家有关规定，精心组织施工，本工程设置了履约保证金，承办人在合同签定前提交，同时发包人向承包人提供与履约保证金相同的支付担保。发包人有权对施工中出现的工程质量事故或质量缺陷给予一定的经济处罚，承包人承担因此给发包人造成的一切经济损失，直至追究法律责任。 </w:t>
      </w:r>
    </w:p>
    <w:p w14:paraId="5226B0CA">
      <w:pPr>
        <w:spacing w:line="360" w:lineRule="auto"/>
        <w:ind w:firstLine="360" w:firstLineChars="150"/>
        <w:jc w:val="lef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３、</w:t>
      </w:r>
      <w:r>
        <w:rPr>
          <w:rFonts w:hint="eastAsia" w:ascii="宋体" w:hAnsi="宋体" w:eastAsia="宋体" w:cs="宋体"/>
          <w:color w:val="auto"/>
          <w:sz w:val="24"/>
          <w:szCs w:val="24"/>
          <w:highlight w:val="none"/>
          <w:u w:val="single"/>
        </w:rPr>
        <w:t xml:space="preserve">如因承包人原因达不到一次性验收合格的工程量要求，承包人应赔偿发包人合同价的５％违约金，并承担给发包人造成的一切经济损失，直至追究法律责任。 </w:t>
      </w:r>
    </w:p>
    <w:p w14:paraId="44C2E886">
      <w:pPr>
        <w:spacing w:line="360" w:lineRule="auto"/>
        <w:ind w:firstLine="360" w:firstLineChars="150"/>
        <w:jc w:val="left"/>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u w:val="none"/>
        </w:rPr>
        <w:t>４、</w:t>
      </w:r>
      <w:r>
        <w:rPr>
          <w:rFonts w:hint="eastAsia" w:ascii="宋体" w:hAnsi="宋体" w:eastAsia="宋体" w:cs="宋体"/>
          <w:color w:val="auto"/>
          <w:sz w:val="24"/>
          <w:szCs w:val="24"/>
          <w:highlight w:val="none"/>
          <w:u w:val="single"/>
        </w:rPr>
        <w:t>施工现场文明施工管理未达到标准要求，发包人有权要求承包人按照安全文明施工费的一定比例承担违约责任。</w:t>
      </w:r>
      <w:r>
        <w:rPr>
          <w:rFonts w:hint="eastAsia" w:ascii="宋体" w:hAnsi="宋体" w:eastAsia="宋体" w:cs="宋体"/>
          <w:color w:val="auto"/>
          <w:kern w:val="0"/>
          <w:sz w:val="24"/>
          <w:szCs w:val="24"/>
          <w:highlight w:val="none"/>
          <w:u w:val="single"/>
        </w:rPr>
        <w:t xml:space="preserve">   </w:t>
      </w:r>
    </w:p>
    <w:p w14:paraId="318CA3BA">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16.2.3 因承包人违约解除合同</w:t>
      </w:r>
    </w:p>
    <w:p w14:paraId="5C7A02C4">
      <w:pPr>
        <w:spacing w:before="120" w:beforeLines="0" w:after="120" w:afterLines="0" w:line="360" w:lineRule="auto"/>
        <w:ind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关于承包人违约解除合同的特别约定：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43EA4212">
      <w:pPr>
        <w:spacing w:before="120" w:beforeLines="0" w:after="120" w:afterLines="0" w:line="360" w:lineRule="auto"/>
        <w:ind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 w:val="24"/>
          <w:szCs w:val="24"/>
          <w:highlight w:val="none"/>
          <w:u w:val="single"/>
        </w:rPr>
        <w:t xml:space="preserve">  按实际发生计算   </w:t>
      </w:r>
      <w:r>
        <w:rPr>
          <w:rFonts w:hint="eastAsia" w:ascii="宋体" w:hAnsi="宋体" w:eastAsia="宋体" w:cs="宋体"/>
          <w:color w:val="auto"/>
          <w:kern w:val="0"/>
          <w:sz w:val="24"/>
          <w:szCs w:val="24"/>
          <w:highlight w:val="none"/>
        </w:rPr>
        <w:t>。</w:t>
      </w:r>
    </w:p>
    <w:p w14:paraId="27AD64E2">
      <w:pPr>
        <w:spacing w:line="360" w:lineRule="auto"/>
        <w:jc w:val="left"/>
        <w:outlineLvl w:val="9"/>
        <w:rPr>
          <w:rFonts w:hint="eastAsia" w:ascii="宋体" w:hAnsi="宋体" w:eastAsia="宋体" w:cs="宋体"/>
          <w:color w:val="auto"/>
          <w:sz w:val="24"/>
          <w:szCs w:val="24"/>
          <w:highlight w:val="none"/>
        </w:rPr>
      </w:pPr>
      <w:bookmarkStart w:id="1414" w:name="_Toc351203649"/>
      <w:r>
        <w:rPr>
          <w:rFonts w:hint="eastAsia" w:ascii="宋体" w:hAnsi="宋体" w:eastAsia="宋体" w:cs="宋体"/>
          <w:color w:val="auto"/>
          <w:sz w:val="24"/>
          <w:szCs w:val="24"/>
          <w:highlight w:val="none"/>
        </w:rPr>
        <w:t>17. 不可抗力</w:t>
      </w:r>
      <w:bookmarkEnd w:id="1414"/>
      <w:r>
        <w:rPr>
          <w:rFonts w:hint="eastAsia" w:ascii="宋体" w:hAnsi="宋体" w:eastAsia="宋体" w:cs="宋体"/>
          <w:color w:val="auto"/>
          <w:sz w:val="24"/>
          <w:szCs w:val="24"/>
          <w:highlight w:val="none"/>
        </w:rPr>
        <w:t xml:space="preserve"> </w:t>
      </w:r>
      <w:bookmarkEnd w:id="1412"/>
    </w:p>
    <w:p w14:paraId="2222D205">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不可抗力的确认</w:t>
      </w:r>
    </w:p>
    <w:p w14:paraId="5574AE74">
      <w:pPr>
        <w:spacing w:line="360" w:lineRule="auto"/>
        <w:ind w:firstLine="480" w:firstLineChars="200"/>
        <w:jc w:val="left"/>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 xml:space="preserve">除通用合同条款约定的不可抗力事件之外，视为不可抗力的其他情形：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5A614752">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 因不可抗力解除合同</w:t>
      </w:r>
    </w:p>
    <w:p w14:paraId="5722EB67">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合同解除后，发包人应在商定或确定发包人应支付款项后</w:t>
      </w:r>
      <w:r>
        <w:rPr>
          <w:rFonts w:hint="eastAsia" w:ascii="宋体" w:hAnsi="宋体" w:eastAsia="宋体" w:cs="宋体"/>
          <w:color w:val="auto"/>
          <w:sz w:val="24"/>
          <w:szCs w:val="24"/>
          <w:highlight w:val="none"/>
          <w:u w:val="single"/>
        </w:rPr>
        <w:t xml:space="preserve">  28 </w:t>
      </w:r>
      <w:r>
        <w:rPr>
          <w:rFonts w:hint="eastAsia" w:ascii="宋体" w:hAnsi="宋体" w:eastAsia="宋体" w:cs="宋体"/>
          <w:color w:val="auto"/>
          <w:sz w:val="24"/>
          <w:szCs w:val="24"/>
          <w:highlight w:val="none"/>
        </w:rPr>
        <w:t>天内完成款项的支付。</w:t>
      </w:r>
    </w:p>
    <w:p w14:paraId="4FAA3F4F">
      <w:pPr>
        <w:spacing w:line="360" w:lineRule="auto"/>
        <w:jc w:val="left"/>
        <w:outlineLvl w:val="9"/>
        <w:rPr>
          <w:rFonts w:hint="eastAsia" w:ascii="宋体" w:hAnsi="宋体" w:eastAsia="宋体" w:cs="宋体"/>
          <w:color w:val="auto"/>
          <w:sz w:val="24"/>
          <w:szCs w:val="24"/>
          <w:highlight w:val="none"/>
        </w:rPr>
      </w:pPr>
      <w:bookmarkStart w:id="1415" w:name="_Toc351203650"/>
      <w:r>
        <w:rPr>
          <w:rFonts w:hint="eastAsia" w:ascii="宋体" w:hAnsi="宋体" w:eastAsia="宋体" w:cs="宋体"/>
          <w:color w:val="auto"/>
          <w:sz w:val="24"/>
          <w:szCs w:val="24"/>
          <w:highlight w:val="none"/>
        </w:rPr>
        <w:t>18. 保险</w:t>
      </w:r>
      <w:bookmarkEnd w:id="1415"/>
    </w:p>
    <w:bookmarkEnd w:id="1413"/>
    <w:p w14:paraId="5B252F27">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工程保险</w:t>
      </w:r>
    </w:p>
    <w:p w14:paraId="37020FA3">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关于工程保险的特别约定：</w:t>
      </w:r>
      <w:r>
        <w:rPr>
          <w:rFonts w:hint="eastAsia" w:ascii="宋体" w:hAnsi="宋体" w:eastAsia="宋体" w:cs="宋体"/>
          <w:color w:val="auto"/>
          <w:sz w:val="24"/>
          <w:szCs w:val="24"/>
          <w:highlight w:val="none"/>
          <w:u w:val="single"/>
          <w:lang w:eastAsia="zh-CN"/>
        </w:rPr>
        <w:t>办理工程意外伤害保险及工伤保险</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0B9B056E">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其他保险</w:t>
      </w:r>
    </w:p>
    <w:p w14:paraId="76423B55">
      <w:pPr>
        <w:spacing w:line="360" w:lineRule="auto"/>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关于其他保险的约定：</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14:paraId="1BFD6FF5">
      <w:pPr>
        <w:spacing w:line="360" w:lineRule="auto"/>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承包人是否应为其施工设备等办理财产保险：</w:t>
      </w:r>
      <w:r>
        <w:rPr>
          <w:rFonts w:hint="eastAsia" w:ascii="宋体" w:hAnsi="宋体" w:eastAsia="宋体" w:cs="宋体"/>
          <w:color w:val="auto"/>
          <w:sz w:val="24"/>
          <w:szCs w:val="24"/>
          <w:highlight w:val="none"/>
          <w:u w:val="single"/>
        </w:rPr>
        <w:t xml:space="preserve"> 执行合同通用条款 </w:t>
      </w:r>
      <w:r>
        <w:rPr>
          <w:rFonts w:hint="eastAsia" w:ascii="宋体" w:hAnsi="宋体" w:eastAsia="宋体" w:cs="宋体"/>
          <w:color w:val="auto"/>
          <w:sz w:val="24"/>
          <w:szCs w:val="24"/>
          <w:highlight w:val="none"/>
        </w:rPr>
        <w:t>。</w:t>
      </w:r>
    </w:p>
    <w:p w14:paraId="5EDA83A4">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 通知义务</w:t>
      </w:r>
    </w:p>
    <w:p w14:paraId="0E945A20">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关于变更保险合同时的通知义务的约定：</w:t>
      </w:r>
      <w:r>
        <w:rPr>
          <w:rFonts w:hint="eastAsia" w:ascii="宋体" w:hAnsi="宋体" w:eastAsia="宋体" w:cs="宋体"/>
          <w:color w:val="auto"/>
          <w:sz w:val="24"/>
          <w:szCs w:val="24"/>
          <w:highlight w:val="none"/>
          <w:u w:val="single"/>
        </w:rPr>
        <w:t xml:space="preserve">  执行合同通用条款 </w:t>
      </w:r>
      <w:r>
        <w:rPr>
          <w:rFonts w:hint="eastAsia" w:ascii="宋体" w:hAnsi="宋体" w:eastAsia="宋体" w:cs="宋体"/>
          <w:color w:val="auto"/>
          <w:sz w:val="24"/>
          <w:szCs w:val="24"/>
          <w:highlight w:val="none"/>
        </w:rPr>
        <w:t>。</w:t>
      </w:r>
    </w:p>
    <w:bookmarkEnd w:id="1389"/>
    <w:bookmarkEnd w:id="1390"/>
    <w:bookmarkEnd w:id="1391"/>
    <w:bookmarkEnd w:id="1392"/>
    <w:bookmarkEnd w:id="1393"/>
    <w:bookmarkEnd w:id="1394"/>
    <w:bookmarkEnd w:id="1395"/>
    <w:bookmarkEnd w:id="1396"/>
    <w:bookmarkEnd w:id="1397"/>
    <w:bookmarkEnd w:id="1398"/>
    <w:bookmarkEnd w:id="1399"/>
    <w:bookmarkEnd w:id="1400"/>
    <w:p w14:paraId="01CE9F8D">
      <w:pPr>
        <w:spacing w:line="360" w:lineRule="auto"/>
        <w:jc w:val="left"/>
        <w:outlineLvl w:val="9"/>
        <w:rPr>
          <w:rFonts w:hint="eastAsia" w:ascii="宋体" w:hAnsi="宋体" w:eastAsia="宋体" w:cs="宋体"/>
          <w:color w:val="auto"/>
          <w:sz w:val="24"/>
          <w:szCs w:val="24"/>
          <w:highlight w:val="none"/>
        </w:rPr>
      </w:pPr>
      <w:bookmarkStart w:id="1416" w:name="_Toc351203651"/>
      <w:r>
        <w:rPr>
          <w:rFonts w:hint="eastAsia" w:ascii="宋体" w:hAnsi="宋体" w:eastAsia="宋体" w:cs="宋体"/>
          <w:color w:val="auto"/>
          <w:sz w:val="24"/>
          <w:szCs w:val="24"/>
          <w:highlight w:val="none"/>
        </w:rPr>
        <w:t>20. 争议解决</w:t>
      </w:r>
      <w:bookmarkEnd w:id="1416"/>
    </w:p>
    <w:bookmarkEnd w:id="1401"/>
    <w:bookmarkEnd w:id="1402"/>
    <w:p w14:paraId="14DEC8C5">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 争</w:t>
      </w:r>
      <w:bookmarkEnd w:id="1403"/>
      <w:r>
        <w:rPr>
          <w:rFonts w:hint="eastAsia" w:ascii="宋体" w:hAnsi="宋体" w:eastAsia="宋体" w:cs="宋体"/>
          <w:color w:val="auto"/>
          <w:sz w:val="24"/>
          <w:szCs w:val="24"/>
          <w:highlight w:val="none"/>
        </w:rPr>
        <w:t>议评审</w:t>
      </w:r>
    </w:p>
    <w:p w14:paraId="216FF590">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合同当事人是否同意将工程争议提交争议评审小组决定：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A44E220">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20.3.1 争议评审小组的确定</w:t>
      </w:r>
    </w:p>
    <w:p w14:paraId="050247D8">
      <w:pPr>
        <w:spacing w:line="360" w:lineRule="auto"/>
        <w:ind w:firstLine="480" w:firstLineChars="200"/>
        <w:jc w:val="lef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争议评审小组成员的确定：</w:t>
      </w:r>
      <w:r>
        <w:rPr>
          <w:rFonts w:hint="eastAsia" w:ascii="宋体" w:hAnsi="宋体" w:eastAsia="宋体" w:cs="宋体"/>
          <w:color w:val="auto"/>
          <w:sz w:val="24"/>
          <w:szCs w:val="24"/>
          <w:highlight w:val="none"/>
          <w:u w:val="single"/>
        </w:rPr>
        <w:t xml:space="preserve"> 执行合同通用条款       </w:t>
      </w:r>
      <w:r>
        <w:rPr>
          <w:rFonts w:hint="eastAsia" w:ascii="宋体" w:hAnsi="宋体" w:eastAsia="宋体" w:cs="宋体"/>
          <w:color w:val="auto"/>
          <w:sz w:val="24"/>
          <w:szCs w:val="24"/>
          <w:highlight w:val="none"/>
        </w:rPr>
        <w:t>。</w:t>
      </w:r>
    </w:p>
    <w:p w14:paraId="357BD5DC">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选定争议评审员的期限：</w:t>
      </w:r>
      <w:r>
        <w:rPr>
          <w:rFonts w:hint="eastAsia" w:ascii="宋体" w:hAnsi="宋体" w:eastAsia="宋体" w:cs="宋体"/>
          <w:color w:val="auto"/>
          <w:sz w:val="24"/>
          <w:szCs w:val="24"/>
          <w:highlight w:val="none"/>
          <w:u w:val="single"/>
        </w:rPr>
        <w:t xml:space="preserve">  执行合同通用条款       </w:t>
      </w:r>
      <w:r>
        <w:rPr>
          <w:rFonts w:hint="eastAsia" w:ascii="宋体" w:hAnsi="宋体" w:eastAsia="宋体" w:cs="宋体"/>
          <w:color w:val="auto"/>
          <w:sz w:val="24"/>
          <w:szCs w:val="24"/>
          <w:highlight w:val="none"/>
        </w:rPr>
        <w:t>。</w:t>
      </w:r>
    </w:p>
    <w:p w14:paraId="0E0A8B6E">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争议评审小组成员的报酬承担方式：</w:t>
      </w:r>
      <w:r>
        <w:rPr>
          <w:rFonts w:hint="eastAsia" w:ascii="宋体" w:hAnsi="宋体" w:eastAsia="宋体" w:cs="宋体"/>
          <w:color w:val="auto"/>
          <w:sz w:val="24"/>
          <w:szCs w:val="24"/>
          <w:highlight w:val="none"/>
          <w:u w:val="single"/>
        </w:rPr>
        <w:t xml:space="preserve">  执行合同通用条款  </w:t>
      </w:r>
      <w:r>
        <w:rPr>
          <w:rFonts w:hint="eastAsia" w:ascii="宋体" w:hAnsi="宋体" w:eastAsia="宋体" w:cs="宋体"/>
          <w:color w:val="auto"/>
          <w:sz w:val="24"/>
          <w:szCs w:val="24"/>
          <w:highlight w:val="none"/>
        </w:rPr>
        <w:t>。</w:t>
      </w:r>
    </w:p>
    <w:p w14:paraId="426B2453">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其他事项的约定：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266DD51">
      <w:pPr>
        <w:autoSpaceDE w:val="0"/>
        <w:autoSpaceDN w:val="0"/>
        <w:adjustRightInd w:val="0"/>
        <w:spacing w:line="360" w:lineRule="auto"/>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20.3.2 争议评审小组的决定</w:t>
      </w:r>
    </w:p>
    <w:p w14:paraId="019D6394">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合同当事人关于本项的约定：</w:t>
      </w:r>
      <w:r>
        <w:rPr>
          <w:rFonts w:hint="eastAsia" w:ascii="宋体" w:hAnsi="宋体" w:eastAsia="宋体" w:cs="宋体"/>
          <w:color w:val="auto"/>
          <w:sz w:val="24"/>
          <w:szCs w:val="24"/>
          <w:highlight w:val="none"/>
          <w:u w:val="single"/>
        </w:rPr>
        <w:t xml:space="preserve"> 执行合同通用条款  </w:t>
      </w:r>
      <w:r>
        <w:rPr>
          <w:rFonts w:hint="eastAsia" w:ascii="宋体" w:hAnsi="宋体" w:eastAsia="宋体" w:cs="宋体"/>
          <w:color w:val="auto"/>
          <w:sz w:val="24"/>
          <w:szCs w:val="24"/>
          <w:highlight w:val="none"/>
        </w:rPr>
        <w:t>。</w:t>
      </w:r>
    </w:p>
    <w:p w14:paraId="1F5F0A8B">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20.4仲裁或诉讼</w:t>
      </w:r>
      <w:bookmarkEnd w:id="1404"/>
    </w:p>
    <w:p w14:paraId="6144664B">
      <w:pPr>
        <w:spacing w:after="120" w:afterLines="0"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因合同及合同有关事项发生的争议，按下列第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种方式解决：</w:t>
      </w:r>
    </w:p>
    <w:p w14:paraId="0A950092">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（1）向</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仲裁委员会申请仲裁；</w:t>
      </w:r>
    </w:p>
    <w:p w14:paraId="38765449">
      <w:pPr>
        <w:outlineLvl w:val="9"/>
        <w:rPr>
          <w:rFonts w:hint="eastAsia" w:ascii="宋体" w:hAnsi="宋体" w:eastAsia="宋体" w:cs="宋体"/>
          <w:b/>
          <w:bCs/>
          <w:color w:val="auto"/>
          <w:kern w:val="0"/>
          <w:sz w:val="24"/>
          <w:szCs w:val="24"/>
          <w:highlight w:val="none"/>
          <w:lang w:eastAsia="zh-CN"/>
        </w:rPr>
      </w:pPr>
      <w:r>
        <w:rPr>
          <w:rFonts w:hint="eastAsia" w:ascii="宋体" w:hAnsi="宋体" w:eastAsia="宋体" w:cs="宋体"/>
          <w:color w:val="auto"/>
          <w:sz w:val="24"/>
          <w:szCs w:val="24"/>
          <w:highlight w:val="none"/>
        </w:rPr>
        <w:t>（2）向</w:t>
      </w:r>
      <w:r>
        <w:rPr>
          <w:rFonts w:hint="eastAsia" w:ascii="宋体" w:hAnsi="宋体" w:eastAsia="宋体" w:cs="宋体"/>
          <w:color w:val="auto"/>
          <w:sz w:val="24"/>
          <w:szCs w:val="24"/>
          <w:highlight w:val="none"/>
          <w:u w:val="single"/>
        </w:rPr>
        <w:t xml:space="preserve">    当地              </w:t>
      </w:r>
      <w:r>
        <w:rPr>
          <w:rFonts w:hint="eastAsia" w:ascii="宋体" w:hAnsi="宋体" w:eastAsia="宋体" w:cs="宋体"/>
          <w:color w:val="auto"/>
          <w:sz w:val="24"/>
          <w:szCs w:val="24"/>
          <w:highlight w:val="none"/>
        </w:rPr>
        <w:t>人民法院起诉。</w:t>
      </w:r>
      <w:bookmarkEnd w:id="1405"/>
      <w:bookmarkEnd w:id="1406"/>
      <w:bookmarkEnd w:id="1407"/>
      <w:bookmarkEnd w:id="1408"/>
      <w:bookmarkEnd w:id="1409"/>
      <w:bookmarkEnd w:id="1410"/>
    </w:p>
    <w:p w14:paraId="4BAC9901">
      <w:pPr>
        <w:spacing w:line="360" w:lineRule="auto"/>
        <w:jc w:val="center"/>
        <w:outlineLvl w:val="9"/>
        <w:rPr>
          <w:rFonts w:hint="eastAsia" w:ascii="宋体" w:hAnsi="宋体" w:eastAsia="宋体" w:cs="宋体"/>
          <w:b/>
          <w:bCs/>
          <w:color w:val="auto"/>
          <w:kern w:val="0"/>
          <w:sz w:val="24"/>
          <w:szCs w:val="24"/>
          <w:highlight w:val="none"/>
          <w:lang w:eastAsia="zh-CN"/>
        </w:rPr>
      </w:pPr>
    </w:p>
    <w:p w14:paraId="48324383">
      <w:pPr>
        <w:spacing w:line="360" w:lineRule="auto"/>
        <w:jc w:val="center"/>
        <w:outlineLvl w:val="9"/>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eastAsia="zh-CN"/>
        </w:rPr>
        <w:br w:type="page"/>
      </w:r>
      <w:r>
        <w:rPr>
          <w:rFonts w:hint="eastAsia" w:ascii="宋体" w:hAnsi="宋体" w:eastAsia="宋体" w:cs="宋体"/>
          <w:b/>
          <w:bCs/>
          <w:color w:val="auto"/>
          <w:kern w:val="0"/>
          <w:sz w:val="24"/>
          <w:szCs w:val="24"/>
          <w:highlight w:val="none"/>
          <w:lang w:eastAsia="zh-CN"/>
        </w:rPr>
        <w:t>第三节</w:t>
      </w:r>
      <w:r>
        <w:rPr>
          <w:rFonts w:hint="eastAsia" w:ascii="宋体" w:hAnsi="宋体" w:eastAsia="宋体" w:cs="宋体"/>
          <w:b/>
          <w:bCs/>
          <w:color w:val="auto"/>
          <w:kern w:val="0"/>
          <w:sz w:val="24"/>
          <w:szCs w:val="24"/>
          <w:highlight w:val="none"/>
        </w:rPr>
        <w:t xml:space="preserve"> 合同附件格式</w:t>
      </w:r>
    </w:p>
    <w:p w14:paraId="19EB188D">
      <w:pPr>
        <w:spacing w:before="156" w:beforeLines="50" w:after="156" w:afterLines="50" w:line="440" w:lineRule="exact"/>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w:t>
      </w:r>
    </w:p>
    <w:p w14:paraId="63D6ECBC">
      <w:pPr>
        <w:spacing w:before="156" w:beforeLines="50" w:after="156" w:afterLines="50" w:line="44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承包人承揽工程项目一览表</w:t>
      </w:r>
    </w:p>
    <w:tbl>
      <w:tblPr>
        <w:tblStyle w:val="24"/>
        <w:tblW w:w="9431" w:type="dxa"/>
        <w:tblInd w:w="-51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67"/>
        <w:gridCol w:w="763"/>
        <w:gridCol w:w="1406"/>
        <w:gridCol w:w="737"/>
        <w:gridCol w:w="843"/>
        <w:gridCol w:w="764"/>
        <w:gridCol w:w="1071"/>
        <w:gridCol w:w="893"/>
        <w:gridCol w:w="844"/>
        <w:gridCol w:w="843"/>
      </w:tblGrid>
      <w:tr w14:paraId="569EB8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68" w:hRule="atLeast"/>
        </w:trPr>
        <w:tc>
          <w:tcPr>
            <w:tcW w:w="1267" w:type="dxa"/>
            <w:tcBorders>
              <w:top w:val="single" w:color="auto" w:sz="12" w:space="0"/>
              <w:bottom w:val="double" w:color="auto" w:sz="6" w:space="0"/>
            </w:tcBorders>
            <w:noWrap w:val="0"/>
            <w:vAlign w:val="center"/>
          </w:tcPr>
          <w:p w14:paraId="714E5CC7">
            <w:pPr>
              <w:pStyle w:val="9"/>
              <w:keepNext/>
              <w:spacing w:line="440" w:lineRule="exact"/>
              <w:ind w:left="63" w:right="63"/>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单位工程名称</w:t>
            </w:r>
          </w:p>
        </w:tc>
        <w:tc>
          <w:tcPr>
            <w:tcW w:w="763" w:type="dxa"/>
            <w:tcBorders>
              <w:top w:val="single" w:color="auto" w:sz="12" w:space="0"/>
              <w:bottom w:val="double" w:color="auto" w:sz="6" w:space="0"/>
            </w:tcBorders>
            <w:noWrap w:val="0"/>
            <w:vAlign w:val="center"/>
          </w:tcPr>
          <w:p w14:paraId="24C2D823">
            <w:pPr>
              <w:pStyle w:val="9"/>
              <w:keepNext/>
              <w:spacing w:line="440" w:lineRule="exact"/>
              <w:ind w:left="63" w:right="63"/>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建设规模</w:t>
            </w:r>
          </w:p>
        </w:tc>
        <w:tc>
          <w:tcPr>
            <w:tcW w:w="1406" w:type="dxa"/>
            <w:tcBorders>
              <w:top w:val="single" w:color="auto" w:sz="12" w:space="0"/>
              <w:bottom w:val="double" w:color="auto" w:sz="6" w:space="0"/>
            </w:tcBorders>
            <w:noWrap w:val="0"/>
            <w:vAlign w:val="center"/>
          </w:tcPr>
          <w:p w14:paraId="53FC52B9">
            <w:pPr>
              <w:pStyle w:val="9"/>
              <w:keepNext/>
              <w:spacing w:line="440" w:lineRule="exact"/>
              <w:ind w:left="63" w:right="63"/>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建筑面积(平方米)</w:t>
            </w:r>
          </w:p>
        </w:tc>
        <w:tc>
          <w:tcPr>
            <w:tcW w:w="737" w:type="dxa"/>
            <w:tcBorders>
              <w:top w:val="single" w:color="auto" w:sz="12" w:space="0"/>
              <w:bottom w:val="double" w:color="auto" w:sz="6" w:space="0"/>
            </w:tcBorders>
            <w:noWrap w:val="0"/>
            <w:vAlign w:val="center"/>
          </w:tcPr>
          <w:p w14:paraId="2AAE8AC9">
            <w:pPr>
              <w:pStyle w:val="9"/>
              <w:keepNext/>
              <w:spacing w:line="440" w:lineRule="exact"/>
              <w:ind w:left="63" w:right="63"/>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结构形式</w:t>
            </w:r>
          </w:p>
        </w:tc>
        <w:tc>
          <w:tcPr>
            <w:tcW w:w="843" w:type="dxa"/>
            <w:tcBorders>
              <w:top w:val="single" w:color="auto" w:sz="12" w:space="0"/>
              <w:bottom w:val="double" w:color="auto" w:sz="6" w:space="0"/>
            </w:tcBorders>
            <w:noWrap w:val="0"/>
            <w:vAlign w:val="center"/>
          </w:tcPr>
          <w:p w14:paraId="320E6896">
            <w:pPr>
              <w:pStyle w:val="9"/>
              <w:keepNext/>
              <w:spacing w:line="440" w:lineRule="exact"/>
              <w:ind w:left="63" w:right="63"/>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层数</w:t>
            </w:r>
          </w:p>
        </w:tc>
        <w:tc>
          <w:tcPr>
            <w:tcW w:w="764" w:type="dxa"/>
            <w:tcBorders>
              <w:top w:val="single" w:color="auto" w:sz="12" w:space="0"/>
              <w:bottom w:val="double" w:color="auto" w:sz="6" w:space="0"/>
            </w:tcBorders>
            <w:noWrap w:val="0"/>
            <w:vAlign w:val="center"/>
          </w:tcPr>
          <w:p w14:paraId="77A26480">
            <w:pPr>
              <w:pStyle w:val="9"/>
              <w:keepNext/>
              <w:spacing w:line="440" w:lineRule="exact"/>
              <w:ind w:left="63" w:right="63"/>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生产能力</w:t>
            </w:r>
          </w:p>
        </w:tc>
        <w:tc>
          <w:tcPr>
            <w:tcW w:w="1071" w:type="dxa"/>
            <w:tcBorders>
              <w:top w:val="single" w:color="auto" w:sz="12" w:space="0"/>
              <w:bottom w:val="double" w:color="auto" w:sz="6" w:space="0"/>
            </w:tcBorders>
            <w:noWrap w:val="0"/>
            <w:vAlign w:val="center"/>
          </w:tcPr>
          <w:p w14:paraId="171D7988">
            <w:pPr>
              <w:pStyle w:val="9"/>
              <w:keepNext/>
              <w:spacing w:line="440" w:lineRule="exact"/>
              <w:ind w:left="63" w:right="63"/>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设备安装内容</w:t>
            </w:r>
          </w:p>
        </w:tc>
        <w:tc>
          <w:tcPr>
            <w:tcW w:w="893" w:type="dxa"/>
            <w:tcBorders>
              <w:top w:val="single" w:color="auto" w:sz="12" w:space="0"/>
              <w:bottom w:val="double" w:color="auto" w:sz="6" w:space="0"/>
            </w:tcBorders>
            <w:noWrap w:val="0"/>
            <w:vAlign w:val="center"/>
          </w:tcPr>
          <w:p w14:paraId="2D69F4A7">
            <w:pPr>
              <w:pStyle w:val="9"/>
              <w:keepNext/>
              <w:spacing w:line="440" w:lineRule="exact"/>
              <w:ind w:left="63" w:right="63"/>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合同价格（元）</w:t>
            </w:r>
          </w:p>
        </w:tc>
        <w:tc>
          <w:tcPr>
            <w:tcW w:w="844" w:type="dxa"/>
            <w:tcBorders>
              <w:top w:val="single" w:color="auto" w:sz="12" w:space="0"/>
              <w:bottom w:val="double" w:color="auto" w:sz="6" w:space="0"/>
            </w:tcBorders>
            <w:noWrap w:val="0"/>
            <w:vAlign w:val="center"/>
          </w:tcPr>
          <w:p w14:paraId="61DCAD00">
            <w:pPr>
              <w:pStyle w:val="9"/>
              <w:keepNext/>
              <w:spacing w:line="440" w:lineRule="exact"/>
              <w:ind w:left="63" w:right="63"/>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开工日期</w:t>
            </w:r>
          </w:p>
        </w:tc>
        <w:tc>
          <w:tcPr>
            <w:tcW w:w="843" w:type="dxa"/>
            <w:tcBorders>
              <w:top w:val="single" w:color="auto" w:sz="12" w:space="0"/>
              <w:bottom w:val="double" w:color="auto" w:sz="6" w:space="0"/>
            </w:tcBorders>
            <w:noWrap w:val="0"/>
            <w:vAlign w:val="center"/>
          </w:tcPr>
          <w:p w14:paraId="010502F1">
            <w:pPr>
              <w:pStyle w:val="9"/>
              <w:keepNext/>
              <w:spacing w:line="440" w:lineRule="exact"/>
              <w:ind w:left="63" w:right="63"/>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竣工日期</w:t>
            </w:r>
          </w:p>
        </w:tc>
      </w:tr>
      <w:tr w14:paraId="678A04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double" w:color="auto" w:sz="6" w:space="0"/>
              <w:bottom w:val="single" w:color="auto" w:sz="6" w:space="0"/>
            </w:tcBorders>
            <w:noWrap w:val="0"/>
            <w:vAlign w:val="center"/>
          </w:tcPr>
          <w:p w14:paraId="5A08EE48">
            <w:pPr>
              <w:pStyle w:val="9"/>
              <w:keepNext/>
              <w:spacing w:line="440" w:lineRule="exact"/>
              <w:ind w:left="63" w:right="63"/>
              <w:outlineLvl w:val="9"/>
              <w:rPr>
                <w:rFonts w:hint="eastAsia" w:ascii="宋体" w:hAnsi="宋体" w:eastAsia="宋体" w:cs="宋体"/>
                <w:color w:val="auto"/>
                <w:sz w:val="24"/>
                <w:szCs w:val="24"/>
                <w:highlight w:val="none"/>
              </w:rPr>
            </w:pPr>
          </w:p>
        </w:tc>
        <w:tc>
          <w:tcPr>
            <w:tcW w:w="763" w:type="dxa"/>
            <w:tcBorders>
              <w:top w:val="double" w:color="auto" w:sz="6" w:space="0"/>
              <w:bottom w:val="single" w:color="auto" w:sz="6" w:space="0"/>
            </w:tcBorders>
            <w:noWrap w:val="0"/>
            <w:vAlign w:val="center"/>
          </w:tcPr>
          <w:p w14:paraId="65C520C2">
            <w:pPr>
              <w:pStyle w:val="9"/>
              <w:keepNext/>
              <w:spacing w:line="440" w:lineRule="exact"/>
              <w:ind w:left="63" w:right="63"/>
              <w:outlineLvl w:val="9"/>
              <w:rPr>
                <w:rFonts w:hint="eastAsia" w:ascii="宋体" w:hAnsi="宋体" w:eastAsia="宋体" w:cs="宋体"/>
                <w:color w:val="auto"/>
                <w:sz w:val="24"/>
                <w:szCs w:val="24"/>
                <w:highlight w:val="none"/>
              </w:rPr>
            </w:pPr>
          </w:p>
        </w:tc>
        <w:tc>
          <w:tcPr>
            <w:tcW w:w="1406" w:type="dxa"/>
            <w:tcBorders>
              <w:top w:val="double" w:color="auto" w:sz="6" w:space="0"/>
              <w:bottom w:val="single" w:color="auto" w:sz="6" w:space="0"/>
            </w:tcBorders>
            <w:noWrap w:val="0"/>
            <w:vAlign w:val="center"/>
          </w:tcPr>
          <w:p w14:paraId="79E8A852">
            <w:pPr>
              <w:pStyle w:val="9"/>
              <w:keepNext/>
              <w:spacing w:line="440" w:lineRule="exact"/>
              <w:ind w:left="63" w:right="63"/>
              <w:outlineLvl w:val="9"/>
              <w:rPr>
                <w:rFonts w:hint="eastAsia" w:ascii="宋体" w:hAnsi="宋体" w:eastAsia="宋体" w:cs="宋体"/>
                <w:color w:val="auto"/>
                <w:sz w:val="24"/>
                <w:szCs w:val="24"/>
                <w:highlight w:val="none"/>
              </w:rPr>
            </w:pPr>
          </w:p>
        </w:tc>
        <w:tc>
          <w:tcPr>
            <w:tcW w:w="737" w:type="dxa"/>
            <w:tcBorders>
              <w:top w:val="double" w:color="auto" w:sz="6" w:space="0"/>
              <w:bottom w:val="single" w:color="auto" w:sz="6" w:space="0"/>
            </w:tcBorders>
            <w:noWrap w:val="0"/>
            <w:vAlign w:val="center"/>
          </w:tcPr>
          <w:p w14:paraId="63272A11">
            <w:pPr>
              <w:pStyle w:val="9"/>
              <w:keepNext/>
              <w:spacing w:line="440" w:lineRule="exact"/>
              <w:ind w:left="63" w:right="63"/>
              <w:outlineLvl w:val="9"/>
              <w:rPr>
                <w:rFonts w:hint="eastAsia" w:ascii="宋体" w:hAnsi="宋体" w:eastAsia="宋体" w:cs="宋体"/>
                <w:color w:val="auto"/>
                <w:sz w:val="24"/>
                <w:szCs w:val="24"/>
                <w:highlight w:val="none"/>
              </w:rPr>
            </w:pPr>
          </w:p>
        </w:tc>
        <w:tc>
          <w:tcPr>
            <w:tcW w:w="843" w:type="dxa"/>
            <w:tcBorders>
              <w:top w:val="double" w:color="auto" w:sz="6" w:space="0"/>
              <w:bottom w:val="single" w:color="auto" w:sz="6" w:space="0"/>
            </w:tcBorders>
            <w:noWrap w:val="0"/>
            <w:vAlign w:val="center"/>
          </w:tcPr>
          <w:p w14:paraId="462BDCD7">
            <w:pPr>
              <w:pStyle w:val="9"/>
              <w:keepNext/>
              <w:spacing w:line="440" w:lineRule="exact"/>
              <w:ind w:left="63" w:right="63"/>
              <w:outlineLvl w:val="9"/>
              <w:rPr>
                <w:rFonts w:hint="eastAsia" w:ascii="宋体" w:hAnsi="宋体" w:eastAsia="宋体" w:cs="宋体"/>
                <w:color w:val="auto"/>
                <w:sz w:val="24"/>
                <w:szCs w:val="24"/>
                <w:highlight w:val="none"/>
              </w:rPr>
            </w:pPr>
          </w:p>
        </w:tc>
        <w:tc>
          <w:tcPr>
            <w:tcW w:w="764" w:type="dxa"/>
            <w:tcBorders>
              <w:top w:val="double" w:color="auto" w:sz="6" w:space="0"/>
              <w:bottom w:val="single" w:color="auto" w:sz="6" w:space="0"/>
            </w:tcBorders>
            <w:noWrap w:val="0"/>
            <w:vAlign w:val="center"/>
          </w:tcPr>
          <w:p w14:paraId="2C876B18">
            <w:pPr>
              <w:pStyle w:val="9"/>
              <w:keepNext/>
              <w:spacing w:line="440" w:lineRule="exact"/>
              <w:ind w:left="63" w:right="63"/>
              <w:outlineLvl w:val="9"/>
              <w:rPr>
                <w:rFonts w:hint="eastAsia" w:ascii="宋体" w:hAnsi="宋体" w:eastAsia="宋体" w:cs="宋体"/>
                <w:color w:val="auto"/>
                <w:sz w:val="24"/>
                <w:szCs w:val="24"/>
                <w:highlight w:val="none"/>
              </w:rPr>
            </w:pPr>
          </w:p>
        </w:tc>
        <w:tc>
          <w:tcPr>
            <w:tcW w:w="1071" w:type="dxa"/>
            <w:tcBorders>
              <w:top w:val="double" w:color="auto" w:sz="6" w:space="0"/>
              <w:bottom w:val="single" w:color="auto" w:sz="6" w:space="0"/>
            </w:tcBorders>
            <w:noWrap w:val="0"/>
            <w:vAlign w:val="center"/>
          </w:tcPr>
          <w:p w14:paraId="17D264BA">
            <w:pPr>
              <w:pStyle w:val="9"/>
              <w:keepNext/>
              <w:spacing w:line="440" w:lineRule="exact"/>
              <w:ind w:left="63" w:right="63"/>
              <w:outlineLvl w:val="9"/>
              <w:rPr>
                <w:rFonts w:hint="eastAsia" w:ascii="宋体" w:hAnsi="宋体" w:eastAsia="宋体" w:cs="宋体"/>
                <w:color w:val="auto"/>
                <w:sz w:val="24"/>
                <w:szCs w:val="24"/>
                <w:highlight w:val="none"/>
              </w:rPr>
            </w:pPr>
          </w:p>
        </w:tc>
        <w:tc>
          <w:tcPr>
            <w:tcW w:w="893" w:type="dxa"/>
            <w:tcBorders>
              <w:top w:val="double" w:color="auto" w:sz="6" w:space="0"/>
              <w:bottom w:val="single" w:color="auto" w:sz="6" w:space="0"/>
            </w:tcBorders>
            <w:noWrap w:val="0"/>
            <w:vAlign w:val="center"/>
          </w:tcPr>
          <w:p w14:paraId="52DDCD08">
            <w:pPr>
              <w:pStyle w:val="9"/>
              <w:keepNext/>
              <w:spacing w:line="440" w:lineRule="exact"/>
              <w:ind w:left="63" w:right="63"/>
              <w:outlineLvl w:val="9"/>
              <w:rPr>
                <w:rFonts w:hint="eastAsia" w:ascii="宋体" w:hAnsi="宋体" w:eastAsia="宋体" w:cs="宋体"/>
                <w:color w:val="auto"/>
                <w:sz w:val="24"/>
                <w:szCs w:val="24"/>
                <w:highlight w:val="none"/>
              </w:rPr>
            </w:pPr>
          </w:p>
        </w:tc>
        <w:tc>
          <w:tcPr>
            <w:tcW w:w="844" w:type="dxa"/>
            <w:tcBorders>
              <w:top w:val="double" w:color="auto" w:sz="6" w:space="0"/>
              <w:bottom w:val="single" w:color="auto" w:sz="6" w:space="0"/>
            </w:tcBorders>
            <w:noWrap w:val="0"/>
            <w:vAlign w:val="center"/>
          </w:tcPr>
          <w:p w14:paraId="694D0B5A">
            <w:pPr>
              <w:pStyle w:val="9"/>
              <w:keepNext/>
              <w:spacing w:line="440" w:lineRule="exact"/>
              <w:ind w:left="63" w:right="63"/>
              <w:outlineLvl w:val="9"/>
              <w:rPr>
                <w:rFonts w:hint="eastAsia" w:ascii="宋体" w:hAnsi="宋体" w:eastAsia="宋体" w:cs="宋体"/>
                <w:color w:val="auto"/>
                <w:sz w:val="24"/>
                <w:szCs w:val="24"/>
                <w:highlight w:val="none"/>
              </w:rPr>
            </w:pPr>
          </w:p>
        </w:tc>
        <w:tc>
          <w:tcPr>
            <w:tcW w:w="843" w:type="dxa"/>
            <w:tcBorders>
              <w:top w:val="double" w:color="auto" w:sz="6" w:space="0"/>
              <w:bottom w:val="single" w:color="auto" w:sz="6" w:space="0"/>
            </w:tcBorders>
            <w:noWrap w:val="0"/>
            <w:vAlign w:val="center"/>
          </w:tcPr>
          <w:p w14:paraId="7D28BF1E">
            <w:pPr>
              <w:pStyle w:val="9"/>
              <w:keepNext/>
              <w:spacing w:line="440" w:lineRule="exact"/>
              <w:ind w:left="63" w:right="63"/>
              <w:outlineLvl w:val="9"/>
              <w:rPr>
                <w:rFonts w:hint="eastAsia" w:ascii="宋体" w:hAnsi="宋体" w:eastAsia="宋体" w:cs="宋体"/>
                <w:color w:val="auto"/>
                <w:sz w:val="24"/>
                <w:szCs w:val="24"/>
                <w:highlight w:val="none"/>
              </w:rPr>
            </w:pPr>
          </w:p>
        </w:tc>
      </w:tr>
      <w:tr w14:paraId="1CEB28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nil"/>
            </w:tcBorders>
            <w:noWrap w:val="0"/>
            <w:vAlign w:val="center"/>
          </w:tcPr>
          <w:p w14:paraId="13167BAB">
            <w:pPr>
              <w:pStyle w:val="9"/>
              <w:keepNext/>
              <w:spacing w:line="440" w:lineRule="exact"/>
              <w:ind w:left="63" w:right="63"/>
              <w:outlineLvl w:val="9"/>
              <w:rPr>
                <w:rFonts w:hint="eastAsia" w:ascii="宋体" w:hAnsi="宋体" w:eastAsia="宋体" w:cs="宋体"/>
                <w:color w:val="auto"/>
                <w:sz w:val="24"/>
                <w:szCs w:val="24"/>
                <w:highlight w:val="none"/>
              </w:rPr>
            </w:pPr>
          </w:p>
        </w:tc>
        <w:tc>
          <w:tcPr>
            <w:tcW w:w="763" w:type="dxa"/>
            <w:tcBorders>
              <w:top w:val="nil"/>
            </w:tcBorders>
            <w:noWrap w:val="0"/>
            <w:vAlign w:val="center"/>
          </w:tcPr>
          <w:p w14:paraId="1F830139">
            <w:pPr>
              <w:pStyle w:val="9"/>
              <w:keepNext/>
              <w:spacing w:line="440" w:lineRule="exact"/>
              <w:ind w:left="63" w:right="63"/>
              <w:outlineLvl w:val="9"/>
              <w:rPr>
                <w:rFonts w:hint="eastAsia" w:ascii="宋体" w:hAnsi="宋体" w:eastAsia="宋体" w:cs="宋体"/>
                <w:color w:val="auto"/>
                <w:sz w:val="24"/>
                <w:szCs w:val="24"/>
                <w:highlight w:val="none"/>
              </w:rPr>
            </w:pPr>
          </w:p>
        </w:tc>
        <w:tc>
          <w:tcPr>
            <w:tcW w:w="1406" w:type="dxa"/>
            <w:tcBorders>
              <w:top w:val="nil"/>
            </w:tcBorders>
            <w:noWrap w:val="0"/>
            <w:vAlign w:val="center"/>
          </w:tcPr>
          <w:p w14:paraId="2F569D19">
            <w:pPr>
              <w:pStyle w:val="9"/>
              <w:keepNext/>
              <w:spacing w:line="440" w:lineRule="exact"/>
              <w:ind w:left="63" w:right="63"/>
              <w:outlineLvl w:val="9"/>
              <w:rPr>
                <w:rFonts w:hint="eastAsia" w:ascii="宋体" w:hAnsi="宋体" w:eastAsia="宋体" w:cs="宋体"/>
                <w:color w:val="auto"/>
                <w:sz w:val="24"/>
                <w:szCs w:val="24"/>
                <w:highlight w:val="none"/>
              </w:rPr>
            </w:pPr>
          </w:p>
        </w:tc>
        <w:tc>
          <w:tcPr>
            <w:tcW w:w="737" w:type="dxa"/>
            <w:tcBorders>
              <w:top w:val="nil"/>
            </w:tcBorders>
            <w:noWrap w:val="0"/>
            <w:vAlign w:val="center"/>
          </w:tcPr>
          <w:p w14:paraId="41C45D07">
            <w:pPr>
              <w:pStyle w:val="9"/>
              <w:keepNext/>
              <w:spacing w:line="440" w:lineRule="exact"/>
              <w:ind w:left="63" w:right="63"/>
              <w:outlineLvl w:val="9"/>
              <w:rPr>
                <w:rFonts w:hint="eastAsia" w:ascii="宋体" w:hAnsi="宋体" w:eastAsia="宋体" w:cs="宋体"/>
                <w:color w:val="auto"/>
                <w:sz w:val="24"/>
                <w:szCs w:val="24"/>
                <w:highlight w:val="none"/>
              </w:rPr>
            </w:pPr>
          </w:p>
        </w:tc>
        <w:tc>
          <w:tcPr>
            <w:tcW w:w="843" w:type="dxa"/>
            <w:tcBorders>
              <w:top w:val="nil"/>
            </w:tcBorders>
            <w:noWrap w:val="0"/>
            <w:vAlign w:val="center"/>
          </w:tcPr>
          <w:p w14:paraId="24FA0CDA">
            <w:pPr>
              <w:pStyle w:val="9"/>
              <w:keepNext/>
              <w:spacing w:line="440" w:lineRule="exact"/>
              <w:ind w:left="63" w:right="63"/>
              <w:outlineLvl w:val="9"/>
              <w:rPr>
                <w:rFonts w:hint="eastAsia" w:ascii="宋体" w:hAnsi="宋体" w:eastAsia="宋体" w:cs="宋体"/>
                <w:color w:val="auto"/>
                <w:sz w:val="24"/>
                <w:szCs w:val="24"/>
                <w:highlight w:val="none"/>
              </w:rPr>
            </w:pPr>
          </w:p>
        </w:tc>
        <w:tc>
          <w:tcPr>
            <w:tcW w:w="764" w:type="dxa"/>
            <w:tcBorders>
              <w:top w:val="nil"/>
            </w:tcBorders>
            <w:noWrap w:val="0"/>
            <w:vAlign w:val="center"/>
          </w:tcPr>
          <w:p w14:paraId="2C4F59F4">
            <w:pPr>
              <w:pStyle w:val="9"/>
              <w:keepNext/>
              <w:spacing w:line="440" w:lineRule="exact"/>
              <w:ind w:left="63" w:right="63"/>
              <w:outlineLvl w:val="9"/>
              <w:rPr>
                <w:rFonts w:hint="eastAsia" w:ascii="宋体" w:hAnsi="宋体" w:eastAsia="宋体" w:cs="宋体"/>
                <w:color w:val="auto"/>
                <w:sz w:val="24"/>
                <w:szCs w:val="24"/>
                <w:highlight w:val="none"/>
              </w:rPr>
            </w:pPr>
          </w:p>
        </w:tc>
        <w:tc>
          <w:tcPr>
            <w:tcW w:w="1071" w:type="dxa"/>
            <w:tcBorders>
              <w:top w:val="nil"/>
            </w:tcBorders>
            <w:noWrap w:val="0"/>
            <w:vAlign w:val="center"/>
          </w:tcPr>
          <w:p w14:paraId="3441C592">
            <w:pPr>
              <w:pStyle w:val="9"/>
              <w:keepNext/>
              <w:spacing w:line="440" w:lineRule="exact"/>
              <w:ind w:left="63" w:right="63"/>
              <w:outlineLvl w:val="9"/>
              <w:rPr>
                <w:rFonts w:hint="eastAsia" w:ascii="宋体" w:hAnsi="宋体" w:eastAsia="宋体" w:cs="宋体"/>
                <w:color w:val="auto"/>
                <w:sz w:val="24"/>
                <w:szCs w:val="24"/>
                <w:highlight w:val="none"/>
              </w:rPr>
            </w:pPr>
          </w:p>
        </w:tc>
        <w:tc>
          <w:tcPr>
            <w:tcW w:w="893" w:type="dxa"/>
            <w:tcBorders>
              <w:top w:val="nil"/>
            </w:tcBorders>
            <w:noWrap w:val="0"/>
            <w:vAlign w:val="center"/>
          </w:tcPr>
          <w:p w14:paraId="6CD001A4">
            <w:pPr>
              <w:pStyle w:val="9"/>
              <w:keepNext/>
              <w:spacing w:line="440" w:lineRule="exact"/>
              <w:ind w:left="63" w:right="63"/>
              <w:outlineLvl w:val="9"/>
              <w:rPr>
                <w:rFonts w:hint="eastAsia" w:ascii="宋体" w:hAnsi="宋体" w:eastAsia="宋体" w:cs="宋体"/>
                <w:color w:val="auto"/>
                <w:sz w:val="24"/>
                <w:szCs w:val="24"/>
                <w:highlight w:val="none"/>
              </w:rPr>
            </w:pPr>
          </w:p>
        </w:tc>
        <w:tc>
          <w:tcPr>
            <w:tcW w:w="844" w:type="dxa"/>
            <w:tcBorders>
              <w:top w:val="nil"/>
            </w:tcBorders>
            <w:noWrap w:val="0"/>
            <w:vAlign w:val="center"/>
          </w:tcPr>
          <w:p w14:paraId="6496D751">
            <w:pPr>
              <w:pStyle w:val="9"/>
              <w:keepNext/>
              <w:spacing w:line="440" w:lineRule="exact"/>
              <w:ind w:left="63" w:right="63"/>
              <w:outlineLvl w:val="9"/>
              <w:rPr>
                <w:rFonts w:hint="eastAsia" w:ascii="宋体" w:hAnsi="宋体" w:eastAsia="宋体" w:cs="宋体"/>
                <w:color w:val="auto"/>
                <w:sz w:val="24"/>
                <w:szCs w:val="24"/>
                <w:highlight w:val="none"/>
              </w:rPr>
            </w:pPr>
          </w:p>
        </w:tc>
        <w:tc>
          <w:tcPr>
            <w:tcW w:w="843" w:type="dxa"/>
            <w:tcBorders>
              <w:top w:val="nil"/>
            </w:tcBorders>
            <w:noWrap w:val="0"/>
            <w:vAlign w:val="center"/>
          </w:tcPr>
          <w:p w14:paraId="09851B9B">
            <w:pPr>
              <w:pStyle w:val="9"/>
              <w:keepNext/>
              <w:spacing w:line="440" w:lineRule="exact"/>
              <w:ind w:left="63" w:right="63"/>
              <w:outlineLvl w:val="9"/>
              <w:rPr>
                <w:rFonts w:hint="eastAsia" w:ascii="宋体" w:hAnsi="宋体" w:eastAsia="宋体" w:cs="宋体"/>
                <w:color w:val="auto"/>
                <w:sz w:val="24"/>
                <w:szCs w:val="24"/>
                <w:highlight w:val="none"/>
              </w:rPr>
            </w:pPr>
          </w:p>
        </w:tc>
      </w:tr>
      <w:tr w14:paraId="4ACB52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nil"/>
            </w:tcBorders>
            <w:noWrap w:val="0"/>
            <w:vAlign w:val="center"/>
          </w:tcPr>
          <w:p w14:paraId="3063E56A">
            <w:pPr>
              <w:pStyle w:val="9"/>
              <w:keepNext/>
              <w:spacing w:line="440" w:lineRule="exact"/>
              <w:ind w:left="63" w:right="63"/>
              <w:outlineLvl w:val="9"/>
              <w:rPr>
                <w:rFonts w:hint="eastAsia" w:ascii="宋体" w:hAnsi="宋体" w:eastAsia="宋体" w:cs="宋体"/>
                <w:color w:val="auto"/>
                <w:sz w:val="24"/>
                <w:szCs w:val="24"/>
                <w:highlight w:val="none"/>
              </w:rPr>
            </w:pPr>
          </w:p>
        </w:tc>
        <w:tc>
          <w:tcPr>
            <w:tcW w:w="763" w:type="dxa"/>
            <w:tcBorders>
              <w:top w:val="nil"/>
            </w:tcBorders>
            <w:noWrap w:val="0"/>
            <w:vAlign w:val="center"/>
          </w:tcPr>
          <w:p w14:paraId="4229D72E">
            <w:pPr>
              <w:pStyle w:val="9"/>
              <w:keepNext/>
              <w:spacing w:line="440" w:lineRule="exact"/>
              <w:ind w:left="63" w:right="63"/>
              <w:outlineLvl w:val="9"/>
              <w:rPr>
                <w:rFonts w:hint="eastAsia" w:ascii="宋体" w:hAnsi="宋体" w:eastAsia="宋体" w:cs="宋体"/>
                <w:color w:val="auto"/>
                <w:sz w:val="24"/>
                <w:szCs w:val="24"/>
                <w:highlight w:val="none"/>
              </w:rPr>
            </w:pPr>
          </w:p>
        </w:tc>
        <w:tc>
          <w:tcPr>
            <w:tcW w:w="1406" w:type="dxa"/>
            <w:tcBorders>
              <w:top w:val="nil"/>
            </w:tcBorders>
            <w:noWrap w:val="0"/>
            <w:vAlign w:val="center"/>
          </w:tcPr>
          <w:p w14:paraId="72D2FE26">
            <w:pPr>
              <w:pStyle w:val="9"/>
              <w:keepNext/>
              <w:spacing w:line="440" w:lineRule="exact"/>
              <w:ind w:left="63" w:right="63"/>
              <w:outlineLvl w:val="9"/>
              <w:rPr>
                <w:rFonts w:hint="eastAsia" w:ascii="宋体" w:hAnsi="宋体" w:eastAsia="宋体" w:cs="宋体"/>
                <w:color w:val="auto"/>
                <w:sz w:val="24"/>
                <w:szCs w:val="24"/>
                <w:highlight w:val="none"/>
              </w:rPr>
            </w:pPr>
          </w:p>
        </w:tc>
        <w:tc>
          <w:tcPr>
            <w:tcW w:w="737" w:type="dxa"/>
            <w:tcBorders>
              <w:top w:val="nil"/>
            </w:tcBorders>
            <w:noWrap w:val="0"/>
            <w:vAlign w:val="center"/>
          </w:tcPr>
          <w:p w14:paraId="2E67A478">
            <w:pPr>
              <w:pStyle w:val="9"/>
              <w:keepNext/>
              <w:spacing w:line="440" w:lineRule="exact"/>
              <w:ind w:left="63" w:right="63"/>
              <w:outlineLvl w:val="9"/>
              <w:rPr>
                <w:rFonts w:hint="eastAsia" w:ascii="宋体" w:hAnsi="宋体" w:eastAsia="宋体" w:cs="宋体"/>
                <w:color w:val="auto"/>
                <w:sz w:val="24"/>
                <w:szCs w:val="24"/>
                <w:highlight w:val="none"/>
              </w:rPr>
            </w:pPr>
          </w:p>
        </w:tc>
        <w:tc>
          <w:tcPr>
            <w:tcW w:w="843" w:type="dxa"/>
            <w:tcBorders>
              <w:top w:val="nil"/>
            </w:tcBorders>
            <w:noWrap w:val="0"/>
            <w:vAlign w:val="center"/>
          </w:tcPr>
          <w:p w14:paraId="29E4FB09">
            <w:pPr>
              <w:pStyle w:val="9"/>
              <w:keepNext/>
              <w:spacing w:line="440" w:lineRule="exact"/>
              <w:ind w:left="63" w:right="63"/>
              <w:outlineLvl w:val="9"/>
              <w:rPr>
                <w:rFonts w:hint="eastAsia" w:ascii="宋体" w:hAnsi="宋体" w:eastAsia="宋体" w:cs="宋体"/>
                <w:color w:val="auto"/>
                <w:sz w:val="24"/>
                <w:szCs w:val="24"/>
                <w:highlight w:val="none"/>
              </w:rPr>
            </w:pPr>
          </w:p>
        </w:tc>
        <w:tc>
          <w:tcPr>
            <w:tcW w:w="764" w:type="dxa"/>
            <w:tcBorders>
              <w:top w:val="nil"/>
            </w:tcBorders>
            <w:noWrap w:val="0"/>
            <w:vAlign w:val="center"/>
          </w:tcPr>
          <w:p w14:paraId="36B66D25">
            <w:pPr>
              <w:pStyle w:val="9"/>
              <w:keepNext/>
              <w:spacing w:line="440" w:lineRule="exact"/>
              <w:ind w:left="63" w:right="63"/>
              <w:outlineLvl w:val="9"/>
              <w:rPr>
                <w:rFonts w:hint="eastAsia" w:ascii="宋体" w:hAnsi="宋体" w:eastAsia="宋体" w:cs="宋体"/>
                <w:color w:val="auto"/>
                <w:sz w:val="24"/>
                <w:szCs w:val="24"/>
                <w:highlight w:val="none"/>
              </w:rPr>
            </w:pPr>
          </w:p>
        </w:tc>
        <w:tc>
          <w:tcPr>
            <w:tcW w:w="1071" w:type="dxa"/>
            <w:tcBorders>
              <w:top w:val="nil"/>
            </w:tcBorders>
            <w:noWrap w:val="0"/>
            <w:vAlign w:val="center"/>
          </w:tcPr>
          <w:p w14:paraId="7295F022">
            <w:pPr>
              <w:pStyle w:val="9"/>
              <w:keepNext/>
              <w:spacing w:line="440" w:lineRule="exact"/>
              <w:ind w:left="63" w:right="63"/>
              <w:outlineLvl w:val="9"/>
              <w:rPr>
                <w:rFonts w:hint="eastAsia" w:ascii="宋体" w:hAnsi="宋体" w:eastAsia="宋体" w:cs="宋体"/>
                <w:color w:val="auto"/>
                <w:sz w:val="24"/>
                <w:szCs w:val="24"/>
                <w:highlight w:val="none"/>
              </w:rPr>
            </w:pPr>
          </w:p>
        </w:tc>
        <w:tc>
          <w:tcPr>
            <w:tcW w:w="893" w:type="dxa"/>
            <w:tcBorders>
              <w:top w:val="nil"/>
            </w:tcBorders>
            <w:noWrap w:val="0"/>
            <w:vAlign w:val="center"/>
          </w:tcPr>
          <w:p w14:paraId="7C729A91">
            <w:pPr>
              <w:pStyle w:val="9"/>
              <w:keepNext/>
              <w:spacing w:line="440" w:lineRule="exact"/>
              <w:ind w:left="63" w:right="63"/>
              <w:outlineLvl w:val="9"/>
              <w:rPr>
                <w:rFonts w:hint="eastAsia" w:ascii="宋体" w:hAnsi="宋体" w:eastAsia="宋体" w:cs="宋体"/>
                <w:color w:val="auto"/>
                <w:sz w:val="24"/>
                <w:szCs w:val="24"/>
                <w:highlight w:val="none"/>
              </w:rPr>
            </w:pPr>
          </w:p>
        </w:tc>
        <w:tc>
          <w:tcPr>
            <w:tcW w:w="844" w:type="dxa"/>
            <w:tcBorders>
              <w:top w:val="nil"/>
            </w:tcBorders>
            <w:noWrap w:val="0"/>
            <w:vAlign w:val="center"/>
          </w:tcPr>
          <w:p w14:paraId="6E5DC1B8">
            <w:pPr>
              <w:pStyle w:val="9"/>
              <w:keepNext/>
              <w:spacing w:line="440" w:lineRule="exact"/>
              <w:ind w:left="63" w:right="63"/>
              <w:outlineLvl w:val="9"/>
              <w:rPr>
                <w:rFonts w:hint="eastAsia" w:ascii="宋体" w:hAnsi="宋体" w:eastAsia="宋体" w:cs="宋体"/>
                <w:color w:val="auto"/>
                <w:sz w:val="24"/>
                <w:szCs w:val="24"/>
                <w:highlight w:val="none"/>
              </w:rPr>
            </w:pPr>
          </w:p>
        </w:tc>
        <w:tc>
          <w:tcPr>
            <w:tcW w:w="843" w:type="dxa"/>
            <w:tcBorders>
              <w:top w:val="nil"/>
            </w:tcBorders>
            <w:noWrap w:val="0"/>
            <w:vAlign w:val="center"/>
          </w:tcPr>
          <w:p w14:paraId="08B0C672">
            <w:pPr>
              <w:pStyle w:val="9"/>
              <w:keepNext/>
              <w:spacing w:line="440" w:lineRule="exact"/>
              <w:ind w:left="63" w:right="63"/>
              <w:outlineLvl w:val="9"/>
              <w:rPr>
                <w:rFonts w:hint="eastAsia" w:ascii="宋体" w:hAnsi="宋体" w:eastAsia="宋体" w:cs="宋体"/>
                <w:color w:val="auto"/>
                <w:sz w:val="24"/>
                <w:szCs w:val="24"/>
                <w:highlight w:val="none"/>
              </w:rPr>
            </w:pPr>
          </w:p>
        </w:tc>
      </w:tr>
      <w:tr w14:paraId="12A0B5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noWrap w:val="0"/>
            <w:vAlign w:val="center"/>
          </w:tcPr>
          <w:p w14:paraId="0A08E2AD">
            <w:pPr>
              <w:pStyle w:val="9"/>
              <w:keepNext/>
              <w:spacing w:line="440" w:lineRule="exact"/>
              <w:ind w:left="63" w:right="63"/>
              <w:outlineLvl w:val="9"/>
              <w:rPr>
                <w:rFonts w:hint="eastAsia" w:ascii="宋体" w:hAnsi="宋体" w:eastAsia="宋体" w:cs="宋体"/>
                <w:color w:val="auto"/>
                <w:sz w:val="24"/>
                <w:szCs w:val="24"/>
                <w:highlight w:val="none"/>
              </w:rPr>
            </w:pPr>
          </w:p>
        </w:tc>
        <w:tc>
          <w:tcPr>
            <w:tcW w:w="763" w:type="dxa"/>
            <w:noWrap w:val="0"/>
            <w:vAlign w:val="center"/>
          </w:tcPr>
          <w:p w14:paraId="11B5F416">
            <w:pPr>
              <w:pStyle w:val="9"/>
              <w:keepNext/>
              <w:spacing w:line="440" w:lineRule="exact"/>
              <w:ind w:left="63" w:right="63"/>
              <w:outlineLvl w:val="9"/>
              <w:rPr>
                <w:rFonts w:hint="eastAsia" w:ascii="宋体" w:hAnsi="宋体" w:eastAsia="宋体" w:cs="宋体"/>
                <w:color w:val="auto"/>
                <w:sz w:val="24"/>
                <w:szCs w:val="24"/>
                <w:highlight w:val="none"/>
              </w:rPr>
            </w:pPr>
          </w:p>
        </w:tc>
        <w:tc>
          <w:tcPr>
            <w:tcW w:w="1406" w:type="dxa"/>
            <w:noWrap w:val="0"/>
            <w:vAlign w:val="center"/>
          </w:tcPr>
          <w:p w14:paraId="03B8DDDE">
            <w:pPr>
              <w:pStyle w:val="9"/>
              <w:keepNext/>
              <w:spacing w:line="440" w:lineRule="exact"/>
              <w:ind w:left="63" w:right="63"/>
              <w:outlineLvl w:val="9"/>
              <w:rPr>
                <w:rFonts w:hint="eastAsia" w:ascii="宋体" w:hAnsi="宋体" w:eastAsia="宋体" w:cs="宋体"/>
                <w:color w:val="auto"/>
                <w:sz w:val="24"/>
                <w:szCs w:val="24"/>
                <w:highlight w:val="none"/>
              </w:rPr>
            </w:pPr>
          </w:p>
        </w:tc>
        <w:tc>
          <w:tcPr>
            <w:tcW w:w="737" w:type="dxa"/>
            <w:noWrap w:val="0"/>
            <w:vAlign w:val="center"/>
          </w:tcPr>
          <w:p w14:paraId="7A29CB0E">
            <w:pPr>
              <w:pStyle w:val="9"/>
              <w:keepNext/>
              <w:spacing w:line="440" w:lineRule="exact"/>
              <w:ind w:left="63" w:right="63"/>
              <w:outlineLvl w:val="9"/>
              <w:rPr>
                <w:rFonts w:hint="eastAsia" w:ascii="宋体" w:hAnsi="宋体" w:eastAsia="宋体" w:cs="宋体"/>
                <w:color w:val="auto"/>
                <w:sz w:val="24"/>
                <w:szCs w:val="24"/>
                <w:highlight w:val="none"/>
              </w:rPr>
            </w:pPr>
          </w:p>
        </w:tc>
        <w:tc>
          <w:tcPr>
            <w:tcW w:w="843" w:type="dxa"/>
            <w:noWrap w:val="0"/>
            <w:vAlign w:val="center"/>
          </w:tcPr>
          <w:p w14:paraId="7638F9FC">
            <w:pPr>
              <w:pStyle w:val="9"/>
              <w:keepNext/>
              <w:spacing w:line="440" w:lineRule="exact"/>
              <w:ind w:left="63" w:right="63"/>
              <w:outlineLvl w:val="9"/>
              <w:rPr>
                <w:rFonts w:hint="eastAsia" w:ascii="宋体" w:hAnsi="宋体" w:eastAsia="宋体" w:cs="宋体"/>
                <w:color w:val="auto"/>
                <w:sz w:val="24"/>
                <w:szCs w:val="24"/>
                <w:highlight w:val="none"/>
              </w:rPr>
            </w:pPr>
          </w:p>
        </w:tc>
        <w:tc>
          <w:tcPr>
            <w:tcW w:w="764" w:type="dxa"/>
            <w:noWrap w:val="0"/>
            <w:vAlign w:val="center"/>
          </w:tcPr>
          <w:p w14:paraId="36A2E9F6">
            <w:pPr>
              <w:pStyle w:val="9"/>
              <w:keepNext/>
              <w:spacing w:line="440" w:lineRule="exact"/>
              <w:ind w:left="63" w:right="63"/>
              <w:outlineLvl w:val="9"/>
              <w:rPr>
                <w:rFonts w:hint="eastAsia" w:ascii="宋体" w:hAnsi="宋体" w:eastAsia="宋体" w:cs="宋体"/>
                <w:color w:val="auto"/>
                <w:sz w:val="24"/>
                <w:szCs w:val="24"/>
                <w:highlight w:val="none"/>
              </w:rPr>
            </w:pPr>
          </w:p>
        </w:tc>
        <w:tc>
          <w:tcPr>
            <w:tcW w:w="1071" w:type="dxa"/>
            <w:noWrap w:val="0"/>
            <w:vAlign w:val="center"/>
          </w:tcPr>
          <w:p w14:paraId="5C4EDF3F">
            <w:pPr>
              <w:pStyle w:val="9"/>
              <w:keepNext/>
              <w:spacing w:line="440" w:lineRule="exact"/>
              <w:ind w:left="63" w:right="63"/>
              <w:outlineLvl w:val="9"/>
              <w:rPr>
                <w:rFonts w:hint="eastAsia" w:ascii="宋体" w:hAnsi="宋体" w:eastAsia="宋体" w:cs="宋体"/>
                <w:color w:val="auto"/>
                <w:sz w:val="24"/>
                <w:szCs w:val="24"/>
                <w:highlight w:val="none"/>
              </w:rPr>
            </w:pPr>
          </w:p>
        </w:tc>
        <w:tc>
          <w:tcPr>
            <w:tcW w:w="893" w:type="dxa"/>
            <w:noWrap w:val="0"/>
            <w:vAlign w:val="center"/>
          </w:tcPr>
          <w:p w14:paraId="5E67A561">
            <w:pPr>
              <w:pStyle w:val="9"/>
              <w:keepNext/>
              <w:spacing w:line="440" w:lineRule="exact"/>
              <w:ind w:left="63" w:right="63"/>
              <w:outlineLvl w:val="9"/>
              <w:rPr>
                <w:rFonts w:hint="eastAsia" w:ascii="宋体" w:hAnsi="宋体" w:eastAsia="宋体" w:cs="宋体"/>
                <w:color w:val="auto"/>
                <w:sz w:val="24"/>
                <w:szCs w:val="24"/>
                <w:highlight w:val="none"/>
              </w:rPr>
            </w:pPr>
          </w:p>
        </w:tc>
        <w:tc>
          <w:tcPr>
            <w:tcW w:w="844" w:type="dxa"/>
            <w:noWrap w:val="0"/>
            <w:vAlign w:val="center"/>
          </w:tcPr>
          <w:p w14:paraId="6F3D7680">
            <w:pPr>
              <w:pStyle w:val="9"/>
              <w:keepNext/>
              <w:spacing w:line="440" w:lineRule="exact"/>
              <w:ind w:left="63" w:right="63"/>
              <w:outlineLvl w:val="9"/>
              <w:rPr>
                <w:rFonts w:hint="eastAsia" w:ascii="宋体" w:hAnsi="宋体" w:eastAsia="宋体" w:cs="宋体"/>
                <w:color w:val="auto"/>
                <w:sz w:val="24"/>
                <w:szCs w:val="24"/>
                <w:highlight w:val="none"/>
              </w:rPr>
            </w:pPr>
          </w:p>
        </w:tc>
        <w:tc>
          <w:tcPr>
            <w:tcW w:w="843" w:type="dxa"/>
            <w:noWrap w:val="0"/>
            <w:vAlign w:val="center"/>
          </w:tcPr>
          <w:p w14:paraId="31E27E36">
            <w:pPr>
              <w:pStyle w:val="9"/>
              <w:keepNext/>
              <w:spacing w:line="440" w:lineRule="exact"/>
              <w:ind w:left="63" w:right="63"/>
              <w:outlineLvl w:val="9"/>
              <w:rPr>
                <w:rFonts w:hint="eastAsia" w:ascii="宋体" w:hAnsi="宋体" w:eastAsia="宋体" w:cs="宋体"/>
                <w:color w:val="auto"/>
                <w:sz w:val="24"/>
                <w:szCs w:val="24"/>
                <w:highlight w:val="none"/>
              </w:rPr>
            </w:pPr>
          </w:p>
        </w:tc>
      </w:tr>
      <w:tr w14:paraId="3E5157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nil"/>
            </w:tcBorders>
            <w:noWrap w:val="0"/>
            <w:vAlign w:val="center"/>
          </w:tcPr>
          <w:p w14:paraId="3D0B88F2">
            <w:pPr>
              <w:pStyle w:val="9"/>
              <w:keepNext/>
              <w:spacing w:line="440" w:lineRule="exact"/>
              <w:ind w:left="63" w:right="63"/>
              <w:outlineLvl w:val="9"/>
              <w:rPr>
                <w:rFonts w:hint="eastAsia" w:ascii="宋体" w:hAnsi="宋体" w:eastAsia="宋体" w:cs="宋体"/>
                <w:color w:val="auto"/>
                <w:sz w:val="24"/>
                <w:szCs w:val="24"/>
                <w:highlight w:val="none"/>
              </w:rPr>
            </w:pPr>
          </w:p>
        </w:tc>
        <w:tc>
          <w:tcPr>
            <w:tcW w:w="763" w:type="dxa"/>
            <w:tcBorders>
              <w:top w:val="nil"/>
            </w:tcBorders>
            <w:noWrap w:val="0"/>
            <w:vAlign w:val="center"/>
          </w:tcPr>
          <w:p w14:paraId="2A3125D6">
            <w:pPr>
              <w:pStyle w:val="9"/>
              <w:keepNext/>
              <w:spacing w:line="440" w:lineRule="exact"/>
              <w:ind w:left="63" w:right="63"/>
              <w:outlineLvl w:val="9"/>
              <w:rPr>
                <w:rFonts w:hint="eastAsia" w:ascii="宋体" w:hAnsi="宋体" w:eastAsia="宋体" w:cs="宋体"/>
                <w:color w:val="auto"/>
                <w:sz w:val="24"/>
                <w:szCs w:val="24"/>
                <w:highlight w:val="none"/>
              </w:rPr>
            </w:pPr>
          </w:p>
        </w:tc>
        <w:tc>
          <w:tcPr>
            <w:tcW w:w="1406" w:type="dxa"/>
            <w:tcBorders>
              <w:top w:val="nil"/>
            </w:tcBorders>
            <w:noWrap w:val="0"/>
            <w:vAlign w:val="center"/>
          </w:tcPr>
          <w:p w14:paraId="2C4AFDDD">
            <w:pPr>
              <w:pStyle w:val="9"/>
              <w:keepNext/>
              <w:spacing w:line="440" w:lineRule="exact"/>
              <w:ind w:left="63" w:right="63"/>
              <w:outlineLvl w:val="9"/>
              <w:rPr>
                <w:rFonts w:hint="eastAsia" w:ascii="宋体" w:hAnsi="宋体" w:eastAsia="宋体" w:cs="宋体"/>
                <w:color w:val="auto"/>
                <w:sz w:val="24"/>
                <w:szCs w:val="24"/>
                <w:highlight w:val="none"/>
              </w:rPr>
            </w:pPr>
          </w:p>
        </w:tc>
        <w:tc>
          <w:tcPr>
            <w:tcW w:w="737" w:type="dxa"/>
            <w:tcBorders>
              <w:top w:val="nil"/>
            </w:tcBorders>
            <w:noWrap w:val="0"/>
            <w:vAlign w:val="center"/>
          </w:tcPr>
          <w:p w14:paraId="39CD8504">
            <w:pPr>
              <w:pStyle w:val="9"/>
              <w:keepNext/>
              <w:spacing w:line="440" w:lineRule="exact"/>
              <w:ind w:left="63" w:right="63"/>
              <w:outlineLvl w:val="9"/>
              <w:rPr>
                <w:rFonts w:hint="eastAsia" w:ascii="宋体" w:hAnsi="宋体" w:eastAsia="宋体" w:cs="宋体"/>
                <w:color w:val="auto"/>
                <w:sz w:val="24"/>
                <w:szCs w:val="24"/>
                <w:highlight w:val="none"/>
              </w:rPr>
            </w:pPr>
          </w:p>
        </w:tc>
        <w:tc>
          <w:tcPr>
            <w:tcW w:w="843" w:type="dxa"/>
            <w:tcBorders>
              <w:top w:val="nil"/>
            </w:tcBorders>
            <w:noWrap w:val="0"/>
            <w:vAlign w:val="center"/>
          </w:tcPr>
          <w:p w14:paraId="0F2C6292">
            <w:pPr>
              <w:pStyle w:val="9"/>
              <w:keepNext/>
              <w:spacing w:line="440" w:lineRule="exact"/>
              <w:ind w:left="63" w:right="63"/>
              <w:outlineLvl w:val="9"/>
              <w:rPr>
                <w:rFonts w:hint="eastAsia" w:ascii="宋体" w:hAnsi="宋体" w:eastAsia="宋体" w:cs="宋体"/>
                <w:color w:val="auto"/>
                <w:sz w:val="24"/>
                <w:szCs w:val="24"/>
                <w:highlight w:val="none"/>
              </w:rPr>
            </w:pPr>
          </w:p>
        </w:tc>
        <w:tc>
          <w:tcPr>
            <w:tcW w:w="764" w:type="dxa"/>
            <w:tcBorders>
              <w:top w:val="nil"/>
            </w:tcBorders>
            <w:noWrap w:val="0"/>
            <w:vAlign w:val="center"/>
          </w:tcPr>
          <w:p w14:paraId="056138FA">
            <w:pPr>
              <w:pStyle w:val="9"/>
              <w:keepNext/>
              <w:spacing w:line="440" w:lineRule="exact"/>
              <w:ind w:left="63" w:right="63"/>
              <w:outlineLvl w:val="9"/>
              <w:rPr>
                <w:rFonts w:hint="eastAsia" w:ascii="宋体" w:hAnsi="宋体" w:eastAsia="宋体" w:cs="宋体"/>
                <w:color w:val="auto"/>
                <w:sz w:val="24"/>
                <w:szCs w:val="24"/>
                <w:highlight w:val="none"/>
              </w:rPr>
            </w:pPr>
          </w:p>
        </w:tc>
        <w:tc>
          <w:tcPr>
            <w:tcW w:w="1071" w:type="dxa"/>
            <w:tcBorders>
              <w:top w:val="nil"/>
            </w:tcBorders>
            <w:noWrap w:val="0"/>
            <w:vAlign w:val="center"/>
          </w:tcPr>
          <w:p w14:paraId="43E56A74">
            <w:pPr>
              <w:pStyle w:val="9"/>
              <w:keepNext/>
              <w:spacing w:line="440" w:lineRule="exact"/>
              <w:ind w:left="63" w:right="63"/>
              <w:outlineLvl w:val="9"/>
              <w:rPr>
                <w:rFonts w:hint="eastAsia" w:ascii="宋体" w:hAnsi="宋体" w:eastAsia="宋体" w:cs="宋体"/>
                <w:color w:val="auto"/>
                <w:sz w:val="24"/>
                <w:szCs w:val="24"/>
                <w:highlight w:val="none"/>
              </w:rPr>
            </w:pPr>
          </w:p>
        </w:tc>
        <w:tc>
          <w:tcPr>
            <w:tcW w:w="893" w:type="dxa"/>
            <w:tcBorders>
              <w:top w:val="nil"/>
            </w:tcBorders>
            <w:noWrap w:val="0"/>
            <w:vAlign w:val="center"/>
          </w:tcPr>
          <w:p w14:paraId="1C5DCCD4">
            <w:pPr>
              <w:pStyle w:val="9"/>
              <w:keepNext/>
              <w:spacing w:line="440" w:lineRule="exact"/>
              <w:ind w:left="63" w:right="63"/>
              <w:outlineLvl w:val="9"/>
              <w:rPr>
                <w:rFonts w:hint="eastAsia" w:ascii="宋体" w:hAnsi="宋体" w:eastAsia="宋体" w:cs="宋体"/>
                <w:color w:val="auto"/>
                <w:sz w:val="24"/>
                <w:szCs w:val="24"/>
                <w:highlight w:val="none"/>
              </w:rPr>
            </w:pPr>
          </w:p>
        </w:tc>
        <w:tc>
          <w:tcPr>
            <w:tcW w:w="844" w:type="dxa"/>
            <w:tcBorders>
              <w:top w:val="nil"/>
            </w:tcBorders>
            <w:noWrap w:val="0"/>
            <w:vAlign w:val="center"/>
          </w:tcPr>
          <w:p w14:paraId="34249115">
            <w:pPr>
              <w:pStyle w:val="9"/>
              <w:keepNext/>
              <w:spacing w:line="440" w:lineRule="exact"/>
              <w:ind w:left="63" w:right="63"/>
              <w:outlineLvl w:val="9"/>
              <w:rPr>
                <w:rFonts w:hint="eastAsia" w:ascii="宋体" w:hAnsi="宋体" w:eastAsia="宋体" w:cs="宋体"/>
                <w:color w:val="auto"/>
                <w:sz w:val="24"/>
                <w:szCs w:val="24"/>
                <w:highlight w:val="none"/>
              </w:rPr>
            </w:pPr>
          </w:p>
        </w:tc>
        <w:tc>
          <w:tcPr>
            <w:tcW w:w="843" w:type="dxa"/>
            <w:tcBorders>
              <w:top w:val="nil"/>
            </w:tcBorders>
            <w:noWrap w:val="0"/>
            <w:vAlign w:val="center"/>
          </w:tcPr>
          <w:p w14:paraId="5E075A12">
            <w:pPr>
              <w:pStyle w:val="9"/>
              <w:keepNext/>
              <w:spacing w:line="440" w:lineRule="exact"/>
              <w:ind w:left="63" w:right="63"/>
              <w:outlineLvl w:val="9"/>
              <w:rPr>
                <w:rFonts w:hint="eastAsia" w:ascii="宋体" w:hAnsi="宋体" w:eastAsia="宋体" w:cs="宋体"/>
                <w:color w:val="auto"/>
                <w:sz w:val="24"/>
                <w:szCs w:val="24"/>
                <w:highlight w:val="none"/>
              </w:rPr>
            </w:pPr>
          </w:p>
        </w:tc>
      </w:tr>
      <w:tr w14:paraId="5EC2AC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noWrap w:val="0"/>
            <w:vAlign w:val="center"/>
          </w:tcPr>
          <w:p w14:paraId="476A827F">
            <w:pPr>
              <w:pStyle w:val="9"/>
              <w:keepNext/>
              <w:spacing w:line="440" w:lineRule="exact"/>
              <w:ind w:left="63" w:right="63"/>
              <w:outlineLvl w:val="9"/>
              <w:rPr>
                <w:rFonts w:hint="eastAsia" w:ascii="宋体" w:hAnsi="宋体" w:eastAsia="宋体" w:cs="宋体"/>
                <w:color w:val="auto"/>
                <w:sz w:val="24"/>
                <w:szCs w:val="24"/>
                <w:highlight w:val="none"/>
              </w:rPr>
            </w:pPr>
          </w:p>
        </w:tc>
        <w:tc>
          <w:tcPr>
            <w:tcW w:w="763" w:type="dxa"/>
            <w:noWrap w:val="0"/>
            <w:vAlign w:val="center"/>
          </w:tcPr>
          <w:p w14:paraId="1A844680">
            <w:pPr>
              <w:pStyle w:val="9"/>
              <w:keepNext/>
              <w:spacing w:line="440" w:lineRule="exact"/>
              <w:ind w:left="63" w:right="63"/>
              <w:outlineLvl w:val="9"/>
              <w:rPr>
                <w:rFonts w:hint="eastAsia" w:ascii="宋体" w:hAnsi="宋体" w:eastAsia="宋体" w:cs="宋体"/>
                <w:color w:val="auto"/>
                <w:sz w:val="24"/>
                <w:szCs w:val="24"/>
                <w:highlight w:val="none"/>
              </w:rPr>
            </w:pPr>
          </w:p>
        </w:tc>
        <w:tc>
          <w:tcPr>
            <w:tcW w:w="1406" w:type="dxa"/>
            <w:noWrap w:val="0"/>
            <w:vAlign w:val="center"/>
          </w:tcPr>
          <w:p w14:paraId="1AB74437">
            <w:pPr>
              <w:pStyle w:val="9"/>
              <w:keepNext/>
              <w:spacing w:line="440" w:lineRule="exact"/>
              <w:ind w:left="63" w:right="63"/>
              <w:outlineLvl w:val="9"/>
              <w:rPr>
                <w:rFonts w:hint="eastAsia" w:ascii="宋体" w:hAnsi="宋体" w:eastAsia="宋体" w:cs="宋体"/>
                <w:color w:val="auto"/>
                <w:sz w:val="24"/>
                <w:szCs w:val="24"/>
                <w:highlight w:val="none"/>
              </w:rPr>
            </w:pPr>
          </w:p>
        </w:tc>
        <w:tc>
          <w:tcPr>
            <w:tcW w:w="737" w:type="dxa"/>
            <w:noWrap w:val="0"/>
            <w:vAlign w:val="center"/>
          </w:tcPr>
          <w:p w14:paraId="64C3AD70">
            <w:pPr>
              <w:pStyle w:val="9"/>
              <w:keepNext/>
              <w:spacing w:line="440" w:lineRule="exact"/>
              <w:ind w:left="63" w:right="63"/>
              <w:outlineLvl w:val="9"/>
              <w:rPr>
                <w:rFonts w:hint="eastAsia" w:ascii="宋体" w:hAnsi="宋体" w:eastAsia="宋体" w:cs="宋体"/>
                <w:color w:val="auto"/>
                <w:sz w:val="24"/>
                <w:szCs w:val="24"/>
                <w:highlight w:val="none"/>
              </w:rPr>
            </w:pPr>
          </w:p>
        </w:tc>
        <w:tc>
          <w:tcPr>
            <w:tcW w:w="843" w:type="dxa"/>
            <w:noWrap w:val="0"/>
            <w:vAlign w:val="center"/>
          </w:tcPr>
          <w:p w14:paraId="17514F6E">
            <w:pPr>
              <w:pStyle w:val="9"/>
              <w:keepNext/>
              <w:spacing w:line="440" w:lineRule="exact"/>
              <w:ind w:left="63" w:right="63"/>
              <w:outlineLvl w:val="9"/>
              <w:rPr>
                <w:rFonts w:hint="eastAsia" w:ascii="宋体" w:hAnsi="宋体" w:eastAsia="宋体" w:cs="宋体"/>
                <w:color w:val="auto"/>
                <w:sz w:val="24"/>
                <w:szCs w:val="24"/>
                <w:highlight w:val="none"/>
              </w:rPr>
            </w:pPr>
          </w:p>
        </w:tc>
        <w:tc>
          <w:tcPr>
            <w:tcW w:w="764" w:type="dxa"/>
            <w:noWrap w:val="0"/>
            <w:vAlign w:val="center"/>
          </w:tcPr>
          <w:p w14:paraId="5B5FE4A1">
            <w:pPr>
              <w:pStyle w:val="9"/>
              <w:keepNext/>
              <w:spacing w:line="440" w:lineRule="exact"/>
              <w:ind w:left="63" w:right="63"/>
              <w:outlineLvl w:val="9"/>
              <w:rPr>
                <w:rFonts w:hint="eastAsia" w:ascii="宋体" w:hAnsi="宋体" w:eastAsia="宋体" w:cs="宋体"/>
                <w:color w:val="auto"/>
                <w:sz w:val="24"/>
                <w:szCs w:val="24"/>
                <w:highlight w:val="none"/>
              </w:rPr>
            </w:pPr>
          </w:p>
        </w:tc>
        <w:tc>
          <w:tcPr>
            <w:tcW w:w="1071" w:type="dxa"/>
            <w:noWrap w:val="0"/>
            <w:vAlign w:val="center"/>
          </w:tcPr>
          <w:p w14:paraId="28608F1E">
            <w:pPr>
              <w:pStyle w:val="9"/>
              <w:keepNext/>
              <w:spacing w:line="440" w:lineRule="exact"/>
              <w:ind w:left="63" w:right="63"/>
              <w:outlineLvl w:val="9"/>
              <w:rPr>
                <w:rFonts w:hint="eastAsia" w:ascii="宋体" w:hAnsi="宋体" w:eastAsia="宋体" w:cs="宋体"/>
                <w:color w:val="auto"/>
                <w:sz w:val="24"/>
                <w:szCs w:val="24"/>
                <w:highlight w:val="none"/>
              </w:rPr>
            </w:pPr>
          </w:p>
        </w:tc>
        <w:tc>
          <w:tcPr>
            <w:tcW w:w="893" w:type="dxa"/>
            <w:noWrap w:val="0"/>
            <w:vAlign w:val="center"/>
          </w:tcPr>
          <w:p w14:paraId="40B938EE">
            <w:pPr>
              <w:pStyle w:val="9"/>
              <w:keepNext/>
              <w:spacing w:line="440" w:lineRule="exact"/>
              <w:ind w:left="63" w:right="63"/>
              <w:outlineLvl w:val="9"/>
              <w:rPr>
                <w:rFonts w:hint="eastAsia" w:ascii="宋体" w:hAnsi="宋体" w:eastAsia="宋体" w:cs="宋体"/>
                <w:color w:val="auto"/>
                <w:sz w:val="24"/>
                <w:szCs w:val="24"/>
                <w:highlight w:val="none"/>
              </w:rPr>
            </w:pPr>
          </w:p>
        </w:tc>
        <w:tc>
          <w:tcPr>
            <w:tcW w:w="844" w:type="dxa"/>
            <w:noWrap w:val="0"/>
            <w:vAlign w:val="center"/>
          </w:tcPr>
          <w:p w14:paraId="43F89790">
            <w:pPr>
              <w:pStyle w:val="9"/>
              <w:keepNext/>
              <w:spacing w:line="440" w:lineRule="exact"/>
              <w:ind w:left="63" w:right="63"/>
              <w:outlineLvl w:val="9"/>
              <w:rPr>
                <w:rFonts w:hint="eastAsia" w:ascii="宋体" w:hAnsi="宋体" w:eastAsia="宋体" w:cs="宋体"/>
                <w:color w:val="auto"/>
                <w:sz w:val="24"/>
                <w:szCs w:val="24"/>
                <w:highlight w:val="none"/>
              </w:rPr>
            </w:pPr>
          </w:p>
        </w:tc>
        <w:tc>
          <w:tcPr>
            <w:tcW w:w="843" w:type="dxa"/>
            <w:noWrap w:val="0"/>
            <w:vAlign w:val="center"/>
          </w:tcPr>
          <w:p w14:paraId="4CB65D6D">
            <w:pPr>
              <w:pStyle w:val="9"/>
              <w:keepNext/>
              <w:spacing w:line="440" w:lineRule="exact"/>
              <w:ind w:left="63" w:right="63"/>
              <w:outlineLvl w:val="9"/>
              <w:rPr>
                <w:rFonts w:hint="eastAsia" w:ascii="宋体" w:hAnsi="宋体" w:eastAsia="宋体" w:cs="宋体"/>
                <w:color w:val="auto"/>
                <w:sz w:val="24"/>
                <w:szCs w:val="24"/>
                <w:highlight w:val="none"/>
              </w:rPr>
            </w:pPr>
          </w:p>
        </w:tc>
      </w:tr>
      <w:tr w14:paraId="14557A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nil"/>
            </w:tcBorders>
            <w:noWrap w:val="0"/>
            <w:vAlign w:val="center"/>
          </w:tcPr>
          <w:p w14:paraId="5CFBB184">
            <w:pPr>
              <w:pStyle w:val="9"/>
              <w:keepNext/>
              <w:spacing w:line="440" w:lineRule="exact"/>
              <w:ind w:left="63" w:right="63"/>
              <w:outlineLvl w:val="9"/>
              <w:rPr>
                <w:rFonts w:hint="eastAsia" w:ascii="宋体" w:hAnsi="宋体" w:eastAsia="宋体" w:cs="宋体"/>
                <w:color w:val="auto"/>
                <w:sz w:val="24"/>
                <w:szCs w:val="24"/>
                <w:highlight w:val="none"/>
              </w:rPr>
            </w:pPr>
          </w:p>
        </w:tc>
        <w:tc>
          <w:tcPr>
            <w:tcW w:w="763" w:type="dxa"/>
            <w:tcBorders>
              <w:top w:val="nil"/>
            </w:tcBorders>
            <w:noWrap w:val="0"/>
            <w:vAlign w:val="center"/>
          </w:tcPr>
          <w:p w14:paraId="72279DAC">
            <w:pPr>
              <w:pStyle w:val="9"/>
              <w:keepNext/>
              <w:spacing w:line="440" w:lineRule="exact"/>
              <w:ind w:left="63" w:right="63"/>
              <w:outlineLvl w:val="9"/>
              <w:rPr>
                <w:rFonts w:hint="eastAsia" w:ascii="宋体" w:hAnsi="宋体" w:eastAsia="宋体" w:cs="宋体"/>
                <w:color w:val="auto"/>
                <w:sz w:val="24"/>
                <w:szCs w:val="24"/>
                <w:highlight w:val="none"/>
              </w:rPr>
            </w:pPr>
          </w:p>
        </w:tc>
        <w:tc>
          <w:tcPr>
            <w:tcW w:w="1406" w:type="dxa"/>
            <w:tcBorders>
              <w:top w:val="nil"/>
            </w:tcBorders>
            <w:noWrap w:val="0"/>
            <w:vAlign w:val="center"/>
          </w:tcPr>
          <w:p w14:paraId="05390498">
            <w:pPr>
              <w:pStyle w:val="9"/>
              <w:keepNext/>
              <w:spacing w:line="440" w:lineRule="exact"/>
              <w:ind w:left="63" w:right="63"/>
              <w:outlineLvl w:val="9"/>
              <w:rPr>
                <w:rFonts w:hint="eastAsia" w:ascii="宋体" w:hAnsi="宋体" w:eastAsia="宋体" w:cs="宋体"/>
                <w:color w:val="auto"/>
                <w:sz w:val="24"/>
                <w:szCs w:val="24"/>
                <w:highlight w:val="none"/>
              </w:rPr>
            </w:pPr>
          </w:p>
        </w:tc>
        <w:tc>
          <w:tcPr>
            <w:tcW w:w="737" w:type="dxa"/>
            <w:tcBorders>
              <w:top w:val="nil"/>
            </w:tcBorders>
            <w:noWrap w:val="0"/>
            <w:vAlign w:val="center"/>
          </w:tcPr>
          <w:p w14:paraId="0C044644">
            <w:pPr>
              <w:pStyle w:val="9"/>
              <w:keepNext/>
              <w:spacing w:line="440" w:lineRule="exact"/>
              <w:ind w:left="63" w:right="63"/>
              <w:outlineLvl w:val="9"/>
              <w:rPr>
                <w:rFonts w:hint="eastAsia" w:ascii="宋体" w:hAnsi="宋体" w:eastAsia="宋体" w:cs="宋体"/>
                <w:color w:val="auto"/>
                <w:sz w:val="24"/>
                <w:szCs w:val="24"/>
                <w:highlight w:val="none"/>
              </w:rPr>
            </w:pPr>
          </w:p>
        </w:tc>
        <w:tc>
          <w:tcPr>
            <w:tcW w:w="843" w:type="dxa"/>
            <w:tcBorders>
              <w:top w:val="nil"/>
            </w:tcBorders>
            <w:noWrap w:val="0"/>
            <w:vAlign w:val="center"/>
          </w:tcPr>
          <w:p w14:paraId="646AA7D7">
            <w:pPr>
              <w:pStyle w:val="9"/>
              <w:keepNext/>
              <w:spacing w:line="440" w:lineRule="exact"/>
              <w:ind w:left="63" w:right="63"/>
              <w:outlineLvl w:val="9"/>
              <w:rPr>
                <w:rFonts w:hint="eastAsia" w:ascii="宋体" w:hAnsi="宋体" w:eastAsia="宋体" w:cs="宋体"/>
                <w:color w:val="auto"/>
                <w:sz w:val="24"/>
                <w:szCs w:val="24"/>
                <w:highlight w:val="none"/>
              </w:rPr>
            </w:pPr>
          </w:p>
        </w:tc>
        <w:tc>
          <w:tcPr>
            <w:tcW w:w="764" w:type="dxa"/>
            <w:tcBorders>
              <w:top w:val="nil"/>
            </w:tcBorders>
            <w:noWrap w:val="0"/>
            <w:vAlign w:val="center"/>
          </w:tcPr>
          <w:p w14:paraId="065FB1D6">
            <w:pPr>
              <w:pStyle w:val="9"/>
              <w:keepNext/>
              <w:spacing w:line="440" w:lineRule="exact"/>
              <w:ind w:left="63" w:right="63"/>
              <w:outlineLvl w:val="9"/>
              <w:rPr>
                <w:rFonts w:hint="eastAsia" w:ascii="宋体" w:hAnsi="宋体" w:eastAsia="宋体" w:cs="宋体"/>
                <w:color w:val="auto"/>
                <w:sz w:val="24"/>
                <w:szCs w:val="24"/>
                <w:highlight w:val="none"/>
              </w:rPr>
            </w:pPr>
          </w:p>
        </w:tc>
        <w:tc>
          <w:tcPr>
            <w:tcW w:w="1071" w:type="dxa"/>
            <w:tcBorders>
              <w:top w:val="nil"/>
            </w:tcBorders>
            <w:noWrap w:val="0"/>
            <w:vAlign w:val="center"/>
          </w:tcPr>
          <w:p w14:paraId="56CB049A">
            <w:pPr>
              <w:pStyle w:val="9"/>
              <w:keepNext/>
              <w:spacing w:line="440" w:lineRule="exact"/>
              <w:ind w:left="63" w:right="63"/>
              <w:outlineLvl w:val="9"/>
              <w:rPr>
                <w:rFonts w:hint="eastAsia" w:ascii="宋体" w:hAnsi="宋体" w:eastAsia="宋体" w:cs="宋体"/>
                <w:color w:val="auto"/>
                <w:sz w:val="24"/>
                <w:szCs w:val="24"/>
                <w:highlight w:val="none"/>
              </w:rPr>
            </w:pPr>
          </w:p>
        </w:tc>
        <w:tc>
          <w:tcPr>
            <w:tcW w:w="893" w:type="dxa"/>
            <w:tcBorders>
              <w:top w:val="nil"/>
            </w:tcBorders>
            <w:noWrap w:val="0"/>
            <w:vAlign w:val="center"/>
          </w:tcPr>
          <w:p w14:paraId="12153D63">
            <w:pPr>
              <w:pStyle w:val="9"/>
              <w:keepNext/>
              <w:spacing w:line="440" w:lineRule="exact"/>
              <w:ind w:left="63" w:right="63"/>
              <w:outlineLvl w:val="9"/>
              <w:rPr>
                <w:rFonts w:hint="eastAsia" w:ascii="宋体" w:hAnsi="宋体" w:eastAsia="宋体" w:cs="宋体"/>
                <w:color w:val="auto"/>
                <w:sz w:val="24"/>
                <w:szCs w:val="24"/>
                <w:highlight w:val="none"/>
              </w:rPr>
            </w:pPr>
          </w:p>
        </w:tc>
        <w:tc>
          <w:tcPr>
            <w:tcW w:w="844" w:type="dxa"/>
            <w:tcBorders>
              <w:top w:val="nil"/>
            </w:tcBorders>
            <w:noWrap w:val="0"/>
            <w:vAlign w:val="center"/>
          </w:tcPr>
          <w:p w14:paraId="35CA64F9">
            <w:pPr>
              <w:pStyle w:val="9"/>
              <w:keepNext/>
              <w:spacing w:line="440" w:lineRule="exact"/>
              <w:ind w:left="63" w:right="63"/>
              <w:outlineLvl w:val="9"/>
              <w:rPr>
                <w:rFonts w:hint="eastAsia" w:ascii="宋体" w:hAnsi="宋体" w:eastAsia="宋体" w:cs="宋体"/>
                <w:color w:val="auto"/>
                <w:sz w:val="24"/>
                <w:szCs w:val="24"/>
                <w:highlight w:val="none"/>
              </w:rPr>
            </w:pPr>
          </w:p>
        </w:tc>
        <w:tc>
          <w:tcPr>
            <w:tcW w:w="843" w:type="dxa"/>
            <w:tcBorders>
              <w:top w:val="nil"/>
            </w:tcBorders>
            <w:noWrap w:val="0"/>
            <w:vAlign w:val="center"/>
          </w:tcPr>
          <w:p w14:paraId="77D84616">
            <w:pPr>
              <w:pStyle w:val="9"/>
              <w:keepNext/>
              <w:spacing w:line="440" w:lineRule="exact"/>
              <w:ind w:left="63" w:right="63"/>
              <w:outlineLvl w:val="9"/>
              <w:rPr>
                <w:rFonts w:hint="eastAsia" w:ascii="宋体" w:hAnsi="宋体" w:eastAsia="宋体" w:cs="宋体"/>
                <w:color w:val="auto"/>
                <w:sz w:val="24"/>
                <w:szCs w:val="24"/>
                <w:highlight w:val="none"/>
              </w:rPr>
            </w:pPr>
          </w:p>
        </w:tc>
      </w:tr>
      <w:tr w14:paraId="4DD59D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nil"/>
            </w:tcBorders>
            <w:noWrap w:val="0"/>
            <w:vAlign w:val="center"/>
          </w:tcPr>
          <w:p w14:paraId="08E652A9">
            <w:pPr>
              <w:pStyle w:val="9"/>
              <w:keepNext/>
              <w:spacing w:line="440" w:lineRule="exact"/>
              <w:ind w:left="63" w:right="63"/>
              <w:outlineLvl w:val="9"/>
              <w:rPr>
                <w:rFonts w:hint="eastAsia" w:ascii="宋体" w:hAnsi="宋体" w:eastAsia="宋体" w:cs="宋体"/>
                <w:color w:val="auto"/>
                <w:sz w:val="24"/>
                <w:szCs w:val="24"/>
                <w:highlight w:val="none"/>
              </w:rPr>
            </w:pPr>
          </w:p>
        </w:tc>
        <w:tc>
          <w:tcPr>
            <w:tcW w:w="763" w:type="dxa"/>
            <w:tcBorders>
              <w:top w:val="nil"/>
            </w:tcBorders>
            <w:noWrap w:val="0"/>
            <w:vAlign w:val="center"/>
          </w:tcPr>
          <w:p w14:paraId="625DE2CA">
            <w:pPr>
              <w:pStyle w:val="9"/>
              <w:keepNext/>
              <w:spacing w:line="440" w:lineRule="exact"/>
              <w:ind w:left="63" w:right="63"/>
              <w:outlineLvl w:val="9"/>
              <w:rPr>
                <w:rFonts w:hint="eastAsia" w:ascii="宋体" w:hAnsi="宋体" w:eastAsia="宋体" w:cs="宋体"/>
                <w:color w:val="auto"/>
                <w:sz w:val="24"/>
                <w:szCs w:val="24"/>
                <w:highlight w:val="none"/>
              </w:rPr>
            </w:pPr>
          </w:p>
        </w:tc>
        <w:tc>
          <w:tcPr>
            <w:tcW w:w="1406" w:type="dxa"/>
            <w:tcBorders>
              <w:top w:val="nil"/>
            </w:tcBorders>
            <w:noWrap w:val="0"/>
            <w:vAlign w:val="center"/>
          </w:tcPr>
          <w:p w14:paraId="6A3C985E">
            <w:pPr>
              <w:pStyle w:val="9"/>
              <w:keepNext/>
              <w:spacing w:line="440" w:lineRule="exact"/>
              <w:ind w:left="63" w:right="63"/>
              <w:outlineLvl w:val="9"/>
              <w:rPr>
                <w:rFonts w:hint="eastAsia" w:ascii="宋体" w:hAnsi="宋体" w:eastAsia="宋体" w:cs="宋体"/>
                <w:color w:val="auto"/>
                <w:sz w:val="24"/>
                <w:szCs w:val="24"/>
                <w:highlight w:val="none"/>
              </w:rPr>
            </w:pPr>
          </w:p>
        </w:tc>
        <w:tc>
          <w:tcPr>
            <w:tcW w:w="737" w:type="dxa"/>
            <w:tcBorders>
              <w:top w:val="nil"/>
            </w:tcBorders>
            <w:noWrap w:val="0"/>
            <w:vAlign w:val="center"/>
          </w:tcPr>
          <w:p w14:paraId="559E9D76">
            <w:pPr>
              <w:pStyle w:val="9"/>
              <w:keepNext/>
              <w:spacing w:line="440" w:lineRule="exact"/>
              <w:ind w:left="63" w:right="63"/>
              <w:outlineLvl w:val="9"/>
              <w:rPr>
                <w:rFonts w:hint="eastAsia" w:ascii="宋体" w:hAnsi="宋体" w:eastAsia="宋体" w:cs="宋体"/>
                <w:color w:val="auto"/>
                <w:sz w:val="24"/>
                <w:szCs w:val="24"/>
                <w:highlight w:val="none"/>
              </w:rPr>
            </w:pPr>
          </w:p>
        </w:tc>
        <w:tc>
          <w:tcPr>
            <w:tcW w:w="843" w:type="dxa"/>
            <w:tcBorders>
              <w:top w:val="nil"/>
            </w:tcBorders>
            <w:noWrap w:val="0"/>
            <w:vAlign w:val="center"/>
          </w:tcPr>
          <w:p w14:paraId="6457CF37">
            <w:pPr>
              <w:pStyle w:val="9"/>
              <w:keepNext/>
              <w:spacing w:line="440" w:lineRule="exact"/>
              <w:ind w:left="63" w:right="63"/>
              <w:outlineLvl w:val="9"/>
              <w:rPr>
                <w:rFonts w:hint="eastAsia" w:ascii="宋体" w:hAnsi="宋体" w:eastAsia="宋体" w:cs="宋体"/>
                <w:color w:val="auto"/>
                <w:sz w:val="24"/>
                <w:szCs w:val="24"/>
                <w:highlight w:val="none"/>
              </w:rPr>
            </w:pPr>
          </w:p>
        </w:tc>
        <w:tc>
          <w:tcPr>
            <w:tcW w:w="764" w:type="dxa"/>
            <w:tcBorders>
              <w:top w:val="nil"/>
            </w:tcBorders>
            <w:noWrap w:val="0"/>
            <w:vAlign w:val="center"/>
          </w:tcPr>
          <w:p w14:paraId="33C807AE">
            <w:pPr>
              <w:pStyle w:val="9"/>
              <w:keepNext/>
              <w:spacing w:line="440" w:lineRule="exact"/>
              <w:ind w:left="63" w:right="63"/>
              <w:outlineLvl w:val="9"/>
              <w:rPr>
                <w:rFonts w:hint="eastAsia" w:ascii="宋体" w:hAnsi="宋体" w:eastAsia="宋体" w:cs="宋体"/>
                <w:color w:val="auto"/>
                <w:sz w:val="24"/>
                <w:szCs w:val="24"/>
                <w:highlight w:val="none"/>
              </w:rPr>
            </w:pPr>
          </w:p>
        </w:tc>
        <w:tc>
          <w:tcPr>
            <w:tcW w:w="1071" w:type="dxa"/>
            <w:tcBorders>
              <w:top w:val="nil"/>
            </w:tcBorders>
            <w:noWrap w:val="0"/>
            <w:vAlign w:val="center"/>
          </w:tcPr>
          <w:p w14:paraId="4D1DB855">
            <w:pPr>
              <w:pStyle w:val="9"/>
              <w:keepNext/>
              <w:spacing w:line="440" w:lineRule="exact"/>
              <w:ind w:left="63" w:right="63"/>
              <w:outlineLvl w:val="9"/>
              <w:rPr>
                <w:rFonts w:hint="eastAsia" w:ascii="宋体" w:hAnsi="宋体" w:eastAsia="宋体" w:cs="宋体"/>
                <w:color w:val="auto"/>
                <w:sz w:val="24"/>
                <w:szCs w:val="24"/>
                <w:highlight w:val="none"/>
              </w:rPr>
            </w:pPr>
          </w:p>
        </w:tc>
        <w:tc>
          <w:tcPr>
            <w:tcW w:w="893" w:type="dxa"/>
            <w:tcBorders>
              <w:top w:val="nil"/>
            </w:tcBorders>
            <w:noWrap w:val="0"/>
            <w:vAlign w:val="center"/>
          </w:tcPr>
          <w:p w14:paraId="3F27AE74">
            <w:pPr>
              <w:pStyle w:val="9"/>
              <w:keepNext/>
              <w:spacing w:line="440" w:lineRule="exact"/>
              <w:ind w:left="63" w:right="63"/>
              <w:outlineLvl w:val="9"/>
              <w:rPr>
                <w:rFonts w:hint="eastAsia" w:ascii="宋体" w:hAnsi="宋体" w:eastAsia="宋体" w:cs="宋体"/>
                <w:color w:val="auto"/>
                <w:sz w:val="24"/>
                <w:szCs w:val="24"/>
                <w:highlight w:val="none"/>
              </w:rPr>
            </w:pPr>
          </w:p>
        </w:tc>
        <w:tc>
          <w:tcPr>
            <w:tcW w:w="844" w:type="dxa"/>
            <w:tcBorders>
              <w:top w:val="nil"/>
            </w:tcBorders>
            <w:noWrap w:val="0"/>
            <w:vAlign w:val="center"/>
          </w:tcPr>
          <w:p w14:paraId="4438D55F">
            <w:pPr>
              <w:pStyle w:val="9"/>
              <w:keepNext/>
              <w:spacing w:line="440" w:lineRule="exact"/>
              <w:ind w:left="63" w:right="63"/>
              <w:outlineLvl w:val="9"/>
              <w:rPr>
                <w:rFonts w:hint="eastAsia" w:ascii="宋体" w:hAnsi="宋体" w:eastAsia="宋体" w:cs="宋体"/>
                <w:color w:val="auto"/>
                <w:sz w:val="24"/>
                <w:szCs w:val="24"/>
                <w:highlight w:val="none"/>
              </w:rPr>
            </w:pPr>
          </w:p>
        </w:tc>
        <w:tc>
          <w:tcPr>
            <w:tcW w:w="843" w:type="dxa"/>
            <w:tcBorders>
              <w:top w:val="nil"/>
            </w:tcBorders>
            <w:noWrap w:val="0"/>
            <w:vAlign w:val="center"/>
          </w:tcPr>
          <w:p w14:paraId="1360206B">
            <w:pPr>
              <w:pStyle w:val="9"/>
              <w:keepNext/>
              <w:spacing w:line="440" w:lineRule="exact"/>
              <w:ind w:left="63" w:right="63"/>
              <w:outlineLvl w:val="9"/>
              <w:rPr>
                <w:rFonts w:hint="eastAsia" w:ascii="宋体" w:hAnsi="宋体" w:eastAsia="宋体" w:cs="宋体"/>
                <w:color w:val="auto"/>
                <w:sz w:val="24"/>
                <w:szCs w:val="24"/>
                <w:highlight w:val="none"/>
              </w:rPr>
            </w:pPr>
          </w:p>
        </w:tc>
      </w:tr>
      <w:tr w14:paraId="7D8DDC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noWrap w:val="0"/>
            <w:vAlign w:val="center"/>
          </w:tcPr>
          <w:p w14:paraId="604856D7">
            <w:pPr>
              <w:pStyle w:val="9"/>
              <w:keepNext/>
              <w:spacing w:line="440" w:lineRule="exact"/>
              <w:ind w:left="63" w:right="63"/>
              <w:outlineLvl w:val="9"/>
              <w:rPr>
                <w:rFonts w:hint="eastAsia" w:ascii="宋体" w:hAnsi="宋体" w:eastAsia="宋体" w:cs="宋体"/>
                <w:color w:val="auto"/>
                <w:sz w:val="24"/>
                <w:szCs w:val="24"/>
                <w:highlight w:val="none"/>
              </w:rPr>
            </w:pPr>
          </w:p>
        </w:tc>
        <w:tc>
          <w:tcPr>
            <w:tcW w:w="763" w:type="dxa"/>
            <w:noWrap w:val="0"/>
            <w:vAlign w:val="center"/>
          </w:tcPr>
          <w:p w14:paraId="771C9F83">
            <w:pPr>
              <w:pStyle w:val="9"/>
              <w:keepNext/>
              <w:spacing w:line="440" w:lineRule="exact"/>
              <w:ind w:left="63" w:right="63"/>
              <w:outlineLvl w:val="9"/>
              <w:rPr>
                <w:rFonts w:hint="eastAsia" w:ascii="宋体" w:hAnsi="宋体" w:eastAsia="宋体" w:cs="宋体"/>
                <w:color w:val="auto"/>
                <w:sz w:val="24"/>
                <w:szCs w:val="24"/>
                <w:highlight w:val="none"/>
              </w:rPr>
            </w:pPr>
          </w:p>
        </w:tc>
        <w:tc>
          <w:tcPr>
            <w:tcW w:w="1406" w:type="dxa"/>
            <w:noWrap w:val="0"/>
            <w:vAlign w:val="center"/>
          </w:tcPr>
          <w:p w14:paraId="5C888216">
            <w:pPr>
              <w:pStyle w:val="9"/>
              <w:keepNext/>
              <w:spacing w:line="440" w:lineRule="exact"/>
              <w:ind w:left="63" w:right="63"/>
              <w:outlineLvl w:val="9"/>
              <w:rPr>
                <w:rFonts w:hint="eastAsia" w:ascii="宋体" w:hAnsi="宋体" w:eastAsia="宋体" w:cs="宋体"/>
                <w:color w:val="auto"/>
                <w:sz w:val="24"/>
                <w:szCs w:val="24"/>
                <w:highlight w:val="none"/>
              </w:rPr>
            </w:pPr>
          </w:p>
        </w:tc>
        <w:tc>
          <w:tcPr>
            <w:tcW w:w="737" w:type="dxa"/>
            <w:noWrap w:val="0"/>
            <w:vAlign w:val="center"/>
          </w:tcPr>
          <w:p w14:paraId="29A36D38">
            <w:pPr>
              <w:pStyle w:val="9"/>
              <w:keepNext/>
              <w:spacing w:line="440" w:lineRule="exact"/>
              <w:ind w:left="63" w:right="63"/>
              <w:outlineLvl w:val="9"/>
              <w:rPr>
                <w:rFonts w:hint="eastAsia" w:ascii="宋体" w:hAnsi="宋体" w:eastAsia="宋体" w:cs="宋体"/>
                <w:color w:val="auto"/>
                <w:sz w:val="24"/>
                <w:szCs w:val="24"/>
                <w:highlight w:val="none"/>
              </w:rPr>
            </w:pPr>
          </w:p>
        </w:tc>
        <w:tc>
          <w:tcPr>
            <w:tcW w:w="843" w:type="dxa"/>
            <w:noWrap w:val="0"/>
            <w:vAlign w:val="center"/>
          </w:tcPr>
          <w:p w14:paraId="6FCDAFD2">
            <w:pPr>
              <w:pStyle w:val="9"/>
              <w:keepNext/>
              <w:spacing w:line="440" w:lineRule="exact"/>
              <w:ind w:left="63" w:right="63"/>
              <w:outlineLvl w:val="9"/>
              <w:rPr>
                <w:rFonts w:hint="eastAsia" w:ascii="宋体" w:hAnsi="宋体" w:eastAsia="宋体" w:cs="宋体"/>
                <w:color w:val="auto"/>
                <w:sz w:val="24"/>
                <w:szCs w:val="24"/>
                <w:highlight w:val="none"/>
              </w:rPr>
            </w:pPr>
          </w:p>
        </w:tc>
        <w:tc>
          <w:tcPr>
            <w:tcW w:w="764" w:type="dxa"/>
            <w:noWrap w:val="0"/>
            <w:vAlign w:val="center"/>
          </w:tcPr>
          <w:p w14:paraId="16FBB8E7">
            <w:pPr>
              <w:pStyle w:val="9"/>
              <w:keepNext/>
              <w:spacing w:line="440" w:lineRule="exact"/>
              <w:ind w:left="63" w:right="63"/>
              <w:outlineLvl w:val="9"/>
              <w:rPr>
                <w:rFonts w:hint="eastAsia" w:ascii="宋体" w:hAnsi="宋体" w:eastAsia="宋体" w:cs="宋体"/>
                <w:color w:val="auto"/>
                <w:sz w:val="24"/>
                <w:szCs w:val="24"/>
                <w:highlight w:val="none"/>
              </w:rPr>
            </w:pPr>
          </w:p>
        </w:tc>
        <w:tc>
          <w:tcPr>
            <w:tcW w:w="1071" w:type="dxa"/>
            <w:noWrap w:val="0"/>
            <w:vAlign w:val="center"/>
          </w:tcPr>
          <w:p w14:paraId="0086AD4A">
            <w:pPr>
              <w:pStyle w:val="9"/>
              <w:keepNext/>
              <w:spacing w:line="440" w:lineRule="exact"/>
              <w:ind w:left="63" w:right="63"/>
              <w:outlineLvl w:val="9"/>
              <w:rPr>
                <w:rFonts w:hint="eastAsia" w:ascii="宋体" w:hAnsi="宋体" w:eastAsia="宋体" w:cs="宋体"/>
                <w:color w:val="auto"/>
                <w:sz w:val="24"/>
                <w:szCs w:val="24"/>
                <w:highlight w:val="none"/>
              </w:rPr>
            </w:pPr>
          </w:p>
        </w:tc>
        <w:tc>
          <w:tcPr>
            <w:tcW w:w="893" w:type="dxa"/>
            <w:noWrap w:val="0"/>
            <w:vAlign w:val="center"/>
          </w:tcPr>
          <w:p w14:paraId="1AAE071C">
            <w:pPr>
              <w:pStyle w:val="9"/>
              <w:keepNext/>
              <w:spacing w:line="440" w:lineRule="exact"/>
              <w:ind w:left="63" w:right="63"/>
              <w:outlineLvl w:val="9"/>
              <w:rPr>
                <w:rFonts w:hint="eastAsia" w:ascii="宋体" w:hAnsi="宋体" w:eastAsia="宋体" w:cs="宋体"/>
                <w:color w:val="auto"/>
                <w:sz w:val="24"/>
                <w:szCs w:val="24"/>
                <w:highlight w:val="none"/>
              </w:rPr>
            </w:pPr>
          </w:p>
        </w:tc>
        <w:tc>
          <w:tcPr>
            <w:tcW w:w="844" w:type="dxa"/>
            <w:noWrap w:val="0"/>
            <w:vAlign w:val="center"/>
          </w:tcPr>
          <w:p w14:paraId="22B1027B">
            <w:pPr>
              <w:pStyle w:val="9"/>
              <w:keepNext/>
              <w:spacing w:line="440" w:lineRule="exact"/>
              <w:ind w:left="63" w:right="63"/>
              <w:outlineLvl w:val="9"/>
              <w:rPr>
                <w:rFonts w:hint="eastAsia" w:ascii="宋体" w:hAnsi="宋体" w:eastAsia="宋体" w:cs="宋体"/>
                <w:color w:val="auto"/>
                <w:sz w:val="24"/>
                <w:szCs w:val="24"/>
                <w:highlight w:val="none"/>
              </w:rPr>
            </w:pPr>
          </w:p>
        </w:tc>
        <w:tc>
          <w:tcPr>
            <w:tcW w:w="843" w:type="dxa"/>
            <w:noWrap w:val="0"/>
            <w:vAlign w:val="center"/>
          </w:tcPr>
          <w:p w14:paraId="2A4B4D30">
            <w:pPr>
              <w:pStyle w:val="9"/>
              <w:keepNext/>
              <w:spacing w:line="440" w:lineRule="exact"/>
              <w:ind w:left="63" w:right="63"/>
              <w:outlineLvl w:val="9"/>
              <w:rPr>
                <w:rFonts w:hint="eastAsia" w:ascii="宋体" w:hAnsi="宋体" w:eastAsia="宋体" w:cs="宋体"/>
                <w:color w:val="auto"/>
                <w:sz w:val="24"/>
                <w:szCs w:val="24"/>
                <w:highlight w:val="none"/>
              </w:rPr>
            </w:pPr>
          </w:p>
        </w:tc>
      </w:tr>
    </w:tbl>
    <w:p w14:paraId="56E476C7">
      <w:pPr>
        <w:spacing w:line="460" w:lineRule="exact"/>
        <w:outlineLvl w:val="9"/>
        <w:rPr>
          <w:rFonts w:hint="eastAsia" w:ascii="宋体" w:hAnsi="宋体" w:eastAsia="宋体" w:cs="宋体"/>
          <w:color w:val="auto"/>
          <w:sz w:val="24"/>
          <w:szCs w:val="24"/>
          <w:highlight w:val="none"/>
        </w:rPr>
      </w:pPr>
    </w:p>
    <w:p w14:paraId="2DB9921F">
      <w:pPr>
        <w:spacing w:line="460" w:lineRule="exact"/>
        <w:outlineLvl w:val="9"/>
        <w:rPr>
          <w:rFonts w:hint="eastAsia" w:ascii="宋体" w:hAnsi="宋体" w:eastAsia="宋体" w:cs="宋体"/>
          <w:color w:val="auto"/>
          <w:sz w:val="24"/>
          <w:szCs w:val="24"/>
          <w:highlight w:val="none"/>
        </w:rPr>
      </w:pPr>
    </w:p>
    <w:p w14:paraId="4DE2C71D">
      <w:pPr>
        <w:spacing w:line="460" w:lineRule="exact"/>
        <w:outlineLvl w:val="9"/>
        <w:rPr>
          <w:rFonts w:hint="eastAsia" w:ascii="宋体" w:hAnsi="宋体" w:eastAsia="宋体" w:cs="宋体"/>
          <w:color w:val="auto"/>
          <w:sz w:val="24"/>
          <w:szCs w:val="24"/>
          <w:highlight w:val="none"/>
        </w:rPr>
      </w:pPr>
    </w:p>
    <w:p w14:paraId="180AF75F">
      <w:pPr>
        <w:spacing w:line="460" w:lineRule="exact"/>
        <w:outlineLvl w:val="9"/>
        <w:rPr>
          <w:rFonts w:hint="eastAsia" w:ascii="宋体" w:hAnsi="宋体" w:eastAsia="宋体" w:cs="宋体"/>
          <w:color w:val="auto"/>
          <w:sz w:val="24"/>
          <w:szCs w:val="24"/>
          <w:highlight w:val="none"/>
        </w:rPr>
      </w:pPr>
    </w:p>
    <w:p w14:paraId="276241B6">
      <w:pPr>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附件2：</w:t>
      </w:r>
    </w:p>
    <w:p w14:paraId="53D45A8B">
      <w:pPr>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发包人供应材料设备一览表</w:t>
      </w:r>
    </w:p>
    <w:tbl>
      <w:tblPr>
        <w:tblStyle w:val="24"/>
        <w:tblW w:w="104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0"/>
        <w:gridCol w:w="1274"/>
        <w:gridCol w:w="1416"/>
        <w:gridCol w:w="939"/>
        <w:gridCol w:w="850"/>
        <w:gridCol w:w="1043"/>
        <w:gridCol w:w="991"/>
        <w:gridCol w:w="850"/>
        <w:gridCol w:w="1253"/>
        <w:gridCol w:w="991"/>
      </w:tblGrid>
      <w:tr w14:paraId="62623A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01" w:hRule="atLeast"/>
          <w:jc w:val="center"/>
        </w:trPr>
        <w:tc>
          <w:tcPr>
            <w:tcW w:w="850" w:type="dxa"/>
            <w:tcBorders>
              <w:top w:val="single" w:color="auto" w:sz="12" w:space="0"/>
              <w:bottom w:val="double" w:color="auto" w:sz="6" w:space="0"/>
            </w:tcBorders>
            <w:noWrap w:val="0"/>
            <w:vAlign w:val="center"/>
          </w:tcPr>
          <w:p w14:paraId="28645339">
            <w:pPr>
              <w:pStyle w:val="9"/>
              <w:keepNext/>
              <w:spacing w:line="460" w:lineRule="exact"/>
              <w:ind w:left="63" w:right="63"/>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74" w:type="dxa"/>
            <w:tcBorders>
              <w:top w:val="single" w:color="auto" w:sz="12" w:space="0"/>
              <w:bottom w:val="double" w:color="auto" w:sz="6" w:space="0"/>
            </w:tcBorders>
            <w:noWrap w:val="0"/>
            <w:vAlign w:val="center"/>
          </w:tcPr>
          <w:p w14:paraId="1CEDCDFE">
            <w:pPr>
              <w:pStyle w:val="9"/>
              <w:keepNext/>
              <w:spacing w:line="460" w:lineRule="exact"/>
              <w:ind w:left="63" w:right="63"/>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w:t>
            </w:r>
          </w:p>
          <w:p w14:paraId="73BE75E8">
            <w:pPr>
              <w:pStyle w:val="9"/>
              <w:keepNext/>
              <w:spacing w:line="460" w:lineRule="exact"/>
              <w:ind w:right="63"/>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设备品种</w:t>
            </w:r>
          </w:p>
        </w:tc>
        <w:tc>
          <w:tcPr>
            <w:tcW w:w="1416" w:type="dxa"/>
            <w:tcBorders>
              <w:top w:val="single" w:color="auto" w:sz="12" w:space="0"/>
              <w:bottom w:val="double" w:color="auto" w:sz="6" w:space="0"/>
            </w:tcBorders>
            <w:noWrap w:val="0"/>
            <w:vAlign w:val="center"/>
          </w:tcPr>
          <w:p w14:paraId="14BF76A3">
            <w:pPr>
              <w:pStyle w:val="9"/>
              <w:keepNext/>
              <w:spacing w:line="460" w:lineRule="exact"/>
              <w:ind w:left="63" w:right="63"/>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939" w:type="dxa"/>
            <w:tcBorders>
              <w:top w:val="single" w:color="auto" w:sz="12" w:space="0"/>
              <w:bottom w:val="double" w:color="auto" w:sz="6" w:space="0"/>
            </w:tcBorders>
            <w:noWrap w:val="0"/>
            <w:vAlign w:val="center"/>
          </w:tcPr>
          <w:p w14:paraId="0810DA59">
            <w:pPr>
              <w:pStyle w:val="9"/>
              <w:keepNext/>
              <w:spacing w:line="460" w:lineRule="exact"/>
              <w:ind w:left="63" w:right="63"/>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850" w:type="dxa"/>
            <w:tcBorders>
              <w:top w:val="single" w:color="auto" w:sz="12" w:space="0"/>
              <w:bottom w:val="double" w:color="auto" w:sz="6" w:space="0"/>
            </w:tcBorders>
            <w:noWrap w:val="0"/>
            <w:vAlign w:val="center"/>
          </w:tcPr>
          <w:p w14:paraId="3C905F45">
            <w:pPr>
              <w:pStyle w:val="9"/>
              <w:keepNext/>
              <w:spacing w:line="460" w:lineRule="exact"/>
              <w:ind w:left="63" w:right="63"/>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043" w:type="dxa"/>
            <w:tcBorders>
              <w:top w:val="single" w:color="auto" w:sz="12" w:space="0"/>
              <w:bottom w:val="double" w:color="auto" w:sz="6" w:space="0"/>
            </w:tcBorders>
            <w:noWrap w:val="0"/>
            <w:vAlign w:val="center"/>
          </w:tcPr>
          <w:p w14:paraId="73F94B7D">
            <w:pPr>
              <w:pStyle w:val="9"/>
              <w:keepNext/>
              <w:spacing w:line="460" w:lineRule="exact"/>
              <w:ind w:left="63" w:right="63"/>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c>
          <w:tcPr>
            <w:tcW w:w="991" w:type="dxa"/>
            <w:tcBorders>
              <w:top w:val="single" w:color="auto" w:sz="12" w:space="0"/>
              <w:bottom w:val="double" w:color="auto" w:sz="6" w:space="0"/>
            </w:tcBorders>
            <w:noWrap w:val="0"/>
            <w:vAlign w:val="center"/>
          </w:tcPr>
          <w:p w14:paraId="7B0B1F5C">
            <w:pPr>
              <w:pStyle w:val="9"/>
              <w:keepNext/>
              <w:spacing w:line="460" w:lineRule="exact"/>
              <w:ind w:left="63" w:right="63"/>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w:t>
            </w:r>
          </w:p>
          <w:p w14:paraId="7A991395">
            <w:pPr>
              <w:pStyle w:val="9"/>
              <w:keepNext/>
              <w:spacing w:line="460" w:lineRule="exact"/>
              <w:ind w:left="63" w:right="63"/>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等级</w:t>
            </w:r>
          </w:p>
        </w:tc>
        <w:tc>
          <w:tcPr>
            <w:tcW w:w="850" w:type="dxa"/>
            <w:tcBorders>
              <w:top w:val="single" w:color="auto" w:sz="12" w:space="0"/>
              <w:bottom w:val="double" w:color="auto" w:sz="6" w:space="0"/>
            </w:tcBorders>
            <w:noWrap w:val="0"/>
            <w:vAlign w:val="center"/>
          </w:tcPr>
          <w:p w14:paraId="31B7E9DD">
            <w:pPr>
              <w:pStyle w:val="9"/>
              <w:keepNext/>
              <w:spacing w:line="460" w:lineRule="exact"/>
              <w:ind w:left="63" w:right="63"/>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供应时间</w:t>
            </w:r>
          </w:p>
        </w:tc>
        <w:tc>
          <w:tcPr>
            <w:tcW w:w="1253" w:type="dxa"/>
            <w:tcBorders>
              <w:top w:val="single" w:color="auto" w:sz="12" w:space="0"/>
              <w:bottom w:val="double" w:color="auto" w:sz="6" w:space="0"/>
            </w:tcBorders>
            <w:noWrap w:val="0"/>
            <w:vAlign w:val="center"/>
          </w:tcPr>
          <w:p w14:paraId="04BFCB54">
            <w:pPr>
              <w:pStyle w:val="9"/>
              <w:keepNext/>
              <w:spacing w:line="460" w:lineRule="exact"/>
              <w:ind w:left="63" w:right="63"/>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送达地点</w:t>
            </w:r>
          </w:p>
        </w:tc>
        <w:tc>
          <w:tcPr>
            <w:tcW w:w="991" w:type="dxa"/>
            <w:tcBorders>
              <w:top w:val="single" w:color="auto" w:sz="12" w:space="0"/>
              <w:bottom w:val="double" w:color="auto" w:sz="6" w:space="0"/>
            </w:tcBorders>
            <w:noWrap w:val="0"/>
            <w:vAlign w:val="center"/>
          </w:tcPr>
          <w:p w14:paraId="16526550">
            <w:pPr>
              <w:pStyle w:val="9"/>
              <w:keepNext/>
              <w:spacing w:line="460" w:lineRule="exact"/>
              <w:ind w:left="63" w:right="63"/>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20448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tcBorders>
              <w:top w:val="double" w:color="auto" w:sz="6" w:space="0"/>
              <w:bottom w:val="single" w:color="auto" w:sz="6" w:space="0"/>
            </w:tcBorders>
            <w:noWrap w:val="0"/>
            <w:vAlign w:val="center"/>
          </w:tcPr>
          <w:p w14:paraId="460A4309">
            <w:pPr>
              <w:pStyle w:val="9"/>
              <w:keepNext/>
              <w:spacing w:line="460" w:lineRule="exact"/>
              <w:ind w:left="63" w:right="63"/>
              <w:outlineLvl w:val="9"/>
              <w:rPr>
                <w:rFonts w:hint="eastAsia" w:ascii="宋体" w:hAnsi="宋体" w:eastAsia="宋体" w:cs="宋体"/>
                <w:color w:val="auto"/>
                <w:sz w:val="24"/>
                <w:szCs w:val="24"/>
                <w:highlight w:val="none"/>
              </w:rPr>
            </w:pPr>
          </w:p>
        </w:tc>
        <w:tc>
          <w:tcPr>
            <w:tcW w:w="1274" w:type="dxa"/>
            <w:tcBorders>
              <w:top w:val="double" w:color="auto" w:sz="6" w:space="0"/>
              <w:bottom w:val="single" w:color="auto" w:sz="6" w:space="0"/>
            </w:tcBorders>
            <w:noWrap w:val="0"/>
            <w:vAlign w:val="center"/>
          </w:tcPr>
          <w:p w14:paraId="48FDBD6E">
            <w:pPr>
              <w:pStyle w:val="9"/>
              <w:keepNext/>
              <w:spacing w:line="460" w:lineRule="exact"/>
              <w:ind w:left="63" w:right="63"/>
              <w:outlineLvl w:val="9"/>
              <w:rPr>
                <w:rFonts w:hint="eastAsia" w:ascii="宋体" w:hAnsi="宋体" w:eastAsia="宋体" w:cs="宋体"/>
                <w:color w:val="auto"/>
                <w:sz w:val="24"/>
                <w:szCs w:val="24"/>
                <w:highlight w:val="none"/>
              </w:rPr>
            </w:pPr>
          </w:p>
        </w:tc>
        <w:tc>
          <w:tcPr>
            <w:tcW w:w="1416" w:type="dxa"/>
            <w:tcBorders>
              <w:top w:val="double" w:color="auto" w:sz="6" w:space="0"/>
              <w:bottom w:val="single" w:color="auto" w:sz="6" w:space="0"/>
            </w:tcBorders>
            <w:noWrap w:val="0"/>
            <w:vAlign w:val="center"/>
          </w:tcPr>
          <w:p w14:paraId="3079E4E3">
            <w:pPr>
              <w:pStyle w:val="9"/>
              <w:keepNext/>
              <w:spacing w:line="460" w:lineRule="exact"/>
              <w:ind w:left="63" w:right="63"/>
              <w:outlineLvl w:val="9"/>
              <w:rPr>
                <w:rFonts w:hint="eastAsia" w:ascii="宋体" w:hAnsi="宋体" w:eastAsia="宋体" w:cs="宋体"/>
                <w:color w:val="auto"/>
                <w:sz w:val="24"/>
                <w:szCs w:val="24"/>
                <w:highlight w:val="none"/>
              </w:rPr>
            </w:pPr>
          </w:p>
        </w:tc>
        <w:tc>
          <w:tcPr>
            <w:tcW w:w="939" w:type="dxa"/>
            <w:tcBorders>
              <w:top w:val="double" w:color="auto" w:sz="6" w:space="0"/>
              <w:bottom w:val="single" w:color="auto" w:sz="6" w:space="0"/>
            </w:tcBorders>
            <w:noWrap w:val="0"/>
            <w:vAlign w:val="center"/>
          </w:tcPr>
          <w:p w14:paraId="3B91A30E">
            <w:pPr>
              <w:pStyle w:val="9"/>
              <w:keepNext/>
              <w:spacing w:line="460" w:lineRule="exact"/>
              <w:ind w:left="63" w:right="63"/>
              <w:outlineLvl w:val="9"/>
              <w:rPr>
                <w:rFonts w:hint="eastAsia" w:ascii="宋体" w:hAnsi="宋体" w:eastAsia="宋体" w:cs="宋体"/>
                <w:color w:val="auto"/>
                <w:sz w:val="24"/>
                <w:szCs w:val="24"/>
                <w:highlight w:val="none"/>
              </w:rPr>
            </w:pPr>
          </w:p>
        </w:tc>
        <w:tc>
          <w:tcPr>
            <w:tcW w:w="850" w:type="dxa"/>
            <w:tcBorders>
              <w:top w:val="double" w:color="auto" w:sz="6" w:space="0"/>
              <w:bottom w:val="single" w:color="auto" w:sz="6" w:space="0"/>
            </w:tcBorders>
            <w:noWrap w:val="0"/>
            <w:vAlign w:val="center"/>
          </w:tcPr>
          <w:p w14:paraId="12624BA0">
            <w:pPr>
              <w:pStyle w:val="9"/>
              <w:keepNext/>
              <w:spacing w:line="460" w:lineRule="exact"/>
              <w:ind w:left="63" w:right="63"/>
              <w:outlineLvl w:val="9"/>
              <w:rPr>
                <w:rFonts w:hint="eastAsia" w:ascii="宋体" w:hAnsi="宋体" w:eastAsia="宋体" w:cs="宋体"/>
                <w:color w:val="auto"/>
                <w:sz w:val="24"/>
                <w:szCs w:val="24"/>
                <w:highlight w:val="none"/>
              </w:rPr>
            </w:pPr>
          </w:p>
        </w:tc>
        <w:tc>
          <w:tcPr>
            <w:tcW w:w="1043" w:type="dxa"/>
            <w:tcBorders>
              <w:top w:val="double" w:color="auto" w:sz="6" w:space="0"/>
              <w:bottom w:val="single" w:color="auto" w:sz="6" w:space="0"/>
            </w:tcBorders>
            <w:noWrap w:val="0"/>
            <w:vAlign w:val="center"/>
          </w:tcPr>
          <w:p w14:paraId="4308F22E">
            <w:pPr>
              <w:pStyle w:val="9"/>
              <w:keepNext/>
              <w:spacing w:line="460" w:lineRule="exact"/>
              <w:ind w:left="63" w:right="63"/>
              <w:outlineLvl w:val="9"/>
              <w:rPr>
                <w:rFonts w:hint="eastAsia" w:ascii="宋体" w:hAnsi="宋体" w:eastAsia="宋体" w:cs="宋体"/>
                <w:color w:val="auto"/>
                <w:sz w:val="24"/>
                <w:szCs w:val="24"/>
                <w:highlight w:val="none"/>
              </w:rPr>
            </w:pPr>
          </w:p>
        </w:tc>
        <w:tc>
          <w:tcPr>
            <w:tcW w:w="991" w:type="dxa"/>
            <w:tcBorders>
              <w:top w:val="double" w:color="auto" w:sz="6" w:space="0"/>
              <w:bottom w:val="single" w:color="auto" w:sz="6" w:space="0"/>
            </w:tcBorders>
            <w:noWrap w:val="0"/>
            <w:vAlign w:val="center"/>
          </w:tcPr>
          <w:p w14:paraId="0366284F">
            <w:pPr>
              <w:pStyle w:val="9"/>
              <w:keepNext/>
              <w:spacing w:line="460" w:lineRule="exact"/>
              <w:ind w:left="63" w:right="63"/>
              <w:outlineLvl w:val="9"/>
              <w:rPr>
                <w:rFonts w:hint="eastAsia" w:ascii="宋体" w:hAnsi="宋体" w:eastAsia="宋体" w:cs="宋体"/>
                <w:color w:val="auto"/>
                <w:sz w:val="24"/>
                <w:szCs w:val="24"/>
                <w:highlight w:val="none"/>
              </w:rPr>
            </w:pPr>
          </w:p>
        </w:tc>
        <w:tc>
          <w:tcPr>
            <w:tcW w:w="850" w:type="dxa"/>
            <w:tcBorders>
              <w:top w:val="double" w:color="auto" w:sz="6" w:space="0"/>
              <w:bottom w:val="single" w:color="auto" w:sz="6" w:space="0"/>
            </w:tcBorders>
            <w:noWrap w:val="0"/>
            <w:vAlign w:val="center"/>
          </w:tcPr>
          <w:p w14:paraId="3592432C">
            <w:pPr>
              <w:pStyle w:val="9"/>
              <w:keepNext/>
              <w:spacing w:line="460" w:lineRule="exact"/>
              <w:ind w:left="63" w:right="63"/>
              <w:outlineLvl w:val="9"/>
              <w:rPr>
                <w:rFonts w:hint="eastAsia" w:ascii="宋体" w:hAnsi="宋体" w:eastAsia="宋体" w:cs="宋体"/>
                <w:color w:val="auto"/>
                <w:sz w:val="24"/>
                <w:szCs w:val="24"/>
                <w:highlight w:val="none"/>
              </w:rPr>
            </w:pPr>
          </w:p>
        </w:tc>
        <w:tc>
          <w:tcPr>
            <w:tcW w:w="1253" w:type="dxa"/>
            <w:tcBorders>
              <w:top w:val="double" w:color="auto" w:sz="6" w:space="0"/>
              <w:bottom w:val="single" w:color="auto" w:sz="6" w:space="0"/>
            </w:tcBorders>
            <w:noWrap w:val="0"/>
            <w:vAlign w:val="center"/>
          </w:tcPr>
          <w:p w14:paraId="23F90215">
            <w:pPr>
              <w:pStyle w:val="9"/>
              <w:keepNext/>
              <w:spacing w:line="460" w:lineRule="exact"/>
              <w:ind w:left="63" w:right="63"/>
              <w:outlineLvl w:val="9"/>
              <w:rPr>
                <w:rFonts w:hint="eastAsia" w:ascii="宋体" w:hAnsi="宋体" w:eastAsia="宋体" w:cs="宋体"/>
                <w:color w:val="auto"/>
                <w:sz w:val="24"/>
                <w:szCs w:val="24"/>
                <w:highlight w:val="none"/>
              </w:rPr>
            </w:pPr>
          </w:p>
        </w:tc>
        <w:tc>
          <w:tcPr>
            <w:tcW w:w="991" w:type="dxa"/>
            <w:tcBorders>
              <w:top w:val="double" w:color="auto" w:sz="6" w:space="0"/>
              <w:bottom w:val="single" w:color="auto" w:sz="6" w:space="0"/>
            </w:tcBorders>
            <w:noWrap w:val="0"/>
            <w:vAlign w:val="center"/>
          </w:tcPr>
          <w:p w14:paraId="32243E47">
            <w:pPr>
              <w:pStyle w:val="9"/>
              <w:keepNext/>
              <w:spacing w:line="460" w:lineRule="exact"/>
              <w:ind w:left="63" w:right="63"/>
              <w:outlineLvl w:val="9"/>
              <w:rPr>
                <w:rFonts w:hint="eastAsia" w:ascii="宋体" w:hAnsi="宋体" w:eastAsia="宋体" w:cs="宋体"/>
                <w:color w:val="auto"/>
                <w:sz w:val="24"/>
                <w:szCs w:val="24"/>
                <w:highlight w:val="none"/>
              </w:rPr>
            </w:pPr>
          </w:p>
        </w:tc>
      </w:tr>
      <w:tr w14:paraId="478EB0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tcBorders>
              <w:top w:val="nil"/>
            </w:tcBorders>
            <w:noWrap w:val="0"/>
            <w:vAlign w:val="center"/>
          </w:tcPr>
          <w:p w14:paraId="18D9C2B7">
            <w:pPr>
              <w:pStyle w:val="9"/>
              <w:keepNext/>
              <w:spacing w:line="460" w:lineRule="exact"/>
              <w:ind w:left="63" w:right="63"/>
              <w:outlineLvl w:val="9"/>
              <w:rPr>
                <w:rFonts w:hint="eastAsia" w:ascii="宋体" w:hAnsi="宋体" w:eastAsia="宋体" w:cs="宋体"/>
                <w:color w:val="auto"/>
                <w:sz w:val="24"/>
                <w:szCs w:val="24"/>
                <w:highlight w:val="none"/>
              </w:rPr>
            </w:pPr>
          </w:p>
        </w:tc>
        <w:tc>
          <w:tcPr>
            <w:tcW w:w="1274" w:type="dxa"/>
            <w:tcBorders>
              <w:top w:val="nil"/>
            </w:tcBorders>
            <w:noWrap w:val="0"/>
            <w:vAlign w:val="center"/>
          </w:tcPr>
          <w:p w14:paraId="66C197AE">
            <w:pPr>
              <w:pStyle w:val="9"/>
              <w:keepNext/>
              <w:spacing w:line="460" w:lineRule="exact"/>
              <w:ind w:left="63" w:right="63"/>
              <w:outlineLvl w:val="9"/>
              <w:rPr>
                <w:rFonts w:hint="eastAsia" w:ascii="宋体" w:hAnsi="宋体" w:eastAsia="宋体" w:cs="宋体"/>
                <w:color w:val="auto"/>
                <w:sz w:val="24"/>
                <w:szCs w:val="24"/>
                <w:highlight w:val="none"/>
              </w:rPr>
            </w:pPr>
          </w:p>
        </w:tc>
        <w:tc>
          <w:tcPr>
            <w:tcW w:w="1416" w:type="dxa"/>
            <w:tcBorders>
              <w:top w:val="nil"/>
            </w:tcBorders>
            <w:noWrap w:val="0"/>
            <w:vAlign w:val="center"/>
          </w:tcPr>
          <w:p w14:paraId="508C1117">
            <w:pPr>
              <w:pStyle w:val="9"/>
              <w:keepNext/>
              <w:spacing w:line="460" w:lineRule="exact"/>
              <w:ind w:left="63" w:right="63"/>
              <w:outlineLvl w:val="9"/>
              <w:rPr>
                <w:rFonts w:hint="eastAsia" w:ascii="宋体" w:hAnsi="宋体" w:eastAsia="宋体" w:cs="宋体"/>
                <w:color w:val="auto"/>
                <w:sz w:val="24"/>
                <w:szCs w:val="24"/>
                <w:highlight w:val="none"/>
              </w:rPr>
            </w:pPr>
          </w:p>
        </w:tc>
        <w:tc>
          <w:tcPr>
            <w:tcW w:w="939" w:type="dxa"/>
            <w:tcBorders>
              <w:top w:val="nil"/>
            </w:tcBorders>
            <w:noWrap w:val="0"/>
            <w:vAlign w:val="center"/>
          </w:tcPr>
          <w:p w14:paraId="2F1BB8E6">
            <w:pPr>
              <w:pStyle w:val="9"/>
              <w:keepNext/>
              <w:spacing w:line="460" w:lineRule="exact"/>
              <w:ind w:left="63" w:right="63"/>
              <w:outlineLvl w:val="9"/>
              <w:rPr>
                <w:rFonts w:hint="eastAsia" w:ascii="宋体" w:hAnsi="宋体" w:eastAsia="宋体" w:cs="宋体"/>
                <w:color w:val="auto"/>
                <w:sz w:val="24"/>
                <w:szCs w:val="24"/>
                <w:highlight w:val="none"/>
              </w:rPr>
            </w:pPr>
          </w:p>
        </w:tc>
        <w:tc>
          <w:tcPr>
            <w:tcW w:w="850" w:type="dxa"/>
            <w:tcBorders>
              <w:top w:val="nil"/>
            </w:tcBorders>
            <w:noWrap w:val="0"/>
            <w:vAlign w:val="center"/>
          </w:tcPr>
          <w:p w14:paraId="4C9B13EB">
            <w:pPr>
              <w:pStyle w:val="9"/>
              <w:keepNext/>
              <w:spacing w:line="460" w:lineRule="exact"/>
              <w:ind w:left="63" w:right="63"/>
              <w:outlineLvl w:val="9"/>
              <w:rPr>
                <w:rFonts w:hint="eastAsia" w:ascii="宋体" w:hAnsi="宋体" w:eastAsia="宋体" w:cs="宋体"/>
                <w:color w:val="auto"/>
                <w:sz w:val="24"/>
                <w:szCs w:val="24"/>
                <w:highlight w:val="none"/>
              </w:rPr>
            </w:pPr>
          </w:p>
        </w:tc>
        <w:tc>
          <w:tcPr>
            <w:tcW w:w="1043" w:type="dxa"/>
            <w:tcBorders>
              <w:top w:val="nil"/>
            </w:tcBorders>
            <w:noWrap w:val="0"/>
            <w:vAlign w:val="center"/>
          </w:tcPr>
          <w:p w14:paraId="4E068EF3">
            <w:pPr>
              <w:pStyle w:val="9"/>
              <w:keepNext/>
              <w:spacing w:line="460" w:lineRule="exact"/>
              <w:ind w:left="63" w:right="63"/>
              <w:outlineLvl w:val="9"/>
              <w:rPr>
                <w:rFonts w:hint="eastAsia" w:ascii="宋体" w:hAnsi="宋体" w:eastAsia="宋体" w:cs="宋体"/>
                <w:color w:val="auto"/>
                <w:sz w:val="24"/>
                <w:szCs w:val="24"/>
                <w:highlight w:val="none"/>
              </w:rPr>
            </w:pPr>
          </w:p>
        </w:tc>
        <w:tc>
          <w:tcPr>
            <w:tcW w:w="991" w:type="dxa"/>
            <w:tcBorders>
              <w:top w:val="nil"/>
            </w:tcBorders>
            <w:noWrap w:val="0"/>
            <w:vAlign w:val="center"/>
          </w:tcPr>
          <w:p w14:paraId="1846D5E3">
            <w:pPr>
              <w:pStyle w:val="9"/>
              <w:keepNext/>
              <w:spacing w:line="460" w:lineRule="exact"/>
              <w:ind w:left="63" w:right="63"/>
              <w:outlineLvl w:val="9"/>
              <w:rPr>
                <w:rFonts w:hint="eastAsia" w:ascii="宋体" w:hAnsi="宋体" w:eastAsia="宋体" w:cs="宋体"/>
                <w:color w:val="auto"/>
                <w:sz w:val="24"/>
                <w:szCs w:val="24"/>
                <w:highlight w:val="none"/>
              </w:rPr>
            </w:pPr>
          </w:p>
        </w:tc>
        <w:tc>
          <w:tcPr>
            <w:tcW w:w="850" w:type="dxa"/>
            <w:tcBorders>
              <w:top w:val="nil"/>
            </w:tcBorders>
            <w:noWrap w:val="0"/>
            <w:vAlign w:val="center"/>
          </w:tcPr>
          <w:p w14:paraId="3F3783EC">
            <w:pPr>
              <w:pStyle w:val="9"/>
              <w:keepNext/>
              <w:spacing w:line="460" w:lineRule="exact"/>
              <w:ind w:left="63" w:right="63"/>
              <w:outlineLvl w:val="9"/>
              <w:rPr>
                <w:rFonts w:hint="eastAsia" w:ascii="宋体" w:hAnsi="宋体" w:eastAsia="宋体" w:cs="宋体"/>
                <w:color w:val="auto"/>
                <w:sz w:val="24"/>
                <w:szCs w:val="24"/>
                <w:highlight w:val="none"/>
              </w:rPr>
            </w:pPr>
          </w:p>
        </w:tc>
        <w:tc>
          <w:tcPr>
            <w:tcW w:w="1253" w:type="dxa"/>
            <w:tcBorders>
              <w:top w:val="nil"/>
            </w:tcBorders>
            <w:noWrap w:val="0"/>
            <w:vAlign w:val="center"/>
          </w:tcPr>
          <w:p w14:paraId="56B99271">
            <w:pPr>
              <w:pStyle w:val="9"/>
              <w:keepNext/>
              <w:spacing w:line="460" w:lineRule="exact"/>
              <w:ind w:left="63" w:right="63"/>
              <w:outlineLvl w:val="9"/>
              <w:rPr>
                <w:rFonts w:hint="eastAsia" w:ascii="宋体" w:hAnsi="宋体" w:eastAsia="宋体" w:cs="宋体"/>
                <w:color w:val="auto"/>
                <w:sz w:val="24"/>
                <w:szCs w:val="24"/>
                <w:highlight w:val="none"/>
              </w:rPr>
            </w:pPr>
          </w:p>
        </w:tc>
        <w:tc>
          <w:tcPr>
            <w:tcW w:w="991" w:type="dxa"/>
            <w:tcBorders>
              <w:top w:val="nil"/>
            </w:tcBorders>
            <w:noWrap w:val="0"/>
            <w:vAlign w:val="center"/>
          </w:tcPr>
          <w:p w14:paraId="7C6CBF22">
            <w:pPr>
              <w:pStyle w:val="9"/>
              <w:keepNext/>
              <w:spacing w:line="460" w:lineRule="exact"/>
              <w:ind w:left="63" w:right="63"/>
              <w:outlineLvl w:val="9"/>
              <w:rPr>
                <w:rFonts w:hint="eastAsia" w:ascii="宋体" w:hAnsi="宋体" w:eastAsia="宋体" w:cs="宋体"/>
                <w:color w:val="auto"/>
                <w:sz w:val="24"/>
                <w:szCs w:val="24"/>
                <w:highlight w:val="none"/>
              </w:rPr>
            </w:pPr>
          </w:p>
        </w:tc>
      </w:tr>
      <w:tr w14:paraId="62C2D8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433FD3C6">
            <w:pPr>
              <w:pStyle w:val="9"/>
              <w:keepNext/>
              <w:spacing w:line="460" w:lineRule="exact"/>
              <w:ind w:left="63" w:right="63"/>
              <w:outlineLvl w:val="9"/>
              <w:rPr>
                <w:rFonts w:hint="eastAsia" w:ascii="宋体" w:hAnsi="宋体" w:eastAsia="宋体" w:cs="宋体"/>
                <w:color w:val="auto"/>
                <w:sz w:val="24"/>
                <w:szCs w:val="24"/>
                <w:highlight w:val="none"/>
              </w:rPr>
            </w:pPr>
          </w:p>
        </w:tc>
        <w:tc>
          <w:tcPr>
            <w:tcW w:w="1274" w:type="dxa"/>
            <w:noWrap w:val="0"/>
            <w:vAlign w:val="center"/>
          </w:tcPr>
          <w:p w14:paraId="5906848C">
            <w:pPr>
              <w:pStyle w:val="9"/>
              <w:keepNext/>
              <w:spacing w:line="460" w:lineRule="exact"/>
              <w:ind w:left="63" w:right="63"/>
              <w:outlineLvl w:val="9"/>
              <w:rPr>
                <w:rFonts w:hint="eastAsia" w:ascii="宋体" w:hAnsi="宋体" w:eastAsia="宋体" w:cs="宋体"/>
                <w:color w:val="auto"/>
                <w:sz w:val="24"/>
                <w:szCs w:val="24"/>
                <w:highlight w:val="none"/>
              </w:rPr>
            </w:pPr>
          </w:p>
        </w:tc>
        <w:tc>
          <w:tcPr>
            <w:tcW w:w="1416" w:type="dxa"/>
            <w:noWrap w:val="0"/>
            <w:vAlign w:val="center"/>
          </w:tcPr>
          <w:p w14:paraId="1CF5629A">
            <w:pPr>
              <w:pStyle w:val="9"/>
              <w:keepNext/>
              <w:spacing w:line="460" w:lineRule="exact"/>
              <w:ind w:left="63" w:right="63"/>
              <w:outlineLvl w:val="9"/>
              <w:rPr>
                <w:rFonts w:hint="eastAsia" w:ascii="宋体" w:hAnsi="宋体" w:eastAsia="宋体" w:cs="宋体"/>
                <w:color w:val="auto"/>
                <w:sz w:val="24"/>
                <w:szCs w:val="24"/>
                <w:highlight w:val="none"/>
              </w:rPr>
            </w:pPr>
          </w:p>
        </w:tc>
        <w:tc>
          <w:tcPr>
            <w:tcW w:w="939" w:type="dxa"/>
            <w:noWrap w:val="0"/>
            <w:vAlign w:val="center"/>
          </w:tcPr>
          <w:p w14:paraId="1C230641">
            <w:pPr>
              <w:pStyle w:val="9"/>
              <w:keepNext/>
              <w:spacing w:line="460" w:lineRule="exact"/>
              <w:ind w:left="63" w:right="63"/>
              <w:outlineLvl w:val="9"/>
              <w:rPr>
                <w:rFonts w:hint="eastAsia" w:ascii="宋体" w:hAnsi="宋体" w:eastAsia="宋体" w:cs="宋体"/>
                <w:color w:val="auto"/>
                <w:sz w:val="24"/>
                <w:szCs w:val="24"/>
                <w:highlight w:val="none"/>
              </w:rPr>
            </w:pPr>
          </w:p>
        </w:tc>
        <w:tc>
          <w:tcPr>
            <w:tcW w:w="850" w:type="dxa"/>
            <w:noWrap w:val="0"/>
            <w:vAlign w:val="center"/>
          </w:tcPr>
          <w:p w14:paraId="4B7C0978">
            <w:pPr>
              <w:pStyle w:val="9"/>
              <w:keepNext/>
              <w:spacing w:line="460" w:lineRule="exact"/>
              <w:ind w:left="63" w:right="63"/>
              <w:outlineLvl w:val="9"/>
              <w:rPr>
                <w:rFonts w:hint="eastAsia" w:ascii="宋体" w:hAnsi="宋体" w:eastAsia="宋体" w:cs="宋体"/>
                <w:color w:val="auto"/>
                <w:sz w:val="24"/>
                <w:szCs w:val="24"/>
                <w:highlight w:val="none"/>
              </w:rPr>
            </w:pPr>
          </w:p>
        </w:tc>
        <w:tc>
          <w:tcPr>
            <w:tcW w:w="1043" w:type="dxa"/>
            <w:noWrap w:val="0"/>
            <w:vAlign w:val="center"/>
          </w:tcPr>
          <w:p w14:paraId="2466FD50">
            <w:pPr>
              <w:pStyle w:val="9"/>
              <w:keepNext/>
              <w:spacing w:line="460" w:lineRule="exact"/>
              <w:ind w:left="63" w:right="63"/>
              <w:outlineLvl w:val="9"/>
              <w:rPr>
                <w:rFonts w:hint="eastAsia" w:ascii="宋体" w:hAnsi="宋体" w:eastAsia="宋体" w:cs="宋体"/>
                <w:color w:val="auto"/>
                <w:sz w:val="24"/>
                <w:szCs w:val="24"/>
                <w:highlight w:val="none"/>
              </w:rPr>
            </w:pPr>
          </w:p>
        </w:tc>
        <w:tc>
          <w:tcPr>
            <w:tcW w:w="991" w:type="dxa"/>
            <w:noWrap w:val="0"/>
            <w:vAlign w:val="center"/>
          </w:tcPr>
          <w:p w14:paraId="0B7B9394">
            <w:pPr>
              <w:pStyle w:val="9"/>
              <w:keepNext/>
              <w:spacing w:line="460" w:lineRule="exact"/>
              <w:ind w:left="63" w:right="63"/>
              <w:outlineLvl w:val="9"/>
              <w:rPr>
                <w:rFonts w:hint="eastAsia" w:ascii="宋体" w:hAnsi="宋体" w:eastAsia="宋体" w:cs="宋体"/>
                <w:color w:val="auto"/>
                <w:sz w:val="24"/>
                <w:szCs w:val="24"/>
                <w:highlight w:val="none"/>
              </w:rPr>
            </w:pPr>
          </w:p>
        </w:tc>
        <w:tc>
          <w:tcPr>
            <w:tcW w:w="850" w:type="dxa"/>
            <w:noWrap w:val="0"/>
            <w:vAlign w:val="center"/>
          </w:tcPr>
          <w:p w14:paraId="19C5D8E9">
            <w:pPr>
              <w:pStyle w:val="9"/>
              <w:keepNext/>
              <w:spacing w:line="460" w:lineRule="exact"/>
              <w:ind w:left="63" w:right="63"/>
              <w:outlineLvl w:val="9"/>
              <w:rPr>
                <w:rFonts w:hint="eastAsia" w:ascii="宋体" w:hAnsi="宋体" w:eastAsia="宋体" w:cs="宋体"/>
                <w:color w:val="auto"/>
                <w:sz w:val="24"/>
                <w:szCs w:val="24"/>
                <w:highlight w:val="none"/>
              </w:rPr>
            </w:pPr>
          </w:p>
        </w:tc>
        <w:tc>
          <w:tcPr>
            <w:tcW w:w="1253" w:type="dxa"/>
            <w:noWrap w:val="0"/>
            <w:vAlign w:val="center"/>
          </w:tcPr>
          <w:p w14:paraId="05DC5EED">
            <w:pPr>
              <w:pStyle w:val="9"/>
              <w:keepNext/>
              <w:spacing w:line="460" w:lineRule="exact"/>
              <w:ind w:left="63" w:right="63"/>
              <w:outlineLvl w:val="9"/>
              <w:rPr>
                <w:rFonts w:hint="eastAsia" w:ascii="宋体" w:hAnsi="宋体" w:eastAsia="宋体" w:cs="宋体"/>
                <w:color w:val="auto"/>
                <w:sz w:val="24"/>
                <w:szCs w:val="24"/>
                <w:highlight w:val="none"/>
              </w:rPr>
            </w:pPr>
          </w:p>
        </w:tc>
        <w:tc>
          <w:tcPr>
            <w:tcW w:w="991" w:type="dxa"/>
            <w:noWrap w:val="0"/>
            <w:vAlign w:val="center"/>
          </w:tcPr>
          <w:p w14:paraId="10CBC4F0">
            <w:pPr>
              <w:pStyle w:val="9"/>
              <w:keepNext/>
              <w:spacing w:line="460" w:lineRule="exact"/>
              <w:ind w:left="63" w:right="63"/>
              <w:outlineLvl w:val="9"/>
              <w:rPr>
                <w:rFonts w:hint="eastAsia" w:ascii="宋体" w:hAnsi="宋体" w:eastAsia="宋体" w:cs="宋体"/>
                <w:color w:val="auto"/>
                <w:sz w:val="24"/>
                <w:szCs w:val="24"/>
                <w:highlight w:val="none"/>
              </w:rPr>
            </w:pPr>
          </w:p>
        </w:tc>
      </w:tr>
      <w:tr w14:paraId="101CE1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340DFB7C">
            <w:pPr>
              <w:pStyle w:val="9"/>
              <w:keepNext/>
              <w:spacing w:line="460" w:lineRule="exact"/>
              <w:ind w:left="63" w:right="63"/>
              <w:outlineLvl w:val="9"/>
              <w:rPr>
                <w:rFonts w:hint="eastAsia" w:ascii="宋体" w:hAnsi="宋体" w:eastAsia="宋体" w:cs="宋体"/>
                <w:color w:val="auto"/>
                <w:sz w:val="24"/>
                <w:szCs w:val="24"/>
                <w:highlight w:val="none"/>
              </w:rPr>
            </w:pPr>
          </w:p>
        </w:tc>
        <w:tc>
          <w:tcPr>
            <w:tcW w:w="1274" w:type="dxa"/>
            <w:noWrap w:val="0"/>
            <w:vAlign w:val="center"/>
          </w:tcPr>
          <w:p w14:paraId="574B3947">
            <w:pPr>
              <w:pStyle w:val="9"/>
              <w:keepNext/>
              <w:spacing w:line="460" w:lineRule="exact"/>
              <w:ind w:left="63" w:right="63"/>
              <w:outlineLvl w:val="9"/>
              <w:rPr>
                <w:rFonts w:hint="eastAsia" w:ascii="宋体" w:hAnsi="宋体" w:eastAsia="宋体" w:cs="宋体"/>
                <w:color w:val="auto"/>
                <w:sz w:val="24"/>
                <w:szCs w:val="24"/>
                <w:highlight w:val="none"/>
              </w:rPr>
            </w:pPr>
          </w:p>
        </w:tc>
        <w:tc>
          <w:tcPr>
            <w:tcW w:w="1416" w:type="dxa"/>
            <w:noWrap w:val="0"/>
            <w:vAlign w:val="center"/>
          </w:tcPr>
          <w:p w14:paraId="7F03F315">
            <w:pPr>
              <w:pStyle w:val="9"/>
              <w:keepNext/>
              <w:spacing w:line="460" w:lineRule="exact"/>
              <w:ind w:left="63" w:right="63"/>
              <w:outlineLvl w:val="9"/>
              <w:rPr>
                <w:rFonts w:hint="eastAsia" w:ascii="宋体" w:hAnsi="宋体" w:eastAsia="宋体" w:cs="宋体"/>
                <w:color w:val="auto"/>
                <w:sz w:val="24"/>
                <w:szCs w:val="24"/>
                <w:highlight w:val="none"/>
              </w:rPr>
            </w:pPr>
          </w:p>
        </w:tc>
        <w:tc>
          <w:tcPr>
            <w:tcW w:w="939" w:type="dxa"/>
            <w:noWrap w:val="0"/>
            <w:vAlign w:val="center"/>
          </w:tcPr>
          <w:p w14:paraId="339801B6">
            <w:pPr>
              <w:pStyle w:val="9"/>
              <w:keepNext/>
              <w:spacing w:line="460" w:lineRule="exact"/>
              <w:ind w:left="63" w:right="63"/>
              <w:outlineLvl w:val="9"/>
              <w:rPr>
                <w:rFonts w:hint="eastAsia" w:ascii="宋体" w:hAnsi="宋体" w:eastAsia="宋体" w:cs="宋体"/>
                <w:color w:val="auto"/>
                <w:sz w:val="24"/>
                <w:szCs w:val="24"/>
                <w:highlight w:val="none"/>
              </w:rPr>
            </w:pPr>
          </w:p>
        </w:tc>
        <w:tc>
          <w:tcPr>
            <w:tcW w:w="850" w:type="dxa"/>
            <w:noWrap w:val="0"/>
            <w:vAlign w:val="center"/>
          </w:tcPr>
          <w:p w14:paraId="2E521E05">
            <w:pPr>
              <w:pStyle w:val="9"/>
              <w:keepNext/>
              <w:spacing w:line="460" w:lineRule="exact"/>
              <w:ind w:left="63" w:right="63"/>
              <w:outlineLvl w:val="9"/>
              <w:rPr>
                <w:rFonts w:hint="eastAsia" w:ascii="宋体" w:hAnsi="宋体" w:eastAsia="宋体" w:cs="宋体"/>
                <w:color w:val="auto"/>
                <w:sz w:val="24"/>
                <w:szCs w:val="24"/>
                <w:highlight w:val="none"/>
              </w:rPr>
            </w:pPr>
          </w:p>
        </w:tc>
        <w:tc>
          <w:tcPr>
            <w:tcW w:w="1043" w:type="dxa"/>
            <w:noWrap w:val="0"/>
            <w:vAlign w:val="center"/>
          </w:tcPr>
          <w:p w14:paraId="56B23C8E">
            <w:pPr>
              <w:pStyle w:val="9"/>
              <w:keepNext/>
              <w:spacing w:line="460" w:lineRule="exact"/>
              <w:ind w:left="63" w:right="63"/>
              <w:outlineLvl w:val="9"/>
              <w:rPr>
                <w:rFonts w:hint="eastAsia" w:ascii="宋体" w:hAnsi="宋体" w:eastAsia="宋体" w:cs="宋体"/>
                <w:color w:val="auto"/>
                <w:sz w:val="24"/>
                <w:szCs w:val="24"/>
                <w:highlight w:val="none"/>
              </w:rPr>
            </w:pPr>
          </w:p>
        </w:tc>
        <w:tc>
          <w:tcPr>
            <w:tcW w:w="991" w:type="dxa"/>
            <w:noWrap w:val="0"/>
            <w:vAlign w:val="center"/>
          </w:tcPr>
          <w:p w14:paraId="19B579E2">
            <w:pPr>
              <w:pStyle w:val="9"/>
              <w:keepNext/>
              <w:spacing w:line="460" w:lineRule="exact"/>
              <w:ind w:left="63" w:right="63"/>
              <w:outlineLvl w:val="9"/>
              <w:rPr>
                <w:rFonts w:hint="eastAsia" w:ascii="宋体" w:hAnsi="宋体" w:eastAsia="宋体" w:cs="宋体"/>
                <w:color w:val="auto"/>
                <w:sz w:val="24"/>
                <w:szCs w:val="24"/>
                <w:highlight w:val="none"/>
              </w:rPr>
            </w:pPr>
          </w:p>
        </w:tc>
        <w:tc>
          <w:tcPr>
            <w:tcW w:w="850" w:type="dxa"/>
            <w:noWrap w:val="0"/>
            <w:vAlign w:val="center"/>
          </w:tcPr>
          <w:p w14:paraId="12E05744">
            <w:pPr>
              <w:pStyle w:val="9"/>
              <w:keepNext/>
              <w:spacing w:line="460" w:lineRule="exact"/>
              <w:ind w:left="63" w:right="63"/>
              <w:outlineLvl w:val="9"/>
              <w:rPr>
                <w:rFonts w:hint="eastAsia" w:ascii="宋体" w:hAnsi="宋体" w:eastAsia="宋体" w:cs="宋体"/>
                <w:color w:val="auto"/>
                <w:sz w:val="24"/>
                <w:szCs w:val="24"/>
                <w:highlight w:val="none"/>
              </w:rPr>
            </w:pPr>
          </w:p>
        </w:tc>
        <w:tc>
          <w:tcPr>
            <w:tcW w:w="1253" w:type="dxa"/>
            <w:noWrap w:val="0"/>
            <w:vAlign w:val="center"/>
          </w:tcPr>
          <w:p w14:paraId="73E25A93">
            <w:pPr>
              <w:pStyle w:val="9"/>
              <w:keepNext/>
              <w:spacing w:line="460" w:lineRule="exact"/>
              <w:ind w:left="63" w:right="63"/>
              <w:outlineLvl w:val="9"/>
              <w:rPr>
                <w:rFonts w:hint="eastAsia" w:ascii="宋体" w:hAnsi="宋体" w:eastAsia="宋体" w:cs="宋体"/>
                <w:color w:val="auto"/>
                <w:sz w:val="24"/>
                <w:szCs w:val="24"/>
                <w:highlight w:val="none"/>
              </w:rPr>
            </w:pPr>
          </w:p>
        </w:tc>
        <w:tc>
          <w:tcPr>
            <w:tcW w:w="991" w:type="dxa"/>
            <w:noWrap w:val="0"/>
            <w:vAlign w:val="center"/>
          </w:tcPr>
          <w:p w14:paraId="1AB2D9BE">
            <w:pPr>
              <w:pStyle w:val="9"/>
              <w:keepNext/>
              <w:spacing w:line="460" w:lineRule="exact"/>
              <w:ind w:left="63" w:right="63"/>
              <w:outlineLvl w:val="9"/>
              <w:rPr>
                <w:rFonts w:hint="eastAsia" w:ascii="宋体" w:hAnsi="宋体" w:eastAsia="宋体" w:cs="宋体"/>
                <w:color w:val="auto"/>
                <w:sz w:val="24"/>
                <w:szCs w:val="24"/>
                <w:highlight w:val="none"/>
              </w:rPr>
            </w:pPr>
          </w:p>
        </w:tc>
      </w:tr>
      <w:tr w14:paraId="11BC50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61C8F85D">
            <w:pPr>
              <w:pStyle w:val="9"/>
              <w:keepNext/>
              <w:spacing w:line="460" w:lineRule="exact"/>
              <w:ind w:left="63" w:right="63"/>
              <w:outlineLvl w:val="9"/>
              <w:rPr>
                <w:rFonts w:hint="eastAsia" w:ascii="宋体" w:hAnsi="宋体" w:eastAsia="宋体" w:cs="宋体"/>
                <w:color w:val="auto"/>
                <w:sz w:val="24"/>
                <w:szCs w:val="24"/>
                <w:highlight w:val="none"/>
              </w:rPr>
            </w:pPr>
          </w:p>
        </w:tc>
        <w:tc>
          <w:tcPr>
            <w:tcW w:w="1274" w:type="dxa"/>
            <w:noWrap w:val="0"/>
            <w:vAlign w:val="center"/>
          </w:tcPr>
          <w:p w14:paraId="26876FCE">
            <w:pPr>
              <w:pStyle w:val="9"/>
              <w:keepNext/>
              <w:spacing w:line="460" w:lineRule="exact"/>
              <w:ind w:left="63" w:right="63"/>
              <w:outlineLvl w:val="9"/>
              <w:rPr>
                <w:rFonts w:hint="eastAsia" w:ascii="宋体" w:hAnsi="宋体" w:eastAsia="宋体" w:cs="宋体"/>
                <w:color w:val="auto"/>
                <w:sz w:val="24"/>
                <w:szCs w:val="24"/>
                <w:highlight w:val="none"/>
              </w:rPr>
            </w:pPr>
          </w:p>
        </w:tc>
        <w:tc>
          <w:tcPr>
            <w:tcW w:w="1416" w:type="dxa"/>
            <w:noWrap w:val="0"/>
            <w:vAlign w:val="center"/>
          </w:tcPr>
          <w:p w14:paraId="2C397AA3">
            <w:pPr>
              <w:pStyle w:val="9"/>
              <w:keepNext/>
              <w:spacing w:line="460" w:lineRule="exact"/>
              <w:ind w:left="63" w:right="63"/>
              <w:outlineLvl w:val="9"/>
              <w:rPr>
                <w:rFonts w:hint="eastAsia" w:ascii="宋体" w:hAnsi="宋体" w:eastAsia="宋体" w:cs="宋体"/>
                <w:color w:val="auto"/>
                <w:sz w:val="24"/>
                <w:szCs w:val="24"/>
                <w:highlight w:val="none"/>
              </w:rPr>
            </w:pPr>
          </w:p>
        </w:tc>
        <w:tc>
          <w:tcPr>
            <w:tcW w:w="939" w:type="dxa"/>
            <w:noWrap w:val="0"/>
            <w:vAlign w:val="center"/>
          </w:tcPr>
          <w:p w14:paraId="5CA177C1">
            <w:pPr>
              <w:pStyle w:val="9"/>
              <w:keepNext/>
              <w:spacing w:line="460" w:lineRule="exact"/>
              <w:ind w:left="63" w:right="63"/>
              <w:outlineLvl w:val="9"/>
              <w:rPr>
                <w:rFonts w:hint="eastAsia" w:ascii="宋体" w:hAnsi="宋体" w:eastAsia="宋体" w:cs="宋体"/>
                <w:color w:val="auto"/>
                <w:sz w:val="24"/>
                <w:szCs w:val="24"/>
                <w:highlight w:val="none"/>
              </w:rPr>
            </w:pPr>
          </w:p>
        </w:tc>
        <w:tc>
          <w:tcPr>
            <w:tcW w:w="850" w:type="dxa"/>
            <w:noWrap w:val="0"/>
            <w:vAlign w:val="center"/>
          </w:tcPr>
          <w:p w14:paraId="3332165A">
            <w:pPr>
              <w:pStyle w:val="9"/>
              <w:keepNext/>
              <w:spacing w:line="460" w:lineRule="exact"/>
              <w:ind w:left="63" w:right="63"/>
              <w:outlineLvl w:val="9"/>
              <w:rPr>
                <w:rFonts w:hint="eastAsia" w:ascii="宋体" w:hAnsi="宋体" w:eastAsia="宋体" w:cs="宋体"/>
                <w:color w:val="auto"/>
                <w:sz w:val="24"/>
                <w:szCs w:val="24"/>
                <w:highlight w:val="none"/>
              </w:rPr>
            </w:pPr>
          </w:p>
        </w:tc>
        <w:tc>
          <w:tcPr>
            <w:tcW w:w="1043" w:type="dxa"/>
            <w:noWrap w:val="0"/>
            <w:vAlign w:val="center"/>
          </w:tcPr>
          <w:p w14:paraId="128CAEF1">
            <w:pPr>
              <w:pStyle w:val="9"/>
              <w:keepNext/>
              <w:spacing w:line="460" w:lineRule="exact"/>
              <w:ind w:left="63" w:right="63"/>
              <w:outlineLvl w:val="9"/>
              <w:rPr>
                <w:rFonts w:hint="eastAsia" w:ascii="宋体" w:hAnsi="宋体" w:eastAsia="宋体" w:cs="宋体"/>
                <w:color w:val="auto"/>
                <w:sz w:val="24"/>
                <w:szCs w:val="24"/>
                <w:highlight w:val="none"/>
              </w:rPr>
            </w:pPr>
          </w:p>
        </w:tc>
        <w:tc>
          <w:tcPr>
            <w:tcW w:w="991" w:type="dxa"/>
            <w:noWrap w:val="0"/>
            <w:vAlign w:val="center"/>
          </w:tcPr>
          <w:p w14:paraId="1E8DB3D0">
            <w:pPr>
              <w:pStyle w:val="9"/>
              <w:keepNext/>
              <w:spacing w:line="460" w:lineRule="exact"/>
              <w:ind w:left="63" w:right="63"/>
              <w:outlineLvl w:val="9"/>
              <w:rPr>
                <w:rFonts w:hint="eastAsia" w:ascii="宋体" w:hAnsi="宋体" w:eastAsia="宋体" w:cs="宋体"/>
                <w:color w:val="auto"/>
                <w:sz w:val="24"/>
                <w:szCs w:val="24"/>
                <w:highlight w:val="none"/>
              </w:rPr>
            </w:pPr>
          </w:p>
        </w:tc>
        <w:tc>
          <w:tcPr>
            <w:tcW w:w="850" w:type="dxa"/>
            <w:noWrap w:val="0"/>
            <w:vAlign w:val="center"/>
          </w:tcPr>
          <w:p w14:paraId="77DDAD60">
            <w:pPr>
              <w:pStyle w:val="9"/>
              <w:keepNext/>
              <w:spacing w:line="460" w:lineRule="exact"/>
              <w:ind w:left="63" w:right="63"/>
              <w:outlineLvl w:val="9"/>
              <w:rPr>
                <w:rFonts w:hint="eastAsia" w:ascii="宋体" w:hAnsi="宋体" w:eastAsia="宋体" w:cs="宋体"/>
                <w:color w:val="auto"/>
                <w:sz w:val="24"/>
                <w:szCs w:val="24"/>
                <w:highlight w:val="none"/>
              </w:rPr>
            </w:pPr>
          </w:p>
        </w:tc>
        <w:tc>
          <w:tcPr>
            <w:tcW w:w="1253" w:type="dxa"/>
            <w:noWrap w:val="0"/>
            <w:vAlign w:val="center"/>
          </w:tcPr>
          <w:p w14:paraId="59458608">
            <w:pPr>
              <w:pStyle w:val="9"/>
              <w:keepNext/>
              <w:spacing w:line="460" w:lineRule="exact"/>
              <w:ind w:left="63" w:right="63"/>
              <w:outlineLvl w:val="9"/>
              <w:rPr>
                <w:rFonts w:hint="eastAsia" w:ascii="宋体" w:hAnsi="宋体" w:eastAsia="宋体" w:cs="宋体"/>
                <w:color w:val="auto"/>
                <w:sz w:val="24"/>
                <w:szCs w:val="24"/>
                <w:highlight w:val="none"/>
              </w:rPr>
            </w:pPr>
          </w:p>
        </w:tc>
        <w:tc>
          <w:tcPr>
            <w:tcW w:w="991" w:type="dxa"/>
            <w:noWrap w:val="0"/>
            <w:vAlign w:val="center"/>
          </w:tcPr>
          <w:p w14:paraId="4B781525">
            <w:pPr>
              <w:pStyle w:val="9"/>
              <w:keepNext/>
              <w:spacing w:line="460" w:lineRule="exact"/>
              <w:ind w:left="63" w:right="63"/>
              <w:outlineLvl w:val="9"/>
              <w:rPr>
                <w:rFonts w:hint="eastAsia" w:ascii="宋体" w:hAnsi="宋体" w:eastAsia="宋体" w:cs="宋体"/>
                <w:color w:val="auto"/>
                <w:sz w:val="24"/>
                <w:szCs w:val="24"/>
                <w:highlight w:val="none"/>
              </w:rPr>
            </w:pPr>
          </w:p>
        </w:tc>
      </w:tr>
      <w:tr w14:paraId="75868C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0BBD3F89">
            <w:pPr>
              <w:pStyle w:val="9"/>
              <w:keepNext/>
              <w:spacing w:line="460" w:lineRule="exact"/>
              <w:ind w:left="63" w:right="63"/>
              <w:outlineLvl w:val="9"/>
              <w:rPr>
                <w:rFonts w:hint="eastAsia" w:ascii="宋体" w:hAnsi="宋体" w:eastAsia="宋体" w:cs="宋体"/>
                <w:color w:val="auto"/>
                <w:sz w:val="24"/>
                <w:szCs w:val="24"/>
                <w:highlight w:val="none"/>
              </w:rPr>
            </w:pPr>
          </w:p>
        </w:tc>
        <w:tc>
          <w:tcPr>
            <w:tcW w:w="1274" w:type="dxa"/>
            <w:noWrap w:val="0"/>
            <w:vAlign w:val="center"/>
          </w:tcPr>
          <w:p w14:paraId="1A19E245">
            <w:pPr>
              <w:pStyle w:val="9"/>
              <w:keepNext/>
              <w:spacing w:line="460" w:lineRule="exact"/>
              <w:ind w:left="63" w:right="63"/>
              <w:outlineLvl w:val="9"/>
              <w:rPr>
                <w:rFonts w:hint="eastAsia" w:ascii="宋体" w:hAnsi="宋体" w:eastAsia="宋体" w:cs="宋体"/>
                <w:color w:val="auto"/>
                <w:sz w:val="24"/>
                <w:szCs w:val="24"/>
                <w:highlight w:val="none"/>
              </w:rPr>
            </w:pPr>
          </w:p>
        </w:tc>
        <w:tc>
          <w:tcPr>
            <w:tcW w:w="1416" w:type="dxa"/>
            <w:noWrap w:val="0"/>
            <w:vAlign w:val="center"/>
          </w:tcPr>
          <w:p w14:paraId="3AEEAF77">
            <w:pPr>
              <w:pStyle w:val="9"/>
              <w:keepNext/>
              <w:spacing w:line="460" w:lineRule="exact"/>
              <w:ind w:left="63" w:right="63"/>
              <w:outlineLvl w:val="9"/>
              <w:rPr>
                <w:rFonts w:hint="eastAsia" w:ascii="宋体" w:hAnsi="宋体" w:eastAsia="宋体" w:cs="宋体"/>
                <w:color w:val="auto"/>
                <w:sz w:val="24"/>
                <w:szCs w:val="24"/>
                <w:highlight w:val="none"/>
              </w:rPr>
            </w:pPr>
          </w:p>
        </w:tc>
        <w:tc>
          <w:tcPr>
            <w:tcW w:w="939" w:type="dxa"/>
            <w:noWrap w:val="0"/>
            <w:vAlign w:val="center"/>
          </w:tcPr>
          <w:p w14:paraId="07368791">
            <w:pPr>
              <w:pStyle w:val="9"/>
              <w:keepNext/>
              <w:spacing w:line="460" w:lineRule="exact"/>
              <w:ind w:left="63" w:right="63"/>
              <w:outlineLvl w:val="9"/>
              <w:rPr>
                <w:rFonts w:hint="eastAsia" w:ascii="宋体" w:hAnsi="宋体" w:eastAsia="宋体" w:cs="宋体"/>
                <w:color w:val="auto"/>
                <w:sz w:val="24"/>
                <w:szCs w:val="24"/>
                <w:highlight w:val="none"/>
              </w:rPr>
            </w:pPr>
          </w:p>
        </w:tc>
        <w:tc>
          <w:tcPr>
            <w:tcW w:w="850" w:type="dxa"/>
            <w:noWrap w:val="0"/>
            <w:vAlign w:val="center"/>
          </w:tcPr>
          <w:p w14:paraId="660129E9">
            <w:pPr>
              <w:pStyle w:val="9"/>
              <w:keepNext/>
              <w:spacing w:line="460" w:lineRule="exact"/>
              <w:ind w:left="63" w:right="63"/>
              <w:outlineLvl w:val="9"/>
              <w:rPr>
                <w:rFonts w:hint="eastAsia" w:ascii="宋体" w:hAnsi="宋体" w:eastAsia="宋体" w:cs="宋体"/>
                <w:color w:val="auto"/>
                <w:sz w:val="24"/>
                <w:szCs w:val="24"/>
                <w:highlight w:val="none"/>
              </w:rPr>
            </w:pPr>
          </w:p>
        </w:tc>
        <w:tc>
          <w:tcPr>
            <w:tcW w:w="1043" w:type="dxa"/>
            <w:noWrap w:val="0"/>
            <w:vAlign w:val="center"/>
          </w:tcPr>
          <w:p w14:paraId="010299AD">
            <w:pPr>
              <w:pStyle w:val="9"/>
              <w:keepNext/>
              <w:spacing w:line="460" w:lineRule="exact"/>
              <w:ind w:left="63" w:right="63"/>
              <w:outlineLvl w:val="9"/>
              <w:rPr>
                <w:rFonts w:hint="eastAsia" w:ascii="宋体" w:hAnsi="宋体" w:eastAsia="宋体" w:cs="宋体"/>
                <w:color w:val="auto"/>
                <w:sz w:val="24"/>
                <w:szCs w:val="24"/>
                <w:highlight w:val="none"/>
              </w:rPr>
            </w:pPr>
          </w:p>
        </w:tc>
        <w:tc>
          <w:tcPr>
            <w:tcW w:w="991" w:type="dxa"/>
            <w:noWrap w:val="0"/>
            <w:vAlign w:val="center"/>
          </w:tcPr>
          <w:p w14:paraId="54279B36">
            <w:pPr>
              <w:pStyle w:val="9"/>
              <w:keepNext/>
              <w:spacing w:line="460" w:lineRule="exact"/>
              <w:ind w:left="63" w:right="63"/>
              <w:outlineLvl w:val="9"/>
              <w:rPr>
                <w:rFonts w:hint="eastAsia" w:ascii="宋体" w:hAnsi="宋体" w:eastAsia="宋体" w:cs="宋体"/>
                <w:color w:val="auto"/>
                <w:sz w:val="24"/>
                <w:szCs w:val="24"/>
                <w:highlight w:val="none"/>
              </w:rPr>
            </w:pPr>
          </w:p>
        </w:tc>
        <w:tc>
          <w:tcPr>
            <w:tcW w:w="850" w:type="dxa"/>
            <w:noWrap w:val="0"/>
            <w:vAlign w:val="center"/>
          </w:tcPr>
          <w:p w14:paraId="451FB054">
            <w:pPr>
              <w:pStyle w:val="9"/>
              <w:keepNext/>
              <w:spacing w:line="460" w:lineRule="exact"/>
              <w:ind w:left="63" w:right="63"/>
              <w:outlineLvl w:val="9"/>
              <w:rPr>
                <w:rFonts w:hint="eastAsia" w:ascii="宋体" w:hAnsi="宋体" w:eastAsia="宋体" w:cs="宋体"/>
                <w:color w:val="auto"/>
                <w:sz w:val="24"/>
                <w:szCs w:val="24"/>
                <w:highlight w:val="none"/>
              </w:rPr>
            </w:pPr>
          </w:p>
        </w:tc>
        <w:tc>
          <w:tcPr>
            <w:tcW w:w="1253" w:type="dxa"/>
            <w:noWrap w:val="0"/>
            <w:vAlign w:val="center"/>
          </w:tcPr>
          <w:p w14:paraId="21C0072E">
            <w:pPr>
              <w:pStyle w:val="9"/>
              <w:keepNext/>
              <w:spacing w:line="460" w:lineRule="exact"/>
              <w:ind w:left="63" w:right="63"/>
              <w:outlineLvl w:val="9"/>
              <w:rPr>
                <w:rFonts w:hint="eastAsia" w:ascii="宋体" w:hAnsi="宋体" w:eastAsia="宋体" w:cs="宋体"/>
                <w:color w:val="auto"/>
                <w:sz w:val="24"/>
                <w:szCs w:val="24"/>
                <w:highlight w:val="none"/>
              </w:rPr>
            </w:pPr>
          </w:p>
        </w:tc>
        <w:tc>
          <w:tcPr>
            <w:tcW w:w="991" w:type="dxa"/>
            <w:noWrap w:val="0"/>
            <w:vAlign w:val="center"/>
          </w:tcPr>
          <w:p w14:paraId="202D3622">
            <w:pPr>
              <w:pStyle w:val="9"/>
              <w:keepNext/>
              <w:spacing w:line="460" w:lineRule="exact"/>
              <w:ind w:left="63" w:right="63"/>
              <w:outlineLvl w:val="9"/>
              <w:rPr>
                <w:rFonts w:hint="eastAsia" w:ascii="宋体" w:hAnsi="宋体" w:eastAsia="宋体" w:cs="宋体"/>
                <w:color w:val="auto"/>
                <w:sz w:val="24"/>
                <w:szCs w:val="24"/>
                <w:highlight w:val="none"/>
              </w:rPr>
            </w:pPr>
          </w:p>
        </w:tc>
      </w:tr>
      <w:tr w14:paraId="48E89A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77AB0444">
            <w:pPr>
              <w:pStyle w:val="9"/>
              <w:keepNext/>
              <w:spacing w:line="460" w:lineRule="exact"/>
              <w:ind w:left="63" w:right="63"/>
              <w:outlineLvl w:val="9"/>
              <w:rPr>
                <w:rFonts w:hint="eastAsia" w:ascii="宋体" w:hAnsi="宋体" w:eastAsia="宋体" w:cs="宋体"/>
                <w:color w:val="auto"/>
                <w:sz w:val="24"/>
                <w:szCs w:val="24"/>
                <w:highlight w:val="none"/>
              </w:rPr>
            </w:pPr>
          </w:p>
        </w:tc>
        <w:tc>
          <w:tcPr>
            <w:tcW w:w="1274" w:type="dxa"/>
            <w:noWrap w:val="0"/>
            <w:vAlign w:val="center"/>
          </w:tcPr>
          <w:p w14:paraId="4BBC5DD1">
            <w:pPr>
              <w:pStyle w:val="9"/>
              <w:keepNext/>
              <w:spacing w:line="460" w:lineRule="exact"/>
              <w:ind w:left="63" w:right="63"/>
              <w:outlineLvl w:val="9"/>
              <w:rPr>
                <w:rFonts w:hint="eastAsia" w:ascii="宋体" w:hAnsi="宋体" w:eastAsia="宋体" w:cs="宋体"/>
                <w:color w:val="auto"/>
                <w:sz w:val="24"/>
                <w:szCs w:val="24"/>
                <w:highlight w:val="none"/>
              </w:rPr>
            </w:pPr>
          </w:p>
        </w:tc>
        <w:tc>
          <w:tcPr>
            <w:tcW w:w="1416" w:type="dxa"/>
            <w:noWrap w:val="0"/>
            <w:vAlign w:val="center"/>
          </w:tcPr>
          <w:p w14:paraId="11F665D7">
            <w:pPr>
              <w:pStyle w:val="9"/>
              <w:keepNext/>
              <w:spacing w:line="460" w:lineRule="exact"/>
              <w:ind w:left="63" w:right="63"/>
              <w:outlineLvl w:val="9"/>
              <w:rPr>
                <w:rFonts w:hint="eastAsia" w:ascii="宋体" w:hAnsi="宋体" w:eastAsia="宋体" w:cs="宋体"/>
                <w:color w:val="auto"/>
                <w:sz w:val="24"/>
                <w:szCs w:val="24"/>
                <w:highlight w:val="none"/>
              </w:rPr>
            </w:pPr>
          </w:p>
        </w:tc>
        <w:tc>
          <w:tcPr>
            <w:tcW w:w="939" w:type="dxa"/>
            <w:noWrap w:val="0"/>
            <w:vAlign w:val="center"/>
          </w:tcPr>
          <w:p w14:paraId="5E76747A">
            <w:pPr>
              <w:pStyle w:val="9"/>
              <w:keepNext/>
              <w:spacing w:line="460" w:lineRule="exact"/>
              <w:ind w:left="63" w:right="63"/>
              <w:outlineLvl w:val="9"/>
              <w:rPr>
                <w:rFonts w:hint="eastAsia" w:ascii="宋体" w:hAnsi="宋体" w:eastAsia="宋体" w:cs="宋体"/>
                <w:color w:val="auto"/>
                <w:sz w:val="24"/>
                <w:szCs w:val="24"/>
                <w:highlight w:val="none"/>
              </w:rPr>
            </w:pPr>
          </w:p>
        </w:tc>
        <w:tc>
          <w:tcPr>
            <w:tcW w:w="850" w:type="dxa"/>
            <w:noWrap w:val="0"/>
            <w:vAlign w:val="center"/>
          </w:tcPr>
          <w:p w14:paraId="3540A336">
            <w:pPr>
              <w:pStyle w:val="9"/>
              <w:keepNext/>
              <w:spacing w:line="460" w:lineRule="exact"/>
              <w:ind w:left="63" w:right="63"/>
              <w:outlineLvl w:val="9"/>
              <w:rPr>
                <w:rFonts w:hint="eastAsia" w:ascii="宋体" w:hAnsi="宋体" w:eastAsia="宋体" w:cs="宋体"/>
                <w:color w:val="auto"/>
                <w:sz w:val="24"/>
                <w:szCs w:val="24"/>
                <w:highlight w:val="none"/>
              </w:rPr>
            </w:pPr>
          </w:p>
        </w:tc>
        <w:tc>
          <w:tcPr>
            <w:tcW w:w="1043" w:type="dxa"/>
            <w:noWrap w:val="0"/>
            <w:vAlign w:val="center"/>
          </w:tcPr>
          <w:p w14:paraId="4FB98E2A">
            <w:pPr>
              <w:pStyle w:val="9"/>
              <w:keepNext/>
              <w:spacing w:line="460" w:lineRule="exact"/>
              <w:ind w:left="63" w:right="63"/>
              <w:outlineLvl w:val="9"/>
              <w:rPr>
                <w:rFonts w:hint="eastAsia" w:ascii="宋体" w:hAnsi="宋体" w:eastAsia="宋体" w:cs="宋体"/>
                <w:color w:val="auto"/>
                <w:sz w:val="24"/>
                <w:szCs w:val="24"/>
                <w:highlight w:val="none"/>
              </w:rPr>
            </w:pPr>
          </w:p>
        </w:tc>
        <w:tc>
          <w:tcPr>
            <w:tcW w:w="991" w:type="dxa"/>
            <w:noWrap w:val="0"/>
            <w:vAlign w:val="center"/>
          </w:tcPr>
          <w:p w14:paraId="24A9F7C5">
            <w:pPr>
              <w:pStyle w:val="9"/>
              <w:keepNext/>
              <w:spacing w:line="460" w:lineRule="exact"/>
              <w:ind w:left="63" w:right="63"/>
              <w:outlineLvl w:val="9"/>
              <w:rPr>
                <w:rFonts w:hint="eastAsia" w:ascii="宋体" w:hAnsi="宋体" w:eastAsia="宋体" w:cs="宋体"/>
                <w:color w:val="auto"/>
                <w:sz w:val="24"/>
                <w:szCs w:val="24"/>
                <w:highlight w:val="none"/>
              </w:rPr>
            </w:pPr>
          </w:p>
        </w:tc>
        <w:tc>
          <w:tcPr>
            <w:tcW w:w="850" w:type="dxa"/>
            <w:noWrap w:val="0"/>
            <w:vAlign w:val="center"/>
          </w:tcPr>
          <w:p w14:paraId="6D7A94C9">
            <w:pPr>
              <w:pStyle w:val="9"/>
              <w:keepNext/>
              <w:spacing w:line="460" w:lineRule="exact"/>
              <w:ind w:left="63" w:right="63"/>
              <w:outlineLvl w:val="9"/>
              <w:rPr>
                <w:rFonts w:hint="eastAsia" w:ascii="宋体" w:hAnsi="宋体" w:eastAsia="宋体" w:cs="宋体"/>
                <w:color w:val="auto"/>
                <w:sz w:val="24"/>
                <w:szCs w:val="24"/>
                <w:highlight w:val="none"/>
              </w:rPr>
            </w:pPr>
          </w:p>
        </w:tc>
        <w:tc>
          <w:tcPr>
            <w:tcW w:w="1253" w:type="dxa"/>
            <w:noWrap w:val="0"/>
            <w:vAlign w:val="center"/>
          </w:tcPr>
          <w:p w14:paraId="2A806523">
            <w:pPr>
              <w:pStyle w:val="9"/>
              <w:keepNext/>
              <w:spacing w:line="460" w:lineRule="exact"/>
              <w:ind w:left="63" w:right="63"/>
              <w:outlineLvl w:val="9"/>
              <w:rPr>
                <w:rFonts w:hint="eastAsia" w:ascii="宋体" w:hAnsi="宋体" w:eastAsia="宋体" w:cs="宋体"/>
                <w:color w:val="auto"/>
                <w:sz w:val="24"/>
                <w:szCs w:val="24"/>
                <w:highlight w:val="none"/>
              </w:rPr>
            </w:pPr>
          </w:p>
        </w:tc>
        <w:tc>
          <w:tcPr>
            <w:tcW w:w="991" w:type="dxa"/>
            <w:noWrap w:val="0"/>
            <w:vAlign w:val="center"/>
          </w:tcPr>
          <w:p w14:paraId="10E9AB74">
            <w:pPr>
              <w:pStyle w:val="9"/>
              <w:keepNext/>
              <w:spacing w:line="460" w:lineRule="exact"/>
              <w:ind w:left="63" w:right="63"/>
              <w:outlineLvl w:val="9"/>
              <w:rPr>
                <w:rFonts w:hint="eastAsia" w:ascii="宋体" w:hAnsi="宋体" w:eastAsia="宋体" w:cs="宋体"/>
                <w:color w:val="auto"/>
                <w:sz w:val="24"/>
                <w:szCs w:val="24"/>
                <w:highlight w:val="none"/>
              </w:rPr>
            </w:pPr>
          </w:p>
        </w:tc>
      </w:tr>
      <w:tr w14:paraId="6A676C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6CB6ADE3">
            <w:pPr>
              <w:pStyle w:val="9"/>
              <w:keepNext/>
              <w:spacing w:line="460" w:lineRule="exact"/>
              <w:ind w:left="63" w:right="63"/>
              <w:outlineLvl w:val="9"/>
              <w:rPr>
                <w:rFonts w:hint="eastAsia" w:ascii="宋体" w:hAnsi="宋体" w:eastAsia="宋体" w:cs="宋体"/>
                <w:color w:val="auto"/>
                <w:sz w:val="24"/>
                <w:szCs w:val="24"/>
                <w:highlight w:val="none"/>
              </w:rPr>
            </w:pPr>
          </w:p>
        </w:tc>
        <w:tc>
          <w:tcPr>
            <w:tcW w:w="1274" w:type="dxa"/>
            <w:noWrap w:val="0"/>
            <w:vAlign w:val="center"/>
          </w:tcPr>
          <w:p w14:paraId="6CAF92F7">
            <w:pPr>
              <w:pStyle w:val="9"/>
              <w:keepNext/>
              <w:spacing w:line="460" w:lineRule="exact"/>
              <w:ind w:left="63" w:right="63"/>
              <w:outlineLvl w:val="9"/>
              <w:rPr>
                <w:rFonts w:hint="eastAsia" w:ascii="宋体" w:hAnsi="宋体" w:eastAsia="宋体" w:cs="宋体"/>
                <w:color w:val="auto"/>
                <w:sz w:val="24"/>
                <w:szCs w:val="24"/>
                <w:highlight w:val="none"/>
              </w:rPr>
            </w:pPr>
          </w:p>
        </w:tc>
        <w:tc>
          <w:tcPr>
            <w:tcW w:w="1416" w:type="dxa"/>
            <w:noWrap w:val="0"/>
            <w:vAlign w:val="center"/>
          </w:tcPr>
          <w:p w14:paraId="342F6A3A">
            <w:pPr>
              <w:pStyle w:val="9"/>
              <w:keepNext/>
              <w:spacing w:line="460" w:lineRule="exact"/>
              <w:ind w:left="63" w:right="63"/>
              <w:outlineLvl w:val="9"/>
              <w:rPr>
                <w:rFonts w:hint="eastAsia" w:ascii="宋体" w:hAnsi="宋体" w:eastAsia="宋体" w:cs="宋体"/>
                <w:color w:val="auto"/>
                <w:sz w:val="24"/>
                <w:szCs w:val="24"/>
                <w:highlight w:val="none"/>
              </w:rPr>
            </w:pPr>
          </w:p>
        </w:tc>
        <w:tc>
          <w:tcPr>
            <w:tcW w:w="939" w:type="dxa"/>
            <w:noWrap w:val="0"/>
            <w:vAlign w:val="center"/>
          </w:tcPr>
          <w:p w14:paraId="417176ED">
            <w:pPr>
              <w:pStyle w:val="9"/>
              <w:keepNext/>
              <w:spacing w:line="460" w:lineRule="exact"/>
              <w:ind w:left="63" w:right="63"/>
              <w:outlineLvl w:val="9"/>
              <w:rPr>
                <w:rFonts w:hint="eastAsia" w:ascii="宋体" w:hAnsi="宋体" w:eastAsia="宋体" w:cs="宋体"/>
                <w:color w:val="auto"/>
                <w:sz w:val="24"/>
                <w:szCs w:val="24"/>
                <w:highlight w:val="none"/>
              </w:rPr>
            </w:pPr>
          </w:p>
        </w:tc>
        <w:tc>
          <w:tcPr>
            <w:tcW w:w="850" w:type="dxa"/>
            <w:noWrap w:val="0"/>
            <w:vAlign w:val="center"/>
          </w:tcPr>
          <w:p w14:paraId="0D873441">
            <w:pPr>
              <w:pStyle w:val="9"/>
              <w:keepNext/>
              <w:spacing w:line="460" w:lineRule="exact"/>
              <w:ind w:left="63" w:right="63"/>
              <w:outlineLvl w:val="9"/>
              <w:rPr>
                <w:rFonts w:hint="eastAsia" w:ascii="宋体" w:hAnsi="宋体" w:eastAsia="宋体" w:cs="宋体"/>
                <w:color w:val="auto"/>
                <w:sz w:val="24"/>
                <w:szCs w:val="24"/>
                <w:highlight w:val="none"/>
              </w:rPr>
            </w:pPr>
          </w:p>
        </w:tc>
        <w:tc>
          <w:tcPr>
            <w:tcW w:w="1043" w:type="dxa"/>
            <w:noWrap w:val="0"/>
            <w:vAlign w:val="center"/>
          </w:tcPr>
          <w:p w14:paraId="44D0481A">
            <w:pPr>
              <w:pStyle w:val="9"/>
              <w:keepNext/>
              <w:spacing w:line="460" w:lineRule="exact"/>
              <w:ind w:left="63" w:right="63"/>
              <w:outlineLvl w:val="9"/>
              <w:rPr>
                <w:rFonts w:hint="eastAsia" w:ascii="宋体" w:hAnsi="宋体" w:eastAsia="宋体" w:cs="宋体"/>
                <w:color w:val="auto"/>
                <w:sz w:val="24"/>
                <w:szCs w:val="24"/>
                <w:highlight w:val="none"/>
              </w:rPr>
            </w:pPr>
          </w:p>
        </w:tc>
        <w:tc>
          <w:tcPr>
            <w:tcW w:w="991" w:type="dxa"/>
            <w:noWrap w:val="0"/>
            <w:vAlign w:val="center"/>
          </w:tcPr>
          <w:p w14:paraId="46AD74BB">
            <w:pPr>
              <w:pStyle w:val="9"/>
              <w:keepNext/>
              <w:spacing w:line="460" w:lineRule="exact"/>
              <w:ind w:left="63" w:right="63"/>
              <w:outlineLvl w:val="9"/>
              <w:rPr>
                <w:rFonts w:hint="eastAsia" w:ascii="宋体" w:hAnsi="宋体" w:eastAsia="宋体" w:cs="宋体"/>
                <w:color w:val="auto"/>
                <w:sz w:val="24"/>
                <w:szCs w:val="24"/>
                <w:highlight w:val="none"/>
              </w:rPr>
            </w:pPr>
          </w:p>
        </w:tc>
        <w:tc>
          <w:tcPr>
            <w:tcW w:w="850" w:type="dxa"/>
            <w:noWrap w:val="0"/>
            <w:vAlign w:val="center"/>
          </w:tcPr>
          <w:p w14:paraId="1D1DB987">
            <w:pPr>
              <w:pStyle w:val="9"/>
              <w:keepNext/>
              <w:spacing w:line="460" w:lineRule="exact"/>
              <w:ind w:left="63" w:right="63"/>
              <w:outlineLvl w:val="9"/>
              <w:rPr>
                <w:rFonts w:hint="eastAsia" w:ascii="宋体" w:hAnsi="宋体" w:eastAsia="宋体" w:cs="宋体"/>
                <w:color w:val="auto"/>
                <w:sz w:val="24"/>
                <w:szCs w:val="24"/>
                <w:highlight w:val="none"/>
              </w:rPr>
            </w:pPr>
          </w:p>
        </w:tc>
        <w:tc>
          <w:tcPr>
            <w:tcW w:w="1253" w:type="dxa"/>
            <w:noWrap w:val="0"/>
            <w:vAlign w:val="center"/>
          </w:tcPr>
          <w:p w14:paraId="38516266">
            <w:pPr>
              <w:pStyle w:val="9"/>
              <w:keepNext/>
              <w:spacing w:line="460" w:lineRule="exact"/>
              <w:ind w:left="63" w:right="63"/>
              <w:outlineLvl w:val="9"/>
              <w:rPr>
                <w:rFonts w:hint="eastAsia" w:ascii="宋体" w:hAnsi="宋体" w:eastAsia="宋体" w:cs="宋体"/>
                <w:color w:val="auto"/>
                <w:sz w:val="24"/>
                <w:szCs w:val="24"/>
                <w:highlight w:val="none"/>
              </w:rPr>
            </w:pPr>
          </w:p>
        </w:tc>
        <w:tc>
          <w:tcPr>
            <w:tcW w:w="991" w:type="dxa"/>
            <w:noWrap w:val="0"/>
            <w:vAlign w:val="center"/>
          </w:tcPr>
          <w:p w14:paraId="78B5B426">
            <w:pPr>
              <w:pStyle w:val="9"/>
              <w:keepNext/>
              <w:spacing w:line="460" w:lineRule="exact"/>
              <w:ind w:left="63" w:right="63"/>
              <w:outlineLvl w:val="9"/>
              <w:rPr>
                <w:rFonts w:hint="eastAsia" w:ascii="宋体" w:hAnsi="宋体" w:eastAsia="宋体" w:cs="宋体"/>
                <w:color w:val="auto"/>
                <w:sz w:val="24"/>
                <w:szCs w:val="24"/>
                <w:highlight w:val="none"/>
              </w:rPr>
            </w:pPr>
          </w:p>
        </w:tc>
      </w:tr>
      <w:tr w14:paraId="2428A7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245AF8C2">
            <w:pPr>
              <w:spacing w:line="460" w:lineRule="exact"/>
              <w:jc w:val="center"/>
              <w:outlineLvl w:val="9"/>
              <w:rPr>
                <w:rFonts w:hint="eastAsia" w:ascii="宋体" w:hAnsi="宋体" w:eastAsia="宋体" w:cs="宋体"/>
                <w:color w:val="auto"/>
                <w:sz w:val="24"/>
                <w:szCs w:val="24"/>
                <w:highlight w:val="none"/>
              </w:rPr>
            </w:pPr>
          </w:p>
        </w:tc>
        <w:tc>
          <w:tcPr>
            <w:tcW w:w="1274" w:type="dxa"/>
            <w:noWrap w:val="0"/>
            <w:vAlign w:val="center"/>
          </w:tcPr>
          <w:p w14:paraId="25CB0C2A">
            <w:pPr>
              <w:spacing w:line="460" w:lineRule="exact"/>
              <w:jc w:val="center"/>
              <w:outlineLvl w:val="9"/>
              <w:rPr>
                <w:rFonts w:hint="eastAsia" w:ascii="宋体" w:hAnsi="宋体" w:eastAsia="宋体" w:cs="宋体"/>
                <w:color w:val="auto"/>
                <w:sz w:val="24"/>
                <w:szCs w:val="24"/>
                <w:highlight w:val="none"/>
              </w:rPr>
            </w:pPr>
          </w:p>
        </w:tc>
        <w:tc>
          <w:tcPr>
            <w:tcW w:w="1416" w:type="dxa"/>
            <w:noWrap w:val="0"/>
            <w:vAlign w:val="center"/>
          </w:tcPr>
          <w:p w14:paraId="35935A9E">
            <w:pPr>
              <w:spacing w:line="460" w:lineRule="exact"/>
              <w:jc w:val="center"/>
              <w:outlineLvl w:val="9"/>
              <w:rPr>
                <w:rFonts w:hint="eastAsia" w:ascii="宋体" w:hAnsi="宋体" w:eastAsia="宋体" w:cs="宋体"/>
                <w:color w:val="auto"/>
                <w:sz w:val="24"/>
                <w:szCs w:val="24"/>
                <w:highlight w:val="none"/>
              </w:rPr>
            </w:pPr>
          </w:p>
        </w:tc>
        <w:tc>
          <w:tcPr>
            <w:tcW w:w="939" w:type="dxa"/>
            <w:noWrap w:val="0"/>
            <w:vAlign w:val="center"/>
          </w:tcPr>
          <w:p w14:paraId="282400CE">
            <w:pPr>
              <w:spacing w:line="460" w:lineRule="exact"/>
              <w:jc w:val="center"/>
              <w:outlineLvl w:val="9"/>
              <w:rPr>
                <w:rFonts w:hint="eastAsia" w:ascii="宋体" w:hAnsi="宋体" w:eastAsia="宋体" w:cs="宋体"/>
                <w:color w:val="auto"/>
                <w:sz w:val="24"/>
                <w:szCs w:val="24"/>
                <w:highlight w:val="none"/>
              </w:rPr>
            </w:pPr>
          </w:p>
        </w:tc>
        <w:tc>
          <w:tcPr>
            <w:tcW w:w="850" w:type="dxa"/>
            <w:noWrap w:val="0"/>
            <w:vAlign w:val="center"/>
          </w:tcPr>
          <w:p w14:paraId="19FEE9B7">
            <w:pPr>
              <w:spacing w:line="460" w:lineRule="exact"/>
              <w:jc w:val="center"/>
              <w:outlineLvl w:val="9"/>
              <w:rPr>
                <w:rFonts w:hint="eastAsia" w:ascii="宋体" w:hAnsi="宋体" w:eastAsia="宋体" w:cs="宋体"/>
                <w:color w:val="auto"/>
                <w:sz w:val="24"/>
                <w:szCs w:val="24"/>
                <w:highlight w:val="none"/>
              </w:rPr>
            </w:pPr>
          </w:p>
        </w:tc>
        <w:tc>
          <w:tcPr>
            <w:tcW w:w="1043" w:type="dxa"/>
            <w:noWrap w:val="0"/>
            <w:vAlign w:val="center"/>
          </w:tcPr>
          <w:p w14:paraId="25789DCA">
            <w:pPr>
              <w:spacing w:line="460" w:lineRule="exact"/>
              <w:jc w:val="center"/>
              <w:outlineLvl w:val="9"/>
              <w:rPr>
                <w:rFonts w:hint="eastAsia" w:ascii="宋体" w:hAnsi="宋体" w:eastAsia="宋体" w:cs="宋体"/>
                <w:color w:val="auto"/>
                <w:sz w:val="24"/>
                <w:szCs w:val="24"/>
                <w:highlight w:val="none"/>
              </w:rPr>
            </w:pPr>
          </w:p>
        </w:tc>
        <w:tc>
          <w:tcPr>
            <w:tcW w:w="991" w:type="dxa"/>
            <w:noWrap w:val="0"/>
            <w:vAlign w:val="center"/>
          </w:tcPr>
          <w:p w14:paraId="704CBA83">
            <w:pPr>
              <w:spacing w:line="460" w:lineRule="exact"/>
              <w:jc w:val="center"/>
              <w:outlineLvl w:val="9"/>
              <w:rPr>
                <w:rFonts w:hint="eastAsia" w:ascii="宋体" w:hAnsi="宋体" w:eastAsia="宋体" w:cs="宋体"/>
                <w:color w:val="auto"/>
                <w:sz w:val="24"/>
                <w:szCs w:val="24"/>
                <w:highlight w:val="none"/>
              </w:rPr>
            </w:pPr>
          </w:p>
        </w:tc>
        <w:tc>
          <w:tcPr>
            <w:tcW w:w="850" w:type="dxa"/>
            <w:noWrap w:val="0"/>
            <w:vAlign w:val="center"/>
          </w:tcPr>
          <w:p w14:paraId="1276A473">
            <w:pPr>
              <w:spacing w:line="460" w:lineRule="exact"/>
              <w:jc w:val="center"/>
              <w:outlineLvl w:val="9"/>
              <w:rPr>
                <w:rFonts w:hint="eastAsia" w:ascii="宋体" w:hAnsi="宋体" w:eastAsia="宋体" w:cs="宋体"/>
                <w:color w:val="auto"/>
                <w:sz w:val="24"/>
                <w:szCs w:val="24"/>
                <w:highlight w:val="none"/>
              </w:rPr>
            </w:pPr>
          </w:p>
        </w:tc>
        <w:tc>
          <w:tcPr>
            <w:tcW w:w="1253" w:type="dxa"/>
            <w:noWrap w:val="0"/>
            <w:vAlign w:val="center"/>
          </w:tcPr>
          <w:p w14:paraId="051E71B2">
            <w:pPr>
              <w:spacing w:line="460" w:lineRule="exact"/>
              <w:jc w:val="center"/>
              <w:outlineLvl w:val="9"/>
              <w:rPr>
                <w:rFonts w:hint="eastAsia" w:ascii="宋体" w:hAnsi="宋体" w:eastAsia="宋体" w:cs="宋体"/>
                <w:color w:val="auto"/>
                <w:sz w:val="24"/>
                <w:szCs w:val="24"/>
                <w:highlight w:val="none"/>
              </w:rPr>
            </w:pPr>
          </w:p>
        </w:tc>
        <w:tc>
          <w:tcPr>
            <w:tcW w:w="991" w:type="dxa"/>
            <w:noWrap w:val="0"/>
            <w:vAlign w:val="center"/>
          </w:tcPr>
          <w:p w14:paraId="6E86EC8E">
            <w:pPr>
              <w:spacing w:line="460" w:lineRule="exact"/>
              <w:jc w:val="center"/>
              <w:outlineLvl w:val="9"/>
              <w:rPr>
                <w:rFonts w:hint="eastAsia" w:ascii="宋体" w:hAnsi="宋体" w:eastAsia="宋体" w:cs="宋体"/>
                <w:color w:val="auto"/>
                <w:sz w:val="24"/>
                <w:szCs w:val="24"/>
                <w:highlight w:val="none"/>
              </w:rPr>
            </w:pPr>
          </w:p>
        </w:tc>
      </w:tr>
      <w:tr w14:paraId="004ABE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2FB75BCD">
            <w:pPr>
              <w:pStyle w:val="9"/>
              <w:keepNext/>
              <w:spacing w:line="460" w:lineRule="exact"/>
              <w:ind w:left="63" w:right="63"/>
              <w:outlineLvl w:val="9"/>
              <w:rPr>
                <w:rFonts w:hint="eastAsia" w:ascii="宋体" w:hAnsi="宋体" w:eastAsia="宋体" w:cs="宋体"/>
                <w:color w:val="auto"/>
                <w:sz w:val="24"/>
                <w:szCs w:val="24"/>
                <w:highlight w:val="none"/>
              </w:rPr>
            </w:pPr>
          </w:p>
        </w:tc>
        <w:tc>
          <w:tcPr>
            <w:tcW w:w="1274" w:type="dxa"/>
            <w:noWrap w:val="0"/>
            <w:vAlign w:val="center"/>
          </w:tcPr>
          <w:p w14:paraId="05C9EAF6">
            <w:pPr>
              <w:pStyle w:val="9"/>
              <w:keepNext/>
              <w:spacing w:line="460" w:lineRule="exact"/>
              <w:ind w:left="63" w:right="63"/>
              <w:outlineLvl w:val="9"/>
              <w:rPr>
                <w:rFonts w:hint="eastAsia" w:ascii="宋体" w:hAnsi="宋体" w:eastAsia="宋体" w:cs="宋体"/>
                <w:color w:val="auto"/>
                <w:sz w:val="24"/>
                <w:szCs w:val="24"/>
                <w:highlight w:val="none"/>
              </w:rPr>
            </w:pPr>
          </w:p>
        </w:tc>
        <w:tc>
          <w:tcPr>
            <w:tcW w:w="1416" w:type="dxa"/>
            <w:noWrap w:val="0"/>
            <w:vAlign w:val="center"/>
          </w:tcPr>
          <w:p w14:paraId="27C9EF49">
            <w:pPr>
              <w:pStyle w:val="9"/>
              <w:keepNext/>
              <w:spacing w:line="460" w:lineRule="exact"/>
              <w:ind w:left="63" w:right="63"/>
              <w:outlineLvl w:val="9"/>
              <w:rPr>
                <w:rFonts w:hint="eastAsia" w:ascii="宋体" w:hAnsi="宋体" w:eastAsia="宋体" w:cs="宋体"/>
                <w:color w:val="auto"/>
                <w:sz w:val="24"/>
                <w:szCs w:val="24"/>
                <w:highlight w:val="none"/>
              </w:rPr>
            </w:pPr>
          </w:p>
        </w:tc>
        <w:tc>
          <w:tcPr>
            <w:tcW w:w="939" w:type="dxa"/>
            <w:noWrap w:val="0"/>
            <w:vAlign w:val="center"/>
          </w:tcPr>
          <w:p w14:paraId="5FCACCAF">
            <w:pPr>
              <w:pStyle w:val="9"/>
              <w:keepNext/>
              <w:spacing w:line="460" w:lineRule="exact"/>
              <w:ind w:left="63" w:right="63"/>
              <w:outlineLvl w:val="9"/>
              <w:rPr>
                <w:rFonts w:hint="eastAsia" w:ascii="宋体" w:hAnsi="宋体" w:eastAsia="宋体" w:cs="宋体"/>
                <w:color w:val="auto"/>
                <w:sz w:val="24"/>
                <w:szCs w:val="24"/>
                <w:highlight w:val="none"/>
              </w:rPr>
            </w:pPr>
          </w:p>
        </w:tc>
        <w:tc>
          <w:tcPr>
            <w:tcW w:w="850" w:type="dxa"/>
            <w:noWrap w:val="0"/>
            <w:vAlign w:val="center"/>
          </w:tcPr>
          <w:p w14:paraId="7D4C7804">
            <w:pPr>
              <w:pStyle w:val="9"/>
              <w:keepNext/>
              <w:spacing w:line="460" w:lineRule="exact"/>
              <w:ind w:left="63" w:right="63"/>
              <w:outlineLvl w:val="9"/>
              <w:rPr>
                <w:rFonts w:hint="eastAsia" w:ascii="宋体" w:hAnsi="宋体" w:eastAsia="宋体" w:cs="宋体"/>
                <w:color w:val="auto"/>
                <w:sz w:val="24"/>
                <w:szCs w:val="24"/>
                <w:highlight w:val="none"/>
              </w:rPr>
            </w:pPr>
          </w:p>
        </w:tc>
        <w:tc>
          <w:tcPr>
            <w:tcW w:w="1043" w:type="dxa"/>
            <w:noWrap w:val="0"/>
            <w:vAlign w:val="center"/>
          </w:tcPr>
          <w:p w14:paraId="49B364EA">
            <w:pPr>
              <w:pStyle w:val="9"/>
              <w:keepNext/>
              <w:spacing w:line="460" w:lineRule="exact"/>
              <w:ind w:left="63" w:right="63"/>
              <w:outlineLvl w:val="9"/>
              <w:rPr>
                <w:rFonts w:hint="eastAsia" w:ascii="宋体" w:hAnsi="宋体" w:eastAsia="宋体" w:cs="宋体"/>
                <w:color w:val="auto"/>
                <w:sz w:val="24"/>
                <w:szCs w:val="24"/>
                <w:highlight w:val="none"/>
              </w:rPr>
            </w:pPr>
          </w:p>
        </w:tc>
        <w:tc>
          <w:tcPr>
            <w:tcW w:w="991" w:type="dxa"/>
            <w:noWrap w:val="0"/>
            <w:vAlign w:val="center"/>
          </w:tcPr>
          <w:p w14:paraId="01584910">
            <w:pPr>
              <w:pStyle w:val="9"/>
              <w:keepNext/>
              <w:spacing w:line="460" w:lineRule="exact"/>
              <w:ind w:left="63" w:right="63"/>
              <w:outlineLvl w:val="9"/>
              <w:rPr>
                <w:rFonts w:hint="eastAsia" w:ascii="宋体" w:hAnsi="宋体" w:eastAsia="宋体" w:cs="宋体"/>
                <w:color w:val="auto"/>
                <w:sz w:val="24"/>
                <w:szCs w:val="24"/>
                <w:highlight w:val="none"/>
              </w:rPr>
            </w:pPr>
          </w:p>
        </w:tc>
        <w:tc>
          <w:tcPr>
            <w:tcW w:w="850" w:type="dxa"/>
            <w:noWrap w:val="0"/>
            <w:vAlign w:val="center"/>
          </w:tcPr>
          <w:p w14:paraId="10916F72">
            <w:pPr>
              <w:pStyle w:val="9"/>
              <w:keepNext/>
              <w:spacing w:line="460" w:lineRule="exact"/>
              <w:ind w:left="63" w:right="63"/>
              <w:outlineLvl w:val="9"/>
              <w:rPr>
                <w:rFonts w:hint="eastAsia" w:ascii="宋体" w:hAnsi="宋体" w:eastAsia="宋体" w:cs="宋体"/>
                <w:color w:val="auto"/>
                <w:sz w:val="24"/>
                <w:szCs w:val="24"/>
                <w:highlight w:val="none"/>
              </w:rPr>
            </w:pPr>
          </w:p>
        </w:tc>
        <w:tc>
          <w:tcPr>
            <w:tcW w:w="1253" w:type="dxa"/>
            <w:noWrap w:val="0"/>
            <w:vAlign w:val="center"/>
          </w:tcPr>
          <w:p w14:paraId="5D02CEC1">
            <w:pPr>
              <w:pStyle w:val="9"/>
              <w:keepNext/>
              <w:spacing w:line="460" w:lineRule="exact"/>
              <w:ind w:left="63" w:right="63"/>
              <w:outlineLvl w:val="9"/>
              <w:rPr>
                <w:rFonts w:hint="eastAsia" w:ascii="宋体" w:hAnsi="宋体" w:eastAsia="宋体" w:cs="宋体"/>
                <w:color w:val="auto"/>
                <w:sz w:val="24"/>
                <w:szCs w:val="24"/>
                <w:highlight w:val="none"/>
              </w:rPr>
            </w:pPr>
          </w:p>
        </w:tc>
        <w:tc>
          <w:tcPr>
            <w:tcW w:w="991" w:type="dxa"/>
            <w:noWrap w:val="0"/>
            <w:vAlign w:val="center"/>
          </w:tcPr>
          <w:p w14:paraId="590BBFA0">
            <w:pPr>
              <w:pStyle w:val="9"/>
              <w:keepNext/>
              <w:spacing w:line="460" w:lineRule="exact"/>
              <w:ind w:left="63" w:right="63"/>
              <w:outlineLvl w:val="9"/>
              <w:rPr>
                <w:rFonts w:hint="eastAsia" w:ascii="宋体" w:hAnsi="宋体" w:eastAsia="宋体" w:cs="宋体"/>
                <w:color w:val="auto"/>
                <w:sz w:val="24"/>
                <w:szCs w:val="24"/>
                <w:highlight w:val="none"/>
              </w:rPr>
            </w:pPr>
          </w:p>
        </w:tc>
      </w:tr>
      <w:tr w14:paraId="63E3A8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2A0D2809">
            <w:pPr>
              <w:spacing w:line="460" w:lineRule="exact"/>
              <w:jc w:val="center"/>
              <w:outlineLvl w:val="9"/>
              <w:rPr>
                <w:rFonts w:hint="eastAsia" w:ascii="宋体" w:hAnsi="宋体" w:eastAsia="宋体" w:cs="宋体"/>
                <w:color w:val="auto"/>
                <w:sz w:val="24"/>
                <w:szCs w:val="24"/>
                <w:highlight w:val="none"/>
              </w:rPr>
            </w:pPr>
          </w:p>
        </w:tc>
        <w:tc>
          <w:tcPr>
            <w:tcW w:w="1274" w:type="dxa"/>
            <w:noWrap w:val="0"/>
            <w:vAlign w:val="center"/>
          </w:tcPr>
          <w:p w14:paraId="4D2C8B59">
            <w:pPr>
              <w:spacing w:line="460" w:lineRule="exact"/>
              <w:jc w:val="center"/>
              <w:outlineLvl w:val="9"/>
              <w:rPr>
                <w:rFonts w:hint="eastAsia" w:ascii="宋体" w:hAnsi="宋体" w:eastAsia="宋体" w:cs="宋体"/>
                <w:color w:val="auto"/>
                <w:sz w:val="24"/>
                <w:szCs w:val="24"/>
                <w:highlight w:val="none"/>
              </w:rPr>
            </w:pPr>
          </w:p>
        </w:tc>
        <w:tc>
          <w:tcPr>
            <w:tcW w:w="1416" w:type="dxa"/>
            <w:noWrap w:val="0"/>
            <w:vAlign w:val="center"/>
          </w:tcPr>
          <w:p w14:paraId="07798888">
            <w:pPr>
              <w:spacing w:line="460" w:lineRule="exact"/>
              <w:jc w:val="center"/>
              <w:outlineLvl w:val="9"/>
              <w:rPr>
                <w:rFonts w:hint="eastAsia" w:ascii="宋体" w:hAnsi="宋体" w:eastAsia="宋体" w:cs="宋体"/>
                <w:color w:val="auto"/>
                <w:sz w:val="24"/>
                <w:szCs w:val="24"/>
                <w:highlight w:val="none"/>
              </w:rPr>
            </w:pPr>
          </w:p>
        </w:tc>
        <w:tc>
          <w:tcPr>
            <w:tcW w:w="939" w:type="dxa"/>
            <w:noWrap w:val="0"/>
            <w:vAlign w:val="center"/>
          </w:tcPr>
          <w:p w14:paraId="247EDE1E">
            <w:pPr>
              <w:spacing w:line="460" w:lineRule="exact"/>
              <w:jc w:val="center"/>
              <w:outlineLvl w:val="9"/>
              <w:rPr>
                <w:rFonts w:hint="eastAsia" w:ascii="宋体" w:hAnsi="宋体" w:eastAsia="宋体" w:cs="宋体"/>
                <w:color w:val="auto"/>
                <w:sz w:val="24"/>
                <w:szCs w:val="24"/>
                <w:highlight w:val="none"/>
              </w:rPr>
            </w:pPr>
          </w:p>
        </w:tc>
        <w:tc>
          <w:tcPr>
            <w:tcW w:w="850" w:type="dxa"/>
            <w:noWrap w:val="0"/>
            <w:vAlign w:val="center"/>
          </w:tcPr>
          <w:p w14:paraId="40C5A5A4">
            <w:pPr>
              <w:spacing w:line="460" w:lineRule="exact"/>
              <w:jc w:val="center"/>
              <w:outlineLvl w:val="9"/>
              <w:rPr>
                <w:rFonts w:hint="eastAsia" w:ascii="宋体" w:hAnsi="宋体" w:eastAsia="宋体" w:cs="宋体"/>
                <w:color w:val="auto"/>
                <w:sz w:val="24"/>
                <w:szCs w:val="24"/>
                <w:highlight w:val="none"/>
              </w:rPr>
            </w:pPr>
          </w:p>
        </w:tc>
        <w:tc>
          <w:tcPr>
            <w:tcW w:w="1043" w:type="dxa"/>
            <w:noWrap w:val="0"/>
            <w:vAlign w:val="center"/>
          </w:tcPr>
          <w:p w14:paraId="2F1526B9">
            <w:pPr>
              <w:spacing w:line="460" w:lineRule="exact"/>
              <w:jc w:val="center"/>
              <w:outlineLvl w:val="9"/>
              <w:rPr>
                <w:rFonts w:hint="eastAsia" w:ascii="宋体" w:hAnsi="宋体" w:eastAsia="宋体" w:cs="宋体"/>
                <w:color w:val="auto"/>
                <w:sz w:val="24"/>
                <w:szCs w:val="24"/>
                <w:highlight w:val="none"/>
              </w:rPr>
            </w:pPr>
          </w:p>
        </w:tc>
        <w:tc>
          <w:tcPr>
            <w:tcW w:w="991" w:type="dxa"/>
            <w:noWrap w:val="0"/>
            <w:vAlign w:val="center"/>
          </w:tcPr>
          <w:p w14:paraId="689C3753">
            <w:pPr>
              <w:spacing w:line="460" w:lineRule="exact"/>
              <w:jc w:val="center"/>
              <w:outlineLvl w:val="9"/>
              <w:rPr>
                <w:rFonts w:hint="eastAsia" w:ascii="宋体" w:hAnsi="宋体" w:eastAsia="宋体" w:cs="宋体"/>
                <w:color w:val="auto"/>
                <w:sz w:val="24"/>
                <w:szCs w:val="24"/>
                <w:highlight w:val="none"/>
              </w:rPr>
            </w:pPr>
          </w:p>
        </w:tc>
        <w:tc>
          <w:tcPr>
            <w:tcW w:w="850" w:type="dxa"/>
            <w:noWrap w:val="0"/>
            <w:vAlign w:val="center"/>
          </w:tcPr>
          <w:p w14:paraId="13679C0E">
            <w:pPr>
              <w:spacing w:line="460" w:lineRule="exact"/>
              <w:jc w:val="center"/>
              <w:outlineLvl w:val="9"/>
              <w:rPr>
                <w:rFonts w:hint="eastAsia" w:ascii="宋体" w:hAnsi="宋体" w:eastAsia="宋体" w:cs="宋体"/>
                <w:color w:val="auto"/>
                <w:sz w:val="24"/>
                <w:szCs w:val="24"/>
                <w:highlight w:val="none"/>
              </w:rPr>
            </w:pPr>
          </w:p>
        </w:tc>
        <w:tc>
          <w:tcPr>
            <w:tcW w:w="1253" w:type="dxa"/>
            <w:noWrap w:val="0"/>
            <w:vAlign w:val="center"/>
          </w:tcPr>
          <w:p w14:paraId="4D1FED4C">
            <w:pPr>
              <w:spacing w:line="460" w:lineRule="exact"/>
              <w:jc w:val="center"/>
              <w:outlineLvl w:val="9"/>
              <w:rPr>
                <w:rFonts w:hint="eastAsia" w:ascii="宋体" w:hAnsi="宋体" w:eastAsia="宋体" w:cs="宋体"/>
                <w:color w:val="auto"/>
                <w:sz w:val="24"/>
                <w:szCs w:val="24"/>
                <w:highlight w:val="none"/>
              </w:rPr>
            </w:pPr>
          </w:p>
        </w:tc>
        <w:tc>
          <w:tcPr>
            <w:tcW w:w="991" w:type="dxa"/>
            <w:noWrap w:val="0"/>
            <w:vAlign w:val="center"/>
          </w:tcPr>
          <w:p w14:paraId="1D19F957">
            <w:pPr>
              <w:spacing w:line="460" w:lineRule="exact"/>
              <w:jc w:val="center"/>
              <w:outlineLvl w:val="9"/>
              <w:rPr>
                <w:rFonts w:hint="eastAsia" w:ascii="宋体" w:hAnsi="宋体" w:eastAsia="宋体" w:cs="宋体"/>
                <w:color w:val="auto"/>
                <w:sz w:val="24"/>
                <w:szCs w:val="24"/>
                <w:highlight w:val="none"/>
              </w:rPr>
            </w:pPr>
          </w:p>
        </w:tc>
      </w:tr>
      <w:tr w14:paraId="3B1B30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2780A5B5">
            <w:pPr>
              <w:spacing w:line="460" w:lineRule="exact"/>
              <w:jc w:val="center"/>
              <w:outlineLvl w:val="9"/>
              <w:rPr>
                <w:rFonts w:hint="eastAsia" w:ascii="宋体" w:hAnsi="宋体" w:eastAsia="宋体" w:cs="宋体"/>
                <w:color w:val="auto"/>
                <w:sz w:val="24"/>
                <w:szCs w:val="24"/>
                <w:highlight w:val="none"/>
              </w:rPr>
            </w:pPr>
          </w:p>
        </w:tc>
        <w:tc>
          <w:tcPr>
            <w:tcW w:w="1274" w:type="dxa"/>
            <w:noWrap w:val="0"/>
            <w:vAlign w:val="center"/>
          </w:tcPr>
          <w:p w14:paraId="388FF1DF">
            <w:pPr>
              <w:spacing w:line="460" w:lineRule="exact"/>
              <w:jc w:val="center"/>
              <w:outlineLvl w:val="9"/>
              <w:rPr>
                <w:rFonts w:hint="eastAsia" w:ascii="宋体" w:hAnsi="宋体" w:eastAsia="宋体" w:cs="宋体"/>
                <w:color w:val="auto"/>
                <w:sz w:val="24"/>
                <w:szCs w:val="24"/>
                <w:highlight w:val="none"/>
              </w:rPr>
            </w:pPr>
          </w:p>
        </w:tc>
        <w:tc>
          <w:tcPr>
            <w:tcW w:w="1416" w:type="dxa"/>
            <w:noWrap w:val="0"/>
            <w:vAlign w:val="center"/>
          </w:tcPr>
          <w:p w14:paraId="1E48CA10">
            <w:pPr>
              <w:spacing w:line="460" w:lineRule="exact"/>
              <w:jc w:val="center"/>
              <w:outlineLvl w:val="9"/>
              <w:rPr>
                <w:rFonts w:hint="eastAsia" w:ascii="宋体" w:hAnsi="宋体" w:eastAsia="宋体" w:cs="宋体"/>
                <w:color w:val="auto"/>
                <w:sz w:val="24"/>
                <w:szCs w:val="24"/>
                <w:highlight w:val="none"/>
              </w:rPr>
            </w:pPr>
          </w:p>
        </w:tc>
        <w:tc>
          <w:tcPr>
            <w:tcW w:w="939" w:type="dxa"/>
            <w:noWrap w:val="0"/>
            <w:vAlign w:val="center"/>
          </w:tcPr>
          <w:p w14:paraId="053FC2FD">
            <w:pPr>
              <w:spacing w:line="460" w:lineRule="exact"/>
              <w:jc w:val="center"/>
              <w:outlineLvl w:val="9"/>
              <w:rPr>
                <w:rFonts w:hint="eastAsia" w:ascii="宋体" w:hAnsi="宋体" w:eastAsia="宋体" w:cs="宋体"/>
                <w:color w:val="auto"/>
                <w:sz w:val="24"/>
                <w:szCs w:val="24"/>
                <w:highlight w:val="none"/>
              </w:rPr>
            </w:pPr>
          </w:p>
        </w:tc>
        <w:tc>
          <w:tcPr>
            <w:tcW w:w="850" w:type="dxa"/>
            <w:noWrap w:val="0"/>
            <w:vAlign w:val="center"/>
          </w:tcPr>
          <w:p w14:paraId="68C49805">
            <w:pPr>
              <w:spacing w:line="460" w:lineRule="exact"/>
              <w:jc w:val="center"/>
              <w:outlineLvl w:val="9"/>
              <w:rPr>
                <w:rFonts w:hint="eastAsia" w:ascii="宋体" w:hAnsi="宋体" w:eastAsia="宋体" w:cs="宋体"/>
                <w:color w:val="auto"/>
                <w:sz w:val="24"/>
                <w:szCs w:val="24"/>
                <w:highlight w:val="none"/>
              </w:rPr>
            </w:pPr>
          </w:p>
        </w:tc>
        <w:tc>
          <w:tcPr>
            <w:tcW w:w="1043" w:type="dxa"/>
            <w:noWrap w:val="0"/>
            <w:vAlign w:val="center"/>
          </w:tcPr>
          <w:p w14:paraId="48F0E073">
            <w:pPr>
              <w:spacing w:line="460" w:lineRule="exact"/>
              <w:jc w:val="center"/>
              <w:outlineLvl w:val="9"/>
              <w:rPr>
                <w:rFonts w:hint="eastAsia" w:ascii="宋体" w:hAnsi="宋体" w:eastAsia="宋体" w:cs="宋体"/>
                <w:color w:val="auto"/>
                <w:sz w:val="24"/>
                <w:szCs w:val="24"/>
                <w:highlight w:val="none"/>
              </w:rPr>
            </w:pPr>
          </w:p>
        </w:tc>
        <w:tc>
          <w:tcPr>
            <w:tcW w:w="991" w:type="dxa"/>
            <w:noWrap w:val="0"/>
            <w:vAlign w:val="center"/>
          </w:tcPr>
          <w:p w14:paraId="66498147">
            <w:pPr>
              <w:spacing w:line="460" w:lineRule="exact"/>
              <w:jc w:val="center"/>
              <w:outlineLvl w:val="9"/>
              <w:rPr>
                <w:rFonts w:hint="eastAsia" w:ascii="宋体" w:hAnsi="宋体" w:eastAsia="宋体" w:cs="宋体"/>
                <w:color w:val="auto"/>
                <w:sz w:val="24"/>
                <w:szCs w:val="24"/>
                <w:highlight w:val="none"/>
              </w:rPr>
            </w:pPr>
          </w:p>
        </w:tc>
        <w:tc>
          <w:tcPr>
            <w:tcW w:w="850" w:type="dxa"/>
            <w:noWrap w:val="0"/>
            <w:vAlign w:val="center"/>
          </w:tcPr>
          <w:p w14:paraId="1A6312B8">
            <w:pPr>
              <w:spacing w:line="460" w:lineRule="exact"/>
              <w:jc w:val="center"/>
              <w:outlineLvl w:val="9"/>
              <w:rPr>
                <w:rFonts w:hint="eastAsia" w:ascii="宋体" w:hAnsi="宋体" w:eastAsia="宋体" w:cs="宋体"/>
                <w:color w:val="auto"/>
                <w:sz w:val="24"/>
                <w:szCs w:val="24"/>
                <w:highlight w:val="none"/>
              </w:rPr>
            </w:pPr>
          </w:p>
        </w:tc>
        <w:tc>
          <w:tcPr>
            <w:tcW w:w="1253" w:type="dxa"/>
            <w:noWrap w:val="0"/>
            <w:vAlign w:val="center"/>
          </w:tcPr>
          <w:p w14:paraId="11897BC6">
            <w:pPr>
              <w:spacing w:line="460" w:lineRule="exact"/>
              <w:jc w:val="center"/>
              <w:outlineLvl w:val="9"/>
              <w:rPr>
                <w:rFonts w:hint="eastAsia" w:ascii="宋体" w:hAnsi="宋体" w:eastAsia="宋体" w:cs="宋体"/>
                <w:color w:val="auto"/>
                <w:sz w:val="24"/>
                <w:szCs w:val="24"/>
                <w:highlight w:val="none"/>
              </w:rPr>
            </w:pPr>
          </w:p>
        </w:tc>
        <w:tc>
          <w:tcPr>
            <w:tcW w:w="991" w:type="dxa"/>
            <w:noWrap w:val="0"/>
            <w:vAlign w:val="center"/>
          </w:tcPr>
          <w:p w14:paraId="353681F8">
            <w:pPr>
              <w:spacing w:line="460" w:lineRule="exact"/>
              <w:jc w:val="center"/>
              <w:outlineLvl w:val="9"/>
              <w:rPr>
                <w:rFonts w:hint="eastAsia" w:ascii="宋体" w:hAnsi="宋体" w:eastAsia="宋体" w:cs="宋体"/>
                <w:color w:val="auto"/>
                <w:sz w:val="24"/>
                <w:szCs w:val="24"/>
                <w:highlight w:val="none"/>
              </w:rPr>
            </w:pPr>
          </w:p>
        </w:tc>
      </w:tr>
      <w:tr w14:paraId="7BD48C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1C77F4CD">
            <w:pPr>
              <w:spacing w:line="460" w:lineRule="exact"/>
              <w:jc w:val="center"/>
              <w:outlineLvl w:val="9"/>
              <w:rPr>
                <w:rFonts w:hint="eastAsia" w:ascii="宋体" w:hAnsi="宋体" w:eastAsia="宋体" w:cs="宋体"/>
                <w:color w:val="auto"/>
                <w:sz w:val="24"/>
                <w:szCs w:val="24"/>
                <w:highlight w:val="none"/>
              </w:rPr>
            </w:pPr>
          </w:p>
        </w:tc>
        <w:tc>
          <w:tcPr>
            <w:tcW w:w="1274" w:type="dxa"/>
            <w:noWrap w:val="0"/>
            <w:vAlign w:val="center"/>
          </w:tcPr>
          <w:p w14:paraId="16A34C9A">
            <w:pPr>
              <w:spacing w:line="460" w:lineRule="exact"/>
              <w:jc w:val="center"/>
              <w:outlineLvl w:val="9"/>
              <w:rPr>
                <w:rFonts w:hint="eastAsia" w:ascii="宋体" w:hAnsi="宋体" w:eastAsia="宋体" w:cs="宋体"/>
                <w:color w:val="auto"/>
                <w:sz w:val="24"/>
                <w:szCs w:val="24"/>
                <w:highlight w:val="none"/>
              </w:rPr>
            </w:pPr>
          </w:p>
        </w:tc>
        <w:tc>
          <w:tcPr>
            <w:tcW w:w="1416" w:type="dxa"/>
            <w:noWrap w:val="0"/>
            <w:vAlign w:val="center"/>
          </w:tcPr>
          <w:p w14:paraId="5B9BE4C4">
            <w:pPr>
              <w:spacing w:line="460" w:lineRule="exact"/>
              <w:jc w:val="center"/>
              <w:outlineLvl w:val="9"/>
              <w:rPr>
                <w:rFonts w:hint="eastAsia" w:ascii="宋体" w:hAnsi="宋体" w:eastAsia="宋体" w:cs="宋体"/>
                <w:color w:val="auto"/>
                <w:sz w:val="24"/>
                <w:szCs w:val="24"/>
                <w:highlight w:val="none"/>
              </w:rPr>
            </w:pPr>
          </w:p>
        </w:tc>
        <w:tc>
          <w:tcPr>
            <w:tcW w:w="939" w:type="dxa"/>
            <w:noWrap w:val="0"/>
            <w:vAlign w:val="center"/>
          </w:tcPr>
          <w:p w14:paraId="24881BDC">
            <w:pPr>
              <w:spacing w:line="460" w:lineRule="exact"/>
              <w:jc w:val="center"/>
              <w:outlineLvl w:val="9"/>
              <w:rPr>
                <w:rFonts w:hint="eastAsia" w:ascii="宋体" w:hAnsi="宋体" w:eastAsia="宋体" w:cs="宋体"/>
                <w:color w:val="auto"/>
                <w:sz w:val="24"/>
                <w:szCs w:val="24"/>
                <w:highlight w:val="none"/>
              </w:rPr>
            </w:pPr>
          </w:p>
        </w:tc>
        <w:tc>
          <w:tcPr>
            <w:tcW w:w="850" w:type="dxa"/>
            <w:noWrap w:val="0"/>
            <w:vAlign w:val="center"/>
          </w:tcPr>
          <w:p w14:paraId="0661CE7F">
            <w:pPr>
              <w:spacing w:line="460" w:lineRule="exact"/>
              <w:jc w:val="center"/>
              <w:outlineLvl w:val="9"/>
              <w:rPr>
                <w:rFonts w:hint="eastAsia" w:ascii="宋体" w:hAnsi="宋体" w:eastAsia="宋体" w:cs="宋体"/>
                <w:color w:val="auto"/>
                <w:sz w:val="24"/>
                <w:szCs w:val="24"/>
                <w:highlight w:val="none"/>
              </w:rPr>
            </w:pPr>
          </w:p>
        </w:tc>
        <w:tc>
          <w:tcPr>
            <w:tcW w:w="1043" w:type="dxa"/>
            <w:noWrap w:val="0"/>
            <w:vAlign w:val="center"/>
          </w:tcPr>
          <w:p w14:paraId="723423D4">
            <w:pPr>
              <w:spacing w:line="460" w:lineRule="exact"/>
              <w:jc w:val="center"/>
              <w:outlineLvl w:val="9"/>
              <w:rPr>
                <w:rFonts w:hint="eastAsia" w:ascii="宋体" w:hAnsi="宋体" w:eastAsia="宋体" w:cs="宋体"/>
                <w:color w:val="auto"/>
                <w:sz w:val="24"/>
                <w:szCs w:val="24"/>
                <w:highlight w:val="none"/>
              </w:rPr>
            </w:pPr>
          </w:p>
        </w:tc>
        <w:tc>
          <w:tcPr>
            <w:tcW w:w="991" w:type="dxa"/>
            <w:noWrap w:val="0"/>
            <w:vAlign w:val="center"/>
          </w:tcPr>
          <w:p w14:paraId="24A83E3F">
            <w:pPr>
              <w:spacing w:line="460" w:lineRule="exact"/>
              <w:jc w:val="center"/>
              <w:outlineLvl w:val="9"/>
              <w:rPr>
                <w:rFonts w:hint="eastAsia" w:ascii="宋体" w:hAnsi="宋体" w:eastAsia="宋体" w:cs="宋体"/>
                <w:color w:val="auto"/>
                <w:sz w:val="24"/>
                <w:szCs w:val="24"/>
                <w:highlight w:val="none"/>
              </w:rPr>
            </w:pPr>
          </w:p>
        </w:tc>
        <w:tc>
          <w:tcPr>
            <w:tcW w:w="850" w:type="dxa"/>
            <w:noWrap w:val="0"/>
            <w:vAlign w:val="center"/>
          </w:tcPr>
          <w:p w14:paraId="1586296A">
            <w:pPr>
              <w:spacing w:line="460" w:lineRule="exact"/>
              <w:jc w:val="center"/>
              <w:outlineLvl w:val="9"/>
              <w:rPr>
                <w:rFonts w:hint="eastAsia" w:ascii="宋体" w:hAnsi="宋体" w:eastAsia="宋体" w:cs="宋体"/>
                <w:color w:val="auto"/>
                <w:sz w:val="24"/>
                <w:szCs w:val="24"/>
                <w:highlight w:val="none"/>
              </w:rPr>
            </w:pPr>
          </w:p>
        </w:tc>
        <w:tc>
          <w:tcPr>
            <w:tcW w:w="1253" w:type="dxa"/>
            <w:noWrap w:val="0"/>
            <w:vAlign w:val="center"/>
          </w:tcPr>
          <w:p w14:paraId="451E438D">
            <w:pPr>
              <w:spacing w:line="460" w:lineRule="exact"/>
              <w:jc w:val="center"/>
              <w:outlineLvl w:val="9"/>
              <w:rPr>
                <w:rFonts w:hint="eastAsia" w:ascii="宋体" w:hAnsi="宋体" w:eastAsia="宋体" w:cs="宋体"/>
                <w:color w:val="auto"/>
                <w:sz w:val="24"/>
                <w:szCs w:val="24"/>
                <w:highlight w:val="none"/>
              </w:rPr>
            </w:pPr>
          </w:p>
        </w:tc>
        <w:tc>
          <w:tcPr>
            <w:tcW w:w="991" w:type="dxa"/>
            <w:noWrap w:val="0"/>
            <w:vAlign w:val="center"/>
          </w:tcPr>
          <w:p w14:paraId="2DC67F10">
            <w:pPr>
              <w:spacing w:line="460" w:lineRule="exact"/>
              <w:jc w:val="center"/>
              <w:outlineLvl w:val="9"/>
              <w:rPr>
                <w:rFonts w:hint="eastAsia" w:ascii="宋体" w:hAnsi="宋体" w:eastAsia="宋体" w:cs="宋体"/>
                <w:color w:val="auto"/>
                <w:sz w:val="24"/>
                <w:szCs w:val="24"/>
                <w:highlight w:val="none"/>
              </w:rPr>
            </w:pPr>
          </w:p>
        </w:tc>
      </w:tr>
      <w:tr w14:paraId="61AFC4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3E64277C">
            <w:pPr>
              <w:spacing w:line="460" w:lineRule="exact"/>
              <w:jc w:val="center"/>
              <w:outlineLvl w:val="9"/>
              <w:rPr>
                <w:rFonts w:hint="eastAsia" w:ascii="宋体" w:hAnsi="宋体" w:eastAsia="宋体" w:cs="宋体"/>
                <w:color w:val="auto"/>
                <w:sz w:val="24"/>
                <w:szCs w:val="24"/>
                <w:highlight w:val="none"/>
              </w:rPr>
            </w:pPr>
          </w:p>
        </w:tc>
        <w:tc>
          <w:tcPr>
            <w:tcW w:w="1274" w:type="dxa"/>
            <w:noWrap w:val="0"/>
            <w:vAlign w:val="center"/>
          </w:tcPr>
          <w:p w14:paraId="2A87F9BB">
            <w:pPr>
              <w:spacing w:line="460" w:lineRule="exact"/>
              <w:jc w:val="center"/>
              <w:outlineLvl w:val="9"/>
              <w:rPr>
                <w:rFonts w:hint="eastAsia" w:ascii="宋体" w:hAnsi="宋体" w:eastAsia="宋体" w:cs="宋体"/>
                <w:color w:val="auto"/>
                <w:sz w:val="24"/>
                <w:szCs w:val="24"/>
                <w:highlight w:val="none"/>
              </w:rPr>
            </w:pPr>
          </w:p>
        </w:tc>
        <w:tc>
          <w:tcPr>
            <w:tcW w:w="1416" w:type="dxa"/>
            <w:noWrap w:val="0"/>
            <w:vAlign w:val="center"/>
          </w:tcPr>
          <w:p w14:paraId="53AE4CBF">
            <w:pPr>
              <w:spacing w:line="460" w:lineRule="exact"/>
              <w:jc w:val="center"/>
              <w:outlineLvl w:val="9"/>
              <w:rPr>
                <w:rFonts w:hint="eastAsia" w:ascii="宋体" w:hAnsi="宋体" w:eastAsia="宋体" w:cs="宋体"/>
                <w:color w:val="auto"/>
                <w:sz w:val="24"/>
                <w:szCs w:val="24"/>
                <w:highlight w:val="none"/>
              </w:rPr>
            </w:pPr>
          </w:p>
        </w:tc>
        <w:tc>
          <w:tcPr>
            <w:tcW w:w="939" w:type="dxa"/>
            <w:noWrap w:val="0"/>
            <w:vAlign w:val="center"/>
          </w:tcPr>
          <w:p w14:paraId="7070CB5D">
            <w:pPr>
              <w:spacing w:line="460" w:lineRule="exact"/>
              <w:jc w:val="center"/>
              <w:outlineLvl w:val="9"/>
              <w:rPr>
                <w:rFonts w:hint="eastAsia" w:ascii="宋体" w:hAnsi="宋体" w:eastAsia="宋体" w:cs="宋体"/>
                <w:color w:val="auto"/>
                <w:sz w:val="24"/>
                <w:szCs w:val="24"/>
                <w:highlight w:val="none"/>
              </w:rPr>
            </w:pPr>
          </w:p>
        </w:tc>
        <w:tc>
          <w:tcPr>
            <w:tcW w:w="850" w:type="dxa"/>
            <w:noWrap w:val="0"/>
            <w:vAlign w:val="center"/>
          </w:tcPr>
          <w:p w14:paraId="7870775E">
            <w:pPr>
              <w:spacing w:line="460" w:lineRule="exact"/>
              <w:jc w:val="center"/>
              <w:outlineLvl w:val="9"/>
              <w:rPr>
                <w:rFonts w:hint="eastAsia" w:ascii="宋体" w:hAnsi="宋体" w:eastAsia="宋体" w:cs="宋体"/>
                <w:color w:val="auto"/>
                <w:sz w:val="24"/>
                <w:szCs w:val="24"/>
                <w:highlight w:val="none"/>
              </w:rPr>
            </w:pPr>
          </w:p>
        </w:tc>
        <w:tc>
          <w:tcPr>
            <w:tcW w:w="1043" w:type="dxa"/>
            <w:noWrap w:val="0"/>
            <w:vAlign w:val="center"/>
          </w:tcPr>
          <w:p w14:paraId="6E044BB1">
            <w:pPr>
              <w:spacing w:line="460" w:lineRule="exact"/>
              <w:jc w:val="center"/>
              <w:outlineLvl w:val="9"/>
              <w:rPr>
                <w:rFonts w:hint="eastAsia" w:ascii="宋体" w:hAnsi="宋体" w:eastAsia="宋体" w:cs="宋体"/>
                <w:color w:val="auto"/>
                <w:sz w:val="24"/>
                <w:szCs w:val="24"/>
                <w:highlight w:val="none"/>
              </w:rPr>
            </w:pPr>
          </w:p>
        </w:tc>
        <w:tc>
          <w:tcPr>
            <w:tcW w:w="991" w:type="dxa"/>
            <w:noWrap w:val="0"/>
            <w:vAlign w:val="center"/>
          </w:tcPr>
          <w:p w14:paraId="3973F83F">
            <w:pPr>
              <w:spacing w:line="460" w:lineRule="exact"/>
              <w:jc w:val="center"/>
              <w:outlineLvl w:val="9"/>
              <w:rPr>
                <w:rFonts w:hint="eastAsia" w:ascii="宋体" w:hAnsi="宋体" w:eastAsia="宋体" w:cs="宋体"/>
                <w:color w:val="auto"/>
                <w:sz w:val="24"/>
                <w:szCs w:val="24"/>
                <w:highlight w:val="none"/>
              </w:rPr>
            </w:pPr>
          </w:p>
        </w:tc>
        <w:tc>
          <w:tcPr>
            <w:tcW w:w="850" w:type="dxa"/>
            <w:noWrap w:val="0"/>
            <w:vAlign w:val="center"/>
          </w:tcPr>
          <w:p w14:paraId="034400DD">
            <w:pPr>
              <w:spacing w:line="460" w:lineRule="exact"/>
              <w:jc w:val="center"/>
              <w:outlineLvl w:val="9"/>
              <w:rPr>
                <w:rFonts w:hint="eastAsia" w:ascii="宋体" w:hAnsi="宋体" w:eastAsia="宋体" w:cs="宋体"/>
                <w:color w:val="auto"/>
                <w:sz w:val="24"/>
                <w:szCs w:val="24"/>
                <w:highlight w:val="none"/>
              </w:rPr>
            </w:pPr>
          </w:p>
        </w:tc>
        <w:tc>
          <w:tcPr>
            <w:tcW w:w="1253" w:type="dxa"/>
            <w:noWrap w:val="0"/>
            <w:vAlign w:val="center"/>
          </w:tcPr>
          <w:p w14:paraId="6ABEBAB1">
            <w:pPr>
              <w:spacing w:line="460" w:lineRule="exact"/>
              <w:jc w:val="center"/>
              <w:outlineLvl w:val="9"/>
              <w:rPr>
                <w:rFonts w:hint="eastAsia" w:ascii="宋体" w:hAnsi="宋体" w:eastAsia="宋体" w:cs="宋体"/>
                <w:color w:val="auto"/>
                <w:sz w:val="24"/>
                <w:szCs w:val="24"/>
                <w:highlight w:val="none"/>
              </w:rPr>
            </w:pPr>
          </w:p>
        </w:tc>
        <w:tc>
          <w:tcPr>
            <w:tcW w:w="991" w:type="dxa"/>
            <w:noWrap w:val="0"/>
            <w:vAlign w:val="center"/>
          </w:tcPr>
          <w:p w14:paraId="0A05B080">
            <w:pPr>
              <w:spacing w:line="460" w:lineRule="exact"/>
              <w:jc w:val="center"/>
              <w:outlineLvl w:val="9"/>
              <w:rPr>
                <w:rFonts w:hint="eastAsia" w:ascii="宋体" w:hAnsi="宋体" w:eastAsia="宋体" w:cs="宋体"/>
                <w:color w:val="auto"/>
                <w:sz w:val="24"/>
                <w:szCs w:val="24"/>
                <w:highlight w:val="none"/>
              </w:rPr>
            </w:pPr>
          </w:p>
        </w:tc>
      </w:tr>
      <w:tr w14:paraId="4658C7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661D04D1">
            <w:pPr>
              <w:spacing w:line="460" w:lineRule="exact"/>
              <w:jc w:val="center"/>
              <w:outlineLvl w:val="9"/>
              <w:rPr>
                <w:rFonts w:hint="eastAsia" w:ascii="宋体" w:hAnsi="宋体" w:eastAsia="宋体" w:cs="宋体"/>
                <w:color w:val="auto"/>
                <w:sz w:val="24"/>
                <w:szCs w:val="24"/>
                <w:highlight w:val="none"/>
              </w:rPr>
            </w:pPr>
          </w:p>
        </w:tc>
        <w:tc>
          <w:tcPr>
            <w:tcW w:w="1274" w:type="dxa"/>
            <w:noWrap w:val="0"/>
            <w:vAlign w:val="center"/>
          </w:tcPr>
          <w:p w14:paraId="07A9FA38">
            <w:pPr>
              <w:spacing w:line="460" w:lineRule="exact"/>
              <w:jc w:val="center"/>
              <w:outlineLvl w:val="9"/>
              <w:rPr>
                <w:rFonts w:hint="eastAsia" w:ascii="宋体" w:hAnsi="宋体" w:eastAsia="宋体" w:cs="宋体"/>
                <w:color w:val="auto"/>
                <w:sz w:val="24"/>
                <w:szCs w:val="24"/>
                <w:highlight w:val="none"/>
              </w:rPr>
            </w:pPr>
          </w:p>
        </w:tc>
        <w:tc>
          <w:tcPr>
            <w:tcW w:w="1416" w:type="dxa"/>
            <w:noWrap w:val="0"/>
            <w:vAlign w:val="center"/>
          </w:tcPr>
          <w:p w14:paraId="24EDEA2B">
            <w:pPr>
              <w:spacing w:line="460" w:lineRule="exact"/>
              <w:jc w:val="center"/>
              <w:outlineLvl w:val="9"/>
              <w:rPr>
                <w:rFonts w:hint="eastAsia" w:ascii="宋体" w:hAnsi="宋体" w:eastAsia="宋体" w:cs="宋体"/>
                <w:color w:val="auto"/>
                <w:sz w:val="24"/>
                <w:szCs w:val="24"/>
                <w:highlight w:val="none"/>
              </w:rPr>
            </w:pPr>
          </w:p>
        </w:tc>
        <w:tc>
          <w:tcPr>
            <w:tcW w:w="939" w:type="dxa"/>
            <w:noWrap w:val="0"/>
            <w:vAlign w:val="center"/>
          </w:tcPr>
          <w:p w14:paraId="6A07D4D3">
            <w:pPr>
              <w:spacing w:line="460" w:lineRule="exact"/>
              <w:jc w:val="center"/>
              <w:outlineLvl w:val="9"/>
              <w:rPr>
                <w:rFonts w:hint="eastAsia" w:ascii="宋体" w:hAnsi="宋体" w:eastAsia="宋体" w:cs="宋体"/>
                <w:color w:val="auto"/>
                <w:sz w:val="24"/>
                <w:szCs w:val="24"/>
                <w:highlight w:val="none"/>
              </w:rPr>
            </w:pPr>
          </w:p>
        </w:tc>
        <w:tc>
          <w:tcPr>
            <w:tcW w:w="850" w:type="dxa"/>
            <w:noWrap w:val="0"/>
            <w:vAlign w:val="center"/>
          </w:tcPr>
          <w:p w14:paraId="51F9CCE7">
            <w:pPr>
              <w:spacing w:line="460" w:lineRule="exact"/>
              <w:jc w:val="center"/>
              <w:outlineLvl w:val="9"/>
              <w:rPr>
                <w:rFonts w:hint="eastAsia" w:ascii="宋体" w:hAnsi="宋体" w:eastAsia="宋体" w:cs="宋体"/>
                <w:color w:val="auto"/>
                <w:sz w:val="24"/>
                <w:szCs w:val="24"/>
                <w:highlight w:val="none"/>
              </w:rPr>
            </w:pPr>
          </w:p>
        </w:tc>
        <w:tc>
          <w:tcPr>
            <w:tcW w:w="1043" w:type="dxa"/>
            <w:noWrap w:val="0"/>
            <w:vAlign w:val="center"/>
          </w:tcPr>
          <w:p w14:paraId="3C7C436E">
            <w:pPr>
              <w:spacing w:line="460" w:lineRule="exact"/>
              <w:jc w:val="center"/>
              <w:outlineLvl w:val="9"/>
              <w:rPr>
                <w:rFonts w:hint="eastAsia" w:ascii="宋体" w:hAnsi="宋体" w:eastAsia="宋体" w:cs="宋体"/>
                <w:color w:val="auto"/>
                <w:sz w:val="24"/>
                <w:szCs w:val="24"/>
                <w:highlight w:val="none"/>
              </w:rPr>
            </w:pPr>
          </w:p>
        </w:tc>
        <w:tc>
          <w:tcPr>
            <w:tcW w:w="991" w:type="dxa"/>
            <w:noWrap w:val="0"/>
            <w:vAlign w:val="center"/>
          </w:tcPr>
          <w:p w14:paraId="5C014743">
            <w:pPr>
              <w:spacing w:line="460" w:lineRule="exact"/>
              <w:jc w:val="center"/>
              <w:outlineLvl w:val="9"/>
              <w:rPr>
                <w:rFonts w:hint="eastAsia" w:ascii="宋体" w:hAnsi="宋体" w:eastAsia="宋体" w:cs="宋体"/>
                <w:color w:val="auto"/>
                <w:sz w:val="24"/>
                <w:szCs w:val="24"/>
                <w:highlight w:val="none"/>
              </w:rPr>
            </w:pPr>
          </w:p>
        </w:tc>
        <w:tc>
          <w:tcPr>
            <w:tcW w:w="850" w:type="dxa"/>
            <w:noWrap w:val="0"/>
            <w:vAlign w:val="center"/>
          </w:tcPr>
          <w:p w14:paraId="7CED812C">
            <w:pPr>
              <w:spacing w:line="460" w:lineRule="exact"/>
              <w:jc w:val="center"/>
              <w:outlineLvl w:val="9"/>
              <w:rPr>
                <w:rFonts w:hint="eastAsia" w:ascii="宋体" w:hAnsi="宋体" w:eastAsia="宋体" w:cs="宋体"/>
                <w:color w:val="auto"/>
                <w:sz w:val="24"/>
                <w:szCs w:val="24"/>
                <w:highlight w:val="none"/>
              </w:rPr>
            </w:pPr>
          </w:p>
        </w:tc>
        <w:tc>
          <w:tcPr>
            <w:tcW w:w="1253" w:type="dxa"/>
            <w:noWrap w:val="0"/>
            <w:vAlign w:val="center"/>
          </w:tcPr>
          <w:p w14:paraId="00DD79DE">
            <w:pPr>
              <w:spacing w:line="460" w:lineRule="exact"/>
              <w:jc w:val="center"/>
              <w:outlineLvl w:val="9"/>
              <w:rPr>
                <w:rFonts w:hint="eastAsia" w:ascii="宋体" w:hAnsi="宋体" w:eastAsia="宋体" w:cs="宋体"/>
                <w:color w:val="auto"/>
                <w:sz w:val="24"/>
                <w:szCs w:val="24"/>
                <w:highlight w:val="none"/>
              </w:rPr>
            </w:pPr>
          </w:p>
        </w:tc>
        <w:tc>
          <w:tcPr>
            <w:tcW w:w="991" w:type="dxa"/>
            <w:noWrap w:val="0"/>
            <w:vAlign w:val="center"/>
          </w:tcPr>
          <w:p w14:paraId="73E40A5C">
            <w:pPr>
              <w:spacing w:line="460" w:lineRule="exact"/>
              <w:jc w:val="center"/>
              <w:outlineLvl w:val="9"/>
              <w:rPr>
                <w:rFonts w:hint="eastAsia" w:ascii="宋体" w:hAnsi="宋体" w:eastAsia="宋体" w:cs="宋体"/>
                <w:color w:val="auto"/>
                <w:sz w:val="24"/>
                <w:szCs w:val="24"/>
                <w:highlight w:val="none"/>
              </w:rPr>
            </w:pPr>
          </w:p>
        </w:tc>
      </w:tr>
    </w:tbl>
    <w:p w14:paraId="5E04AA80">
      <w:pPr>
        <w:spacing w:line="460" w:lineRule="exact"/>
        <w:outlineLvl w:val="9"/>
        <w:rPr>
          <w:rFonts w:hint="eastAsia" w:ascii="宋体" w:hAnsi="宋体" w:eastAsia="宋体" w:cs="宋体"/>
          <w:color w:val="auto"/>
          <w:sz w:val="24"/>
          <w:szCs w:val="24"/>
          <w:highlight w:val="none"/>
        </w:rPr>
      </w:pPr>
    </w:p>
    <w:p w14:paraId="0CFD7CA1">
      <w:pPr>
        <w:spacing w:line="460" w:lineRule="exact"/>
        <w:outlineLvl w:val="9"/>
        <w:rPr>
          <w:rFonts w:hint="eastAsia" w:ascii="宋体" w:hAnsi="宋体" w:eastAsia="宋体" w:cs="宋体"/>
          <w:color w:val="auto"/>
          <w:sz w:val="24"/>
          <w:szCs w:val="24"/>
          <w:highlight w:val="none"/>
        </w:rPr>
      </w:pPr>
    </w:p>
    <w:p w14:paraId="32D82122">
      <w:pPr>
        <w:spacing w:line="460" w:lineRule="exact"/>
        <w:outlineLvl w:val="9"/>
        <w:rPr>
          <w:rFonts w:hint="eastAsia" w:ascii="宋体" w:hAnsi="宋体" w:eastAsia="宋体" w:cs="宋体"/>
          <w:color w:val="auto"/>
          <w:sz w:val="24"/>
          <w:szCs w:val="24"/>
          <w:highlight w:val="none"/>
        </w:rPr>
      </w:pPr>
    </w:p>
    <w:p w14:paraId="36526F53">
      <w:pPr>
        <w:spacing w:line="460" w:lineRule="exact"/>
        <w:outlineLvl w:val="9"/>
        <w:rPr>
          <w:rFonts w:hint="eastAsia" w:ascii="宋体" w:hAnsi="宋体" w:eastAsia="宋体" w:cs="宋体"/>
          <w:color w:val="auto"/>
          <w:sz w:val="24"/>
          <w:szCs w:val="24"/>
          <w:highlight w:val="none"/>
        </w:rPr>
      </w:pPr>
    </w:p>
    <w:p w14:paraId="45CF0191">
      <w:pPr>
        <w:spacing w:line="460" w:lineRule="exact"/>
        <w:outlineLvl w:val="9"/>
        <w:rPr>
          <w:rFonts w:hint="eastAsia" w:ascii="宋体" w:hAnsi="宋体" w:eastAsia="宋体" w:cs="宋体"/>
          <w:color w:val="auto"/>
          <w:sz w:val="24"/>
          <w:szCs w:val="24"/>
          <w:highlight w:val="none"/>
        </w:rPr>
      </w:pPr>
    </w:p>
    <w:p w14:paraId="18B94CA7">
      <w:pPr>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bookmarkStart w:id="1417" w:name="_Toc296346727"/>
      <w:bookmarkStart w:id="1418" w:name="_Toc267261693"/>
      <w:bookmarkStart w:id="1419" w:name="_Toc296891054"/>
      <w:bookmarkStart w:id="1420" w:name="_Toc296891266"/>
      <w:bookmarkStart w:id="1421" w:name="_Toc296944565"/>
      <w:bookmarkStart w:id="1422" w:name="_Toc296347225"/>
      <w:bookmarkStart w:id="1423" w:name="_Toc296503226"/>
      <w:r>
        <w:rPr>
          <w:rFonts w:hint="eastAsia" w:ascii="宋体" w:hAnsi="宋体" w:eastAsia="宋体" w:cs="宋体"/>
          <w:color w:val="auto"/>
          <w:sz w:val="24"/>
          <w:szCs w:val="24"/>
          <w:highlight w:val="none"/>
        </w:rPr>
        <w:t>件3：</w:t>
      </w:r>
      <w:bookmarkEnd w:id="1417"/>
      <w:bookmarkEnd w:id="1418"/>
      <w:bookmarkEnd w:id="1419"/>
      <w:bookmarkEnd w:id="1420"/>
      <w:bookmarkEnd w:id="1421"/>
      <w:bookmarkEnd w:id="1422"/>
      <w:bookmarkEnd w:id="1423"/>
      <w:r>
        <w:rPr>
          <w:rFonts w:hint="eastAsia" w:ascii="宋体" w:hAnsi="宋体" w:eastAsia="宋体" w:cs="宋体"/>
          <w:color w:val="auto"/>
          <w:sz w:val="24"/>
          <w:szCs w:val="24"/>
          <w:highlight w:val="none"/>
        </w:rPr>
        <w:t xml:space="preserve">    </w:t>
      </w:r>
    </w:p>
    <w:p w14:paraId="4320FC4C">
      <w:pPr>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工程质量保修书</w:t>
      </w:r>
    </w:p>
    <w:p w14:paraId="5DE8CEB5">
      <w:pPr>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83D98B6">
      <w:pPr>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承包人（全称）：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D0BF1BD">
      <w:pPr>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发包人和承包人根据《中华人民共和国建筑法》和《建设工程质量管理条例》，经协商一致就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（工程全称）签订工程质量保修书。</w:t>
      </w:r>
    </w:p>
    <w:p w14:paraId="37B119DC">
      <w:pPr>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一、工程质量保修范围和内容</w:t>
      </w:r>
    </w:p>
    <w:p w14:paraId="5AA25A32">
      <w:pPr>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承包人在质量保修期内，按照有关法律规定和合同约定，承担工程质量保修责任。</w:t>
      </w:r>
    </w:p>
    <w:p w14:paraId="68B93600">
      <w:pPr>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74C1F04E">
      <w:pPr>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A6CF00D">
      <w:pPr>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w:t>
      </w:r>
      <w:r>
        <w:rPr>
          <w:rFonts w:hint="eastAsia" w:ascii="宋体" w:hAnsi="宋体" w:eastAsia="宋体" w:cs="宋体"/>
          <w:color w:val="auto"/>
          <w:sz w:val="24"/>
          <w:szCs w:val="24"/>
          <w:highlight w:val="none"/>
        </w:rPr>
        <w:t>二、质量保修期</w:t>
      </w:r>
    </w:p>
    <w:p w14:paraId="693E1318">
      <w:pPr>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根据《建设工程质量管理条例》及有关规定，工程的质量保修期如下：</w:t>
      </w:r>
    </w:p>
    <w:p w14:paraId="05C5E77D">
      <w:pPr>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1．地基基础工程和主体结构工程为设计文件规定的工程合理使用年限；</w:t>
      </w:r>
    </w:p>
    <w:p w14:paraId="1C85FADE">
      <w:pPr>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2．屋面防水工程、有防水要求的卫生间、房间和外墙面的防渗     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14:paraId="1B40C991">
      <w:pPr>
        <w:spacing w:line="460" w:lineRule="exact"/>
        <w:ind w:left="420" w:leftChars="200" w:firstLine="120" w:firstLineChars="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3．装修工程为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14:paraId="4372792B">
      <w:pPr>
        <w:spacing w:line="460" w:lineRule="exact"/>
        <w:ind w:left="420" w:leftChars="200" w:firstLine="120" w:firstLineChars="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4．电气管线、给排水管道、设备安装工程为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14:paraId="2F6B4E1B">
      <w:pPr>
        <w:spacing w:line="460" w:lineRule="exact"/>
        <w:ind w:left="420" w:leftChars="200" w:firstLine="120" w:firstLineChars="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5．供热与供冷系统为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个采暖期、供冷期；</w:t>
      </w:r>
    </w:p>
    <w:p w14:paraId="5C09BC69">
      <w:pPr>
        <w:spacing w:line="460" w:lineRule="exact"/>
        <w:ind w:left="420" w:leftChars="200" w:firstLine="120" w:firstLineChars="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6．住宅小区内的给排水设施、道路等配套工程为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14:paraId="5F788932">
      <w:pPr>
        <w:spacing w:line="460" w:lineRule="exact"/>
        <w:ind w:left="420" w:leftChars="200" w:firstLine="120" w:firstLineChars="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7．其他项目保修期限约定如下：</w:t>
      </w:r>
    </w:p>
    <w:p w14:paraId="4431053E">
      <w:pPr>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2451E06">
      <w:pPr>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质量保修期自工程竣工验收合格之日起计算。</w:t>
      </w:r>
    </w:p>
    <w:p w14:paraId="6224752F">
      <w:pPr>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三、缺陷责任期</w:t>
      </w:r>
    </w:p>
    <w:p w14:paraId="3EE639F6">
      <w:pPr>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工程缺陷责任期为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个月，缺陷责任期自工程竣工验收合格之日起计算。单位工程先于全部工程进行验收，单位工程缺陷责任期自单位工程验收合格之日起算。</w:t>
      </w:r>
    </w:p>
    <w:p w14:paraId="0AED258F">
      <w:pPr>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缺陷责任期终止后，发包人应退还剩余的质量保证金。</w:t>
      </w:r>
    </w:p>
    <w:p w14:paraId="05578E94">
      <w:pPr>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四、质量保修责任</w:t>
      </w:r>
    </w:p>
    <w:p w14:paraId="113DBA75">
      <w:pPr>
        <w:spacing w:line="460" w:lineRule="exact"/>
        <w:ind w:left="105" w:leftChars="50" w:firstLine="491" w:firstLineChars="205"/>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1．属于保修范围、内容的项目，承包人应当在接到保修通知之日起7天内派人保修。承包人不在约定期限内派人保修的，发包人可以委托他人修理。</w:t>
      </w:r>
    </w:p>
    <w:p w14:paraId="3DF15869">
      <w:pPr>
        <w:spacing w:line="460" w:lineRule="exact"/>
        <w:ind w:left="105" w:leftChars="50" w:firstLine="491" w:firstLineChars="205"/>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2．发生紧急事故需抢修的，承包人在接到事故通知后，应当立即到达事故现场抢修。</w:t>
      </w:r>
    </w:p>
    <w:p w14:paraId="68077852">
      <w:pPr>
        <w:spacing w:line="460" w:lineRule="exact"/>
        <w:ind w:left="105" w:leftChars="50" w:firstLine="491" w:firstLineChars="205"/>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50FC3CC">
      <w:pPr>
        <w:spacing w:line="460" w:lineRule="exact"/>
        <w:ind w:left="420" w:leftChars="200" w:firstLine="120" w:firstLineChars="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4．质量保修完成后，由发包人组织验收。</w:t>
      </w:r>
    </w:p>
    <w:p w14:paraId="03218347">
      <w:pPr>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五、保修费用</w:t>
      </w:r>
    </w:p>
    <w:p w14:paraId="469CC6A2">
      <w:pPr>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保修费用由造成质量缺陷的责任方承担。</w:t>
      </w:r>
    </w:p>
    <w:p w14:paraId="322637F6">
      <w:pPr>
        <w:spacing w:line="460" w:lineRule="exact"/>
        <w:jc w:val="left"/>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六</w:t>
      </w:r>
      <w:r>
        <w:rPr>
          <w:rFonts w:hint="eastAsia" w:ascii="宋体" w:hAnsi="宋体" w:eastAsia="宋体" w:cs="宋体"/>
          <w:color w:val="auto"/>
          <w:sz w:val="24"/>
          <w:szCs w:val="24"/>
          <w:highlight w:val="none"/>
        </w:rPr>
        <w:t>、双方约定的其他工程质量保修事项：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1E3D953">
      <w:pPr>
        <w:spacing w:line="460" w:lineRule="exact"/>
        <w:ind w:firstLine="456" w:firstLineChars="19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工程质量保修书由发包人、承包人在工程竣工验收前共同签署，作为施工合同附件，其有效期限至保修期满。</w:t>
      </w:r>
    </w:p>
    <w:p w14:paraId="3079F9C3">
      <w:pPr>
        <w:spacing w:line="460" w:lineRule="exact"/>
        <w:ind w:firstLine="420"/>
        <w:outlineLvl w:val="9"/>
        <w:rPr>
          <w:rFonts w:hint="eastAsia" w:ascii="宋体" w:hAnsi="宋体" w:eastAsia="宋体" w:cs="宋体"/>
          <w:color w:val="auto"/>
          <w:sz w:val="24"/>
          <w:szCs w:val="24"/>
          <w:highlight w:val="none"/>
        </w:rPr>
      </w:pPr>
    </w:p>
    <w:p w14:paraId="5C3E5E23">
      <w:pPr>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发包人(公章)：</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 xml:space="preserve"> 承包人(公章)：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 </w:t>
      </w:r>
    </w:p>
    <w:p w14:paraId="3DAAAE02">
      <w:pPr>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地  址：</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      </w:t>
      </w:r>
    </w:p>
    <w:p w14:paraId="417E1D7D">
      <w:pPr>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法定代表人(签字)：</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9A7C099">
      <w:pPr>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委托代理人(签字)：</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8954B53">
      <w:pPr>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  话：</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5128A7E">
      <w:pPr>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  真：</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   </w:t>
      </w:r>
    </w:p>
    <w:p w14:paraId="0198B273">
      <w:pPr>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1FDC22A">
      <w:pPr>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账  号：</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7233FD4B">
      <w:pPr>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bookmarkEnd w:id="871"/>
    <w:p w14:paraId="142370B8">
      <w:pPr>
        <w:widowControl/>
        <w:spacing w:line="560" w:lineRule="exact"/>
        <w:jc w:val="left"/>
        <w:rPr>
          <w:rFonts w:hint="eastAsia" w:ascii="宋体" w:hAnsi="宋体" w:cs="宋体"/>
          <w:b/>
          <w:bCs/>
          <w:color w:val="auto"/>
          <w:sz w:val="32"/>
          <w:szCs w:val="32"/>
          <w:highlight w:val="none"/>
        </w:rPr>
      </w:pPr>
    </w:p>
    <w:sectPr>
      <w:headerReference r:id="rId10" w:type="default"/>
      <w:footerReference r:id="rId11" w:type="default"/>
      <w:pgSz w:w="11905" w:h="16838"/>
      <w:pgMar w:top="1440" w:right="1797" w:bottom="1440" w:left="1797" w:header="851" w:footer="992" w:gutter="0"/>
      <w:pgNumType w:fmt="decimal"/>
      <w:cols w:space="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16F1A">
    <w:pPr>
      <w:pStyle w:val="13"/>
      <w:ind w:right="360"/>
      <w:jc w:val="both"/>
      <w:rPr>
        <w:rFonts w:hint="eastAsia" w:eastAsia="宋体"/>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8D460">
    <w:pPr>
      <w:pStyle w:val="13"/>
      <w:rPr>
        <w:rFonts w:hint="eastAsia"/>
        <w:lang w:eastAsia="zh-CN"/>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F7DE71">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6F7DE71">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DCD13">
    <w:pPr>
      <w:pStyle w:val="13"/>
      <w:ind w:right="360"/>
      <w:jc w:val="both"/>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132373">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E132373">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77F4C">
    <w:pPr>
      <w:pStyle w:val="13"/>
      <w:ind w:left="720" w:right="360" w:hanging="720" w:hangingChars="400"/>
      <w:jc w:val="both"/>
      <w:rPr>
        <w:rFonts w:hint="eastAsia"/>
        <w:lang w:eastAsia="zh-CN"/>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2E5F40">
                          <w:pPr>
                            <w:pStyle w:val="1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82E5F40">
                    <w:pPr>
                      <w:pStyle w:val="1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3FC66">
    <w:pPr>
      <w:pStyle w:val="13"/>
      <w:ind w:right="360"/>
      <w:jc w:val="both"/>
      <w:rPr>
        <w:rFonts w:hint="eastAsia"/>
        <w:lang w:eastAsia="zh-CN"/>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D1120D">
                          <w:pPr>
                            <w:pStyle w:val="13"/>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35D1120D">
                    <w:pPr>
                      <w:pStyle w:val="13"/>
                    </w:pPr>
                    <w:r>
                      <w:fldChar w:fldCharType="begin"/>
                    </w:r>
                    <w:r>
                      <w:instrText xml:space="preserve"> PAGE  \* MERGEFORMAT </w:instrText>
                    </w:r>
                    <w:r>
                      <w:fldChar w:fldCharType="separate"/>
                    </w:r>
                    <w:r>
                      <w:t>73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B5A05">
    <w:pPr>
      <w:pStyle w:val="14"/>
      <w:pBdr>
        <w:bottom w:val="double" w:color="auto" w:sz="8" w:space="0"/>
      </w:pBdr>
      <w:jc w:val="left"/>
    </w:pPr>
    <w:r>
      <w:drawing>
        <wp:anchor distT="0" distB="0" distL="114300" distR="114300" simplePos="0" relativeHeight="251667456" behindDoc="1" locked="0" layoutInCell="1" allowOverlap="1">
          <wp:simplePos x="0" y="0"/>
          <wp:positionH relativeFrom="column">
            <wp:posOffset>706120</wp:posOffset>
          </wp:positionH>
          <wp:positionV relativeFrom="paragraph">
            <wp:posOffset>-5715</wp:posOffset>
          </wp:positionV>
          <wp:extent cx="2118360" cy="312420"/>
          <wp:effectExtent l="0" t="0" r="0" b="7620"/>
          <wp:wrapNone/>
          <wp:docPr id="8" name="图片 8" descr="f43658a99e4fae50b6138702cba5b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f43658a99e4fae50b6138702cba5bb8"/>
                  <pic:cNvPicPr>
                    <a:picLocks noChangeAspect="1"/>
                  </pic:cNvPicPr>
                </pic:nvPicPr>
                <pic:blipFill>
                  <a:blip r:embed="rId1"/>
                  <a:stretch>
                    <a:fillRect/>
                  </a:stretch>
                </pic:blipFill>
                <pic:spPr>
                  <a:xfrm>
                    <a:off x="0" y="0"/>
                    <a:ext cx="2118360" cy="312420"/>
                  </a:xfrm>
                  <a:prstGeom prst="rect">
                    <a:avLst/>
                  </a:prstGeom>
                </pic:spPr>
              </pic:pic>
            </a:graphicData>
          </a:graphic>
        </wp:anchor>
      </w:drawing>
    </w:r>
    <w:r>
      <w:drawing>
        <wp:anchor distT="0" distB="0" distL="114300" distR="114300" simplePos="0" relativeHeight="251665408" behindDoc="0" locked="0" layoutInCell="1" allowOverlap="1">
          <wp:simplePos x="0" y="0"/>
          <wp:positionH relativeFrom="page">
            <wp:posOffset>1320165</wp:posOffset>
          </wp:positionH>
          <wp:positionV relativeFrom="page">
            <wp:posOffset>381000</wp:posOffset>
          </wp:positionV>
          <wp:extent cx="554355" cy="514985"/>
          <wp:effectExtent l="0" t="0" r="17145" b="18415"/>
          <wp:wrapNone/>
          <wp:docPr id="6" name="图片 41" descr="f9212bce5f9ebac2c18be6e410438e8-恢复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1" descr="f9212bce5f9ebac2c18be6e410438e8-恢复的"/>
                  <pic:cNvPicPr>
                    <a:picLocks noChangeAspect="1"/>
                  </pic:cNvPicPr>
                </pic:nvPicPr>
                <pic:blipFill>
                  <a:blip r:embed="rId2"/>
                  <a:stretch>
                    <a:fillRect/>
                  </a:stretch>
                </pic:blipFill>
                <pic:spPr>
                  <a:xfrm>
                    <a:off x="0" y="0"/>
                    <a:ext cx="554355" cy="514985"/>
                  </a:xfrm>
                  <a:prstGeom prst="rect">
                    <a:avLst/>
                  </a:prstGeom>
                  <a:noFill/>
                  <a:ln>
                    <a:noFill/>
                  </a:ln>
                </pic:spPr>
              </pic:pic>
            </a:graphicData>
          </a:graphic>
        </wp:anchor>
      </w:drawing>
    </w:r>
  </w:p>
  <w:p w14:paraId="3C237C3D">
    <w:pPr>
      <w:pStyle w:val="14"/>
      <w:pBdr>
        <w:bottom w:val="double" w:color="auto" w:sz="8"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2CD49">
    <w:pPr>
      <w:pStyle w:val="14"/>
      <w:pBdr>
        <w:bottom w:val="double" w:color="auto" w:sz="8" w:space="0"/>
      </w:pBdr>
      <w:jc w:val="left"/>
    </w:pPr>
    <w:r>
      <w:drawing>
        <wp:anchor distT="0" distB="0" distL="114300" distR="114300" simplePos="0" relativeHeight="251666432" behindDoc="0" locked="0" layoutInCell="1" allowOverlap="1">
          <wp:simplePos x="0" y="0"/>
          <wp:positionH relativeFrom="page">
            <wp:posOffset>1250950</wp:posOffset>
          </wp:positionH>
          <wp:positionV relativeFrom="page">
            <wp:posOffset>536575</wp:posOffset>
          </wp:positionV>
          <wp:extent cx="612140" cy="568960"/>
          <wp:effectExtent l="0" t="0" r="12700" b="10160"/>
          <wp:wrapNone/>
          <wp:docPr id="7" name="图片 41" descr="f9212bce5f9ebac2c18be6e410438e8-恢复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1" descr="f9212bce5f9ebac2c18be6e410438e8-恢复的"/>
                  <pic:cNvPicPr>
                    <a:picLocks noChangeAspect="1"/>
                  </pic:cNvPicPr>
                </pic:nvPicPr>
                <pic:blipFill>
                  <a:blip r:embed="rId1"/>
                  <a:stretch>
                    <a:fillRect/>
                  </a:stretch>
                </pic:blipFill>
                <pic:spPr>
                  <a:xfrm>
                    <a:off x="0" y="0"/>
                    <a:ext cx="612140" cy="568960"/>
                  </a:xfrm>
                  <a:prstGeom prst="rect">
                    <a:avLst/>
                  </a:prstGeom>
                  <a:noFill/>
                  <a:ln>
                    <a:noFill/>
                  </a:ln>
                </pic:spPr>
              </pic:pic>
            </a:graphicData>
          </a:graphic>
        </wp:anchor>
      </w:drawing>
    </w:r>
  </w:p>
  <w:p w14:paraId="4C553153">
    <w:pPr>
      <w:pStyle w:val="14"/>
      <w:pBdr>
        <w:bottom w:val="double" w:color="auto" w:sz="8" w:space="0"/>
      </w:pBdr>
      <w:jc w:val="left"/>
    </w:pPr>
    <w:r>
      <w:drawing>
        <wp:anchor distT="0" distB="0" distL="114300" distR="114300" simplePos="0" relativeHeight="251667456" behindDoc="1" locked="0" layoutInCell="1" allowOverlap="1">
          <wp:simplePos x="0" y="0"/>
          <wp:positionH relativeFrom="column">
            <wp:posOffset>896620</wp:posOffset>
          </wp:positionH>
          <wp:positionV relativeFrom="paragraph">
            <wp:posOffset>57150</wp:posOffset>
          </wp:positionV>
          <wp:extent cx="2261235" cy="330835"/>
          <wp:effectExtent l="0" t="0" r="9525" b="4445"/>
          <wp:wrapNone/>
          <wp:docPr id="9" name="图片 9" descr="f43658a99e4fae50b6138702cba5b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f43658a99e4fae50b6138702cba5bb8"/>
                  <pic:cNvPicPr>
                    <a:picLocks noChangeAspect="1"/>
                  </pic:cNvPicPr>
                </pic:nvPicPr>
                <pic:blipFill>
                  <a:blip r:embed="rId2"/>
                  <a:stretch>
                    <a:fillRect/>
                  </a:stretch>
                </pic:blipFill>
                <pic:spPr>
                  <a:xfrm>
                    <a:off x="0" y="0"/>
                    <a:ext cx="2261235" cy="330835"/>
                  </a:xfrm>
                  <a:prstGeom prst="rect">
                    <a:avLst/>
                  </a:prstGeom>
                </pic:spPr>
              </pic:pic>
            </a:graphicData>
          </a:graphic>
        </wp:anchor>
      </w:drawing>
    </w:r>
  </w:p>
  <w:p w14:paraId="3444E3FD">
    <w:pPr>
      <w:pStyle w:val="14"/>
      <w:pBdr>
        <w:bottom w:val="double" w:color="auto" w:sz="8" w:space="0"/>
      </w:pBdr>
      <w:jc w:val="left"/>
    </w:pPr>
  </w:p>
  <w:p w14:paraId="64A0D52A">
    <w:pPr>
      <w:pStyle w:val="14"/>
      <w:pBdr>
        <w:bottom w:val="double" w:color="auto" w:sz="8" w:space="0"/>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A4A93">
    <w:pPr>
      <w:pStyle w:val="14"/>
      <w:pBdr>
        <w:bottom w:val="double" w:color="auto" w:sz="8" w:space="0"/>
      </w:pBdr>
      <w:jc w:val="left"/>
    </w:pPr>
    <w:r>
      <w:drawing>
        <wp:anchor distT="0" distB="0" distL="114300" distR="114300" simplePos="0" relativeHeight="251668480" behindDoc="0" locked="0" layoutInCell="1" allowOverlap="1">
          <wp:simplePos x="0" y="0"/>
          <wp:positionH relativeFrom="page">
            <wp:posOffset>1143000</wp:posOffset>
          </wp:positionH>
          <wp:positionV relativeFrom="page">
            <wp:posOffset>377825</wp:posOffset>
          </wp:positionV>
          <wp:extent cx="612140" cy="568960"/>
          <wp:effectExtent l="0" t="0" r="12700" b="10160"/>
          <wp:wrapNone/>
          <wp:docPr id="10" name="图片 41" descr="f9212bce5f9ebac2c18be6e410438e8-恢复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1" descr="f9212bce5f9ebac2c18be6e410438e8-恢复的"/>
                  <pic:cNvPicPr>
                    <a:picLocks noChangeAspect="1"/>
                  </pic:cNvPicPr>
                </pic:nvPicPr>
                <pic:blipFill>
                  <a:blip r:embed="rId1"/>
                  <a:stretch>
                    <a:fillRect/>
                  </a:stretch>
                </pic:blipFill>
                <pic:spPr>
                  <a:xfrm>
                    <a:off x="0" y="0"/>
                    <a:ext cx="612140" cy="568960"/>
                  </a:xfrm>
                  <a:prstGeom prst="rect">
                    <a:avLst/>
                  </a:prstGeom>
                  <a:noFill/>
                  <a:ln>
                    <a:noFill/>
                  </a:ln>
                </pic:spPr>
              </pic:pic>
            </a:graphicData>
          </a:graphic>
        </wp:anchor>
      </w:drawing>
    </w:r>
    <w:r>
      <w:drawing>
        <wp:anchor distT="0" distB="0" distL="114300" distR="114300" simplePos="0" relativeHeight="251669504" behindDoc="1" locked="0" layoutInCell="1" allowOverlap="1">
          <wp:simplePos x="0" y="0"/>
          <wp:positionH relativeFrom="column">
            <wp:posOffset>617855</wp:posOffset>
          </wp:positionH>
          <wp:positionV relativeFrom="paragraph">
            <wp:posOffset>114300</wp:posOffset>
          </wp:positionV>
          <wp:extent cx="2261235" cy="330835"/>
          <wp:effectExtent l="0" t="0" r="9525" b="4445"/>
          <wp:wrapNone/>
          <wp:docPr id="11" name="图片 11" descr="f43658a99e4fae50b6138702cba5b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f43658a99e4fae50b6138702cba5bb8"/>
                  <pic:cNvPicPr>
                    <a:picLocks noChangeAspect="1"/>
                  </pic:cNvPicPr>
                </pic:nvPicPr>
                <pic:blipFill>
                  <a:blip r:embed="rId2"/>
                  <a:stretch>
                    <a:fillRect/>
                  </a:stretch>
                </pic:blipFill>
                <pic:spPr>
                  <a:xfrm>
                    <a:off x="0" y="0"/>
                    <a:ext cx="2261235" cy="330835"/>
                  </a:xfrm>
                  <a:prstGeom prst="rect">
                    <a:avLst/>
                  </a:prstGeom>
                </pic:spPr>
              </pic:pic>
            </a:graphicData>
          </a:graphic>
        </wp:anchor>
      </w:drawing>
    </w:r>
  </w:p>
  <w:p w14:paraId="5DE2DDB3">
    <w:pPr>
      <w:pStyle w:val="14"/>
      <w:pBdr>
        <w:bottom w:val="double" w:color="auto" w:sz="8" w:space="0"/>
      </w:pBdr>
      <w:jc w:val="left"/>
      <w:rPr>
        <w:rFonts w:hint="default" w:eastAsia="宋体"/>
        <w:lang w:val="en-US" w:eastAsia="zh-CN"/>
      </w:rPr>
    </w:pPr>
    <w:r>
      <w:rPr>
        <w:rFonts w:hint="eastAsia"/>
        <w:lang w:val="en-US" w:eastAsia="zh-CN"/>
      </w:rPr>
      <w:t xml:space="preserve">             </w:t>
    </w:r>
  </w:p>
  <w:p w14:paraId="76E244AE">
    <w:pPr>
      <w:pStyle w:val="14"/>
      <w:pBdr>
        <w:bottom w:val="double" w:color="auto" w:sz="8" w:space="0"/>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E1516">
    <w:pPr>
      <w:pStyle w:val="14"/>
      <w:pBdr>
        <w:bottom w:val="double" w:color="auto" w:sz="8" w:space="0"/>
      </w:pBdr>
      <w:jc w:val="both"/>
    </w:pPr>
    <w:r>
      <w:drawing>
        <wp:anchor distT="0" distB="0" distL="114300" distR="114300" simplePos="0" relativeHeight="251674624" behindDoc="1" locked="0" layoutInCell="1" allowOverlap="1">
          <wp:simplePos x="0" y="0"/>
          <wp:positionH relativeFrom="column">
            <wp:posOffset>415290</wp:posOffset>
          </wp:positionH>
          <wp:positionV relativeFrom="paragraph">
            <wp:posOffset>66675</wp:posOffset>
          </wp:positionV>
          <wp:extent cx="2261235" cy="330835"/>
          <wp:effectExtent l="0" t="0" r="5715" b="12065"/>
          <wp:wrapNone/>
          <wp:docPr id="43" name="图片 43" descr="f43658a99e4fae50b6138702cba5b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f43658a99e4fae50b6138702cba5bb8"/>
                  <pic:cNvPicPr>
                    <a:picLocks noChangeAspect="1"/>
                  </pic:cNvPicPr>
                </pic:nvPicPr>
                <pic:blipFill>
                  <a:blip r:embed="rId1"/>
                  <a:stretch>
                    <a:fillRect/>
                  </a:stretch>
                </pic:blipFill>
                <pic:spPr>
                  <a:xfrm>
                    <a:off x="0" y="0"/>
                    <a:ext cx="2261235" cy="330835"/>
                  </a:xfrm>
                  <a:prstGeom prst="rect">
                    <a:avLst/>
                  </a:prstGeom>
                </pic:spPr>
              </pic:pic>
            </a:graphicData>
          </a:graphic>
        </wp:anchor>
      </w:drawing>
    </w:r>
  </w:p>
  <w:p w14:paraId="3E1649CD">
    <w:pPr>
      <w:pStyle w:val="14"/>
      <w:pBdr>
        <w:bottom w:val="double" w:color="auto" w:sz="8" w:space="0"/>
      </w:pBdr>
      <w:jc w:val="both"/>
    </w:pPr>
  </w:p>
  <w:p w14:paraId="7925ED12">
    <w:pPr>
      <w:pStyle w:val="14"/>
      <w:pBdr>
        <w:bottom w:val="double" w:color="auto" w:sz="8" w:space="0"/>
      </w:pBdr>
      <w:jc w:val="both"/>
    </w:pPr>
    <w:r>
      <w:drawing>
        <wp:anchor distT="0" distB="0" distL="114300" distR="114300" simplePos="0" relativeHeight="251675648" behindDoc="0" locked="0" layoutInCell="1" allowOverlap="1">
          <wp:simplePos x="0" y="0"/>
          <wp:positionH relativeFrom="page">
            <wp:posOffset>939165</wp:posOffset>
          </wp:positionH>
          <wp:positionV relativeFrom="page">
            <wp:posOffset>391160</wp:posOffset>
          </wp:positionV>
          <wp:extent cx="612140" cy="568960"/>
          <wp:effectExtent l="0" t="0" r="16510" b="2540"/>
          <wp:wrapNone/>
          <wp:docPr id="44" name="图片 44" descr="f9212bce5f9ebac2c18be6e410438e8-恢复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f9212bce5f9ebac2c18be6e410438e8-恢复的"/>
                  <pic:cNvPicPr>
                    <a:picLocks noChangeAspect="1"/>
                  </pic:cNvPicPr>
                </pic:nvPicPr>
                <pic:blipFill>
                  <a:blip r:embed="rId2"/>
                  <a:stretch>
                    <a:fillRect/>
                  </a:stretch>
                </pic:blipFill>
                <pic:spPr>
                  <a:xfrm>
                    <a:off x="0" y="0"/>
                    <a:ext cx="612140" cy="56896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5E6A8F"/>
    <w:multiLevelType w:val="multilevel"/>
    <w:tmpl w:val="155E6A8F"/>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1">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
    <w:nsid w:val="36E1116A"/>
    <w:multiLevelType w:val="multilevel"/>
    <w:tmpl w:val="36E1116A"/>
    <w:lvl w:ilvl="0" w:tentative="0">
      <w:start w:val="1"/>
      <w:numFmt w:val="decimal"/>
      <w:pStyle w:val="46"/>
      <w:lvlText w:val="%1"/>
      <w:lvlJc w:val="left"/>
      <w:pPr>
        <w:widowControl/>
        <w:ind w:left="432" w:hanging="432"/>
        <w:textAlignment w:val="baseline"/>
      </w:pPr>
    </w:lvl>
    <w:lvl w:ilvl="1" w:tentative="0">
      <w:start w:val="1"/>
      <w:numFmt w:val="decimal"/>
      <w:pStyle w:val="48"/>
      <w:lvlText w:val="%1.%2"/>
      <w:lvlJc w:val="left"/>
      <w:pPr>
        <w:widowControl/>
        <w:ind w:left="1710" w:hanging="576"/>
        <w:textAlignment w:val="baseline"/>
      </w:pPr>
    </w:lvl>
    <w:lvl w:ilvl="2" w:tentative="0">
      <w:start w:val="1"/>
      <w:numFmt w:val="decimal"/>
      <w:lvlText w:val="%1.%2.%3"/>
      <w:lvlJc w:val="left"/>
      <w:pPr>
        <w:widowControl/>
        <w:ind w:left="720" w:hanging="720"/>
        <w:textAlignment w:val="baseline"/>
      </w:pPr>
    </w:lvl>
    <w:lvl w:ilvl="3" w:tentative="0">
      <w:start w:val="1"/>
      <w:numFmt w:val="decimal"/>
      <w:lvlText w:val="%1.%2.%3.%4"/>
      <w:lvlJc w:val="left"/>
      <w:pPr>
        <w:widowControl/>
        <w:ind w:left="864" w:hanging="864"/>
        <w:textAlignment w:val="baseline"/>
      </w:pPr>
    </w:lvl>
    <w:lvl w:ilvl="4" w:tentative="0">
      <w:start w:val="1"/>
      <w:numFmt w:val="decimal"/>
      <w:lvlText w:val="%1.%2.%3.%4.%5"/>
      <w:lvlJc w:val="left"/>
      <w:pPr>
        <w:widowControl/>
        <w:ind w:left="1008" w:hanging="1008"/>
        <w:textAlignment w:val="baseline"/>
      </w:pPr>
    </w:lvl>
    <w:lvl w:ilvl="5" w:tentative="0">
      <w:start w:val="1"/>
      <w:numFmt w:val="decimal"/>
      <w:lvlText w:val="%1.%2.%3.%4.%5.%6"/>
      <w:lvlJc w:val="left"/>
      <w:pPr>
        <w:widowControl/>
        <w:ind w:left="1152" w:hanging="1152"/>
        <w:textAlignment w:val="baseline"/>
      </w:pPr>
    </w:lvl>
    <w:lvl w:ilvl="6" w:tentative="0">
      <w:start w:val="1"/>
      <w:numFmt w:val="decimal"/>
      <w:lvlText w:val="%1.%2.%3.%4.%5.%6.%7"/>
      <w:lvlJc w:val="left"/>
      <w:pPr>
        <w:widowControl/>
        <w:ind w:left="1296" w:hanging="1296"/>
        <w:textAlignment w:val="baseline"/>
      </w:pPr>
    </w:lvl>
    <w:lvl w:ilvl="7" w:tentative="0">
      <w:start w:val="1"/>
      <w:numFmt w:val="decimal"/>
      <w:lvlText w:val="%1.%2.%3.%4.%5.%6.%7.%8"/>
      <w:lvlJc w:val="left"/>
      <w:pPr>
        <w:widowControl/>
        <w:ind w:left="1440" w:hanging="1440"/>
        <w:textAlignment w:val="baseline"/>
      </w:pPr>
    </w:lvl>
    <w:lvl w:ilvl="8" w:tentative="0">
      <w:start w:val="1"/>
      <w:numFmt w:val="decimal"/>
      <w:lvlText w:val="%1.%2.%3.%4.%5.%6.%7.%8.%9"/>
      <w:lvlJc w:val="left"/>
      <w:pPr>
        <w:widowControl/>
        <w:ind w:left="1584" w:hanging="1584"/>
        <w:textAlignment w:val="baseline"/>
      </w:pPr>
    </w:lvl>
  </w:abstractNum>
  <w:abstractNum w:abstractNumId="3">
    <w:nsid w:val="3D6DFD3B"/>
    <w:multiLevelType w:val="singleLevel"/>
    <w:tmpl w:val="3D6DFD3B"/>
    <w:lvl w:ilvl="0" w:tentative="0">
      <w:start w:val="1"/>
      <w:numFmt w:val="decimal"/>
      <w:suff w:val="nothing"/>
      <w:lvlText w:val="%1、"/>
      <w:lvlJc w:val="left"/>
      <w:rPr>
        <w:rFonts w:hint="default"/>
        <w:b/>
        <w:bCs/>
      </w:rPr>
    </w:lvl>
  </w:abstractNum>
  <w:abstractNum w:abstractNumId="4">
    <w:nsid w:val="6005F10E"/>
    <w:multiLevelType w:val="singleLevel"/>
    <w:tmpl w:val="6005F10E"/>
    <w:lvl w:ilvl="0" w:tentative="0">
      <w:start w:val="15"/>
      <w:numFmt w:val="decimal"/>
      <w:suff w:val="space"/>
      <w:lvlText w:val="%1."/>
      <w:lvlJc w:val="left"/>
    </w:lvl>
  </w:abstractNum>
  <w:abstractNum w:abstractNumId="5">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kN2I0MDlkOWM0ZTIwOGY2ZWYyN2IyZmYyYWU3NjcifQ=="/>
  </w:docVars>
  <w:rsids>
    <w:rsidRoot w:val="4E9B67BC"/>
    <w:rsid w:val="00076B15"/>
    <w:rsid w:val="00125DB3"/>
    <w:rsid w:val="00202BA0"/>
    <w:rsid w:val="002726EE"/>
    <w:rsid w:val="002B3EC0"/>
    <w:rsid w:val="00340A80"/>
    <w:rsid w:val="003A7815"/>
    <w:rsid w:val="004C3054"/>
    <w:rsid w:val="00501EE6"/>
    <w:rsid w:val="00510400"/>
    <w:rsid w:val="00610CAD"/>
    <w:rsid w:val="006B4D0F"/>
    <w:rsid w:val="006B4F71"/>
    <w:rsid w:val="00763B64"/>
    <w:rsid w:val="00853197"/>
    <w:rsid w:val="00C11035"/>
    <w:rsid w:val="00C80F19"/>
    <w:rsid w:val="00D65B2D"/>
    <w:rsid w:val="00DD4EA4"/>
    <w:rsid w:val="00F55B83"/>
    <w:rsid w:val="017604FA"/>
    <w:rsid w:val="018F17E7"/>
    <w:rsid w:val="019E64FB"/>
    <w:rsid w:val="01A53393"/>
    <w:rsid w:val="01AB7941"/>
    <w:rsid w:val="01BF6EF9"/>
    <w:rsid w:val="01C94168"/>
    <w:rsid w:val="01EE19B6"/>
    <w:rsid w:val="020016E9"/>
    <w:rsid w:val="02092289"/>
    <w:rsid w:val="02BB465C"/>
    <w:rsid w:val="02C205D8"/>
    <w:rsid w:val="02C74346"/>
    <w:rsid w:val="02D52FF9"/>
    <w:rsid w:val="02E132C9"/>
    <w:rsid w:val="02F96F18"/>
    <w:rsid w:val="03111B47"/>
    <w:rsid w:val="031414D5"/>
    <w:rsid w:val="032D143B"/>
    <w:rsid w:val="03334901"/>
    <w:rsid w:val="036C34DA"/>
    <w:rsid w:val="036D64BE"/>
    <w:rsid w:val="03822CFE"/>
    <w:rsid w:val="039C163C"/>
    <w:rsid w:val="03AC3B74"/>
    <w:rsid w:val="03B15E92"/>
    <w:rsid w:val="03CB7A9E"/>
    <w:rsid w:val="040556DD"/>
    <w:rsid w:val="040D2765"/>
    <w:rsid w:val="045649DA"/>
    <w:rsid w:val="045D1075"/>
    <w:rsid w:val="04A07FF8"/>
    <w:rsid w:val="04B172D6"/>
    <w:rsid w:val="04F06D02"/>
    <w:rsid w:val="05403B90"/>
    <w:rsid w:val="056C042B"/>
    <w:rsid w:val="05913209"/>
    <w:rsid w:val="05D91524"/>
    <w:rsid w:val="05FA70D2"/>
    <w:rsid w:val="05FE4192"/>
    <w:rsid w:val="05FF513E"/>
    <w:rsid w:val="061E19F3"/>
    <w:rsid w:val="062F4971"/>
    <w:rsid w:val="06466042"/>
    <w:rsid w:val="064D5B1C"/>
    <w:rsid w:val="06550CE5"/>
    <w:rsid w:val="069D4B6B"/>
    <w:rsid w:val="06B1764E"/>
    <w:rsid w:val="06CE51BA"/>
    <w:rsid w:val="06DE343A"/>
    <w:rsid w:val="06E40ABE"/>
    <w:rsid w:val="071E532B"/>
    <w:rsid w:val="07211EDF"/>
    <w:rsid w:val="073736D8"/>
    <w:rsid w:val="07496D8C"/>
    <w:rsid w:val="07801315"/>
    <w:rsid w:val="07B463DA"/>
    <w:rsid w:val="07DE755A"/>
    <w:rsid w:val="07F910B5"/>
    <w:rsid w:val="08065580"/>
    <w:rsid w:val="081957CD"/>
    <w:rsid w:val="08267B7E"/>
    <w:rsid w:val="08580825"/>
    <w:rsid w:val="08591AD2"/>
    <w:rsid w:val="08614B67"/>
    <w:rsid w:val="08A00680"/>
    <w:rsid w:val="08B1155B"/>
    <w:rsid w:val="08BB7D3E"/>
    <w:rsid w:val="08E104C7"/>
    <w:rsid w:val="09122283"/>
    <w:rsid w:val="0924515A"/>
    <w:rsid w:val="0927393C"/>
    <w:rsid w:val="09513AEA"/>
    <w:rsid w:val="09524F20"/>
    <w:rsid w:val="09885D9B"/>
    <w:rsid w:val="099E3EED"/>
    <w:rsid w:val="09B70E66"/>
    <w:rsid w:val="09B90AFC"/>
    <w:rsid w:val="09E44647"/>
    <w:rsid w:val="0A037FB9"/>
    <w:rsid w:val="0AAC240E"/>
    <w:rsid w:val="0AB55DA2"/>
    <w:rsid w:val="0AD26657"/>
    <w:rsid w:val="0AE045B7"/>
    <w:rsid w:val="0B0410FE"/>
    <w:rsid w:val="0B073F90"/>
    <w:rsid w:val="0B0D365A"/>
    <w:rsid w:val="0B17432F"/>
    <w:rsid w:val="0B305EC4"/>
    <w:rsid w:val="0B4E1717"/>
    <w:rsid w:val="0B6C1789"/>
    <w:rsid w:val="0BD24F53"/>
    <w:rsid w:val="0BE9677F"/>
    <w:rsid w:val="0BFB00A7"/>
    <w:rsid w:val="0C3A5447"/>
    <w:rsid w:val="0C493BA6"/>
    <w:rsid w:val="0C4F01D1"/>
    <w:rsid w:val="0C7A3B49"/>
    <w:rsid w:val="0CAC7FA3"/>
    <w:rsid w:val="0CC33E28"/>
    <w:rsid w:val="0CC57122"/>
    <w:rsid w:val="0D3A658D"/>
    <w:rsid w:val="0D533015"/>
    <w:rsid w:val="0D54223D"/>
    <w:rsid w:val="0D642C52"/>
    <w:rsid w:val="0D6C2329"/>
    <w:rsid w:val="0D7307E5"/>
    <w:rsid w:val="0D82059D"/>
    <w:rsid w:val="0D8860AE"/>
    <w:rsid w:val="0D8B6A00"/>
    <w:rsid w:val="0D955AAF"/>
    <w:rsid w:val="0DA87B2D"/>
    <w:rsid w:val="0DAE29E5"/>
    <w:rsid w:val="0DB33E73"/>
    <w:rsid w:val="0DBD57D4"/>
    <w:rsid w:val="0DBF28D9"/>
    <w:rsid w:val="0DC15569"/>
    <w:rsid w:val="0DDF0F54"/>
    <w:rsid w:val="0DF8713D"/>
    <w:rsid w:val="0E011897"/>
    <w:rsid w:val="0E2B3460"/>
    <w:rsid w:val="0E320976"/>
    <w:rsid w:val="0E3A5F83"/>
    <w:rsid w:val="0E6F4145"/>
    <w:rsid w:val="0EBC26DF"/>
    <w:rsid w:val="0ECE01CA"/>
    <w:rsid w:val="0EF56A7A"/>
    <w:rsid w:val="0F20705B"/>
    <w:rsid w:val="0F367867"/>
    <w:rsid w:val="0F887B3F"/>
    <w:rsid w:val="0FA07A02"/>
    <w:rsid w:val="0FC22610"/>
    <w:rsid w:val="0FCA771C"/>
    <w:rsid w:val="0FDC4EB3"/>
    <w:rsid w:val="0FF97C3C"/>
    <w:rsid w:val="10093E5F"/>
    <w:rsid w:val="10310440"/>
    <w:rsid w:val="10437371"/>
    <w:rsid w:val="106043C7"/>
    <w:rsid w:val="106519DD"/>
    <w:rsid w:val="106A366C"/>
    <w:rsid w:val="10742BBD"/>
    <w:rsid w:val="108F0F3F"/>
    <w:rsid w:val="10D17AEF"/>
    <w:rsid w:val="10E77350"/>
    <w:rsid w:val="10EC17B7"/>
    <w:rsid w:val="10F06EA0"/>
    <w:rsid w:val="111357E9"/>
    <w:rsid w:val="111807FE"/>
    <w:rsid w:val="112420D3"/>
    <w:rsid w:val="11261718"/>
    <w:rsid w:val="11372ADC"/>
    <w:rsid w:val="115B6A10"/>
    <w:rsid w:val="116412EF"/>
    <w:rsid w:val="11730B34"/>
    <w:rsid w:val="11BB462E"/>
    <w:rsid w:val="11BB6A83"/>
    <w:rsid w:val="11DE16C3"/>
    <w:rsid w:val="11E73E84"/>
    <w:rsid w:val="11FE37AE"/>
    <w:rsid w:val="12080872"/>
    <w:rsid w:val="125735A8"/>
    <w:rsid w:val="127C300E"/>
    <w:rsid w:val="128375CC"/>
    <w:rsid w:val="12903B44"/>
    <w:rsid w:val="12D165F3"/>
    <w:rsid w:val="12DE26FE"/>
    <w:rsid w:val="13496D93"/>
    <w:rsid w:val="13525B1D"/>
    <w:rsid w:val="138D0E77"/>
    <w:rsid w:val="13C71C86"/>
    <w:rsid w:val="13FD3CDB"/>
    <w:rsid w:val="14033ECF"/>
    <w:rsid w:val="140E6D1D"/>
    <w:rsid w:val="141D25CF"/>
    <w:rsid w:val="14411E19"/>
    <w:rsid w:val="14587163"/>
    <w:rsid w:val="14651540"/>
    <w:rsid w:val="147F2942"/>
    <w:rsid w:val="14D42F61"/>
    <w:rsid w:val="14E37374"/>
    <w:rsid w:val="15811E5B"/>
    <w:rsid w:val="15A25376"/>
    <w:rsid w:val="15B94FE2"/>
    <w:rsid w:val="15C3785F"/>
    <w:rsid w:val="162C32E2"/>
    <w:rsid w:val="16592972"/>
    <w:rsid w:val="16922E00"/>
    <w:rsid w:val="16B919FC"/>
    <w:rsid w:val="16C17241"/>
    <w:rsid w:val="16C4115D"/>
    <w:rsid w:val="16CE74DF"/>
    <w:rsid w:val="1724245F"/>
    <w:rsid w:val="173340D0"/>
    <w:rsid w:val="17B1375A"/>
    <w:rsid w:val="184F70CC"/>
    <w:rsid w:val="189305FF"/>
    <w:rsid w:val="18C47C3E"/>
    <w:rsid w:val="19173A91"/>
    <w:rsid w:val="194C74C1"/>
    <w:rsid w:val="19510A53"/>
    <w:rsid w:val="19836FA6"/>
    <w:rsid w:val="19BE215E"/>
    <w:rsid w:val="19EC175E"/>
    <w:rsid w:val="1A084A4F"/>
    <w:rsid w:val="1A170EA3"/>
    <w:rsid w:val="1A4E33FF"/>
    <w:rsid w:val="1A616198"/>
    <w:rsid w:val="1A675266"/>
    <w:rsid w:val="1B03683B"/>
    <w:rsid w:val="1B395F40"/>
    <w:rsid w:val="1B5E1503"/>
    <w:rsid w:val="1B6B12FD"/>
    <w:rsid w:val="1B6B269C"/>
    <w:rsid w:val="1BD364C3"/>
    <w:rsid w:val="1C0E338C"/>
    <w:rsid w:val="1C15583E"/>
    <w:rsid w:val="1C23374F"/>
    <w:rsid w:val="1C345C07"/>
    <w:rsid w:val="1C813293"/>
    <w:rsid w:val="1CA83281"/>
    <w:rsid w:val="1CD35F20"/>
    <w:rsid w:val="1CE67A02"/>
    <w:rsid w:val="1CEB6DC6"/>
    <w:rsid w:val="1CFA525B"/>
    <w:rsid w:val="1D047715"/>
    <w:rsid w:val="1D3249F5"/>
    <w:rsid w:val="1D4A416F"/>
    <w:rsid w:val="1DA07640"/>
    <w:rsid w:val="1DA1092E"/>
    <w:rsid w:val="1DF9135A"/>
    <w:rsid w:val="1E116D00"/>
    <w:rsid w:val="1E132F5C"/>
    <w:rsid w:val="1E205195"/>
    <w:rsid w:val="1E333AEF"/>
    <w:rsid w:val="1E52526A"/>
    <w:rsid w:val="1E60691B"/>
    <w:rsid w:val="1E84244A"/>
    <w:rsid w:val="1EC9373C"/>
    <w:rsid w:val="1F346096"/>
    <w:rsid w:val="1F7B4EE6"/>
    <w:rsid w:val="1F88755A"/>
    <w:rsid w:val="1F944AF4"/>
    <w:rsid w:val="1F9C7317"/>
    <w:rsid w:val="1FA47FC0"/>
    <w:rsid w:val="1FF30812"/>
    <w:rsid w:val="1FF43F7F"/>
    <w:rsid w:val="20234AC9"/>
    <w:rsid w:val="202569A9"/>
    <w:rsid w:val="20547378"/>
    <w:rsid w:val="20AE4CDA"/>
    <w:rsid w:val="20E91BE2"/>
    <w:rsid w:val="20F205CC"/>
    <w:rsid w:val="20FD356C"/>
    <w:rsid w:val="212862A1"/>
    <w:rsid w:val="214571DB"/>
    <w:rsid w:val="216E282D"/>
    <w:rsid w:val="217C77B1"/>
    <w:rsid w:val="218C132D"/>
    <w:rsid w:val="21937664"/>
    <w:rsid w:val="219439F4"/>
    <w:rsid w:val="21CD2F3E"/>
    <w:rsid w:val="21CD510A"/>
    <w:rsid w:val="21D20555"/>
    <w:rsid w:val="21E729B4"/>
    <w:rsid w:val="221D5CB6"/>
    <w:rsid w:val="22416C93"/>
    <w:rsid w:val="225A5A56"/>
    <w:rsid w:val="22A743E5"/>
    <w:rsid w:val="2309269C"/>
    <w:rsid w:val="23184AF7"/>
    <w:rsid w:val="23241284"/>
    <w:rsid w:val="238D5F1B"/>
    <w:rsid w:val="239046FC"/>
    <w:rsid w:val="23933D5B"/>
    <w:rsid w:val="239776CF"/>
    <w:rsid w:val="23B40D7E"/>
    <w:rsid w:val="23EA146F"/>
    <w:rsid w:val="240C6D4F"/>
    <w:rsid w:val="241C3A86"/>
    <w:rsid w:val="246102B6"/>
    <w:rsid w:val="247B1749"/>
    <w:rsid w:val="249141CD"/>
    <w:rsid w:val="249413D2"/>
    <w:rsid w:val="24D01BF5"/>
    <w:rsid w:val="24D4440C"/>
    <w:rsid w:val="253A6F43"/>
    <w:rsid w:val="25543DB1"/>
    <w:rsid w:val="255C7774"/>
    <w:rsid w:val="25C31EE3"/>
    <w:rsid w:val="25F34F3E"/>
    <w:rsid w:val="260D5FFF"/>
    <w:rsid w:val="26372CEA"/>
    <w:rsid w:val="26A1499A"/>
    <w:rsid w:val="26C27944"/>
    <w:rsid w:val="26D00778"/>
    <w:rsid w:val="26D034EA"/>
    <w:rsid w:val="26D237B8"/>
    <w:rsid w:val="27076EF2"/>
    <w:rsid w:val="27363334"/>
    <w:rsid w:val="274B04FE"/>
    <w:rsid w:val="277D0157"/>
    <w:rsid w:val="278C3BAB"/>
    <w:rsid w:val="27A9305A"/>
    <w:rsid w:val="27B40458"/>
    <w:rsid w:val="27CF71E8"/>
    <w:rsid w:val="288A0F5F"/>
    <w:rsid w:val="28DF57AE"/>
    <w:rsid w:val="29015BC3"/>
    <w:rsid w:val="29166294"/>
    <w:rsid w:val="292F7C85"/>
    <w:rsid w:val="2940049A"/>
    <w:rsid w:val="29746395"/>
    <w:rsid w:val="297E2AE9"/>
    <w:rsid w:val="29960197"/>
    <w:rsid w:val="299A404E"/>
    <w:rsid w:val="29B87F6E"/>
    <w:rsid w:val="29C76E0D"/>
    <w:rsid w:val="29EC794F"/>
    <w:rsid w:val="2A0D3DFC"/>
    <w:rsid w:val="2A2878AC"/>
    <w:rsid w:val="2A5333AB"/>
    <w:rsid w:val="2A6149C8"/>
    <w:rsid w:val="2A9F7442"/>
    <w:rsid w:val="2AB133DB"/>
    <w:rsid w:val="2ADD75D8"/>
    <w:rsid w:val="2ADF1AC3"/>
    <w:rsid w:val="2BA94A1C"/>
    <w:rsid w:val="2BE56235"/>
    <w:rsid w:val="2C5B7F75"/>
    <w:rsid w:val="2C660F58"/>
    <w:rsid w:val="2C6F4AD6"/>
    <w:rsid w:val="2C7D1A05"/>
    <w:rsid w:val="2C7D49E2"/>
    <w:rsid w:val="2C9D0B2A"/>
    <w:rsid w:val="2CAE0793"/>
    <w:rsid w:val="2CCA7E9F"/>
    <w:rsid w:val="2CCB0888"/>
    <w:rsid w:val="2CD35AD8"/>
    <w:rsid w:val="2CE865EB"/>
    <w:rsid w:val="2D7F1BFC"/>
    <w:rsid w:val="2E213A49"/>
    <w:rsid w:val="2E41336E"/>
    <w:rsid w:val="2E4A5917"/>
    <w:rsid w:val="2E4B2AB6"/>
    <w:rsid w:val="2E730855"/>
    <w:rsid w:val="2E88384B"/>
    <w:rsid w:val="2E8B0406"/>
    <w:rsid w:val="2E8E1CA7"/>
    <w:rsid w:val="2EE601C7"/>
    <w:rsid w:val="2F2F4823"/>
    <w:rsid w:val="2F6C023B"/>
    <w:rsid w:val="2F9E1A6C"/>
    <w:rsid w:val="2FB05E47"/>
    <w:rsid w:val="2FB21D8F"/>
    <w:rsid w:val="2FE34801"/>
    <w:rsid w:val="2FF1050E"/>
    <w:rsid w:val="2FFD4B02"/>
    <w:rsid w:val="302312BF"/>
    <w:rsid w:val="30273F9A"/>
    <w:rsid w:val="30275F10"/>
    <w:rsid w:val="30354AD0"/>
    <w:rsid w:val="30490022"/>
    <w:rsid w:val="306A7DB6"/>
    <w:rsid w:val="306E1D90"/>
    <w:rsid w:val="307A6ED8"/>
    <w:rsid w:val="30843145"/>
    <w:rsid w:val="308C1E8F"/>
    <w:rsid w:val="30961F94"/>
    <w:rsid w:val="30B654E5"/>
    <w:rsid w:val="30BD2566"/>
    <w:rsid w:val="30E3277E"/>
    <w:rsid w:val="30F3628A"/>
    <w:rsid w:val="311F44DC"/>
    <w:rsid w:val="31705223"/>
    <w:rsid w:val="31A737AC"/>
    <w:rsid w:val="31B05B0C"/>
    <w:rsid w:val="31C003CA"/>
    <w:rsid w:val="31D87CF4"/>
    <w:rsid w:val="31DB1086"/>
    <w:rsid w:val="31EB6C4B"/>
    <w:rsid w:val="31F63CCE"/>
    <w:rsid w:val="31FD2462"/>
    <w:rsid w:val="32141C05"/>
    <w:rsid w:val="322A1CDE"/>
    <w:rsid w:val="32333393"/>
    <w:rsid w:val="32346191"/>
    <w:rsid w:val="32456A35"/>
    <w:rsid w:val="32511749"/>
    <w:rsid w:val="328D515C"/>
    <w:rsid w:val="32A61CB5"/>
    <w:rsid w:val="32B55B54"/>
    <w:rsid w:val="32DC2DD8"/>
    <w:rsid w:val="32E97DF4"/>
    <w:rsid w:val="32F20F99"/>
    <w:rsid w:val="32F27783"/>
    <w:rsid w:val="32F30491"/>
    <w:rsid w:val="33010656"/>
    <w:rsid w:val="332144AB"/>
    <w:rsid w:val="332F3F54"/>
    <w:rsid w:val="33376964"/>
    <w:rsid w:val="333B7242"/>
    <w:rsid w:val="334119DE"/>
    <w:rsid w:val="3347742D"/>
    <w:rsid w:val="334943EF"/>
    <w:rsid w:val="336F7772"/>
    <w:rsid w:val="33727DEA"/>
    <w:rsid w:val="337C47C4"/>
    <w:rsid w:val="33C00B55"/>
    <w:rsid w:val="33C543BD"/>
    <w:rsid w:val="33D208B5"/>
    <w:rsid w:val="33D36AC6"/>
    <w:rsid w:val="340E037E"/>
    <w:rsid w:val="341C57A3"/>
    <w:rsid w:val="34525525"/>
    <w:rsid w:val="34563E84"/>
    <w:rsid w:val="348F22D5"/>
    <w:rsid w:val="35171FDA"/>
    <w:rsid w:val="35172534"/>
    <w:rsid w:val="3521444F"/>
    <w:rsid w:val="35BC6F9E"/>
    <w:rsid w:val="35CA3350"/>
    <w:rsid w:val="35CE486B"/>
    <w:rsid w:val="35FF1E65"/>
    <w:rsid w:val="360D00F6"/>
    <w:rsid w:val="361528C5"/>
    <w:rsid w:val="362E3163"/>
    <w:rsid w:val="36525A5D"/>
    <w:rsid w:val="36AA5C59"/>
    <w:rsid w:val="36B43F92"/>
    <w:rsid w:val="36B53385"/>
    <w:rsid w:val="36BD75CE"/>
    <w:rsid w:val="36D51EC2"/>
    <w:rsid w:val="36F823B4"/>
    <w:rsid w:val="371A057C"/>
    <w:rsid w:val="371A451C"/>
    <w:rsid w:val="3733584A"/>
    <w:rsid w:val="378A207C"/>
    <w:rsid w:val="378B147A"/>
    <w:rsid w:val="37C37463"/>
    <w:rsid w:val="37D66CAB"/>
    <w:rsid w:val="37EE5B1B"/>
    <w:rsid w:val="38432180"/>
    <w:rsid w:val="384A49E5"/>
    <w:rsid w:val="386C12AB"/>
    <w:rsid w:val="38D80852"/>
    <w:rsid w:val="39012DBB"/>
    <w:rsid w:val="391E6C20"/>
    <w:rsid w:val="39240C19"/>
    <w:rsid w:val="394F316D"/>
    <w:rsid w:val="395E00D8"/>
    <w:rsid w:val="398123F0"/>
    <w:rsid w:val="39A9208B"/>
    <w:rsid w:val="39C04884"/>
    <w:rsid w:val="3A002717"/>
    <w:rsid w:val="3A18017C"/>
    <w:rsid w:val="3A275949"/>
    <w:rsid w:val="3A5F40D4"/>
    <w:rsid w:val="3A7973FC"/>
    <w:rsid w:val="3A9C62F1"/>
    <w:rsid w:val="3AA00D92"/>
    <w:rsid w:val="3AB473B4"/>
    <w:rsid w:val="3ABB3903"/>
    <w:rsid w:val="3AFB18FD"/>
    <w:rsid w:val="3B246374"/>
    <w:rsid w:val="3B3B1F84"/>
    <w:rsid w:val="3B5444BC"/>
    <w:rsid w:val="3B995CAC"/>
    <w:rsid w:val="3BC81962"/>
    <w:rsid w:val="3BCF7530"/>
    <w:rsid w:val="3BD02B1C"/>
    <w:rsid w:val="3BFC254A"/>
    <w:rsid w:val="3BFF41E4"/>
    <w:rsid w:val="3C0B2F5E"/>
    <w:rsid w:val="3C167442"/>
    <w:rsid w:val="3C2B4038"/>
    <w:rsid w:val="3C3230C8"/>
    <w:rsid w:val="3C326368"/>
    <w:rsid w:val="3C5B3EEB"/>
    <w:rsid w:val="3C5C5193"/>
    <w:rsid w:val="3C5C6808"/>
    <w:rsid w:val="3C680446"/>
    <w:rsid w:val="3CAC7CF3"/>
    <w:rsid w:val="3CBB144D"/>
    <w:rsid w:val="3D446734"/>
    <w:rsid w:val="3D6A74A7"/>
    <w:rsid w:val="3DA176FD"/>
    <w:rsid w:val="3DEC2546"/>
    <w:rsid w:val="3DEC3C01"/>
    <w:rsid w:val="3DF77869"/>
    <w:rsid w:val="3DF8713D"/>
    <w:rsid w:val="3E0D2A11"/>
    <w:rsid w:val="3E2E7003"/>
    <w:rsid w:val="3E782BEC"/>
    <w:rsid w:val="3E78493B"/>
    <w:rsid w:val="3E887A2E"/>
    <w:rsid w:val="3E9C5D1B"/>
    <w:rsid w:val="3EC534AE"/>
    <w:rsid w:val="3F2C0A1A"/>
    <w:rsid w:val="3F9E7CED"/>
    <w:rsid w:val="3FC34E91"/>
    <w:rsid w:val="40425CC8"/>
    <w:rsid w:val="40546965"/>
    <w:rsid w:val="40583EC3"/>
    <w:rsid w:val="40CE4847"/>
    <w:rsid w:val="412A02BF"/>
    <w:rsid w:val="414053B1"/>
    <w:rsid w:val="41A30B63"/>
    <w:rsid w:val="41AA69A0"/>
    <w:rsid w:val="41F67E38"/>
    <w:rsid w:val="42057C91"/>
    <w:rsid w:val="420A6C8A"/>
    <w:rsid w:val="420C28DA"/>
    <w:rsid w:val="422E7A08"/>
    <w:rsid w:val="423C432C"/>
    <w:rsid w:val="425B0CF1"/>
    <w:rsid w:val="42A97C45"/>
    <w:rsid w:val="42D52715"/>
    <w:rsid w:val="42ED7226"/>
    <w:rsid w:val="42F20314"/>
    <w:rsid w:val="430E6249"/>
    <w:rsid w:val="43117016"/>
    <w:rsid w:val="43307A9B"/>
    <w:rsid w:val="43553283"/>
    <w:rsid w:val="43760CA2"/>
    <w:rsid w:val="438D2982"/>
    <w:rsid w:val="44081505"/>
    <w:rsid w:val="443C2FF5"/>
    <w:rsid w:val="4460072E"/>
    <w:rsid w:val="44703ED1"/>
    <w:rsid w:val="44C65159"/>
    <w:rsid w:val="450A1050"/>
    <w:rsid w:val="45557DF1"/>
    <w:rsid w:val="45575091"/>
    <w:rsid w:val="458B0897"/>
    <w:rsid w:val="45CF2E79"/>
    <w:rsid w:val="45E61751"/>
    <w:rsid w:val="45E65C7A"/>
    <w:rsid w:val="45EA58D8"/>
    <w:rsid w:val="45F11042"/>
    <w:rsid w:val="462413C5"/>
    <w:rsid w:val="469419FB"/>
    <w:rsid w:val="46A46B0C"/>
    <w:rsid w:val="46B07D57"/>
    <w:rsid w:val="46B832C1"/>
    <w:rsid w:val="46C329DE"/>
    <w:rsid w:val="46D5626E"/>
    <w:rsid w:val="47366D99"/>
    <w:rsid w:val="474A0FBF"/>
    <w:rsid w:val="476C3D13"/>
    <w:rsid w:val="482057DA"/>
    <w:rsid w:val="48396CD0"/>
    <w:rsid w:val="48563ADC"/>
    <w:rsid w:val="48892425"/>
    <w:rsid w:val="48BD16AF"/>
    <w:rsid w:val="48DA50B4"/>
    <w:rsid w:val="492C65D4"/>
    <w:rsid w:val="493C4382"/>
    <w:rsid w:val="49681DDE"/>
    <w:rsid w:val="49804BB7"/>
    <w:rsid w:val="49A1530C"/>
    <w:rsid w:val="49E50EBD"/>
    <w:rsid w:val="49FB73C0"/>
    <w:rsid w:val="49FD7ED0"/>
    <w:rsid w:val="4A2507D0"/>
    <w:rsid w:val="4AA913F2"/>
    <w:rsid w:val="4AAB0447"/>
    <w:rsid w:val="4ADB406F"/>
    <w:rsid w:val="4B2302FD"/>
    <w:rsid w:val="4B2C18FC"/>
    <w:rsid w:val="4B424FF1"/>
    <w:rsid w:val="4B4D7AEB"/>
    <w:rsid w:val="4B766BAD"/>
    <w:rsid w:val="4BD9672F"/>
    <w:rsid w:val="4C0513A3"/>
    <w:rsid w:val="4C4F003A"/>
    <w:rsid w:val="4C6B0617"/>
    <w:rsid w:val="4C981319"/>
    <w:rsid w:val="4C9818B5"/>
    <w:rsid w:val="4CB05284"/>
    <w:rsid w:val="4CB67988"/>
    <w:rsid w:val="4CBD78B6"/>
    <w:rsid w:val="4CBE371D"/>
    <w:rsid w:val="4CD04A15"/>
    <w:rsid w:val="4CD60CCF"/>
    <w:rsid w:val="4D043409"/>
    <w:rsid w:val="4D0A3E08"/>
    <w:rsid w:val="4D0D7D70"/>
    <w:rsid w:val="4D161DBB"/>
    <w:rsid w:val="4D61115C"/>
    <w:rsid w:val="4D6A2DDD"/>
    <w:rsid w:val="4D704F42"/>
    <w:rsid w:val="4D88319C"/>
    <w:rsid w:val="4D8C3B2A"/>
    <w:rsid w:val="4DA70238"/>
    <w:rsid w:val="4DD02F4B"/>
    <w:rsid w:val="4DFE0029"/>
    <w:rsid w:val="4E2D1F6C"/>
    <w:rsid w:val="4E846870"/>
    <w:rsid w:val="4E9B67BC"/>
    <w:rsid w:val="4EB224F0"/>
    <w:rsid w:val="4EE239D8"/>
    <w:rsid w:val="4F042515"/>
    <w:rsid w:val="4F532425"/>
    <w:rsid w:val="4F6C798B"/>
    <w:rsid w:val="4FB4321E"/>
    <w:rsid w:val="4FF625BD"/>
    <w:rsid w:val="50034FBA"/>
    <w:rsid w:val="50067A26"/>
    <w:rsid w:val="50B044CF"/>
    <w:rsid w:val="50F47A0B"/>
    <w:rsid w:val="513368EC"/>
    <w:rsid w:val="51477D68"/>
    <w:rsid w:val="51551D75"/>
    <w:rsid w:val="518656A6"/>
    <w:rsid w:val="51955765"/>
    <w:rsid w:val="51C105F9"/>
    <w:rsid w:val="51C94C21"/>
    <w:rsid w:val="51F4319F"/>
    <w:rsid w:val="51F872B4"/>
    <w:rsid w:val="52075749"/>
    <w:rsid w:val="524C24BC"/>
    <w:rsid w:val="526A759C"/>
    <w:rsid w:val="529D5C8E"/>
    <w:rsid w:val="52C35822"/>
    <w:rsid w:val="530C1B08"/>
    <w:rsid w:val="5320688E"/>
    <w:rsid w:val="535E1C4A"/>
    <w:rsid w:val="537233AA"/>
    <w:rsid w:val="53A41EEB"/>
    <w:rsid w:val="53AA427E"/>
    <w:rsid w:val="53B742B9"/>
    <w:rsid w:val="53EE4452"/>
    <w:rsid w:val="54065CB8"/>
    <w:rsid w:val="542720D3"/>
    <w:rsid w:val="54613836"/>
    <w:rsid w:val="546B0211"/>
    <w:rsid w:val="546E1CC1"/>
    <w:rsid w:val="548B08B3"/>
    <w:rsid w:val="550765AD"/>
    <w:rsid w:val="5533721F"/>
    <w:rsid w:val="553538A2"/>
    <w:rsid w:val="55421174"/>
    <w:rsid w:val="555C38D4"/>
    <w:rsid w:val="55874323"/>
    <w:rsid w:val="55A44EAB"/>
    <w:rsid w:val="55C20305"/>
    <w:rsid w:val="55E81A73"/>
    <w:rsid w:val="56180EB4"/>
    <w:rsid w:val="56446F6C"/>
    <w:rsid w:val="56466CFB"/>
    <w:rsid w:val="565D55F9"/>
    <w:rsid w:val="5668109E"/>
    <w:rsid w:val="567F0E22"/>
    <w:rsid w:val="568430D7"/>
    <w:rsid w:val="56F72230"/>
    <w:rsid w:val="56FB2237"/>
    <w:rsid w:val="573D4A5D"/>
    <w:rsid w:val="57563EB4"/>
    <w:rsid w:val="579664CC"/>
    <w:rsid w:val="57A275F8"/>
    <w:rsid w:val="57AB0DA5"/>
    <w:rsid w:val="57DD4F82"/>
    <w:rsid w:val="57EB29F2"/>
    <w:rsid w:val="57F64A30"/>
    <w:rsid w:val="57F70204"/>
    <w:rsid w:val="583008DF"/>
    <w:rsid w:val="587B2BC7"/>
    <w:rsid w:val="58911275"/>
    <w:rsid w:val="58B3282B"/>
    <w:rsid w:val="58CF4866"/>
    <w:rsid w:val="59133F81"/>
    <w:rsid w:val="594828CF"/>
    <w:rsid w:val="5975743C"/>
    <w:rsid w:val="59A02B41"/>
    <w:rsid w:val="59A907B7"/>
    <w:rsid w:val="59EF3692"/>
    <w:rsid w:val="5A227C02"/>
    <w:rsid w:val="5A8A7C62"/>
    <w:rsid w:val="5A991F91"/>
    <w:rsid w:val="5AAB0B54"/>
    <w:rsid w:val="5AC96837"/>
    <w:rsid w:val="5AF05E01"/>
    <w:rsid w:val="5B046DCF"/>
    <w:rsid w:val="5B1939D9"/>
    <w:rsid w:val="5B244EB1"/>
    <w:rsid w:val="5B600C6F"/>
    <w:rsid w:val="5B7A5691"/>
    <w:rsid w:val="5B863B83"/>
    <w:rsid w:val="5B9A4E6A"/>
    <w:rsid w:val="5BDA6742"/>
    <w:rsid w:val="5BE4351B"/>
    <w:rsid w:val="5C0B5E1C"/>
    <w:rsid w:val="5C5771DC"/>
    <w:rsid w:val="5C7C6623"/>
    <w:rsid w:val="5CB62246"/>
    <w:rsid w:val="5CF21854"/>
    <w:rsid w:val="5D1217CA"/>
    <w:rsid w:val="5D3D7004"/>
    <w:rsid w:val="5D8F1ECE"/>
    <w:rsid w:val="5D8F31C2"/>
    <w:rsid w:val="5DCE15B8"/>
    <w:rsid w:val="5DD05414"/>
    <w:rsid w:val="5E0B7922"/>
    <w:rsid w:val="5E1324F6"/>
    <w:rsid w:val="5E5B30A5"/>
    <w:rsid w:val="5E766130"/>
    <w:rsid w:val="5E856502"/>
    <w:rsid w:val="5E8F1FB8"/>
    <w:rsid w:val="5EBC649C"/>
    <w:rsid w:val="5EC93B52"/>
    <w:rsid w:val="5EE4550A"/>
    <w:rsid w:val="5F36141C"/>
    <w:rsid w:val="5F577D10"/>
    <w:rsid w:val="5F6340B0"/>
    <w:rsid w:val="5F963B95"/>
    <w:rsid w:val="5FA62A45"/>
    <w:rsid w:val="5FE20D54"/>
    <w:rsid w:val="5FFB5969"/>
    <w:rsid w:val="6020520C"/>
    <w:rsid w:val="60453A0D"/>
    <w:rsid w:val="608A299F"/>
    <w:rsid w:val="60A0523E"/>
    <w:rsid w:val="60B57D15"/>
    <w:rsid w:val="60E43825"/>
    <w:rsid w:val="60EE6C94"/>
    <w:rsid w:val="61073D37"/>
    <w:rsid w:val="610C0686"/>
    <w:rsid w:val="61244523"/>
    <w:rsid w:val="614D49BB"/>
    <w:rsid w:val="6153376C"/>
    <w:rsid w:val="617E77D6"/>
    <w:rsid w:val="61AA0BE8"/>
    <w:rsid w:val="61AF5154"/>
    <w:rsid w:val="6286291E"/>
    <w:rsid w:val="628726BA"/>
    <w:rsid w:val="628F33F4"/>
    <w:rsid w:val="62A2324F"/>
    <w:rsid w:val="62B706C7"/>
    <w:rsid w:val="62CE653B"/>
    <w:rsid w:val="63012912"/>
    <w:rsid w:val="63316ACA"/>
    <w:rsid w:val="634E1FB8"/>
    <w:rsid w:val="636B6C93"/>
    <w:rsid w:val="637B4714"/>
    <w:rsid w:val="63B81330"/>
    <w:rsid w:val="640912D0"/>
    <w:rsid w:val="646D0802"/>
    <w:rsid w:val="64B7741C"/>
    <w:rsid w:val="64EF4547"/>
    <w:rsid w:val="64F53A18"/>
    <w:rsid w:val="65343DE0"/>
    <w:rsid w:val="6569254B"/>
    <w:rsid w:val="657247A0"/>
    <w:rsid w:val="65C326DF"/>
    <w:rsid w:val="65C459D3"/>
    <w:rsid w:val="66103D73"/>
    <w:rsid w:val="66160B30"/>
    <w:rsid w:val="6635242D"/>
    <w:rsid w:val="66354A86"/>
    <w:rsid w:val="663C11D8"/>
    <w:rsid w:val="663C1604"/>
    <w:rsid w:val="668062FC"/>
    <w:rsid w:val="66821CF9"/>
    <w:rsid w:val="66AA5B84"/>
    <w:rsid w:val="66BC4927"/>
    <w:rsid w:val="66C80737"/>
    <w:rsid w:val="66DF7335"/>
    <w:rsid w:val="66FA215B"/>
    <w:rsid w:val="67132B98"/>
    <w:rsid w:val="671A2F6C"/>
    <w:rsid w:val="6798320E"/>
    <w:rsid w:val="67A1534C"/>
    <w:rsid w:val="67B17D2B"/>
    <w:rsid w:val="67CC136F"/>
    <w:rsid w:val="67CD7156"/>
    <w:rsid w:val="67F87BB6"/>
    <w:rsid w:val="680B58AB"/>
    <w:rsid w:val="680D4692"/>
    <w:rsid w:val="682159F0"/>
    <w:rsid w:val="685459C4"/>
    <w:rsid w:val="68645F97"/>
    <w:rsid w:val="68793FCA"/>
    <w:rsid w:val="68AE0222"/>
    <w:rsid w:val="68D34E91"/>
    <w:rsid w:val="68DB7F4E"/>
    <w:rsid w:val="690B6C28"/>
    <w:rsid w:val="693615C1"/>
    <w:rsid w:val="69726A55"/>
    <w:rsid w:val="697F530A"/>
    <w:rsid w:val="698850CA"/>
    <w:rsid w:val="699B063E"/>
    <w:rsid w:val="69B22968"/>
    <w:rsid w:val="69B55FD4"/>
    <w:rsid w:val="6A0942FC"/>
    <w:rsid w:val="6A0C66BF"/>
    <w:rsid w:val="6A184F47"/>
    <w:rsid w:val="6A3E1DE9"/>
    <w:rsid w:val="6A42336B"/>
    <w:rsid w:val="6A786D8C"/>
    <w:rsid w:val="6ADC25E1"/>
    <w:rsid w:val="6AEC13C1"/>
    <w:rsid w:val="6AEC76D4"/>
    <w:rsid w:val="6AF6662F"/>
    <w:rsid w:val="6B4D0219"/>
    <w:rsid w:val="6B5425AD"/>
    <w:rsid w:val="6B574BF4"/>
    <w:rsid w:val="6B5F5FD1"/>
    <w:rsid w:val="6B601D3B"/>
    <w:rsid w:val="6B6327F6"/>
    <w:rsid w:val="6B65142C"/>
    <w:rsid w:val="6BA37E39"/>
    <w:rsid w:val="6BB16C12"/>
    <w:rsid w:val="6BD116D9"/>
    <w:rsid w:val="6C0703C8"/>
    <w:rsid w:val="6C783074"/>
    <w:rsid w:val="6C8B2DA7"/>
    <w:rsid w:val="6CA675F8"/>
    <w:rsid w:val="6CB565B3"/>
    <w:rsid w:val="6CB70040"/>
    <w:rsid w:val="6CBF6EF4"/>
    <w:rsid w:val="6CC22541"/>
    <w:rsid w:val="6CC67CC3"/>
    <w:rsid w:val="6CCA77E4"/>
    <w:rsid w:val="6CD55DBF"/>
    <w:rsid w:val="6CE24195"/>
    <w:rsid w:val="6CE842B7"/>
    <w:rsid w:val="6D00196C"/>
    <w:rsid w:val="6D0D7C60"/>
    <w:rsid w:val="6D184DC4"/>
    <w:rsid w:val="6D2A2395"/>
    <w:rsid w:val="6D6E61A7"/>
    <w:rsid w:val="6DBC51E2"/>
    <w:rsid w:val="6DE44010"/>
    <w:rsid w:val="6DEE1649"/>
    <w:rsid w:val="6E364F94"/>
    <w:rsid w:val="6EAD5EC4"/>
    <w:rsid w:val="6EE40EB5"/>
    <w:rsid w:val="6F016288"/>
    <w:rsid w:val="6F164DD9"/>
    <w:rsid w:val="6F166F4A"/>
    <w:rsid w:val="6F18352C"/>
    <w:rsid w:val="6F2F210F"/>
    <w:rsid w:val="6F56551F"/>
    <w:rsid w:val="6F5E4972"/>
    <w:rsid w:val="6FA843BB"/>
    <w:rsid w:val="6FBF2D82"/>
    <w:rsid w:val="6FD221F0"/>
    <w:rsid w:val="7012670B"/>
    <w:rsid w:val="701267C9"/>
    <w:rsid w:val="70330644"/>
    <w:rsid w:val="70756D77"/>
    <w:rsid w:val="7080520C"/>
    <w:rsid w:val="70DD7A9D"/>
    <w:rsid w:val="7101329C"/>
    <w:rsid w:val="711456B4"/>
    <w:rsid w:val="711C4FBD"/>
    <w:rsid w:val="71381023"/>
    <w:rsid w:val="71593474"/>
    <w:rsid w:val="718801FD"/>
    <w:rsid w:val="71C22190"/>
    <w:rsid w:val="71CF18CE"/>
    <w:rsid w:val="720262D4"/>
    <w:rsid w:val="726C71D7"/>
    <w:rsid w:val="727953E3"/>
    <w:rsid w:val="72D948CC"/>
    <w:rsid w:val="73104D96"/>
    <w:rsid w:val="73354B9C"/>
    <w:rsid w:val="73387EC0"/>
    <w:rsid w:val="73393E4E"/>
    <w:rsid w:val="735A34D3"/>
    <w:rsid w:val="73601522"/>
    <w:rsid w:val="737F2F3A"/>
    <w:rsid w:val="73854EF4"/>
    <w:rsid w:val="738F7621"/>
    <w:rsid w:val="73EA666A"/>
    <w:rsid w:val="73FD53D5"/>
    <w:rsid w:val="740D50D2"/>
    <w:rsid w:val="742D2854"/>
    <w:rsid w:val="746C3BA2"/>
    <w:rsid w:val="7479348D"/>
    <w:rsid w:val="7483764E"/>
    <w:rsid w:val="74842EFD"/>
    <w:rsid w:val="748E5AA5"/>
    <w:rsid w:val="74B142F1"/>
    <w:rsid w:val="74EA2BF3"/>
    <w:rsid w:val="74EA5A04"/>
    <w:rsid w:val="75020BE3"/>
    <w:rsid w:val="750740F3"/>
    <w:rsid w:val="754C14DB"/>
    <w:rsid w:val="7567769F"/>
    <w:rsid w:val="756D6306"/>
    <w:rsid w:val="758051DE"/>
    <w:rsid w:val="758B30EE"/>
    <w:rsid w:val="758D1184"/>
    <w:rsid w:val="75A03D67"/>
    <w:rsid w:val="75BD30D1"/>
    <w:rsid w:val="75C8506C"/>
    <w:rsid w:val="75EF6B1F"/>
    <w:rsid w:val="75F406CA"/>
    <w:rsid w:val="76273FDD"/>
    <w:rsid w:val="7633519A"/>
    <w:rsid w:val="763B55AB"/>
    <w:rsid w:val="764E2556"/>
    <w:rsid w:val="76960CC6"/>
    <w:rsid w:val="769A48E2"/>
    <w:rsid w:val="76DB492B"/>
    <w:rsid w:val="76DF2562"/>
    <w:rsid w:val="76F459ED"/>
    <w:rsid w:val="77277B70"/>
    <w:rsid w:val="772C1565"/>
    <w:rsid w:val="7748215F"/>
    <w:rsid w:val="77693BAF"/>
    <w:rsid w:val="776B20CD"/>
    <w:rsid w:val="777D6260"/>
    <w:rsid w:val="7790430F"/>
    <w:rsid w:val="78215C39"/>
    <w:rsid w:val="782A0928"/>
    <w:rsid w:val="784D0730"/>
    <w:rsid w:val="787D0AB1"/>
    <w:rsid w:val="78CF04BF"/>
    <w:rsid w:val="78E57CE3"/>
    <w:rsid w:val="79165DCC"/>
    <w:rsid w:val="792B1718"/>
    <w:rsid w:val="798300E6"/>
    <w:rsid w:val="799E2066"/>
    <w:rsid w:val="79A36298"/>
    <w:rsid w:val="79CC129B"/>
    <w:rsid w:val="7A461F6A"/>
    <w:rsid w:val="7A756E44"/>
    <w:rsid w:val="7A9529FB"/>
    <w:rsid w:val="7AA6067E"/>
    <w:rsid w:val="7AAD55AE"/>
    <w:rsid w:val="7AB63E59"/>
    <w:rsid w:val="7ABB1638"/>
    <w:rsid w:val="7AEB4950"/>
    <w:rsid w:val="7B017D5F"/>
    <w:rsid w:val="7B6A7B36"/>
    <w:rsid w:val="7B82584B"/>
    <w:rsid w:val="7B8E4662"/>
    <w:rsid w:val="7BAE260E"/>
    <w:rsid w:val="7BE65803"/>
    <w:rsid w:val="7BFA5853"/>
    <w:rsid w:val="7C2428D0"/>
    <w:rsid w:val="7C653EF3"/>
    <w:rsid w:val="7C6B7F1F"/>
    <w:rsid w:val="7C8D1E2F"/>
    <w:rsid w:val="7CB45785"/>
    <w:rsid w:val="7CCE22DA"/>
    <w:rsid w:val="7CD10CAA"/>
    <w:rsid w:val="7CE75DB4"/>
    <w:rsid w:val="7D1275F9"/>
    <w:rsid w:val="7D1B5538"/>
    <w:rsid w:val="7D2D2FA8"/>
    <w:rsid w:val="7D7816F0"/>
    <w:rsid w:val="7D814B58"/>
    <w:rsid w:val="7DB45E71"/>
    <w:rsid w:val="7DE47D98"/>
    <w:rsid w:val="7DF30B59"/>
    <w:rsid w:val="7E525EA6"/>
    <w:rsid w:val="7E7D02A1"/>
    <w:rsid w:val="7EBB34BE"/>
    <w:rsid w:val="7EBD4CBE"/>
    <w:rsid w:val="7ED06A9B"/>
    <w:rsid w:val="7ED76320"/>
    <w:rsid w:val="7EE57D3C"/>
    <w:rsid w:val="7F1629A4"/>
    <w:rsid w:val="7F2D1C7C"/>
    <w:rsid w:val="7F327594"/>
    <w:rsid w:val="7F3564AC"/>
    <w:rsid w:val="7F376FF3"/>
    <w:rsid w:val="7F3B065C"/>
    <w:rsid w:val="7F403EC5"/>
    <w:rsid w:val="7F6E24A2"/>
    <w:rsid w:val="7FB04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kern w:val="0"/>
      <w:sz w:val="30"/>
      <w:szCs w:val="20"/>
    </w:rPr>
  </w:style>
  <w:style w:type="paragraph" w:styleId="4">
    <w:name w:val="heading 3"/>
    <w:basedOn w:val="1"/>
    <w:next w:val="1"/>
    <w:qFormat/>
    <w:uiPriority w:val="0"/>
    <w:pPr>
      <w:spacing w:before="360" w:after="120"/>
      <w:jc w:val="left"/>
      <w:outlineLvl w:val="2"/>
    </w:pPr>
    <w:rPr>
      <w:rFonts w:ascii="宋体" w:hAnsi="Times New Roman" w:eastAsia="宋体"/>
      <w:b/>
      <w:sz w:val="24"/>
      <w:u w:val="single"/>
    </w:rPr>
  </w:style>
  <w:style w:type="paragraph" w:styleId="5">
    <w:name w:val="heading 4"/>
    <w:basedOn w:val="1"/>
    <w:next w:val="1"/>
    <w:qFormat/>
    <w:uiPriority w:val="0"/>
    <w:pPr>
      <w:keepNext/>
      <w:keepLines/>
      <w:spacing w:before="280" w:after="290" w:line="374" w:lineRule="auto"/>
      <w:ind w:left="1296" w:hanging="1296"/>
      <w:jc w:val="left"/>
      <w:outlineLvl w:val="3"/>
    </w:pPr>
    <w:rPr>
      <w:rFonts w:ascii="Cambria" w:hAnsi="Cambria" w:eastAsia="黑体"/>
      <w:bCs/>
      <w:kern w:val="0"/>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7">
    <w:name w:val="index 5"/>
    <w:basedOn w:val="1"/>
    <w:next w:val="1"/>
    <w:qFormat/>
    <w:uiPriority w:val="0"/>
    <w:pPr>
      <w:ind w:left="800" w:leftChars="800"/>
    </w:pPr>
    <w:rPr>
      <w:szCs w:val="20"/>
      <w:lang w:bidi="he-IL"/>
    </w:rPr>
  </w:style>
  <w:style w:type="paragraph" w:styleId="8">
    <w:name w:val="toa heading"/>
    <w:basedOn w:val="1"/>
    <w:next w:val="1"/>
    <w:qFormat/>
    <w:uiPriority w:val="0"/>
    <w:pPr>
      <w:spacing w:before="120"/>
    </w:pPr>
    <w:rPr>
      <w:rFonts w:ascii="Cambria" w:hAnsi="Cambria"/>
      <w:sz w:val="24"/>
      <w:szCs w:val="24"/>
    </w:rPr>
  </w:style>
  <w:style w:type="paragraph" w:styleId="9">
    <w:name w:val="Body Text"/>
    <w:basedOn w:val="1"/>
    <w:next w:val="1"/>
    <w:qFormat/>
    <w:uiPriority w:val="0"/>
    <w:pPr>
      <w:tabs>
        <w:tab w:val="left" w:pos="567"/>
      </w:tabs>
      <w:spacing w:before="120" w:line="22" w:lineRule="atLeast"/>
    </w:pPr>
    <w:rPr>
      <w:rFonts w:ascii="宋体" w:hAnsi="宋体"/>
      <w:sz w:val="24"/>
    </w:rPr>
  </w:style>
  <w:style w:type="paragraph" w:styleId="10">
    <w:name w:val="Body Text Indent"/>
    <w:basedOn w:val="1"/>
    <w:next w:val="1"/>
    <w:qFormat/>
    <w:uiPriority w:val="0"/>
    <w:pPr>
      <w:spacing w:line="360" w:lineRule="auto"/>
      <w:ind w:firstLine="570"/>
    </w:pPr>
    <w:rPr>
      <w:sz w:val="24"/>
    </w:rPr>
  </w:style>
  <w:style w:type="paragraph" w:styleId="11">
    <w:name w:val="Plain Text"/>
    <w:basedOn w:val="1"/>
    <w:next w:val="6"/>
    <w:qFormat/>
    <w:uiPriority w:val="0"/>
    <w:rPr>
      <w:rFonts w:ascii="宋体" w:hAnsi="Courier New"/>
      <w:szCs w:val="20"/>
    </w:rPr>
  </w:style>
  <w:style w:type="paragraph" w:styleId="12">
    <w:name w:val="Date"/>
    <w:basedOn w:val="1"/>
    <w:next w:val="1"/>
    <w:qFormat/>
    <w:uiPriority w:val="0"/>
    <w:rPr>
      <w:color w:val="000000"/>
      <w:kern w:val="0"/>
      <w:sz w:val="30"/>
    </w:rPr>
  </w:style>
  <w:style w:type="paragraph" w:styleId="13">
    <w:name w:val="footer"/>
    <w:basedOn w:val="1"/>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footnote text"/>
    <w:basedOn w:val="1"/>
    <w:next w:val="9"/>
    <w:qFormat/>
    <w:uiPriority w:val="0"/>
    <w:pPr>
      <w:snapToGrid w:val="0"/>
      <w:jc w:val="left"/>
    </w:pPr>
    <w:rPr>
      <w:rFonts w:ascii="Times New Roman" w:hAnsi="Times New Roman" w:eastAsia="宋体" w:cs="Times New Roman"/>
      <w:sz w:val="18"/>
    </w:rPr>
  </w:style>
  <w:style w:type="paragraph" w:styleId="17">
    <w:name w:val="toc 6"/>
    <w:basedOn w:val="1"/>
    <w:next w:val="1"/>
    <w:unhideWhenUsed/>
    <w:qFormat/>
    <w:uiPriority w:val="39"/>
    <w:pPr>
      <w:ind w:left="1050"/>
      <w:jc w:val="left"/>
    </w:pPr>
    <w:rPr>
      <w:rFonts w:ascii="Calibri" w:hAnsi="Calibri"/>
      <w:sz w:val="18"/>
      <w:szCs w:val="18"/>
    </w:rPr>
  </w:style>
  <w:style w:type="paragraph" w:styleId="18">
    <w:name w:val="index 7"/>
    <w:basedOn w:val="1"/>
    <w:next w:val="1"/>
    <w:qFormat/>
    <w:uiPriority w:val="0"/>
    <w:pPr>
      <w:ind w:left="2520"/>
    </w:pPr>
  </w:style>
  <w:style w:type="paragraph" w:styleId="19">
    <w:name w:val="toc 2"/>
    <w:basedOn w:val="1"/>
    <w:next w:val="1"/>
    <w:qFormat/>
    <w:uiPriority w:val="0"/>
    <w:pPr>
      <w:ind w:left="420" w:leftChars="200"/>
    </w:pPr>
  </w:style>
  <w:style w:type="paragraph" w:styleId="20">
    <w:name w:val="Normal (Web)"/>
    <w:basedOn w:val="1"/>
    <w:qFormat/>
    <w:uiPriority w:val="0"/>
    <w:pPr>
      <w:spacing w:before="100" w:beforeAutospacing="1" w:after="100" w:afterAutospacing="1"/>
      <w:jc w:val="left"/>
    </w:pPr>
    <w:rPr>
      <w:rFonts w:ascii="Calibri" w:hAnsi="Calibri"/>
      <w:kern w:val="0"/>
      <w:sz w:val="24"/>
    </w:rPr>
  </w:style>
  <w:style w:type="paragraph" w:styleId="21">
    <w:name w:val="Title"/>
    <w:basedOn w:val="1"/>
    <w:next w:val="1"/>
    <w:qFormat/>
    <w:uiPriority w:val="10"/>
    <w:pPr>
      <w:jc w:val="center"/>
      <w:outlineLvl w:val="0"/>
    </w:pPr>
    <w:rPr>
      <w:rFonts w:ascii="Cambria" w:hAnsi="Cambria"/>
      <w:b/>
      <w:bCs/>
      <w:kern w:val="28"/>
      <w:szCs w:val="32"/>
    </w:rPr>
  </w:style>
  <w:style w:type="paragraph" w:styleId="22">
    <w:name w:val="Body Text First Indent"/>
    <w:basedOn w:val="9"/>
    <w:next w:val="17"/>
    <w:qFormat/>
    <w:uiPriority w:val="0"/>
    <w:pPr>
      <w:spacing w:after="120" w:line="240" w:lineRule="auto"/>
      <w:ind w:firstLine="420" w:firstLineChars="100"/>
    </w:pPr>
    <w:rPr>
      <w:rFonts w:hAnsi="Calibri"/>
      <w:sz w:val="21"/>
      <w:szCs w:val="24"/>
    </w:rPr>
  </w:style>
  <w:style w:type="paragraph" w:styleId="23">
    <w:name w:val="Body Text First Indent 2"/>
    <w:basedOn w:val="10"/>
    <w:qFormat/>
    <w:uiPriority w:val="0"/>
    <w:pPr>
      <w:ind w:firstLine="420" w:firstLineChars="200"/>
    </w:pPr>
    <w:rPr>
      <w:rFonts w:ascii="Times New Roman" w:hAnsi="Times New Roman" w:eastAsia="宋体" w:cs="Times New Roman"/>
      <w:szCs w:val="24"/>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page number"/>
    <w:basedOn w:val="29"/>
    <w:qFormat/>
    <w:uiPriority w:val="0"/>
    <w:rPr>
      <w:rFonts w:ascii="Times New Roman" w:hAnsi="Times New Roman" w:eastAsia="宋体" w:cs="Times New Roman"/>
    </w:rPr>
  </w:style>
  <w:style w:type="character" w:customStyle="1" w:styleId="29">
    <w:name w:val="默认段落字体1"/>
    <w:qFormat/>
    <w:uiPriority w:val="0"/>
  </w:style>
  <w:style w:type="character" w:styleId="30">
    <w:name w:val="Hyperlink"/>
    <w:basedOn w:val="26"/>
    <w:qFormat/>
    <w:uiPriority w:val="0"/>
    <w:rPr>
      <w:color w:val="0000FF"/>
      <w:u w:val="single"/>
    </w:rPr>
  </w:style>
  <w:style w:type="character" w:styleId="31">
    <w:name w:val="HTML Sample"/>
    <w:basedOn w:val="26"/>
    <w:qFormat/>
    <w:uiPriority w:val="0"/>
    <w:rPr>
      <w:rFonts w:ascii="Courier New" w:hAnsi="Courier New"/>
    </w:rPr>
  </w:style>
  <w:style w:type="paragraph" w:customStyle="1" w:styleId="32">
    <w:name w:val="Default"/>
    <w:next w:val="18"/>
    <w:qFormat/>
    <w:uiPriority w:val="0"/>
    <w:pPr>
      <w:widowControl w:val="0"/>
      <w:autoSpaceDE w:val="0"/>
      <w:autoSpaceDN w:val="0"/>
    </w:pPr>
    <w:rPr>
      <w:rFonts w:ascii="宋体" w:hAnsi="Times New Roman" w:eastAsia="宋体" w:cs="宋体"/>
      <w:color w:val="000000"/>
      <w:sz w:val="24"/>
      <w:szCs w:val="24"/>
      <w:lang w:val="en-US" w:eastAsia="zh-CN" w:bidi="ar-SA"/>
    </w:rPr>
  </w:style>
  <w:style w:type="character" w:customStyle="1" w:styleId="33">
    <w:name w:val="标题 1 字符"/>
    <w:link w:val="2"/>
    <w:qFormat/>
    <w:uiPriority w:val="0"/>
    <w:rPr>
      <w:rFonts w:ascii="宋体" w:hAnsi="Times New Roman" w:eastAsia="宋体" w:cs="Times New Roman"/>
      <w:b/>
      <w:kern w:val="44"/>
      <w:sz w:val="32"/>
      <w:szCs w:val="20"/>
    </w:rPr>
  </w:style>
  <w:style w:type="paragraph" w:customStyle="1" w:styleId="34">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35">
    <w:name w:val="索引 11"/>
    <w:basedOn w:val="1"/>
    <w:next w:val="1"/>
    <w:qFormat/>
    <w:uiPriority w:val="0"/>
    <w:pPr>
      <w:spacing w:line="360" w:lineRule="auto"/>
    </w:pPr>
    <w:rPr>
      <w:rFonts w:ascii="仿宋_GB2312" w:eastAsia="仿宋_GB2312"/>
      <w:sz w:val="24"/>
      <w:szCs w:val="20"/>
    </w:rPr>
  </w:style>
  <w:style w:type="paragraph" w:customStyle="1" w:styleId="36">
    <w:name w:val="纯文本1"/>
    <w:basedOn w:val="1"/>
    <w:qFormat/>
    <w:uiPriority w:val="0"/>
    <w:rPr>
      <w:rFonts w:ascii="宋体" w:hAnsi="Courier New"/>
      <w:kern w:val="0"/>
      <w:sz w:val="20"/>
      <w:szCs w:val="20"/>
    </w:rPr>
  </w:style>
  <w:style w:type="character" w:customStyle="1" w:styleId="37">
    <w:name w:val="NormalCharacter"/>
    <w:link w:val="1"/>
    <w:qFormat/>
    <w:uiPriority w:val="0"/>
    <w:rPr>
      <w:rFonts w:ascii="Times New Roman" w:hAnsi="Times New Roman" w:eastAsia="宋体" w:cs="Times New Roman"/>
      <w:kern w:val="2"/>
      <w:sz w:val="21"/>
      <w:szCs w:val="24"/>
      <w:lang w:val="en-US" w:eastAsia="zh-CN" w:bidi="ar-SA"/>
    </w:rPr>
  </w:style>
  <w:style w:type="paragraph" w:customStyle="1" w:styleId="38">
    <w:name w:val="UserStyle_44"/>
    <w:basedOn w:val="1"/>
    <w:qFormat/>
    <w:uiPriority w:val="0"/>
    <w:pPr>
      <w:spacing w:before="120" w:after="120" w:line="360" w:lineRule="auto"/>
      <w:jc w:val="center"/>
    </w:pPr>
    <w:rPr>
      <w:rFonts w:eastAsia="仿宋_GB2312"/>
      <w:b/>
      <w:sz w:val="24"/>
    </w:rPr>
  </w:style>
  <w:style w:type="paragraph" w:customStyle="1" w:styleId="39">
    <w:name w:val="NormalIndent"/>
    <w:basedOn w:val="1"/>
    <w:qFormat/>
    <w:uiPriority w:val="0"/>
    <w:pPr>
      <w:ind w:firstLine="420"/>
      <w:jc w:val="left"/>
    </w:pPr>
    <w:rPr>
      <w:rFonts w:ascii="宋体"/>
      <w:kern w:val="0"/>
      <w:sz w:val="24"/>
      <w:szCs w:val="20"/>
    </w:rPr>
  </w:style>
  <w:style w:type="paragraph" w:customStyle="1" w:styleId="40">
    <w:name w:val="图例"/>
    <w:basedOn w:val="1"/>
    <w:qFormat/>
    <w:uiPriority w:val="0"/>
    <w:pPr>
      <w:spacing w:before="120" w:beforeLines="0" w:after="120" w:afterLines="0" w:line="360" w:lineRule="auto"/>
      <w:jc w:val="center"/>
    </w:pPr>
    <w:rPr>
      <w:rFonts w:eastAsia="仿宋_GB2312"/>
      <w:b/>
      <w:sz w:val="24"/>
    </w:rPr>
  </w:style>
  <w:style w:type="character" w:customStyle="1" w:styleId="41">
    <w:name w:val="font11"/>
    <w:basedOn w:val="26"/>
    <w:qFormat/>
    <w:uiPriority w:val="0"/>
    <w:rPr>
      <w:rFonts w:hint="eastAsia" w:ascii="宋体" w:hAnsi="宋体" w:eastAsia="宋体" w:cs="宋体"/>
      <w:color w:val="FF0000"/>
      <w:sz w:val="16"/>
      <w:szCs w:val="16"/>
      <w:u w:val="none"/>
    </w:rPr>
  </w:style>
  <w:style w:type="character" w:customStyle="1" w:styleId="42">
    <w:name w:val="font21"/>
    <w:basedOn w:val="26"/>
    <w:qFormat/>
    <w:uiPriority w:val="0"/>
    <w:rPr>
      <w:rFonts w:hint="eastAsia" w:ascii="宋体" w:hAnsi="宋体" w:eastAsia="宋体" w:cs="宋体"/>
      <w:color w:val="000000"/>
      <w:sz w:val="16"/>
      <w:szCs w:val="16"/>
      <w:u w:val="none"/>
    </w:rPr>
  </w:style>
  <w:style w:type="character" w:customStyle="1" w:styleId="43">
    <w:name w:val="style23"/>
    <w:basedOn w:val="26"/>
    <w:qFormat/>
    <w:uiPriority w:val="0"/>
  </w:style>
  <w:style w:type="paragraph" w:customStyle="1" w:styleId="44">
    <w:name w:val="表格文字"/>
    <w:basedOn w:val="1"/>
    <w:qFormat/>
    <w:uiPriority w:val="0"/>
    <w:pPr>
      <w:spacing w:before="25" w:after="25"/>
      <w:jc w:val="left"/>
    </w:pPr>
    <w:rPr>
      <w:bCs/>
      <w:spacing w:val="10"/>
      <w:kern w:val="0"/>
      <w:sz w:val="24"/>
    </w:rPr>
  </w:style>
  <w:style w:type="paragraph" w:styleId="45">
    <w:name w:val="List Paragraph"/>
    <w:basedOn w:val="1"/>
    <w:qFormat/>
    <w:uiPriority w:val="34"/>
    <w:pPr>
      <w:ind w:firstLine="420" w:firstLineChars="200"/>
    </w:pPr>
  </w:style>
  <w:style w:type="paragraph" w:customStyle="1" w:styleId="46">
    <w:name w:val="Heading1"/>
    <w:basedOn w:val="1"/>
    <w:next w:val="1"/>
    <w:qFormat/>
    <w:uiPriority w:val="0"/>
    <w:pPr>
      <w:keepNext/>
      <w:numPr>
        <w:ilvl w:val="0"/>
        <w:numId w:val="1"/>
      </w:numPr>
      <w:spacing w:before="240" w:after="60"/>
      <w:ind w:left="100" w:firstLine="0"/>
      <w:contextualSpacing/>
      <w:jc w:val="left"/>
    </w:pPr>
    <w:rPr>
      <w:rFonts w:ascii="Cambria" w:hAnsi="Cambria" w:eastAsia="宋体" w:cs="Times New Roman"/>
      <w:bCs/>
      <w:iCs/>
      <w:kern w:val="32"/>
      <w:sz w:val="24"/>
      <w:szCs w:val="32"/>
      <w:lang w:eastAsia="en-US"/>
    </w:rPr>
  </w:style>
  <w:style w:type="paragraph" w:customStyle="1" w:styleId="47">
    <w:name w:val="UserStyle_15"/>
    <w:basedOn w:val="48"/>
    <w:qFormat/>
    <w:uiPriority w:val="0"/>
    <w:pPr>
      <w:spacing w:before="100" w:beforeAutospacing="1" w:after="100" w:afterAutospacing="1"/>
      <w:ind w:right="100" w:rightChars="100"/>
    </w:pPr>
    <w:rPr>
      <w:sz w:val="21"/>
    </w:rPr>
  </w:style>
  <w:style w:type="paragraph" w:customStyle="1" w:styleId="48">
    <w:name w:val="Heading2"/>
    <w:basedOn w:val="1"/>
    <w:next w:val="1"/>
    <w:qFormat/>
    <w:uiPriority w:val="0"/>
    <w:pPr>
      <w:keepNext/>
      <w:numPr>
        <w:ilvl w:val="1"/>
        <w:numId w:val="1"/>
      </w:numPr>
      <w:spacing w:before="240" w:after="60"/>
      <w:jc w:val="left"/>
    </w:pPr>
    <w:rPr>
      <w:rFonts w:ascii="Cambria" w:hAnsi="Cambria" w:eastAsia="宋体" w:cs="Times New Roman"/>
      <w:b/>
      <w:bCs/>
      <w:i/>
      <w:iCs/>
      <w:kern w:val="0"/>
      <w:sz w:val="28"/>
      <w:szCs w:val="28"/>
      <w:lang w:eastAsia="en-US"/>
    </w:rPr>
  </w:style>
  <w:style w:type="paragraph" w:customStyle="1" w:styleId="49">
    <w:name w:val="列出段落1"/>
    <w:basedOn w:val="1"/>
    <w:qFormat/>
    <w:uiPriority w:val="34"/>
    <w:pPr>
      <w:ind w:firstLine="420" w:firstLineChars="200"/>
    </w:pPr>
  </w:style>
  <w:style w:type="paragraph" w:customStyle="1" w:styleId="50">
    <w:name w:val="章标题"/>
    <w:next w:val="1"/>
    <w:qFormat/>
    <w:uiPriority w:val="0"/>
    <w:pPr>
      <w:spacing w:before="156" w:beforeLines="50" w:after="156" w:afterLines="50"/>
      <w:jc w:val="both"/>
      <w:outlineLvl w:val="1"/>
    </w:pPr>
    <w:rPr>
      <w:rFonts w:ascii="黑体" w:hAnsi="Times New Roman" w:eastAsia="黑体" w:cs="Times New Roman"/>
      <w:sz w:val="21"/>
      <w:lang w:val="en-US" w:eastAsia="zh-CN" w:bidi="ar-SA"/>
    </w:rPr>
  </w:style>
  <w:style w:type="character" w:customStyle="1" w:styleId="51">
    <w:name w:val="font31"/>
    <w:basedOn w:val="26"/>
    <w:qFormat/>
    <w:uiPriority w:val="0"/>
    <w:rPr>
      <w:rFonts w:hint="eastAsia" w:ascii="宋体" w:hAnsi="宋体" w:eastAsia="宋体" w:cs="宋体"/>
      <w:color w:val="000000"/>
      <w:sz w:val="24"/>
      <w:szCs w:val="24"/>
      <w:u w:val="none"/>
    </w:rPr>
  </w:style>
  <w:style w:type="paragraph" w:customStyle="1" w:styleId="52">
    <w:name w:val="_Style 1"/>
    <w:qFormat/>
    <w:uiPriority w:val="99"/>
    <w:pPr>
      <w:widowControl w:val="0"/>
      <w:ind w:firstLine="200" w:firstLineChars="200"/>
      <w:jc w:val="both"/>
    </w:pPr>
    <w:rPr>
      <w:rFonts w:ascii="Times New Roman" w:hAnsi="Times New Roman" w:eastAsia="仿宋_GB2312" w:cs="Times New Roman"/>
      <w:kern w:val="2"/>
      <w:sz w:val="24"/>
      <w:szCs w:val="22"/>
      <w:lang w:val="en-US" w:eastAsia="zh-CN" w:bidi="ar-SA"/>
    </w:rPr>
  </w:style>
  <w:style w:type="paragraph" w:customStyle="1" w:styleId="53">
    <w:name w:val="p0"/>
    <w:basedOn w:val="1"/>
    <w:qFormat/>
    <w:uiPriority w:val="0"/>
    <w:pPr>
      <w:widowControl/>
    </w:pPr>
    <w:rPr>
      <w:kern w:val="0"/>
      <w:szCs w:val="21"/>
    </w:rPr>
  </w:style>
  <w:style w:type="paragraph" w:customStyle="1" w:styleId="54">
    <w:name w:val="Normal"/>
    <w:qFormat/>
    <w:uiPriority w:val="0"/>
    <w:rPr>
      <w:rFonts w:ascii="Times New Roman" w:hAnsi="Times New Roman" w:eastAsia="Times New Roman" w:cs="Times New Roman"/>
      <w:sz w:val="24"/>
      <w:szCs w:val="24"/>
      <w:lang w:bidi="ar-SA"/>
    </w:rPr>
  </w:style>
  <w:style w:type="paragraph" w:customStyle="1" w:styleId="55">
    <w:name w:val="LO-Normal"/>
    <w:qFormat/>
    <w:uiPriority w:val="0"/>
    <w:pPr>
      <w:suppressAutoHyphens/>
    </w:pPr>
    <w:rPr>
      <w:rFonts w:ascii="Times New Roman" w:hAnsi="Times New Roman" w:eastAsia="宋体" w:cs="Times New Roman"/>
      <w:sz w:val="24"/>
      <w:szCs w:val="24"/>
      <w:lang w:val="en-US" w:eastAsia="zh-CN" w:bidi="ar-SA"/>
    </w:rPr>
  </w:style>
  <w:style w:type="paragraph" w:customStyle="1" w:styleId="56">
    <w:name w:val="Heading3"/>
    <w:basedOn w:val="1"/>
    <w:next w:val="1"/>
    <w:qFormat/>
    <w:uiPriority w:val="0"/>
    <w:pPr>
      <w:keepNext/>
      <w:keepLines/>
      <w:widowControl/>
      <w:spacing w:before="260" w:after="260" w:line="416" w:lineRule="auto"/>
      <w:textAlignment w:val="baseline"/>
    </w:pPr>
    <w:rPr>
      <w:sz w:val="32"/>
      <w:szCs w:val="32"/>
    </w:rPr>
  </w:style>
  <w:style w:type="paragraph" w:customStyle="1" w:styleId="57">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rFonts w:ascii="Times New Roman" w:hAnsi="Times New Roman"/>
      <w:sz w:val="24"/>
    </w:rPr>
  </w:style>
  <w:style w:type="table" w:customStyle="1" w:styleId="58">
    <w:name w:val="Table Normal"/>
    <w:unhideWhenUsed/>
    <w:qFormat/>
    <w:uiPriority w:val="0"/>
    <w:tblPr>
      <w:tblCellMar>
        <w:top w:w="0" w:type="dxa"/>
        <w:left w:w="0" w:type="dxa"/>
        <w:bottom w:w="0" w:type="dxa"/>
        <w:right w:w="0" w:type="dxa"/>
      </w:tblCellMar>
    </w:tblPr>
  </w:style>
  <w:style w:type="paragraph" w:customStyle="1" w:styleId="59">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92</Pages>
  <Words>14752</Words>
  <Characters>15753</Characters>
  <Lines>303</Lines>
  <Paragraphs>85</Paragraphs>
  <TotalTime>14</TotalTime>
  <ScaleCrop>false</ScaleCrop>
  <LinksUpToDate>false</LinksUpToDate>
  <CharactersWithSpaces>17338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2020-04-03T05:40:00Z</dcterms:created>
  <dc:creator>Administrator</dc:creator>
  <cp:lastModifiedBy>lenovo</cp:lastModifiedBy>
  <cp:lastPrinted>2024-09-30T02:34:00Z</cp:lastPrinted>
  <dcterms:modified xsi:type="dcterms:W3CDTF">2025-01-24T03:08:00Z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B209F23B08084106A8A4D9D34539EBBC</vt:lpwstr>
  </property>
  <property fmtid="{D5CDD505-2E9C-101B-9397-08002B2CF9AE}" pid="4" name="KSOTemplateDocerSaveRecord">
    <vt:lpwstr>eyJoZGlkIjoiNmZkN2I0MDlkOWM0ZTIwOGY2ZWYyN2IyZmYyYWU3NjcifQ==</vt:lpwstr>
  </property>
</Properties>
</file>