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D68AF6">
      <w:pPr>
        <w:rPr>
          <w:rFonts w:hint="eastAsia" w:ascii="仿宋_GB2312" w:hAnsi="仿宋_GB2312" w:eastAsia="仿宋_GB2312" w:cs="仿宋_GB2312"/>
          <w:color w:val="auto"/>
          <w:highlight w:val="none"/>
        </w:rPr>
      </w:pPr>
      <w:r>
        <w:rPr>
          <w:color w:val="auto"/>
          <w:sz w:val="21"/>
          <w:highlight w:val="none"/>
        </w:rPr>
        <mc:AlternateContent>
          <mc:Choice Requires="wps">
            <w:drawing>
              <wp:anchor distT="0" distB="0" distL="114300" distR="114300" simplePos="0" relativeHeight="251661312" behindDoc="0" locked="0" layoutInCell="1" allowOverlap="1">
                <wp:simplePos x="0" y="0"/>
                <wp:positionH relativeFrom="column">
                  <wp:posOffset>-1172845</wp:posOffset>
                </wp:positionH>
                <wp:positionV relativeFrom="paragraph">
                  <wp:posOffset>735330</wp:posOffset>
                </wp:positionV>
                <wp:extent cx="7621270" cy="1615440"/>
                <wp:effectExtent l="0" t="0" r="0" b="0"/>
                <wp:wrapNone/>
                <wp:docPr id="9" name="文本框 9"/>
                <wp:cNvGraphicFramePr/>
                <a:graphic xmlns:a="http://schemas.openxmlformats.org/drawingml/2006/main">
                  <a:graphicData uri="http://schemas.microsoft.com/office/word/2010/wordprocessingShape">
                    <wps:wsp>
                      <wps:cNvSpPr txBox="1"/>
                      <wps:spPr>
                        <a:xfrm>
                          <a:off x="0" y="0"/>
                          <a:ext cx="7621270" cy="16154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1DAFB2">
                            <w:pPr>
                              <w:spacing w:line="360" w:lineRule="auto"/>
                              <w:jc w:val="center"/>
                              <w:rPr>
                                <w:rFonts w:hint="eastAsia" w:ascii="微软雅黑" w:hAnsi="微软雅黑" w:eastAsia="微软雅黑" w:cs="微软雅黑"/>
                                <w:b/>
                                <w:bCs/>
                                <w:color w:val="237085"/>
                                <w:sz w:val="44"/>
                                <w:szCs w:val="44"/>
                                <w:lang w:val="en-US" w:eastAsia="zh-CN"/>
                              </w:rPr>
                            </w:pPr>
                            <w:r>
                              <w:rPr>
                                <w:rFonts w:hint="eastAsia" w:ascii="微软雅黑" w:hAnsi="微软雅黑" w:eastAsia="微软雅黑" w:cs="微软雅黑"/>
                                <w:b/>
                                <w:bCs/>
                                <w:color w:val="237085"/>
                                <w:sz w:val="44"/>
                                <w:szCs w:val="44"/>
                                <w:lang w:val="en-US" w:eastAsia="zh-CN"/>
                              </w:rPr>
                              <w:t>新疆农业职业大学2025年纸质图书采购</w:t>
                            </w:r>
                          </w:p>
                          <w:p w14:paraId="5A692717">
                            <w:pPr>
                              <w:spacing w:line="360" w:lineRule="auto"/>
                              <w:jc w:val="center"/>
                              <w:rPr>
                                <w:rFonts w:hint="default" w:ascii="微软雅黑" w:hAnsi="微软雅黑" w:eastAsia="微软雅黑" w:cs="微软雅黑"/>
                                <w:b/>
                                <w:bCs/>
                                <w:color w:val="237085"/>
                                <w:sz w:val="28"/>
                                <w:szCs w:val="28"/>
                                <w:lang w:val="en-US" w:eastAsia="zh-CN"/>
                              </w:rPr>
                            </w:pPr>
                            <w:r>
                              <w:rPr>
                                <w:rFonts w:hint="eastAsia" w:ascii="微软雅黑" w:hAnsi="微软雅黑" w:eastAsia="微软雅黑" w:cs="微软雅黑"/>
                                <w:b/>
                                <w:bCs/>
                                <w:color w:val="237085"/>
                                <w:sz w:val="28"/>
                                <w:szCs w:val="28"/>
                                <w:lang w:val="en-US" w:eastAsia="zh-CN"/>
                              </w:rPr>
                              <w:t>（项目编号：SJX-2025-177）</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2.35pt;margin-top:57.9pt;height:127.2pt;width:600.1pt;z-index:251661312;mso-width-relative:page;mso-height-relative:page;" filled="f" stroked="f" coordsize="21600,21600" o:gfxdata="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0egHmtwAAAANAQAADwAAAAAAAAABACAAAAAiAAAA&#10;ZHJzL2Rvd25yZXYueG1sUEsBAhQAFAAAAAgAh07iQKGzT388AgAAZwQAAA4AAAAAAAAAAQAgAAAA&#10;KwEAAGRycy9lMm9Eb2MueG1sUEsFBgAAAAAGAAYAWQEAANkFAAAAAA==&#10;">
                <v:fill on="f" focussize="0,0"/>
                <v:stroke on="f" weight="0.5pt"/>
                <v:imagedata o:title=""/>
                <o:lock v:ext="edit" aspectratio="f"/>
                <v:textbox>
                  <w:txbxContent>
                    <w:p w14:paraId="471DAFB2">
                      <w:pPr>
                        <w:spacing w:line="360" w:lineRule="auto"/>
                        <w:jc w:val="center"/>
                        <w:rPr>
                          <w:rFonts w:hint="eastAsia" w:ascii="微软雅黑" w:hAnsi="微软雅黑" w:eastAsia="微软雅黑" w:cs="微软雅黑"/>
                          <w:b/>
                          <w:bCs/>
                          <w:color w:val="237085"/>
                          <w:sz w:val="44"/>
                          <w:szCs w:val="44"/>
                          <w:lang w:val="en-US" w:eastAsia="zh-CN"/>
                        </w:rPr>
                      </w:pPr>
                      <w:r>
                        <w:rPr>
                          <w:rFonts w:hint="eastAsia" w:ascii="微软雅黑" w:hAnsi="微软雅黑" w:eastAsia="微软雅黑" w:cs="微软雅黑"/>
                          <w:b/>
                          <w:bCs/>
                          <w:color w:val="237085"/>
                          <w:sz w:val="44"/>
                          <w:szCs w:val="44"/>
                          <w:lang w:val="en-US" w:eastAsia="zh-CN"/>
                        </w:rPr>
                        <w:t>新疆农业职业大学2025年纸质图书采购</w:t>
                      </w:r>
                    </w:p>
                    <w:p w14:paraId="5A692717">
                      <w:pPr>
                        <w:spacing w:line="360" w:lineRule="auto"/>
                        <w:jc w:val="center"/>
                        <w:rPr>
                          <w:rFonts w:hint="default" w:ascii="微软雅黑" w:hAnsi="微软雅黑" w:eastAsia="微软雅黑" w:cs="微软雅黑"/>
                          <w:b/>
                          <w:bCs/>
                          <w:color w:val="237085"/>
                          <w:sz w:val="28"/>
                          <w:szCs w:val="28"/>
                          <w:lang w:val="en-US" w:eastAsia="zh-CN"/>
                        </w:rPr>
                      </w:pPr>
                      <w:r>
                        <w:rPr>
                          <w:rFonts w:hint="eastAsia" w:ascii="微软雅黑" w:hAnsi="微软雅黑" w:eastAsia="微软雅黑" w:cs="微软雅黑"/>
                          <w:b/>
                          <w:bCs/>
                          <w:color w:val="237085"/>
                          <w:sz w:val="28"/>
                          <w:szCs w:val="28"/>
                          <w:lang w:val="en-US" w:eastAsia="zh-CN"/>
                        </w:rPr>
                        <w:t>（项目编号：SJX-2025-177）</w:t>
                      </w:r>
                    </w:p>
                  </w:txbxContent>
                </v:textbox>
              </v:shape>
            </w:pict>
          </mc:Fallback>
        </mc:AlternateContent>
      </w:r>
      <w:r>
        <w:rPr>
          <w:color w:val="auto"/>
          <w:highlight w:val="none"/>
        </w:rPr>
        <w:drawing>
          <wp:anchor distT="0" distB="0" distL="114300" distR="114300" simplePos="0" relativeHeight="251660288" behindDoc="1" locked="0" layoutInCell="1" allowOverlap="1">
            <wp:simplePos x="0" y="0"/>
            <wp:positionH relativeFrom="column">
              <wp:posOffset>-1240155</wp:posOffset>
            </wp:positionH>
            <wp:positionV relativeFrom="paragraph">
              <wp:posOffset>-911225</wp:posOffset>
            </wp:positionV>
            <wp:extent cx="7769225" cy="10739755"/>
            <wp:effectExtent l="0" t="0" r="3175" b="444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7"/>
                    <a:stretch>
                      <a:fillRect/>
                    </a:stretch>
                  </pic:blipFill>
                  <pic:spPr>
                    <a:xfrm>
                      <a:off x="0" y="0"/>
                      <a:ext cx="7769225" cy="10739755"/>
                    </a:xfrm>
                    <a:prstGeom prst="rect">
                      <a:avLst/>
                    </a:prstGeom>
                    <a:noFill/>
                    <a:ln>
                      <a:noFill/>
                    </a:ln>
                  </pic:spPr>
                </pic:pic>
              </a:graphicData>
            </a:graphic>
          </wp:anchor>
        </w:drawing>
      </w:r>
    </w:p>
    <w:p w14:paraId="0FC1FE15">
      <w:pPr>
        <w:rPr>
          <w:rFonts w:hint="eastAsia" w:ascii="仿宋_GB2312" w:hAnsi="仿宋_GB2312" w:eastAsia="仿宋_GB2312" w:cs="仿宋_GB2312"/>
          <w:color w:val="auto"/>
          <w:highlight w:val="none"/>
        </w:rPr>
      </w:pPr>
    </w:p>
    <w:p w14:paraId="0DA3C477">
      <w:pPr>
        <w:jc w:val="center"/>
        <w:rPr>
          <w:rFonts w:hint="eastAsia" w:ascii="仿宋_GB2312" w:hAnsi="仿宋_GB2312" w:eastAsia="仿宋_GB2312" w:cs="仿宋_GB2312"/>
          <w:color w:val="auto"/>
          <w:sz w:val="32"/>
          <w:szCs w:val="32"/>
          <w:highlight w:val="none"/>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color w:val="auto"/>
          <w:sz w:val="21"/>
          <w:highlight w:val="none"/>
        </w:rPr>
        <mc:AlternateContent>
          <mc:Choice Requires="wps">
            <w:drawing>
              <wp:anchor distT="0" distB="0" distL="114300" distR="114300" simplePos="0" relativeHeight="251663360" behindDoc="0" locked="0" layoutInCell="1" allowOverlap="1">
                <wp:simplePos x="0" y="0"/>
                <wp:positionH relativeFrom="column">
                  <wp:posOffset>1325880</wp:posOffset>
                </wp:positionH>
                <wp:positionV relativeFrom="paragraph">
                  <wp:posOffset>3750310</wp:posOffset>
                </wp:positionV>
                <wp:extent cx="2648585" cy="99695"/>
                <wp:effectExtent l="0" t="0" r="18415" b="14605"/>
                <wp:wrapNone/>
                <wp:docPr id="3" name="矩形 3"/>
                <wp:cNvGraphicFramePr/>
                <a:graphic xmlns:a="http://schemas.openxmlformats.org/drawingml/2006/main">
                  <a:graphicData uri="http://schemas.microsoft.com/office/word/2010/wordprocessingShape">
                    <wps:wsp>
                      <wps:cNvSpPr/>
                      <wps:spPr>
                        <a:xfrm>
                          <a:off x="0" y="0"/>
                          <a:ext cx="2648585" cy="99695"/>
                        </a:xfrm>
                        <a:prstGeom prst="rect">
                          <a:avLst/>
                        </a:prstGeom>
                        <a:solidFill>
                          <a:srgbClr val="2E93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4.4pt;margin-top:295.3pt;height:7.85pt;width:208.55pt;z-index:251663360;v-text-anchor:middle;mso-width-relative:page;mso-height-relative:page;" fillcolor="#2E93B0" filled="t" stroked="f" coordsize="21600,21600" o:gfxdata="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ulyDQNkAAAALAQAADwAAAAAAAAABACAAAAAiAAAAZHJzL2Rvd25y&#10;ZXYueG1sUEsBAhQAFAAAAAgAh07iQLWhYHFvAgAAygQAAA4AAAAAAAAAAQAgAAAAKAEAAGRycy9l&#10;Mm9Eb2MueG1sUEsFBgAAAAAGAAYAWQEAAAkGAAAAAA==&#10;">
                <v:fill on="t" focussize="0,0"/>
                <v:stroke on="f" weight="1pt" miterlimit="8" joinstyle="miter"/>
                <v:imagedata o:title=""/>
                <o:lock v:ext="edit" aspectratio="f"/>
              </v:rect>
            </w:pict>
          </mc:Fallback>
        </mc:AlternateContent>
      </w:r>
      <w:r>
        <w:rPr>
          <w:color w:val="auto"/>
          <w:sz w:val="21"/>
          <w:highlight w:val="none"/>
        </w:rPr>
        <mc:AlternateContent>
          <mc:Choice Requires="wps">
            <w:drawing>
              <wp:anchor distT="0" distB="0" distL="114300" distR="114300" simplePos="0" relativeHeight="251662336" behindDoc="0" locked="0" layoutInCell="1" allowOverlap="1">
                <wp:simplePos x="0" y="0"/>
                <wp:positionH relativeFrom="column">
                  <wp:posOffset>-889000</wp:posOffset>
                </wp:positionH>
                <wp:positionV relativeFrom="paragraph">
                  <wp:posOffset>2870835</wp:posOffset>
                </wp:positionV>
                <wp:extent cx="7130415" cy="88138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8813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4C0F41">
                            <w:pPr>
                              <w:pStyle w:val="26"/>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2E93B0"/>
                                <w:sz w:val="72"/>
                                <w:szCs w:val="72"/>
                                <w:lang w:val="en-US" w:eastAsia="zh-CN"/>
                              </w:rPr>
                            </w:pPr>
                            <w:r>
                              <w:rPr>
                                <w:rFonts w:hint="eastAsia" w:ascii="微软雅黑" w:hAnsi="微软雅黑" w:eastAsia="微软雅黑" w:cs="微软雅黑"/>
                                <w:b/>
                                <w:bCs/>
                                <w:color w:val="2E93B0"/>
                                <w:sz w:val="72"/>
                                <w:szCs w:val="72"/>
                                <w:lang w:val="en-US" w:eastAsia="zh-CN"/>
                              </w:rPr>
                              <w:t>公开招标采购文件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0pt;margin-top:226.05pt;height:69.4pt;width:561.45pt;z-index:251662336;mso-width-relative:page;mso-height-relative:page;" filled="f" stroked="f" coordsize="21600,21600" o:gfxdata="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D521M33QAAAAwBAAAPAAAAAAAAAAEAIAAAACIA&#10;AABkcnMvZG93bnJldi54bWxQSwECFAAUAAAACACHTuJA867+AT0CAABoBAAADgAAAAAAAAABACAA&#10;AAAsAQAAZHJzL2Uyb0RvYy54bWxQSwUGAAAAAAYABgBZAQAA2wUAAAAA&#10;">
                <v:fill on="f" focussize="0,0"/>
                <v:stroke on="f" weight="0.5pt"/>
                <v:imagedata o:title=""/>
                <o:lock v:ext="edit" aspectratio="f"/>
                <v:textbox>
                  <w:txbxContent>
                    <w:p w14:paraId="0B4C0F41">
                      <w:pPr>
                        <w:pStyle w:val="26"/>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2E93B0"/>
                          <w:sz w:val="72"/>
                          <w:szCs w:val="72"/>
                          <w:lang w:val="en-US" w:eastAsia="zh-CN"/>
                        </w:rPr>
                      </w:pPr>
                      <w:r>
                        <w:rPr>
                          <w:rFonts w:hint="eastAsia" w:ascii="微软雅黑" w:hAnsi="微软雅黑" w:eastAsia="微软雅黑" w:cs="微软雅黑"/>
                          <w:b/>
                          <w:bCs/>
                          <w:color w:val="2E93B0"/>
                          <w:sz w:val="72"/>
                          <w:szCs w:val="72"/>
                          <w:lang w:val="en-US" w:eastAsia="zh-CN"/>
                        </w:rPr>
                        <w:t>公开招标采购文件</w:t>
                      </w:r>
                    </w:p>
                  </w:txbxContent>
                </v:textbox>
              </v:shape>
            </w:pict>
          </mc:Fallback>
        </mc:AlternateContent>
      </w:r>
      <w:r>
        <w:rPr>
          <w:rFonts w:hint="eastAsia" w:eastAsiaTheme="minorEastAsia"/>
          <w:color w:val="auto"/>
          <w:highlight w:val="none"/>
          <w:lang w:eastAsia="zh-CN"/>
        </w:rPr>
        <w:drawing>
          <wp:anchor distT="0" distB="0" distL="114300" distR="114300" simplePos="0" relativeHeight="251665408" behindDoc="0" locked="0" layoutInCell="1" allowOverlap="1">
            <wp:simplePos x="0" y="0"/>
            <wp:positionH relativeFrom="column">
              <wp:posOffset>2974975</wp:posOffset>
            </wp:positionH>
            <wp:positionV relativeFrom="page">
              <wp:posOffset>7449185</wp:posOffset>
            </wp:positionV>
            <wp:extent cx="1417320" cy="1410970"/>
            <wp:effectExtent l="0" t="0" r="11430" b="17780"/>
            <wp:wrapNone/>
            <wp:docPr id="8" name="图片 8" descr="扫描全能王 2022-09-16 10.5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扫描全能王 2022-09-16 10.51_2"/>
                    <pic:cNvPicPr>
                      <a:picLocks noChangeAspect="1"/>
                    </pic:cNvPicPr>
                  </pic:nvPicPr>
                  <pic:blipFill>
                    <a:blip r:embed="rId8"/>
                    <a:srcRect l="22113" t="29394" r="21666" b="28715"/>
                    <a:stretch>
                      <a:fillRect/>
                    </a:stretch>
                  </pic:blipFill>
                  <pic:spPr>
                    <a:xfrm>
                      <a:off x="0" y="0"/>
                      <a:ext cx="1417320" cy="1410970"/>
                    </a:xfrm>
                    <a:prstGeom prst="rect">
                      <a:avLst/>
                    </a:prstGeom>
                  </pic:spPr>
                </pic:pic>
              </a:graphicData>
            </a:graphic>
          </wp:anchor>
        </w:drawing>
      </w:r>
      <w:r>
        <w:rPr>
          <w:color w:val="auto"/>
          <w:sz w:val="21"/>
          <w:highlight w:val="none"/>
        </w:rPr>
        <mc:AlternateContent>
          <mc:Choice Requires="wps">
            <w:drawing>
              <wp:anchor distT="0" distB="0" distL="114300" distR="114300" simplePos="0" relativeHeight="251664384" behindDoc="0" locked="0" layoutInCell="1" allowOverlap="1">
                <wp:simplePos x="0" y="0"/>
                <wp:positionH relativeFrom="column">
                  <wp:posOffset>-86360</wp:posOffset>
                </wp:positionH>
                <wp:positionV relativeFrom="paragraph">
                  <wp:posOffset>5794375</wp:posOffset>
                </wp:positionV>
                <wp:extent cx="5464175" cy="2486025"/>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4860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C9EDD8">
                            <w:pPr>
                              <w:jc w:val="left"/>
                              <w:rPr>
                                <w:rFonts w:hint="eastAsia"/>
                                <w:lang w:val="en-US" w:eastAsia="zh-CN"/>
                              </w:rPr>
                            </w:pPr>
                            <w:r>
                              <w:rPr>
                                <w:rFonts w:hint="eastAsia" w:ascii="微软雅黑" w:hAnsi="微软雅黑" w:eastAsia="微软雅黑" w:cs="微软雅黑"/>
                                <w:b/>
                                <w:bCs/>
                                <w:color w:val="237085"/>
                                <w:sz w:val="32"/>
                                <w:szCs w:val="32"/>
                                <w:lang w:val="en-US" w:eastAsia="zh-CN"/>
                              </w:rPr>
                              <w:t>采购人：</w:t>
                            </w:r>
                            <w:r>
                              <w:rPr>
                                <w:rFonts w:hint="eastAsia" w:ascii="微软雅黑" w:hAnsi="微软雅黑" w:eastAsia="微软雅黑" w:cs="微软雅黑"/>
                                <w:b/>
                                <w:bCs/>
                                <w:color w:val="237085"/>
                                <w:sz w:val="32"/>
                                <w:szCs w:val="32"/>
                              </w:rPr>
                              <w:t>新疆农业职业技术大学</w:t>
                            </w:r>
                            <w:r>
                              <w:rPr>
                                <w:rFonts w:hint="eastAsia" w:ascii="微软雅黑" w:hAnsi="微软雅黑" w:eastAsia="微软雅黑" w:cs="微软雅黑"/>
                                <w:b/>
                                <w:bCs/>
                                <w:color w:val="237085"/>
                                <w:sz w:val="32"/>
                                <w:szCs w:val="32"/>
                                <w:lang w:val="en-US" w:eastAsia="zh-CN"/>
                              </w:rPr>
                              <w:t>（盖章）</w:t>
                            </w:r>
                          </w:p>
                          <w:p w14:paraId="347F4FFC">
                            <w:pPr>
                              <w:jc w:val="left"/>
                              <w:rPr>
                                <w:rFonts w:hint="eastAsia" w:ascii="微软雅黑" w:hAnsi="微软雅黑" w:eastAsia="微软雅黑" w:cs="微软雅黑"/>
                                <w:b/>
                                <w:bCs/>
                                <w:color w:val="237085"/>
                                <w:sz w:val="32"/>
                                <w:szCs w:val="32"/>
                                <w:lang w:val="en-US" w:eastAsia="zh-CN"/>
                              </w:rPr>
                            </w:pPr>
                          </w:p>
                          <w:p w14:paraId="018E3849">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采购代理机构：新疆世纪星工程咨询有限公司（盖章）</w:t>
                            </w:r>
                          </w:p>
                          <w:p w14:paraId="06B302BB">
                            <w:pPr>
                              <w:jc w:val="center"/>
                              <w:rPr>
                                <w:rFonts w:hint="eastAsia" w:ascii="微软雅黑" w:hAnsi="微软雅黑" w:eastAsia="微软雅黑" w:cs="微软雅黑"/>
                                <w:b/>
                                <w:bCs/>
                                <w:color w:val="237085"/>
                                <w:sz w:val="32"/>
                                <w:szCs w:val="32"/>
                                <w:lang w:val="en-US" w:eastAsia="zh-CN"/>
                              </w:rPr>
                            </w:pPr>
                          </w:p>
                          <w:p w14:paraId="1262EB59">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lang w:val="en-US" w:eastAsia="zh-CN"/>
                              </w:rPr>
                              <w:t>日期：2025年4月</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8pt;margin-top:456.25pt;height:195.75pt;width:430.25pt;z-index:251664384;mso-width-relative:page;mso-height-relative:page;" filled="f" stroked="f" coordsize="21600,21600" o:gfxdata="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Bw8aPbdAAAADAEAAA8AAAAAAAAAAQAgAAAAIgAA&#10;AGRycy9kb3ducmV2LnhtbFBLAQIUABQAAAAIAIdO4kC9B9GiPAIAAGcEAAAOAAAAAAAAAAEAIAAA&#10;ACwBAABkcnMvZTJvRG9jLnhtbFBLBQYAAAAABgAGAFkBAADaBQAAAAA=&#10;">
                <v:fill on="f" focussize="0,0"/>
                <v:stroke on="f" weight="0.5pt"/>
                <v:imagedata o:title=""/>
                <o:lock v:ext="edit" aspectratio="f"/>
                <v:textbox>
                  <w:txbxContent>
                    <w:p w14:paraId="5FC9EDD8">
                      <w:pPr>
                        <w:jc w:val="left"/>
                        <w:rPr>
                          <w:rFonts w:hint="eastAsia"/>
                          <w:lang w:val="en-US" w:eastAsia="zh-CN"/>
                        </w:rPr>
                      </w:pPr>
                      <w:r>
                        <w:rPr>
                          <w:rFonts w:hint="eastAsia" w:ascii="微软雅黑" w:hAnsi="微软雅黑" w:eastAsia="微软雅黑" w:cs="微软雅黑"/>
                          <w:b/>
                          <w:bCs/>
                          <w:color w:val="237085"/>
                          <w:sz w:val="32"/>
                          <w:szCs w:val="32"/>
                          <w:lang w:val="en-US" w:eastAsia="zh-CN"/>
                        </w:rPr>
                        <w:t>采购人：</w:t>
                      </w:r>
                      <w:r>
                        <w:rPr>
                          <w:rFonts w:hint="eastAsia" w:ascii="微软雅黑" w:hAnsi="微软雅黑" w:eastAsia="微软雅黑" w:cs="微软雅黑"/>
                          <w:b/>
                          <w:bCs/>
                          <w:color w:val="237085"/>
                          <w:sz w:val="32"/>
                          <w:szCs w:val="32"/>
                        </w:rPr>
                        <w:t>新疆农业职业技术大学</w:t>
                      </w:r>
                      <w:r>
                        <w:rPr>
                          <w:rFonts w:hint="eastAsia" w:ascii="微软雅黑" w:hAnsi="微软雅黑" w:eastAsia="微软雅黑" w:cs="微软雅黑"/>
                          <w:b/>
                          <w:bCs/>
                          <w:color w:val="237085"/>
                          <w:sz w:val="32"/>
                          <w:szCs w:val="32"/>
                          <w:lang w:val="en-US" w:eastAsia="zh-CN"/>
                        </w:rPr>
                        <w:t>（盖章）</w:t>
                      </w:r>
                    </w:p>
                    <w:p w14:paraId="347F4FFC">
                      <w:pPr>
                        <w:jc w:val="left"/>
                        <w:rPr>
                          <w:rFonts w:hint="eastAsia" w:ascii="微软雅黑" w:hAnsi="微软雅黑" w:eastAsia="微软雅黑" w:cs="微软雅黑"/>
                          <w:b/>
                          <w:bCs/>
                          <w:color w:val="237085"/>
                          <w:sz w:val="32"/>
                          <w:szCs w:val="32"/>
                          <w:lang w:val="en-US" w:eastAsia="zh-CN"/>
                        </w:rPr>
                      </w:pPr>
                    </w:p>
                    <w:p w14:paraId="018E3849">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采购代理机构：新疆世纪星工程咨询有限公司（盖章）</w:t>
                      </w:r>
                    </w:p>
                    <w:p w14:paraId="06B302BB">
                      <w:pPr>
                        <w:jc w:val="center"/>
                        <w:rPr>
                          <w:rFonts w:hint="eastAsia" w:ascii="微软雅黑" w:hAnsi="微软雅黑" w:eastAsia="微软雅黑" w:cs="微软雅黑"/>
                          <w:b/>
                          <w:bCs/>
                          <w:color w:val="237085"/>
                          <w:sz w:val="32"/>
                          <w:szCs w:val="32"/>
                          <w:lang w:val="en-US" w:eastAsia="zh-CN"/>
                        </w:rPr>
                      </w:pPr>
                    </w:p>
                    <w:p w14:paraId="1262EB59">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lang w:val="en-US" w:eastAsia="zh-CN"/>
                        </w:rPr>
                        <w:t>日期：2025年4月</w:t>
                      </w:r>
                    </w:p>
                  </w:txbxContent>
                </v:textbox>
              </v:shape>
            </w:pict>
          </mc:Fallback>
        </mc:AlternateContent>
      </w:r>
    </w:p>
    <w:p w14:paraId="087608F7">
      <w:pPr>
        <w:jc w:val="center"/>
        <w:rPr>
          <w:rFonts w:hint="eastAsia" w:ascii="仿宋_GB2312" w:hAnsi="仿宋_GB2312" w:eastAsia="仿宋_GB2312" w:cs="仿宋_GB2312"/>
          <w:color w:val="auto"/>
          <w:sz w:val="32"/>
          <w:szCs w:val="32"/>
          <w:highlight w:val="none"/>
        </w:rPr>
      </w:pPr>
    </w:p>
    <w:tbl>
      <w:tblPr>
        <w:tblStyle w:val="27"/>
        <w:tblW w:w="928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80"/>
      </w:tblGrid>
      <w:tr w14:paraId="332446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13" w:hRule="atLeast"/>
          <w:jc w:val="center"/>
        </w:trPr>
        <w:tc>
          <w:tcPr>
            <w:tcW w:w="9280" w:type="dxa"/>
            <w:tcBorders>
              <w:tl2br w:val="nil"/>
              <w:tr2bl w:val="nil"/>
            </w:tcBorders>
            <w:noWrap w:val="0"/>
            <w:vAlign w:val="top"/>
          </w:tcPr>
          <w:p w14:paraId="32B98F8E">
            <w:pPr>
              <w:rPr>
                <w:rFonts w:hint="eastAsia" w:ascii="仿宋" w:hAnsi="仿宋" w:eastAsia="仿宋" w:cs="Arial"/>
                <w:b/>
                <w:bCs/>
                <w:color w:val="auto"/>
                <w:sz w:val="32"/>
                <w:szCs w:val="32"/>
                <w:highlight w:val="none"/>
              </w:rPr>
            </w:pPr>
            <w:r>
              <w:rPr>
                <w:rFonts w:hint="eastAsia" w:ascii="仿宋_GB2312" w:hAnsi="仿宋_GB2312" w:eastAsia="仿宋_GB2312" w:cs="仿宋_GB2312"/>
                <w:color w:val="auto"/>
                <w:sz w:val="32"/>
                <w:szCs w:val="32"/>
                <w:highlight w:val="none"/>
              </w:rPr>
              <w:br w:type="page"/>
            </w:r>
          </w:p>
          <w:p w14:paraId="14E48608">
            <w:pPr>
              <w:spacing w:line="360" w:lineRule="auto"/>
              <w:ind w:right="31" w:rightChars="15"/>
              <w:jc w:val="center"/>
              <w:rPr>
                <w:rFonts w:hint="eastAsia" w:ascii="仿宋" w:hAnsi="仿宋" w:eastAsia="仿宋" w:cs="Arial"/>
                <w:b/>
                <w:bCs/>
                <w:color w:val="auto"/>
                <w:sz w:val="32"/>
                <w:szCs w:val="32"/>
                <w:highlight w:val="none"/>
              </w:rPr>
            </w:pPr>
          </w:p>
          <w:p w14:paraId="47BE7F99">
            <w:pPr>
              <w:spacing w:line="360" w:lineRule="auto"/>
              <w:ind w:right="31" w:rightChars="15"/>
              <w:jc w:val="center"/>
              <w:rPr>
                <w:rFonts w:hint="eastAsia" w:ascii="仿宋" w:hAnsi="仿宋" w:eastAsia="仿宋" w:cs="Arial"/>
                <w:b/>
                <w:bCs/>
                <w:color w:val="auto"/>
                <w:sz w:val="32"/>
                <w:szCs w:val="32"/>
                <w:highlight w:val="none"/>
              </w:rPr>
            </w:pPr>
            <w:r>
              <w:rPr>
                <w:rFonts w:hint="eastAsia" w:ascii="仿宋" w:hAnsi="仿宋" w:eastAsia="仿宋" w:cs="Arial"/>
                <w:b/>
                <w:bCs/>
                <w:color w:val="auto"/>
                <w:sz w:val="32"/>
                <w:szCs w:val="32"/>
                <w:highlight w:val="none"/>
              </w:rPr>
              <w:t>招标文件确认</w:t>
            </w:r>
            <w:r>
              <w:rPr>
                <w:rFonts w:hint="eastAsia" w:ascii="仿宋" w:hAnsi="仿宋" w:eastAsia="仿宋" w:cs="Arial"/>
                <w:b/>
                <w:bCs/>
                <w:color w:val="auto"/>
                <w:sz w:val="32"/>
                <w:szCs w:val="32"/>
                <w:highlight w:val="none"/>
                <w:lang w:val="en-US" w:eastAsia="zh-CN"/>
              </w:rPr>
              <w:t>表</w:t>
            </w:r>
          </w:p>
          <w:p w14:paraId="2A6B54E7">
            <w:pPr>
              <w:spacing w:line="360" w:lineRule="auto"/>
              <w:ind w:firstLine="720" w:firstLineChars="300"/>
              <w:jc w:val="both"/>
              <w:rPr>
                <w:rFonts w:hint="eastAsia" w:ascii="仿宋" w:hAnsi="仿宋" w:eastAsia="仿宋" w:cs="Arial"/>
                <w:color w:val="auto"/>
                <w:sz w:val="24"/>
                <w:szCs w:val="24"/>
                <w:highlight w:val="none"/>
                <w:lang w:val="en-US" w:eastAsia="zh-CN"/>
              </w:rPr>
            </w:pPr>
          </w:p>
          <w:p w14:paraId="57BDD0F6">
            <w:pPr>
              <w:spacing w:line="360" w:lineRule="auto"/>
              <w:jc w:val="both"/>
              <w:rPr>
                <w:rFonts w:hint="default" w:ascii="仿宋" w:hAnsi="仿宋" w:eastAsia="仿宋" w:cs="Arial"/>
                <w:color w:val="auto"/>
                <w:sz w:val="28"/>
                <w:szCs w:val="28"/>
                <w:highlight w:val="none"/>
                <w:lang w:val="en-US" w:eastAsia="zh-CN"/>
              </w:rPr>
            </w:pPr>
            <w:r>
              <w:rPr>
                <w:rFonts w:hint="eastAsia" w:ascii="仿宋" w:hAnsi="仿宋" w:eastAsia="仿宋" w:cs="Arial"/>
                <w:color w:val="auto"/>
                <w:sz w:val="28"/>
                <w:szCs w:val="28"/>
                <w:highlight w:val="none"/>
                <w:lang w:val="en-US" w:eastAsia="zh-CN"/>
              </w:rPr>
              <w:t>新疆世纪星工程咨询有限公司：</w:t>
            </w:r>
          </w:p>
          <w:p w14:paraId="7C51D0E2">
            <w:pPr>
              <w:spacing w:line="360" w:lineRule="auto"/>
              <w:ind w:firstLine="840" w:firstLineChars="300"/>
              <w:jc w:val="both"/>
              <w:rPr>
                <w:rFonts w:hint="eastAsia" w:ascii="仿宋" w:hAnsi="仿宋" w:eastAsia="仿宋" w:cs="Arial"/>
                <w:color w:val="auto"/>
                <w:sz w:val="28"/>
                <w:szCs w:val="28"/>
                <w:highlight w:val="none"/>
                <w:lang w:val="en-US" w:eastAsia="zh-CN"/>
              </w:rPr>
            </w:pPr>
            <w:r>
              <w:rPr>
                <w:rFonts w:hint="eastAsia" w:ascii="仿宋" w:hAnsi="仿宋" w:eastAsia="仿宋" w:cs="Arial"/>
                <w:color w:val="auto"/>
                <w:sz w:val="28"/>
                <w:szCs w:val="28"/>
                <w:highlight w:val="none"/>
                <w:u w:val="single"/>
                <w:lang w:val="en-US" w:eastAsia="zh-CN"/>
              </w:rPr>
              <w:t>新疆农业职业大学2025年纸质图书采购（项目编号：SJX-2025-177）</w:t>
            </w:r>
            <w:r>
              <w:rPr>
                <w:rFonts w:hint="eastAsia" w:ascii="仿宋" w:hAnsi="仿宋" w:eastAsia="仿宋" w:cs="Arial"/>
                <w:color w:val="auto"/>
                <w:sz w:val="28"/>
                <w:szCs w:val="28"/>
                <w:highlight w:val="none"/>
                <w:lang w:val="en-US" w:eastAsia="zh-CN"/>
              </w:rPr>
              <w:t>招标文件，经我单位审核符合我单位提出的招标要求，同意对外发布。</w:t>
            </w:r>
          </w:p>
          <w:p w14:paraId="3C06ABCB">
            <w:pPr>
              <w:spacing w:line="360" w:lineRule="auto"/>
              <w:jc w:val="both"/>
              <w:rPr>
                <w:rFonts w:hint="eastAsia" w:ascii="仿宋" w:hAnsi="仿宋" w:eastAsia="仿宋" w:cs="Arial"/>
                <w:color w:val="auto"/>
                <w:sz w:val="28"/>
                <w:szCs w:val="28"/>
                <w:highlight w:val="none"/>
              </w:rPr>
            </w:pPr>
          </w:p>
          <w:p w14:paraId="575F19F4">
            <w:pPr>
              <w:spacing w:line="360" w:lineRule="auto"/>
              <w:ind w:right="240"/>
              <w:jc w:val="both"/>
              <w:rPr>
                <w:rFonts w:hint="eastAsia" w:ascii="仿宋" w:hAnsi="仿宋" w:eastAsia="仿宋" w:cs="Arial"/>
                <w:color w:val="auto"/>
                <w:sz w:val="28"/>
                <w:szCs w:val="28"/>
                <w:highlight w:val="none"/>
              </w:rPr>
            </w:pPr>
          </w:p>
          <w:p w14:paraId="51D0DB74">
            <w:pPr>
              <w:spacing w:line="360" w:lineRule="auto"/>
              <w:ind w:right="240"/>
              <w:jc w:val="both"/>
              <w:rPr>
                <w:rFonts w:hint="eastAsia" w:ascii="仿宋" w:hAnsi="仿宋" w:eastAsia="仿宋" w:cs="Arial"/>
                <w:color w:val="auto"/>
                <w:sz w:val="28"/>
                <w:szCs w:val="28"/>
                <w:highlight w:val="none"/>
              </w:rPr>
            </w:pPr>
          </w:p>
          <w:p w14:paraId="1EDF5D32">
            <w:pPr>
              <w:spacing w:line="360" w:lineRule="auto"/>
              <w:ind w:right="840"/>
              <w:jc w:val="right"/>
              <w:rPr>
                <w:rFonts w:ascii="仿宋" w:hAnsi="仿宋" w:eastAsia="仿宋" w:cs="Arial"/>
                <w:color w:val="auto"/>
                <w:sz w:val="28"/>
                <w:szCs w:val="28"/>
                <w:highlight w:val="none"/>
              </w:rPr>
            </w:pPr>
            <w:r>
              <w:rPr>
                <w:rFonts w:hint="eastAsia" w:ascii="仿宋" w:hAnsi="仿宋" w:eastAsia="仿宋" w:cs="Times New Roman"/>
                <w:color w:val="auto"/>
                <w:sz w:val="28"/>
                <w:szCs w:val="28"/>
                <w:highlight w:val="none"/>
              </w:rPr>
              <w:t xml:space="preserve">  </w:t>
            </w:r>
            <w:r>
              <w:rPr>
                <w:rFonts w:hint="eastAsia" w:ascii="仿宋" w:hAnsi="仿宋" w:eastAsia="仿宋" w:cs="Times New Roman"/>
                <w:color w:val="auto"/>
                <w:sz w:val="28"/>
                <w:szCs w:val="28"/>
                <w:highlight w:val="none"/>
                <w:lang w:val="en-US" w:eastAsia="zh-CN"/>
              </w:rPr>
              <w:t xml:space="preserve">                     采购人</w:t>
            </w:r>
            <w:r>
              <w:rPr>
                <w:rFonts w:hint="eastAsia" w:ascii="仿宋" w:hAnsi="仿宋" w:eastAsia="仿宋" w:cs="Arial"/>
                <w:color w:val="auto"/>
                <w:sz w:val="28"/>
                <w:szCs w:val="28"/>
                <w:highlight w:val="none"/>
              </w:rPr>
              <w:t>（盖章）</w:t>
            </w:r>
            <w:r>
              <w:rPr>
                <w:rFonts w:hint="eastAsia" w:ascii="仿宋" w:hAnsi="仿宋" w:eastAsia="仿宋" w:cs="Times New Roman"/>
                <w:color w:val="auto"/>
                <w:sz w:val="28"/>
                <w:szCs w:val="28"/>
                <w:highlight w:val="none"/>
                <w:lang w:val="en-US" w:eastAsia="zh-CN"/>
              </w:rPr>
              <w:t>：</w:t>
            </w:r>
            <w:r>
              <w:rPr>
                <w:rFonts w:hint="eastAsia" w:ascii="仿宋" w:hAnsi="仿宋" w:eastAsia="仿宋" w:cs="Times New Roman"/>
                <w:color w:val="auto"/>
                <w:sz w:val="28"/>
                <w:szCs w:val="28"/>
                <w:highlight w:val="none"/>
                <w:u w:val="single"/>
                <w:lang w:val="en-US" w:eastAsia="zh-CN"/>
              </w:rPr>
              <w:t>新疆农业职业技术大学</w:t>
            </w:r>
            <w:r>
              <w:rPr>
                <w:rFonts w:hint="eastAsia" w:ascii="仿宋" w:hAnsi="仿宋" w:eastAsia="仿宋" w:cs="Times New Roman"/>
                <w:color w:val="auto"/>
                <w:sz w:val="28"/>
                <w:szCs w:val="28"/>
                <w:highlight w:val="none"/>
                <w:lang w:val="en-US" w:eastAsia="zh-CN"/>
              </w:rPr>
              <w:t xml:space="preserve">  </w:t>
            </w:r>
          </w:p>
          <w:p w14:paraId="19C02FB3">
            <w:pPr>
              <w:spacing w:line="360" w:lineRule="auto"/>
              <w:ind w:right="960"/>
              <w:jc w:val="both"/>
              <w:rPr>
                <w:rFonts w:ascii="仿宋" w:hAnsi="仿宋" w:eastAsia="仿宋" w:cs="Times New Roman"/>
                <w:b/>
                <w:color w:val="auto"/>
                <w:sz w:val="40"/>
                <w:szCs w:val="32"/>
                <w:highlight w:val="none"/>
              </w:rPr>
            </w:pPr>
            <w:r>
              <w:rPr>
                <w:rFonts w:hint="eastAsia" w:ascii="仿宋" w:hAnsi="仿宋" w:eastAsia="仿宋" w:cs="Arial"/>
                <w:color w:val="auto"/>
                <w:sz w:val="28"/>
                <w:szCs w:val="28"/>
                <w:highlight w:val="none"/>
              </w:rPr>
              <w:t xml:space="preserve">                                  </w:t>
            </w:r>
            <w:r>
              <w:rPr>
                <w:rFonts w:hint="eastAsia" w:ascii="仿宋" w:hAnsi="仿宋" w:eastAsia="仿宋" w:cs="Arial"/>
                <w:color w:val="auto"/>
                <w:sz w:val="28"/>
                <w:szCs w:val="28"/>
                <w:highlight w:val="none"/>
                <w:lang w:val="en-US" w:eastAsia="zh-CN"/>
              </w:rPr>
              <w:t xml:space="preserve">     2025</w:t>
            </w:r>
            <w:r>
              <w:rPr>
                <w:rFonts w:hint="eastAsia" w:ascii="仿宋" w:hAnsi="仿宋" w:eastAsia="仿宋" w:cs="Arial"/>
                <w:color w:val="auto"/>
                <w:sz w:val="28"/>
                <w:szCs w:val="28"/>
                <w:highlight w:val="none"/>
              </w:rPr>
              <w:t>年</w:t>
            </w:r>
            <w:r>
              <w:rPr>
                <w:rFonts w:hint="eastAsia" w:ascii="仿宋" w:hAnsi="仿宋" w:eastAsia="仿宋" w:cs="Arial"/>
                <w:color w:val="auto"/>
                <w:sz w:val="28"/>
                <w:szCs w:val="28"/>
                <w:highlight w:val="none"/>
                <w:lang w:val="en-US" w:eastAsia="zh-CN"/>
              </w:rPr>
              <w:t>4</w:t>
            </w:r>
            <w:r>
              <w:rPr>
                <w:rFonts w:hint="eastAsia" w:ascii="仿宋" w:hAnsi="仿宋" w:eastAsia="仿宋" w:cs="Arial"/>
                <w:color w:val="auto"/>
                <w:sz w:val="28"/>
                <w:szCs w:val="28"/>
                <w:highlight w:val="none"/>
              </w:rPr>
              <w:t>月</w:t>
            </w:r>
          </w:p>
        </w:tc>
      </w:tr>
    </w:tbl>
    <w:p w14:paraId="26E4260E">
      <w:pPr>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br w:type="page"/>
      </w:r>
    </w:p>
    <w:p w14:paraId="3ABEA921">
      <w:pPr>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目  录</w:t>
      </w:r>
    </w:p>
    <w:sdt>
      <w:sdtPr>
        <w:rPr>
          <w:rFonts w:hint="eastAsia" w:ascii="仿宋" w:hAnsi="仿宋" w:eastAsia="仿宋" w:cs="仿宋"/>
          <w:color w:val="auto"/>
          <w:kern w:val="2"/>
          <w:sz w:val="21"/>
          <w:szCs w:val="24"/>
          <w:highlight w:val="none"/>
          <w:lang w:val="en-US" w:eastAsia="zh-CN" w:bidi="ar-SA"/>
        </w:rPr>
        <w:id w:val="147457632"/>
        <w15:color w:val="DBDBDB"/>
        <w:docPartObj>
          <w:docPartGallery w:val="Table of Contents"/>
          <w:docPartUnique/>
        </w:docPartObj>
      </w:sdtPr>
      <w:sdtEndPr>
        <w:rPr>
          <w:rFonts w:hint="eastAsia" w:ascii="仿宋" w:hAnsi="仿宋" w:eastAsia="仿宋" w:cs="仿宋"/>
          <w:b/>
          <w:color w:val="auto"/>
          <w:kern w:val="2"/>
          <w:sz w:val="21"/>
          <w:szCs w:val="32"/>
          <w:highlight w:val="none"/>
          <w:lang w:val="en-US" w:eastAsia="zh-CN" w:bidi="ar-SA"/>
        </w:rPr>
      </w:sdtEndPr>
      <w:sdtContent>
        <w:p w14:paraId="04587DD5">
          <w:pPr>
            <w:spacing w:before="0" w:beforeLines="0" w:after="0" w:afterLines="0" w:line="240" w:lineRule="auto"/>
            <w:ind w:left="0" w:leftChars="0" w:right="0" w:rightChars="0" w:firstLine="0" w:firstLineChars="0"/>
            <w:jc w:val="center"/>
            <w:rPr>
              <w:rFonts w:hint="eastAsia" w:ascii="仿宋" w:hAnsi="仿宋" w:eastAsia="仿宋" w:cs="仿宋"/>
              <w:color w:val="auto"/>
              <w:highlight w:val="none"/>
            </w:rPr>
          </w:pPr>
        </w:p>
        <w:p w14:paraId="1DD75AE8">
          <w:pPr>
            <w:pStyle w:val="36"/>
            <w:tabs>
              <w:tab w:val="right" w:leader="dot" w:pos="8306"/>
            </w:tabs>
            <w:rPr>
              <w:rFonts w:hint="eastAsia" w:ascii="仿宋" w:hAnsi="仿宋" w:eastAsia="仿宋" w:cs="仿宋"/>
              <w:b/>
              <w:color w:val="auto"/>
              <w:highlight w:val="none"/>
            </w:rPr>
          </w:pP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TOC \o "1-2" \h \u </w:instrText>
          </w:r>
          <w:r>
            <w:rPr>
              <w:rFonts w:hint="eastAsia" w:ascii="仿宋" w:hAnsi="仿宋" w:eastAsia="仿宋" w:cs="仿宋"/>
              <w:color w:val="auto"/>
              <w:sz w:val="32"/>
              <w:szCs w:val="32"/>
              <w:highlight w:val="none"/>
            </w:rPr>
            <w:fldChar w:fldCharType="separate"/>
          </w:r>
        </w:p>
        <w:p w14:paraId="426EB153">
          <w:pPr>
            <w:pStyle w:val="36"/>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HYPERLINK \l _Toc11868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 xml:space="preserve">第一章 </w:t>
          </w:r>
          <w:r>
            <w:rPr>
              <w:rFonts w:hint="eastAsia" w:ascii="仿宋" w:hAnsi="仿宋" w:eastAsia="仿宋" w:cs="仿宋"/>
              <w:b/>
              <w:color w:val="auto"/>
              <w:sz w:val="24"/>
              <w:szCs w:val="24"/>
              <w:highlight w:val="none"/>
              <w:lang w:val="en-US" w:eastAsia="zh-CN"/>
            </w:rPr>
            <w:t>公开招标公告</w:t>
          </w:r>
          <w:r>
            <w:rPr>
              <w:rFonts w:hint="eastAsia" w:ascii="仿宋" w:hAnsi="仿宋" w:eastAsia="仿宋" w:cs="仿宋"/>
              <w:b/>
              <w:color w:val="auto"/>
              <w:sz w:val="24"/>
              <w:szCs w:val="24"/>
              <w:highlight w:val="none"/>
            </w:rPr>
            <w:tab/>
          </w: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PAGEREF _Toc11868 \h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1</w:t>
          </w:r>
          <w:r>
            <w:rPr>
              <w:rFonts w:hint="eastAsia" w:ascii="仿宋" w:hAnsi="仿宋" w:eastAsia="仿宋" w:cs="仿宋"/>
              <w:b/>
              <w:color w:val="auto"/>
              <w:sz w:val="24"/>
              <w:szCs w:val="24"/>
              <w:highlight w:val="none"/>
            </w:rPr>
            <w:fldChar w:fldCharType="end"/>
          </w:r>
          <w:r>
            <w:rPr>
              <w:rFonts w:hint="eastAsia" w:ascii="仿宋" w:hAnsi="仿宋" w:eastAsia="仿宋" w:cs="仿宋"/>
              <w:b/>
              <w:color w:val="auto"/>
              <w:sz w:val="24"/>
              <w:szCs w:val="24"/>
              <w:highlight w:val="none"/>
            </w:rPr>
            <w:fldChar w:fldCharType="end"/>
          </w:r>
        </w:p>
        <w:p w14:paraId="4897144E">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_Toc21739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一、项目基本情况</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_Toc21739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4EAA6570">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_Toc15364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二、申请人的资格要求：</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_Toc15364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618AE4CD">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_Toc29084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三、获取招标文件</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_Toc29084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47B29622">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_Toc24224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四、提交投标文件截止时间、开标时间和地点</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_Toc24224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56E8612A">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_Toc17115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五、公告期限</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_Toc17115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5C4F45CC">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_Toc22084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六、其他补充事宜</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_Toc22084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053B660F">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_Toc21999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七、对本次采购提出询问，请按以下方式联系</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_Toc21999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1DEF93E4">
          <w:pPr>
            <w:pStyle w:val="36"/>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HYPERLINK \l _Toc31403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第二章 投标须知前附表</w:t>
          </w:r>
          <w:r>
            <w:rPr>
              <w:rFonts w:hint="eastAsia" w:ascii="仿宋" w:hAnsi="仿宋" w:eastAsia="仿宋" w:cs="仿宋"/>
              <w:b/>
              <w:color w:val="auto"/>
              <w:sz w:val="24"/>
              <w:szCs w:val="24"/>
              <w:highlight w:val="none"/>
            </w:rPr>
            <w:tab/>
          </w: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PAGEREF _Toc31403 \h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4</w:t>
          </w:r>
          <w:r>
            <w:rPr>
              <w:rFonts w:hint="eastAsia" w:ascii="仿宋" w:hAnsi="仿宋" w:eastAsia="仿宋" w:cs="仿宋"/>
              <w:b/>
              <w:color w:val="auto"/>
              <w:sz w:val="24"/>
              <w:szCs w:val="24"/>
              <w:highlight w:val="none"/>
            </w:rPr>
            <w:fldChar w:fldCharType="end"/>
          </w:r>
          <w:r>
            <w:rPr>
              <w:rFonts w:hint="eastAsia" w:ascii="仿宋" w:hAnsi="仿宋" w:eastAsia="仿宋" w:cs="仿宋"/>
              <w:b/>
              <w:color w:val="auto"/>
              <w:sz w:val="24"/>
              <w:szCs w:val="24"/>
              <w:highlight w:val="none"/>
            </w:rPr>
            <w:fldChar w:fldCharType="end"/>
          </w:r>
        </w:p>
        <w:p w14:paraId="6029CFF7">
          <w:pPr>
            <w:pStyle w:val="36"/>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HYPERLINK \l _Toc27881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第三章 投标人须知</w:t>
          </w:r>
          <w:r>
            <w:rPr>
              <w:rFonts w:hint="eastAsia" w:ascii="仿宋" w:hAnsi="仿宋" w:eastAsia="仿宋" w:cs="仿宋"/>
              <w:b/>
              <w:color w:val="auto"/>
              <w:sz w:val="24"/>
              <w:szCs w:val="24"/>
              <w:highlight w:val="none"/>
            </w:rPr>
            <w:tab/>
          </w: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PAGEREF _Toc27881 \h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9</w:t>
          </w:r>
          <w:r>
            <w:rPr>
              <w:rFonts w:hint="eastAsia" w:ascii="仿宋" w:hAnsi="仿宋" w:eastAsia="仿宋" w:cs="仿宋"/>
              <w:b/>
              <w:color w:val="auto"/>
              <w:sz w:val="24"/>
              <w:szCs w:val="24"/>
              <w:highlight w:val="none"/>
            </w:rPr>
            <w:fldChar w:fldCharType="end"/>
          </w:r>
          <w:r>
            <w:rPr>
              <w:rFonts w:hint="eastAsia" w:ascii="仿宋" w:hAnsi="仿宋" w:eastAsia="仿宋" w:cs="仿宋"/>
              <w:b/>
              <w:color w:val="auto"/>
              <w:sz w:val="24"/>
              <w:szCs w:val="24"/>
              <w:highlight w:val="none"/>
            </w:rPr>
            <w:fldChar w:fldCharType="end"/>
          </w:r>
        </w:p>
        <w:p w14:paraId="21030DC9">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_Toc20936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一、 说 明</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_Toc20936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9</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1BCAC2EA">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_Toc6547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二、 招标文件</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_Toc6547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14</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01210BFD">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_Toc9070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三、 投标文件的编制</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_Toc9070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16</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1CF034DF">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_Toc21719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四、 投标文件的提交</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_Toc21719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19</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25B19D74">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_Toc15263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五、 开标、资格审查及评标</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_Toc15263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4907A8A5">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_Toc7787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六、 确定中标</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_Toc7787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296231EA">
          <w:pPr>
            <w:pStyle w:val="36"/>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HYPERLINK \l _Toc22543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lang w:val="en-US" w:eastAsia="zh-CN"/>
            </w:rPr>
            <w:t>第四章 政府采购合同</w:t>
          </w:r>
          <w:r>
            <w:rPr>
              <w:rFonts w:hint="eastAsia" w:ascii="仿宋" w:hAnsi="仿宋" w:eastAsia="仿宋" w:cs="仿宋"/>
              <w:b/>
              <w:color w:val="auto"/>
              <w:sz w:val="24"/>
              <w:szCs w:val="24"/>
              <w:highlight w:val="none"/>
            </w:rPr>
            <w:tab/>
          </w: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PAGEREF _Toc22543 \h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26</w:t>
          </w:r>
          <w:r>
            <w:rPr>
              <w:rFonts w:hint="eastAsia" w:ascii="仿宋" w:hAnsi="仿宋" w:eastAsia="仿宋" w:cs="仿宋"/>
              <w:b/>
              <w:color w:val="auto"/>
              <w:sz w:val="24"/>
              <w:szCs w:val="24"/>
              <w:highlight w:val="none"/>
            </w:rPr>
            <w:fldChar w:fldCharType="end"/>
          </w:r>
          <w:r>
            <w:rPr>
              <w:rFonts w:hint="eastAsia" w:ascii="仿宋" w:hAnsi="仿宋" w:eastAsia="仿宋" w:cs="仿宋"/>
              <w:b/>
              <w:color w:val="auto"/>
              <w:sz w:val="24"/>
              <w:szCs w:val="24"/>
              <w:highlight w:val="none"/>
            </w:rPr>
            <w:fldChar w:fldCharType="end"/>
          </w:r>
        </w:p>
        <w:p w14:paraId="33B14E71">
          <w:pPr>
            <w:pStyle w:val="36"/>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HYPERLINK \l _Toc20159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lang w:val="en-US" w:eastAsia="zh-CN"/>
            </w:rPr>
            <w:t>第五章 采购需求</w:t>
          </w:r>
          <w:r>
            <w:rPr>
              <w:rFonts w:hint="eastAsia" w:ascii="仿宋" w:hAnsi="仿宋" w:eastAsia="仿宋" w:cs="仿宋"/>
              <w:b/>
              <w:color w:val="auto"/>
              <w:sz w:val="24"/>
              <w:szCs w:val="24"/>
              <w:highlight w:val="none"/>
            </w:rPr>
            <w:tab/>
          </w: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PAGEREF _Toc20159 \h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27</w:t>
          </w:r>
          <w:r>
            <w:rPr>
              <w:rFonts w:hint="eastAsia" w:ascii="仿宋" w:hAnsi="仿宋" w:eastAsia="仿宋" w:cs="仿宋"/>
              <w:b/>
              <w:color w:val="auto"/>
              <w:sz w:val="24"/>
              <w:szCs w:val="24"/>
              <w:highlight w:val="none"/>
            </w:rPr>
            <w:fldChar w:fldCharType="end"/>
          </w:r>
          <w:r>
            <w:rPr>
              <w:rFonts w:hint="eastAsia" w:ascii="仿宋" w:hAnsi="仿宋" w:eastAsia="仿宋" w:cs="仿宋"/>
              <w:b/>
              <w:color w:val="auto"/>
              <w:sz w:val="24"/>
              <w:szCs w:val="24"/>
              <w:highlight w:val="none"/>
            </w:rPr>
            <w:fldChar w:fldCharType="end"/>
          </w:r>
        </w:p>
        <w:p w14:paraId="5A209890">
          <w:pPr>
            <w:pStyle w:val="36"/>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HYPERLINK \l _Toc21893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lang w:val="en-US" w:eastAsia="zh-CN"/>
            </w:rPr>
            <w:t>第六章 评标程序、评标方法和评标标准</w:t>
          </w:r>
          <w:r>
            <w:rPr>
              <w:rFonts w:hint="eastAsia" w:ascii="仿宋" w:hAnsi="仿宋" w:eastAsia="仿宋" w:cs="仿宋"/>
              <w:b/>
              <w:color w:val="auto"/>
              <w:sz w:val="24"/>
              <w:szCs w:val="24"/>
              <w:highlight w:val="none"/>
            </w:rPr>
            <w:tab/>
          </w: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PAGEREF _Toc21893 \h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28</w:t>
          </w:r>
          <w:r>
            <w:rPr>
              <w:rFonts w:hint="eastAsia" w:ascii="仿宋" w:hAnsi="仿宋" w:eastAsia="仿宋" w:cs="仿宋"/>
              <w:b/>
              <w:color w:val="auto"/>
              <w:sz w:val="24"/>
              <w:szCs w:val="24"/>
              <w:highlight w:val="none"/>
            </w:rPr>
            <w:fldChar w:fldCharType="end"/>
          </w:r>
          <w:r>
            <w:rPr>
              <w:rFonts w:hint="eastAsia" w:ascii="仿宋" w:hAnsi="仿宋" w:eastAsia="仿宋" w:cs="仿宋"/>
              <w:b/>
              <w:color w:val="auto"/>
              <w:sz w:val="24"/>
              <w:szCs w:val="24"/>
              <w:highlight w:val="none"/>
            </w:rPr>
            <w:fldChar w:fldCharType="end"/>
          </w:r>
        </w:p>
        <w:p w14:paraId="001DB41C">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_Toc27440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1. 评标方法</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_Toc27440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28</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60B067A0">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_Toc12617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2. 评标原则</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_Toc12617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28</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2A45D601">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_Toc6046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3. 资格审查</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_Toc6046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28</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260A3CA7">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_Toc4337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4. 符合性审查</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_Toc4337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30</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37FA5F25">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_Toc23924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5. 投标文件有关事项的澄清或者说明</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_Toc23924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31</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7079A52B">
          <w:pPr>
            <w:pStyle w:val="37"/>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_Toc22049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6. 详细评审</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_Toc22049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11E9221C">
          <w:pPr>
            <w:pStyle w:val="36"/>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HYPERLINK \l _Toc31337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lang w:val="en-US" w:eastAsia="zh-CN"/>
            </w:rPr>
            <w:t>第七章 投标文件格式</w:t>
          </w:r>
          <w:r>
            <w:rPr>
              <w:rFonts w:hint="eastAsia" w:ascii="仿宋" w:hAnsi="仿宋" w:eastAsia="仿宋" w:cs="仿宋"/>
              <w:b/>
              <w:color w:val="auto"/>
              <w:sz w:val="24"/>
              <w:szCs w:val="24"/>
              <w:highlight w:val="none"/>
            </w:rPr>
            <w:tab/>
          </w: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PAGEREF _Toc31337 \h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36</w:t>
          </w:r>
          <w:r>
            <w:rPr>
              <w:rFonts w:hint="eastAsia" w:ascii="仿宋" w:hAnsi="仿宋" w:eastAsia="仿宋" w:cs="仿宋"/>
              <w:b/>
              <w:color w:val="auto"/>
              <w:sz w:val="24"/>
              <w:szCs w:val="24"/>
              <w:highlight w:val="none"/>
            </w:rPr>
            <w:fldChar w:fldCharType="end"/>
          </w:r>
          <w:r>
            <w:rPr>
              <w:rFonts w:hint="eastAsia" w:ascii="仿宋" w:hAnsi="仿宋" w:eastAsia="仿宋" w:cs="仿宋"/>
              <w:b/>
              <w:color w:val="auto"/>
              <w:sz w:val="24"/>
              <w:szCs w:val="24"/>
              <w:highlight w:val="none"/>
            </w:rPr>
            <w:fldChar w:fldCharType="end"/>
          </w:r>
        </w:p>
        <w:p w14:paraId="1E72A421">
          <w:pPr>
            <w:pStyle w:val="37"/>
            <w:tabs>
              <w:tab w:val="right" w:leader="dot" w:pos="8306"/>
            </w:tabs>
            <w:rPr>
              <w:rFonts w:hint="eastAsia" w:ascii="仿宋" w:hAnsi="仿宋" w:eastAsia="仿宋" w:cs="仿宋"/>
              <w:color w:val="auto"/>
              <w:highlight w:val="none"/>
            </w:rPr>
          </w:pPr>
        </w:p>
        <w:p w14:paraId="02EA591A">
          <w:pPr>
            <w:jc w:val="both"/>
            <w:rPr>
              <w:rFonts w:hint="eastAsia" w:ascii="仿宋" w:hAnsi="仿宋" w:eastAsia="仿宋" w:cs="仿宋"/>
              <w:color w:val="auto"/>
              <w:sz w:val="32"/>
              <w:szCs w:val="32"/>
              <w:highlight w:val="none"/>
            </w:rPr>
          </w:pPr>
          <w:r>
            <w:rPr>
              <w:rFonts w:hint="eastAsia" w:ascii="仿宋" w:hAnsi="仿宋" w:eastAsia="仿宋" w:cs="仿宋"/>
              <w:b/>
              <w:color w:val="auto"/>
              <w:szCs w:val="32"/>
              <w:highlight w:val="none"/>
            </w:rPr>
            <w:fldChar w:fldCharType="end"/>
          </w:r>
        </w:p>
      </w:sdtContent>
    </w:sdt>
    <w:p w14:paraId="347F63F3">
      <w:pPr>
        <w:pStyle w:val="2"/>
        <w:numPr>
          <w:ilvl w:val="0"/>
          <w:numId w:val="1"/>
        </w:numPr>
        <w:bidi w:val="0"/>
        <w:jc w:val="center"/>
        <w:rPr>
          <w:rFonts w:hint="eastAsia" w:ascii="仿宋" w:hAnsi="仿宋" w:eastAsia="仿宋" w:cs="仿宋"/>
          <w:color w:val="auto"/>
          <w:sz w:val="32"/>
          <w:szCs w:val="32"/>
          <w:highlight w:val="none"/>
        </w:rPr>
        <w:sectPr>
          <w:head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bookmarkStart w:id="0" w:name="_Toc11868"/>
    </w:p>
    <w:p w14:paraId="02ED591A">
      <w:pPr>
        <w:pStyle w:val="2"/>
        <w:numPr>
          <w:ilvl w:val="0"/>
          <w:numId w:val="1"/>
        </w:numPr>
        <w:bidi w:val="0"/>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招标</w:t>
      </w:r>
      <w:r>
        <w:rPr>
          <w:rFonts w:hint="eastAsia" w:ascii="仿宋" w:hAnsi="仿宋" w:eastAsia="仿宋" w:cs="仿宋"/>
          <w:color w:val="auto"/>
          <w:sz w:val="32"/>
          <w:szCs w:val="32"/>
          <w:highlight w:val="none"/>
        </w:rPr>
        <w:t>公告</w:t>
      </w:r>
      <w:bookmarkEnd w:id="0"/>
    </w:p>
    <w:p w14:paraId="79AE6AB2">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1" w:name="_Toc21739"/>
      <w:r>
        <w:rPr>
          <w:rFonts w:hint="eastAsia" w:ascii="仿宋" w:hAnsi="仿宋" w:eastAsia="仿宋" w:cs="仿宋"/>
          <w:b/>
          <w:bCs/>
          <w:color w:val="auto"/>
          <w:sz w:val="24"/>
          <w:szCs w:val="24"/>
          <w:highlight w:val="none"/>
        </w:rPr>
        <w:t>一、项目基本情况</w:t>
      </w:r>
      <w:bookmarkEnd w:id="1"/>
    </w:p>
    <w:p w14:paraId="3122C42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lang w:eastAsia="zh-CN"/>
        </w:rPr>
        <w:t>SJX-2025-</w:t>
      </w:r>
      <w:r>
        <w:rPr>
          <w:rFonts w:hint="eastAsia" w:ascii="仿宋" w:hAnsi="仿宋" w:eastAsia="仿宋" w:cs="仿宋"/>
          <w:color w:val="auto"/>
          <w:sz w:val="24"/>
          <w:szCs w:val="24"/>
          <w:highlight w:val="none"/>
          <w:lang w:val="en-US" w:eastAsia="zh-CN"/>
        </w:rPr>
        <w:t xml:space="preserve">177 </w:t>
      </w:r>
    </w:p>
    <w:p w14:paraId="3745285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val="en-US" w:eastAsia="zh-CN"/>
        </w:rPr>
        <w:t>新疆农业职业大学2025年纸质图书采购</w:t>
      </w:r>
    </w:p>
    <w:p w14:paraId="04EB307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采购方式：公开招标</w:t>
      </w:r>
    </w:p>
    <w:p w14:paraId="2D4BB3A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预算金额（元）：</w:t>
      </w:r>
      <w:r>
        <w:rPr>
          <w:rFonts w:hint="eastAsia" w:ascii="仿宋" w:hAnsi="仿宋" w:eastAsia="仿宋" w:cs="仿宋"/>
          <w:color w:val="auto"/>
          <w:sz w:val="24"/>
          <w:szCs w:val="24"/>
          <w:highlight w:val="none"/>
          <w:lang w:val="en-US" w:eastAsia="zh-CN"/>
        </w:rPr>
        <w:t>1590400</w:t>
      </w:r>
    </w:p>
    <w:p w14:paraId="5FF5BB2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最高限价（元）：</w:t>
      </w:r>
      <w:r>
        <w:rPr>
          <w:rFonts w:hint="eastAsia" w:ascii="仿宋" w:hAnsi="仿宋" w:eastAsia="仿宋" w:cs="仿宋"/>
          <w:color w:val="auto"/>
          <w:sz w:val="24"/>
          <w:szCs w:val="24"/>
          <w:highlight w:val="none"/>
          <w:lang w:val="en-US" w:eastAsia="zh-CN"/>
        </w:rPr>
        <w:t>1590400</w:t>
      </w:r>
    </w:p>
    <w:p w14:paraId="2FD5F22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采购需求：</w:t>
      </w:r>
      <w:r>
        <w:rPr>
          <w:rFonts w:hint="eastAsia" w:ascii="仿宋" w:hAnsi="仿宋" w:eastAsia="仿宋" w:cs="仿宋"/>
          <w:color w:val="auto"/>
          <w:sz w:val="24"/>
          <w:szCs w:val="24"/>
          <w:highlight w:val="none"/>
          <w:lang w:val="en-US" w:eastAsia="zh-CN"/>
        </w:rPr>
        <w:t>正价自然科学类图书采购、正价社会科学类图书采购</w:t>
      </w:r>
      <w:r>
        <w:rPr>
          <w:rFonts w:hint="eastAsia" w:ascii="仿宋" w:hAnsi="仿宋" w:eastAsia="仿宋" w:cs="仿宋"/>
          <w:color w:val="auto"/>
          <w:sz w:val="24"/>
          <w:szCs w:val="24"/>
          <w:highlight w:val="none"/>
          <w:lang w:eastAsia="zh-CN"/>
        </w:rPr>
        <w:t>，详见本项目采购需求。</w:t>
      </w:r>
    </w:p>
    <w:p w14:paraId="5E7F39D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w:t>
      </w:r>
    </w:p>
    <w:p w14:paraId="0592AF6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标项名称:</w:t>
      </w:r>
      <w:r>
        <w:rPr>
          <w:rFonts w:hint="eastAsia" w:ascii="仿宋" w:hAnsi="仿宋" w:eastAsia="仿宋" w:cs="仿宋"/>
          <w:color w:val="auto"/>
          <w:sz w:val="24"/>
          <w:szCs w:val="24"/>
          <w:highlight w:val="none"/>
          <w:lang w:val="en-US" w:eastAsia="zh-CN"/>
        </w:rPr>
        <w:t>标项1：正价自然科学类图书采购</w:t>
      </w:r>
    </w:p>
    <w:p w14:paraId="096AD46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数量:</w:t>
      </w:r>
      <w:r>
        <w:rPr>
          <w:rFonts w:hint="eastAsia" w:ascii="仿宋" w:hAnsi="仿宋" w:eastAsia="仿宋" w:cs="仿宋"/>
          <w:color w:val="auto"/>
          <w:sz w:val="24"/>
          <w:szCs w:val="24"/>
          <w:highlight w:val="none"/>
          <w:lang w:val="en-US" w:eastAsia="zh-CN"/>
        </w:rPr>
        <w:t>1批</w:t>
      </w:r>
    </w:p>
    <w:p w14:paraId="381E2E3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预算金额（元）</w:t>
      </w:r>
      <w:r>
        <w:rPr>
          <w:rFonts w:hint="eastAsia" w:ascii="仿宋" w:hAnsi="仿宋" w:eastAsia="仿宋" w:cs="仿宋"/>
          <w:color w:val="auto"/>
          <w:sz w:val="24"/>
          <w:szCs w:val="24"/>
          <w:highlight w:val="none"/>
          <w:lang w:val="en-US" w:eastAsia="zh-CN"/>
        </w:rPr>
        <w:t>1126528</w:t>
      </w:r>
    </w:p>
    <w:p w14:paraId="08EEB7C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简要规格描述或项目基本概况介绍、用途：正价自然科学类图书</w:t>
      </w:r>
      <w:r>
        <w:rPr>
          <w:rFonts w:hint="eastAsia" w:ascii="仿宋" w:hAnsi="仿宋" w:eastAsia="仿宋" w:cs="仿宋"/>
          <w:color w:val="auto"/>
          <w:sz w:val="24"/>
          <w:szCs w:val="24"/>
          <w:highlight w:val="none"/>
          <w:lang w:eastAsia="zh-CN"/>
        </w:rPr>
        <w:t>，采购</w:t>
      </w:r>
      <w:r>
        <w:rPr>
          <w:rFonts w:hint="eastAsia" w:ascii="仿宋" w:hAnsi="仿宋" w:eastAsia="仿宋" w:cs="仿宋"/>
          <w:color w:val="auto"/>
          <w:sz w:val="24"/>
          <w:szCs w:val="24"/>
          <w:highlight w:val="none"/>
          <w:lang w:val="en-US" w:eastAsia="zh-CN"/>
        </w:rPr>
        <w:t>21664</w:t>
      </w:r>
      <w:r>
        <w:rPr>
          <w:rFonts w:hint="eastAsia" w:ascii="仿宋" w:hAnsi="仿宋" w:eastAsia="仿宋" w:cs="仿宋"/>
          <w:color w:val="auto"/>
          <w:sz w:val="24"/>
          <w:szCs w:val="24"/>
          <w:highlight w:val="none"/>
          <w:lang w:eastAsia="zh-CN"/>
        </w:rPr>
        <w:t>册，出版时间202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年。</w:t>
      </w:r>
      <w:r>
        <w:rPr>
          <w:rFonts w:hint="eastAsia" w:ascii="仿宋" w:hAnsi="仿宋" w:eastAsia="仿宋" w:cs="仿宋"/>
          <w:color w:val="auto"/>
          <w:sz w:val="24"/>
          <w:szCs w:val="24"/>
          <w:highlight w:val="none"/>
        </w:rPr>
        <w:t>详见本项目采购需求</w:t>
      </w:r>
      <w:r>
        <w:rPr>
          <w:rFonts w:hint="eastAsia" w:ascii="仿宋" w:hAnsi="仿宋" w:eastAsia="仿宋" w:cs="仿宋"/>
          <w:color w:val="auto"/>
          <w:sz w:val="24"/>
          <w:szCs w:val="24"/>
          <w:highlight w:val="none"/>
          <w:lang w:eastAsia="zh-CN"/>
        </w:rPr>
        <w:t>。</w:t>
      </w:r>
    </w:p>
    <w:p w14:paraId="7257C52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备注：</w:t>
      </w:r>
      <w:r>
        <w:rPr>
          <w:rFonts w:hint="eastAsia" w:ascii="仿宋" w:hAnsi="仿宋" w:eastAsia="仿宋" w:cs="仿宋"/>
          <w:color w:val="auto"/>
          <w:sz w:val="24"/>
          <w:szCs w:val="24"/>
          <w:highlight w:val="none"/>
          <w:lang w:val="en-US" w:eastAsia="zh-CN"/>
        </w:rPr>
        <w:t>/</w:t>
      </w:r>
    </w:p>
    <w:p w14:paraId="31D99C8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yellow"/>
        </w:rPr>
      </w:pPr>
    </w:p>
    <w:p w14:paraId="30D4080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标项名称:</w:t>
      </w:r>
      <w:r>
        <w:rPr>
          <w:rFonts w:hint="eastAsia" w:ascii="仿宋" w:hAnsi="仿宋" w:eastAsia="仿宋" w:cs="仿宋"/>
          <w:color w:val="auto"/>
          <w:sz w:val="24"/>
          <w:szCs w:val="24"/>
          <w:highlight w:val="none"/>
          <w:lang w:val="en-US" w:eastAsia="zh-CN"/>
        </w:rPr>
        <w:t>标项2：正价社会科学类图书采购</w:t>
      </w:r>
    </w:p>
    <w:p w14:paraId="7FFD2A3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数量:</w:t>
      </w:r>
      <w:r>
        <w:rPr>
          <w:rFonts w:hint="eastAsia" w:ascii="仿宋" w:hAnsi="仿宋" w:eastAsia="仿宋" w:cs="仿宋"/>
          <w:color w:val="auto"/>
          <w:sz w:val="24"/>
          <w:szCs w:val="24"/>
          <w:highlight w:val="none"/>
          <w:lang w:val="en-US" w:eastAsia="zh-CN"/>
        </w:rPr>
        <w:t>1批</w:t>
      </w:r>
    </w:p>
    <w:p w14:paraId="6BD6146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预算金额（元）</w:t>
      </w:r>
      <w:r>
        <w:rPr>
          <w:rFonts w:hint="eastAsia" w:ascii="仿宋" w:hAnsi="仿宋" w:eastAsia="仿宋" w:cs="仿宋"/>
          <w:color w:val="auto"/>
          <w:sz w:val="24"/>
          <w:szCs w:val="24"/>
          <w:highlight w:val="none"/>
          <w:lang w:val="en-US" w:eastAsia="zh-CN"/>
        </w:rPr>
        <w:t>463872</w:t>
      </w:r>
    </w:p>
    <w:p w14:paraId="7DC8B1A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简要规格描述或项目基本概况介绍、用途：</w:t>
      </w:r>
      <w:r>
        <w:rPr>
          <w:rFonts w:hint="eastAsia" w:ascii="仿宋" w:hAnsi="仿宋" w:eastAsia="仿宋" w:cs="仿宋"/>
          <w:color w:val="auto"/>
          <w:sz w:val="24"/>
          <w:szCs w:val="24"/>
          <w:highlight w:val="none"/>
          <w:lang w:val="en-US" w:eastAsia="zh-CN"/>
        </w:rPr>
        <w:t>正价社会科学</w:t>
      </w:r>
      <w:r>
        <w:rPr>
          <w:rFonts w:hint="eastAsia" w:ascii="仿宋" w:hAnsi="仿宋" w:eastAsia="仿宋" w:cs="仿宋"/>
          <w:color w:val="auto"/>
          <w:sz w:val="24"/>
          <w:szCs w:val="24"/>
          <w:highlight w:val="none"/>
        </w:rPr>
        <w:t>类图书</w:t>
      </w:r>
      <w:r>
        <w:rPr>
          <w:rFonts w:hint="eastAsia" w:ascii="仿宋" w:hAnsi="仿宋" w:eastAsia="仿宋" w:cs="仿宋"/>
          <w:color w:val="auto"/>
          <w:sz w:val="24"/>
          <w:szCs w:val="24"/>
          <w:highlight w:val="none"/>
          <w:lang w:eastAsia="zh-CN"/>
        </w:rPr>
        <w:t>，采</w:t>
      </w:r>
      <w:r>
        <w:rPr>
          <w:rFonts w:hint="eastAsia" w:ascii="仿宋" w:hAnsi="仿宋" w:eastAsia="仿宋" w:cs="仿宋"/>
          <w:color w:val="auto"/>
          <w:sz w:val="24"/>
          <w:szCs w:val="24"/>
          <w:highlight w:val="none"/>
          <w:lang w:val="en-US" w:eastAsia="zh-CN"/>
        </w:rPr>
        <w:t>购11482</w:t>
      </w:r>
      <w:r>
        <w:rPr>
          <w:rFonts w:hint="eastAsia" w:ascii="仿宋" w:hAnsi="仿宋" w:eastAsia="仿宋" w:cs="仿宋"/>
          <w:color w:val="auto"/>
          <w:sz w:val="24"/>
          <w:szCs w:val="24"/>
          <w:highlight w:val="none"/>
          <w:lang w:eastAsia="zh-CN"/>
        </w:rPr>
        <w:t>册，出版时间20</w:t>
      </w:r>
      <w:r>
        <w:rPr>
          <w:rFonts w:hint="eastAsia" w:ascii="仿宋" w:hAnsi="仿宋" w:eastAsia="仿宋" w:cs="仿宋"/>
          <w:color w:val="auto"/>
          <w:sz w:val="24"/>
          <w:szCs w:val="24"/>
          <w:highlight w:val="none"/>
          <w:lang w:val="en-US" w:eastAsia="zh-CN"/>
        </w:rPr>
        <w:t>23</w:t>
      </w:r>
      <w:r>
        <w:rPr>
          <w:rFonts w:hint="eastAsia" w:ascii="仿宋" w:hAnsi="仿宋" w:eastAsia="仿宋" w:cs="仿宋"/>
          <w:color w:val="auto"/>
          <w:sz w:val="24"/>
          <w:szCs w:val="24"/>
          <w:highlight w:val="none"/>
          <w:lang w:eastAsia="zh-CN"/>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年。</w:t>
      </w: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详见本项目采购需求</w:t>
      </w:r>
      <w:r>
        <w:rPr>
          <w:rFonts w:hint="eastAsia" w:ascii="仿宋" w:hAnsi="仿宋" w:eastAsia="仿宋" w:cs="仿宋"/>
          <w:color w:val="auto"/>
          <w:sz w:val="24"/>
          <w:szCs w:val="24"/>
          <w:highlight w:val="none"/>
          <w:lang w:eastAsia="zh-CN"/>
        </w:rPr>
        <w:t>。</w:t>
      </w:r>
    </w:p>
    <w:p w14:paraId="13BBCE4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none"/>
        </w:rPr>
        <w:t>备注：</w:t>
      </w:r>
      <w:r>
        <w:rPr>
          <w:rFonts w:hint="eastAsia" w:ascii="仿宋" w:hAnsi="仿宋" w:eastAsia="仿宋" w:cs="仿宋"/>
          <w:color w:val="auto"/>
          <w:sz w:val="24"/>
          <w:szCs w:val="24"/>
          <w:highlight w:val="none"/>
          <w:lang w:val="en-US" w:eastAsia="zh-CN"/>
        </w:rPr>
        <w:t>/</w:t>
      </w:r>
    </w:p>
    <w:p w14:paraId="51EEB5F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合同履约期限：202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日前完成供货</w:t>
      </w:r>
      <w:r>
        <w:rPr>
          <w:rFonts w:hint="eastAsia" w:ascii="仿宋" w:hAnsi="仿宋" w:eastAsia="仿宋" w:cs="仿宋"/>
          <w:color w:val="auto"/>
          <w:sz w:val="24"/>
          <w:szCs w:val="24"/>
          <w:highlight w:val="none"/>
          <w:lang w:eastAsia="zh-CN"/>
        </w:rPr>
        <w:t>。</w:t>
      </w:r>
    </w:p>
    <w:p w14:paraId="5668B59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本项目（否）接受联合体投标。</w:t>
      </w:r>
    </w:p>
    <w:p w14:paraId="07736458">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2" w:name="_Toc15364"/>
      <w:r>
        <w:rPr>
          <w:rFonts w:hint="eastAsia" w:ascii="仿宋" w:hAnsi="仿宋" w:eastAsia="仿宋" w:cs="仿宋"/>
          <w:b/>
          <w:bCs/>
          <w:color w:val="auto"/>
          <w:sz w:val="24"/>
          <w:szCs w:val="24"/>
          <w:highlight w:val="none"/>
        </w:rPr>
        <w:t>二、申请人的资格要求：</w:t>
      </w:r>
      <w:bookmarkEnd w:id="2"/>
    </w:p>
    <w:p w14:paraId="0933BD5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1.满足《中华人民共和国政府采购法》第二十二条规定；</w:t>
      </w:r>
    </w:p>
    <w:p w14:paraId="3B5A0F3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yellow"/>
          <w:lang w:val="en-US" w:eastAsia="zh-CN"/>
        </w:rPr>
      </w:pPr>
      <w:r>
        <w:rPr>
          <w:rFonts w:hint="eastAsia" w:ascii="仿宋" w:hAnsi="仿宋" w:eastAsia="仿宋" w:cs="仿宋"/>
          <w:color w:val="auto"/>
          <w:sz w:val="24"/>
          <w:szCs w:val="24"/>
          <w:highlight w:val="none"/>
        </w:rPr>
        <w:t>2.落实政府采购政策需满足的资格要求：</w:t>
      </w:r>
      <w:r>
        <w:rPr>
          <w:rFonts w:hint="eastAsia" w:ascii="仿宋" w:hAnsi="仿宋" w:eastAsia="仿宋" w:cs="仿宋"/>
          <w:color w:val="auto"/>
          <w:sz w:val="24"/>
          <w:szCs w:val="24"/>
          <w:highlight w:val="none"/>
          <w:lang w:val="en-US" w:eastAsia="zh-CN"/>
        </w:rPr>
        <w:t>本项目不专门面向中小企业。</w:t>
      </w:r>
    </w:p>
    <w:p w14:paraId="1E1C81D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3.本项目的特定资格要求：投标人须具有有效的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出版物经营许可证</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p w14:paraId="707AD1E4">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3" w:name="_Toc29084"/>
      <w:r>
        <w:rPr>
          <w:rFonts w:hint="eastAsia" w:ascii="仿宋" w:hAnsi="仿宋" w:eastAsia="仿宋" w:cs="仿宋"/>
          <w:b/>
          <w:bCs/>
          <w:color w:val="auto"/>
          <w:sz w:val="24"/>
          <w:szCs w:val="24"/>
          <w:highlight w:val="none"/>
        </w:rPr>
        <w:t>三、获取招标文件</w:t>
      </w:r>
      <w:bookmarkEnd w:id="3"/>
    </w:p>
    <w:p w14:paraId="615BA2A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时间：202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04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18</w:t>
      </w:r>
      <w:r>
        <w:rPr>
          <w:rFonts w:hint="eastAsia" w:ascii="仿宋" w:hAnsi="仿宋" w:eastAsia="仿宋" w:cs="仿宋"/>
          <w:color w:val="auto"/>
          <w:sz w:val="24"/>
          <w:szCs w:val="24"/>
          <w:highlight w:val="none"/>
        </w:rPr>
        <w:t>日至202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04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28</w:t>
      </w:r>
      <w:r>
        <w:rPr>
          <w:rFonts w:hint="eastAsia" w:ascii="仿宋" w:hAnsi="仿宋" w:eastAsia="仿宋" w:cs="仿宋"/>
          <w:color w:val="auto"/>
          <w:sz w:val="24"/>
          <w:szCs w:val="24"/>
          <w:highlight w:val="none"/>
        </w:rPr>
        <w:t>日，每天上午0</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:00至12:00，下午12:00至</w:t>
      </w:r>
      <w:r>
        <w:rPr>
          <w:rFonts w:hint="eastAsia" w:ascii="仿宋" w:hAnsi="仿宋" w:eastAsia="仿宋" w:cs="仿宋"/>
          <w:color w:val="auto"/>
          <w:sz w:val="24"/>
          <w:szCs w:val="24"/>
          <w:highlight w:val="none"/>
          <w:lang w:val="en-US" w:eastAsia="zh-CN"/>
        </w:rPr>
        <w:t>23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59</w:t>
      </w:r>
      <w:r>
        <w:rPr>
          <w:rFonts w:hint="eastAsia" w:ascii="仿宋" w:hAnsi="仿宋" w:eastAsia="仿宋" w:cs="仿宋"/>
          <w:color w:val="auto"/>
          <w:sz w:val="24"/>
          <w:szCs w:val="24"/>
          <w:highlight w:val="none"/>
        </w:rPr>
        <w:t>（北京时间，法定节假日除外）</w:t>
      </w:r>
    </w:p>
    <w:p w14:paraId="0514C73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地点：政采云平台（https://www.zcygov.cn/）</w:t>
      </w:r>
    </w:p>
    <w:p w14:paraId="642D0E8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方式：供应商登录政采云平台https://www.zcygov.cn/在线申请获取采购文件（进入“项目采购”应用，在获取采购文件菜单中选择项目，申请获取采购文件）本次招标不提供纸质版招标文件。</w:t>
      </w:r>
    </w:p>
    <w:p w14:paraId="039B686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售价（元）：0元</w:t>
      </w:r>
    </w:p>
    <w:p w14:paraId="66541ADB">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4" w:name="_Toc24224"/>
      <w:r>
        <w:rPr>
          <w:rFonts w:hint="eastAsia" w:ascii="仿宋" w:hAnsi="仿宋" w:eastAsia="仿宋" w:cs="仿宋"/>
          <w:b/>
          <w:bCs/>
          <w:color w:val="auto"/>
          <w:sz w:val="24"/>
          <w:szCs w:val="24"/>
          <w:highlight w:val="none"/>
        </w:rPr>
        <w:t>四、提交投标文件截止时间、开标时间和地点</w:t>
      </w:r>
      <w:bookmarkEnd w:id="4"/>
    </w:p>
    <w:p w14:paraId="0F79475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提交投标文件截止时间：20</w:t>
      </w: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05</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日 11:00（北京时间）</w:t>
      </w:r>
    </w:p>
    <w:p w14:paraId="28E7FE0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投标地点：政采云平台（https://www.zcygov.cn/），本项目采用不见面开标，加密的电子投标文件在投标截止时间前在政采云平台上传。</w:t>
      </w:r>
    </w:p>
    <w:p w14:paraId="32DEE6D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开标时间：202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05</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日 11:00（北京时间）</w:t>
      </w:r>
    </w:p>
    <w:p w14:paraId="1F8134F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开标地点：政采云平台（https://www.zcygov.cn/）不见面开标系统</w:t>
      </w:r>
    </w:p>
    <w:p w14:paraId="6CC137F8">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5" w:name="_Toc17115"/>
      <w:r>
        <w:rPr>
          <w:rFonts w:hint="eastAsia" w:ascii="仿宋" w:hAnsi="仿宋" w:eastAsia="仿宋" w:cs="仿宋"/>
          <w:b/>
          <w:bCs/>
          <w:color w:val="auto"/>
          <w:sz w:val="24"/>
          <w:szCs w:val="24"/>
          <w:highlight w:val="none"/>
        </w:rPr>
        <w:t>五、公告期限</w:t>
      </w:r>
      <w:bookmarkEnd w:id="5"/>
    </w:p>
    <w:p w14:paraId="007A8E4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自本公告发布之日起5个工作日。</w:t>
      </w:r>
    </w:p>
    <w:p w14:paraId="257BC0EA">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6" w:name="_Toc22084"/>
      <w:r>
        <w:rPr>
          <w:rFonts w:hint="eastAsia" w:ascii="仿宋" w:hAnsi="仿宋" w:eastAsia="仿宋" w:cs="仿宋"/>
          <w:b/>
          <w:bCs/>
          <w:color w:val="auto"/>
          <w:sz w:val="24"/>
          <w:szCs w:val="24"/>
          <w:highlight w:val="none"/>
        </w:rPr>
        <w:t>六、其他补充事宜</w:t>
      </w:r>
      <w:bookmarkEnd w:id="6"/>
    </w:p>
    <w:p w14:paraId="38D5360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1、关于本项目所有公告、公示在新疆政府采购网发布。</w:t>
      </w:r>
    </w:p>
    <w:p w14:paraId="7310F8F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2、请投标单位随时关注本项目的澄清、答疑、变更事项。</w:t>
      </w:r>
    </w:p>
    <w:p w14:paraId="29EA238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3、本项目实行电子招投标，供应商须登录政采云平台申请获取招标文件，并通过政采云电子投标客户端制作响应文件，同时自行承担与投标有关的一切费用。</w:t>
      </w:r>
    </w:p>
    <w:p w14:paraId="7AC155A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4、各供应商应在开标前确保成为</w:t>
      </w:r>
      <w:r>
        <w:rPr>
          <w:rFonts w:hint="eastAsia" w:ascii="仿宋" w:hAnsi="仿宋" w:eastAsia="仿宋" w:cs="仿宋"/>
          <w:b/>
          <w:bCs/>
          <w:color w:val="auto"/>
          <w:sz w:val="24"/>
          <w:szCs w:val="24"/>
          <w:highlight w:val="none"/>
        </w:rPr>
        <w:t>新疆政府采购网</w:t>
      </w:r>
      <w:r>
        <w:rPr>
          <w:rFonts w:hint="eastAsia" w:ascii="仿宋" w:hAnsi="仿宋" w:eastAsia="仿宋" w:cs="仿宋"/>
          <w:color w:val="auto"/>
          <w:sz w:val="24"/>
          <w:szCs w:val="24"/>
          <w:highlight w:val="none"/>
        </w:rPr>
        <w:t>正式注册入库供应商，并完成CA数字证书申领。因未注册入库、未办理CA数字证书等原因造成无法投标或投标失败等后果由供应商自行承担。</w:t>
      </w:r>
    </w:p>
    <w:p w14:paraId="00BC72B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5、有意向参与电子开评标的供应商，可访问新疆数字证书认证中心官方网站（https://www.xjca.com.cn/）或下载“新疆政务通”APP自行进行申领。如需咨询，请联系新疆CA服务热线0991-2819290。</w:t>
      </w:r>
    </w:p>
    <w:p w14:paraId="285B2460">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7" w:name="_Toc21999"/>
      <w:r>
        <w:rPr>
          <w:rFonts w:hint="eastAsia" w:ascii="仿宋" w:hAnsi="仿宋" w:eastAsia="仿宋" w:cs="仿宋"/>
          <w:b/>
          <w:bCs/>
          <w:color w:val="auto"/>
          <w:sz w:val="24"/>
          <w:szCs w:val="24"/>
          <w:highlight w:val="none"/>
        </w:rPr>
        <w:t>七、对本次采购提出询问，请按以下方式联系</w:t>
      </w:r>
      <w:bookmarkEnd w:id="7"/>
    </w:p>
    <w:p w14:paraId="7598EB5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1.采购人信息</w:t>
      </w:r>
    </w:p>
    <w:p w14:paraId="3381772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名 称：新疆农业职业技术大学</w:t>
      </w:r>
    </w:p>
    <w:p w14:paraId="23EE7D6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sz w:val="24"/>
          <w:szCs w:val="24"/>
        </w:rPr>
        <w:t>地 址：昌吉市文化东路29号</w:t>
      </w:r>
    </w:p>
    <w:p w14:paraId="131F478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联系人：阿老师</w:t>
      </w:r>
    </w:p>
    <w:p w14:paraId="33C67D1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联系方式：</w:t>
      </w:r>
      <w:r>
        <w:rPr>
          <w:rFonts w:hint="eastAsia" w:ascii="仿宋" w:hAnsi="仿宋" w:eastAsia="仿宋" w:cs="仿宋"/>
          <w:color w:val="auto"/>
          <w:sz w:val="24"/>
          <w:szCs w:val="24"/>
          <w:highlight w:val="none"/>
          <w:lang w:val="en-US" w:eastAsia="zh-CN"/>
        </w:rPr>
        <w:t xml:space="preserve">13899642089 </w:t>
      </w:r>
      <w:r>
        <w:rPr>
          <w:rFonts w:hint="eastAsia" w:ascii="仿宋" w:hAnsi="仿宋" w:eastAsia="仿宋" w:cs="仿宋"/>
          <w:sz w:val="24"/>
          <w:szCs w:val="24"/>
          <w:highlight w:val="none"/>
        </w:rPr>
        <w:t xml:space="preserve"> </w:t>
      </w:r>
    </w:p>
    <w:p w14:paraId="3A85AA4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2.采购代理机构信息</w:t>
      </w:r>
    </w:p>
    <w:p w14:paraId="4458B60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称：新疆世纪星工程咨询有限公司</w:t>
      </w:r>
    </w:p>
    <w:p w14:paraId="609C014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址：乌鲁木齐经济技术开发区二期黄山街一品九点阳光德港大厦B座20楼</w:t>
      </w:r>
    </w:p>
    <w:p w14:paraId="2C6EB5B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联系方式：0991-3678303</w:t>
      </w:r>
    </w:p>
    <w:p w14:paraId="2260B39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3.项目联系方式</w:t>
      </w:r>
    </w:p>
    <w:p w14:paraId="778B720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项目联系人：</w:t>
      </w:r>
      <w:r>
        <w:rPr>
          <w:rFonts w:hint="eastAsia" w:ascii="仿宋" w:hAnsi="仿宋" w:eastAsia="仿宋" w:cs="仿宋"/>
          <w:color w:val="auto"/>
          <w:sz w:val="24"/>
          <w:szCs w:val="24"/>
          <w:highlight w:val="none"/>
          <w:lang w:val="zh-CN"/>
        </w:rPr>
        <w:t>马莉、李航、杜萍、</w:t>
      </w:r>
      <w:r>
        <w:rPr>
          <w:rFonts w:hint="eastAsia" w:ascii="仿宋" w:hAnsi="仿宋" w:eastAsia="仿宋" w:cs="仿宋"/>
          <w:color w:val="auto"/>
          <w:sz w:val="24"/>
          <w:szCs w:val="24"/>
          <w:highlight w:val="none"/>
        </w:rPr>
        <w:t>范艳娥</w:t>
      </w:r>
    </w:p>
    <w:p w14:paraId="6FBDDA4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 话：0991-3678303</w:t>
      </w:r>
    </w:p>
    <w:p w14:paraId="0DF989AD">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06509A2F">
      <w:pPr>
        <w:pStyle w:val="2"/>
        <w:numPr>
          <w:ilvl w:val="0"/>
          <w:numId w:val="1"/>
        </w:numPr>
        <w:bidi w:val="0"/>
        <w:jc w:val="center"/>
        <w:rPr>
          <w:rFonts w:hint="eastAsia" w:ascii="仿宋" w:hAnsi="仿宋" w:eastAsia="仿宋" w:cs="仿宋"/>
          <w:color w:val="auto"/>
          <w:sz w:val="32"/>
          <w:szCs w:val="32"/>
          <w:highlight w:val="none"/>
        </w:rPr>
      </w:pPr>
      <w:bookmarkStart w:id="8" w:name="_Toc31403"/>
      <w:r>
        <w:rPr>
          <w:rFonts w:hint="eastAsia" w:ascii="仿宋" w:hAnsi="仿宋" w:eastAsia="仿宋" w:cs="仿宋"/>
          <w:color w:val="auto"/>
          <w:sz w:val="32"/>
          <w:szCs w:val="32"/>
          <w:highlight w:val="none"/>
        </w:rPr>
        <w:t>投标须知前附表</w:t>
      </w:r>
      <w:bookmarkEnd w:id="8"/>
    </w:p>
    <w:p w14:paraId="7536696F">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本表是本招标项目的具体资料，是对投标人须知的具体补充和修改，如有矛盾，均以本资料表为准。标记“☑”的选项意为适用于本项目，标记“□”的选项意为不适用于本项目。</w:t>
      </w:r>
    </w:p>
    <w:p w14:paraId="076F8D25">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仿宋"/>
          <w:color w:val="auto"/>
          <w:sz w:val="24"/>
          <w:szCs w:val="24"/>
          <w:highlight w:val="none"/>
        </w:rPr>
      </w:pPr>
    </w:p>
    <w:tbl>
      <w:tblPr>
        <w:tblStyle w:val="28"/>
        <w:tblW w:w="0" w:type="auto"/>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870"/>
        <w:gridCol w:w="6652"/>
      </w:tblGrid>
      <w:tr w14:paraId="277169A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5254C8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4"/>
                <w:szCs w:val="24"/>
                <w:highlight w:val="none"/>
                <w:vertAlign w:val="baseline"/>
              </w:rPr>
            </w:pPr>
            <w:r>
              <w:rPr>
                <w:rFonts w:hint="eastAsia" w:ascii="仿宋" w:hAnsi="仿宋" w:eastAsia="仿宋" w:cs="仿宋"/>
                <w:b/>
                <w:bCs/>
                <w:color w:val="auto"/>
                <w:sz w:val="24"/>
                <w:szCs w:val="24"/>
                <w:highlight w:val="none"/>
                <w:vertAlign w:val="baseline"/>
                <w:lang w:val="en-US" w:eastAsia="zh-CN"/>
              </w:rPr>
              <w:t>条款号</w:t>
            </w:r>
          </w:p>
        </w:tc>
        <w:tc>
          <w:tcPr>
            <w:tcW w:w="6652" w:type="dxa"/>
            <w:tcBorders>
              <w:tl2br w:val="nil"/>
              <w:tr2bl w:val="nil"/>
            </w:tcBorders>
          </w:tcPr>
          <w:p w14:paraId="6CF6955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4"/>
                <w:szCs w:val="24"/>
                <w:highlight w:val="none"/>
                <w:vertAlign w:val="baseline"/>
              </w:rPr>
            </w:pPr>
            <w:r>
              <w:rPr>
                <w:rFonts w:hint="eastAsia" w:ascii="仿宋" w:hAnsi="仿宋" w:eastAsia="仿宋" w:cs="仿宋"/>
                <w:b/>
                <w:bCs/>
                <w:color w:val="auto"/>
                <w:sz w:val="24"/>
                <w:szCs w:val="24"/>
                <w:highlight w:val="none"/>
                <w:vertAlign w:val="baseline"/>
                <w:lang w:val="en-US" w:eastAsia="zh-CN"/>
              </w:rPr>
              <w:t>内容</w:t>
            </w:r>
          </w:p>
        </w:tc>
      </w:tr>
      <w:tr w14:paraId="20CF305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230980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1.1</w:t>
            </w:r>
          </w:p>
        </w:tc>
        <w:tc>
          <w:tcPr>
            <w:tcW w:w="6652" w:type="dxa"/>
            <w:tcBorders>
              <w:tl2br w:val="nil"/>
              <w:tr2bl w:val="nil"/>
            </w:tcBorders>
            <w:vAlign w:val="center"/>
          </w:tcPr>
          <w:p w14:paraId="2099F10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名 称：新疆农业职业技术昌吉市文化东路29号</w:t>
            </w:r>
          </w:p>
          <w:p w14:paraId="11CD236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 址：昌吉市文化东路29号</w:t>
            </w:r>
          </w:p>
          <w:p w14:paraId="457EF7E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联系人：阿老师</w:t>
            </w:r>
          </w:p>
          <w:p w14:paraId="65B19B7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rPr>
            </w:pPr>
            <w:r>
              <w:rPr>
                <w:rFonts w:hint="eastAsia" w:ascii="仿宋" w:hAnsi="仿宋" w:eastAsia="仿宋" w:cs="仿宋"/>
                <w:color w:val="auto"/>
                <w:sz w:val="24"/>
                <w:szCs w:val="24"/>
                <w:highlight w:val="none"/>
              </w:rPr>
              <w:t>联系方式：</w:t>
            </w:r>
            <w:r>
              <w:rPr>
                <w:rFonts w:hint="eastAsia" w:ascii="仿宋" w:hAnsi="仿宋" w:eastAsia="仿宋" w:cs="仿宋"/>
                <w:color w:val="auto"/>
                <w:sz w:val="24"/>
                <w:szCs w:val="24"/>
                <w:highlight w:val="none"/>
                <w:lang w:val="en-US" w:eastAsia="zh-CN"/>
              </w:rPr>
              <w:t>13899642089</w:t>
            </w:r>
          </w:p>
        </w:tc>
      </w:tr>
      <w:tr w14:paraId="3EEDB57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F83FAD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1.2</w:t>
            </w:r>
          </w:p>
        </w:tc>
        <w:tc>
          <w:tcPr>
            <w:tcW w:w="6652" w:type="dxa"/>
            <w:tcBorders>
              <w:tl2br w:val="nil"/>
              <w:tr2bl w:val="nil"/>
            </w:tcBorders>
            <w:vAlign w:val="center"/>
          </w:tcPr>
          <w:p w14:paraId="52E290A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 xml:space="preserve">采购代理机构：新疆世纪星工程咨询有限公司 </w:t>
            </w:r>
          </w:p>
          <w:p w14:paraId="3486F97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 xml:space="preserve">地址：乌鲁木齐经济技术开发区二期黄山街一品九点阳光德港大厦B座20楼 </w:t>
            </w:r>
          </w:p>
          <w:p w14:paraId="1A85AB5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rPr>
              <w:t>业务联系人：</w:t>
            </w:r>
            <w:r>
              <w:rPr>
                <w:rFonts w:hint="eastAsia" w:ascii="仿宋" w:hAnsi="仿宋" w:eastAsia="仿宋" w:cs="仿宋"/>
                <w:color w:val="auto"/>
                <w:sz w:val="24"/>
                <w:szCs w:val="24"/>
                <w:highlight w:val="none"/>
                <w:vertAlign w:val="baseline"/>
                <w:lang w:val="zh-CN"/>
              </w:rPr>
              <w:t>马莉、李航、杜萍、</w:t>
            </w:r>
            <w:r>
              <w:rPr>
                <w:rFonts w:hint="eastAsia" w:ascii="仿宋" w:hAnsi="仿宋" w:eastAsia="仿宋" w:cs="仿宋"/>
                <w:color w:val="auto"/>
                <w:sz w:val="24"/>
                <w:szCs w:val="24"/>
                <w:highlight w:val="none"/>
                <w:vertAlign w:val="baseline"/>
              </w:rPr>
              <w:t xml:space="preserve">范艳娥 </w:t>
            </w:r>
            <w:r>
              <w:rPr>
                <w:rFonts w:hint="eastAsia" w:ascii="仿宋" w:hAnsi="仿宋" w:eastAsia="仿宋" w:cs="仿宋"/>
                <w:color w:val="auto"/>
                <w:sz w:val="24"/>
                <w:szCs w:val="24"/>
                <w:highlight w:val="none"/>
                <w:vertAlign w:val="baseline"/>
                <w:lang w:val="en-US" w:eastAsia="zh-CN"/>
              </w:rPr>
              <w:t xml:space="preserve">  </w:t>
            </w:r>
          </w:p>
          <w:p w14:paraId="0A58A2B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 xml:space="preserve">电话：0991-3678303 </w:t>
            </w:r>
          </w:p>
          <w:p w14:paraId="0E1ADB9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rPr>
              <w:t>电子邮箱：53534373@qq.com</w:t>
            </w:r>
          </w:p>
        </w:tc>
      </w:tr>
      <w:tr w14:paraId="1503EE6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07D1E4BD">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1.3.3</w:t>
            </w:r>
          </w:p>
        </w:tc>
        <w:tc>
          <w:tcPr>
            <w:tcW w:w="6652" w:type="dxa"/>
            <w:tcBorders>
              <w:tl2br w:val="nil"/>
              <w:tr2bl w:val="nil"/>
            </w:tcBorders>
            <w:vAlign w:val="center"/>
          </w:tcPr>
          <w:p w14:paraId="59DF34D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合格投标人的其他资格要求：投标人须具有有效的</w:t>
            </w:r>
            <w:r>
              <w:rPr>
                <w:rFonts w:hint="eastAsia" w:ascii="仿宋" w:hAnsi="仿宋" w:eastAsia="仿宋" w:cs="仿宋"/>
                <w:color w:val="auto"/>
                <w:sz w:val="24"/>
                <w:szCs w:val="24"/>
                <w:highlight w:val="none"/>
                <w:vertAlign w:val="baseline"/>
                <w:lang w:eastAsia="zh-CN"/>
              </w:rPr>
              <w:t>《</w:t>
            </w:r>
            <w:r>
              <w:rPr>
                <w:rFonts w:hint="eastAsia" w:ascii="仿宋" w:hAnsi="仿宋" w:eastAsia="仿宋" w:cs="仿宋"/>
                <w:color w:val="auto"/>
                <w:sz w:val="24"/>
                <w:szCs w:val="24"/>
                <w:highlight w:val="none"/>
                <w:vertAlign w:val="baseline"/>
              </w:rPr>
              <w:t>出版物经营许可证</w:t>
            </w:r>
            <w:r>
              <w:rPr>
                <w:rFonts w:hint="eastAsia" w:ascii="仿宋" w:hAnsi="仿宋" w:eastAsia="仿宋" w:cs="仿宋"/>
                <w:color w:val="auto"/>
                <w:sz w:val="24"/>
                <w:szCs w:val="24"/>
                <w:highlight w:val="none"/>
                <w:vertAlign w:val="baseline"/>
                <w:lang w:eastAsia="zh-CN"/>
              </w:rPr>
              <w:t>》</w:t>
            </w:r>
          </w:p>
        </w:tc>
      </w:tr>
      <w:tr w14:paraId="20E75E7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01F1C83A">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1.4</w:t>
            </w:r>
          </w:p>
        </w:tc>
        <w:tc>
          <w:tcPr>
            <w:tcW w:w="6652" w:type="dxa"/>
            <w:tcBorders>
              <w:tl2br w:val="nil"/>
              <w:tr2bl w:val="nil"/>
            </w:tcBorders>
            <w:vAlign w:val="center"/>
          </w:tcPr>
          <w:p w14:paraId="4B292A8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rPr>
            </w:pPr>
            <w:r>
              <w:rPr>
                <w:rFonts w:hint="eastAsia" w:ascii="仿宋" w:hAnsi="仿宋" w:eastAsia="仿宋" w:cs="仿宋"/>
                <w:b/>
                <w:bCs/>
                <w:color w:val="auto"/>
                <w:sz w:val="24"/>
                <w:szCs w:val="24"/>
                <w:highlight w:val="none"/>
                <w:vertAlign w:val="baseline"/>
                <w:lang w:val="en-US" w:eastAsia="zh-CN"/>
              </w:rPr>
              <w:t>是否允许采购进口产品：否</w:t>
            </w:r>
          </w:p>
        </w:tc>
      </w:tr>
      <w:tr w14:paraId="4E0F23F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3FECBF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1.5.1</w:t>
            </w:r>
          </w:p>
        </w:tc>
        <w:tc>
          <w:tcPr>
            <w:tcW w:w="6652" w:type="dxa"/>
            <w:tcBorders>
              <w:tl2br w:val="nil"/>
              <w:tr2bl w:val="nil"/>
            </w:tcBorders>
            <w:vAlign w:val="center"/>
          </w:tcPr>
          <w:p w14:paraId="64D8D5F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vertAlign w:val="baseline"/>
              </w:rPr>
            </w:pPr>
            <w:r>
              <w:rPr>
                <w:rFonts w:hint="eastAsia" w:ascii="仿宋" w:hAnsi="仿宋" w:eastAsia="仿宋" w:cs="仿宋"/>
                <w:b/>
                <w:bCs/>
                <w:color w:val="auto"/>
                <w:sz w:val="24"/>
                <w:szCs w:val="24"/>
                <w:highlight w:val="none"/>
                <w:vertAlign w:val="baseline"/>
              </w:rPr>
              <w:t>本项目采购标的对应的中小企业划分标准所属行业：</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5"/>
              <w:gridCol w:w="2175"/>
              <w:gridCol w:w="3046"/>
            </w:tblGrid>
            <w:tr w14:paraId="5B856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205" w:type="dxa"/>
                  <w:vAlign w:val="center"/>
                </w:tcPr>
                <w:p w14:paraId="5F1D17D0">
                  <w:pPr>
                    <w:pStyle w:val="26"/>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sz w:val="21"/>
                      <w:szCs w:val="21"/>
                      <w:highlight w:val="none"/>
                      <w:vertAlign w:val="baseline"/>
                      <w:lang w:val="en-US" w:eastAsia="zh-CN"/>
                    </w:rPr>
                    <w:t>包号</w:t>
                  </w:r>
                </w:p>
              </w:tc>
              <w:tc>
                <w:tcPr>
                  <w:tcW w:w="2175" w:type="dxa"/>
                  <w:vAlign w:val="center"/>
                </w:tcPr>
                <w:p w14:paraId="055234BF">
                  <w:pPr>
                    <w:pStyle w:val="26"/>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sz w:val="21"/>
                      <w:szCs w:val="21"/>
                      <w:highlight w:val="none"/>
                      <w:vertAlign w:val="baseline"/>
                    </w:rPr>
                    <w:t>标的名称</w:t>
                  </w:r>
                </w:p>
              </w:tc>
              <w:tc>
                <w:tcPr>
                  <w:tcW w:w="3046" w:type="dxa"/>
                  <w:vAlign w:val="center"/>
                </w:tcPr>
                <w:p w14:paraId="21A8F73F">
                  <w:pPr>
                    <w:pStyle w:val="26"/>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sz w:val="21"/>
                      <w:szCs w:val="21"/>
                      <w:highlight w:val="none"/>
                      <w:vertAlign w:val="baseline"/>
                    </w:rPr>
                    <w:t>中小企业划分标准所属行业</w:t>
                  </w:r>
                </w:p>
              </w:tc>
            </w:tr>
            <w:tr w14:paraId="147C1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vAlign w:val="center"/>
                </w:tcPr>
                <w:p w14:paraId="0BF0CC1F">
                  <w:pPr>
                    <w:pStyle w:val="26"/>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标项1</w:t>
                  </w:r>
                </w:p>
              </w:tc>
              <w:tc>
                <w:tcPr>
                  <w:tcW w:w="2175" w:type="dxa"/>
                  <w:vAlign w:val="center"/>
                </w:tcPr>
                <w:p w14:paraId="32AC1F19">
                  <w:pPr>
                    <w:keepNext w:val="0"/>
                    <w:keepLines w:val="0"/>
                    <w:widowControl/>
                    <w:suppressLineNumbers w:val="0"/>
                    <w:jc w:val="center"/>
                    <w:textAlignment w:val="center"/>
                    <w:rPr>
                      <w:rFonts w:hint="eastAsia" w:ascii="仿宋" w:hAnsi="仿宋" w:eastAsia="仿宋" w:cs="仿宋"/>
                      <w:kern w:val="0"/>
                      <w:sz w:val="21"/>
                      <w:szCs w:val="21"/>
                      <w:highlight w:val="none"/>
                      <w:vertAlign w:val="baseline"/>
                      <w:lang w:val="en-US" w:eastAsia="zh-CN" w:bidi="ar-SA"/>
                    </w:rPr>
                  </w:pPr>
                  <w:r>
                    <w:rPr>
                      <w:rFonts w:hint="eastAsia" w:ascii="仿宋" w:hAnsi="仿宋" w:eastAsia="仿宋" w:cs="仿宋"/>
                      <w:kern w:val="0"/>
                      <w:sz w:val="21"/>
                      <w:szCs w:val="21"/>
                      <w:highlight w:val="none"/>
                      <w:vertAlign w:val="baseline"/>
                      <w:lang w:val="en-US" w:eastAsia="zh-CN" w:bidi="ar-SA"/>
                    </w:rPr>
                    <w:t>正价自然科学类图书</w:t>
                  </w:r>
                </w:p>
              </w:tc>
              <w:tc>
                <w:tcPr>
                  <w:tcW w:w="3046" w:type="dxa"/>
                  <w:vAlign w:val="center"/>
                </w:tcPr>
                <w:p w14:paraId="5A3E060C">
                  <w:pPr>
                    <w:pStyle w:val="26"/>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工业</w:t>
                  </w:r>
                </w:p>
              </w:tc>
            </w:tr>
            <w:tr w14:paraId="44ADE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vAlign w:val="center"/>
                </w:tcPr>
                <w:p w14:paraId="39E23EAB">
                  <w:pPr>
                    <w:pStyle w:val="26"/>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标项2</w:t>
                  </w:r>
                </w:p>
              </w:tc>
              <w:tc>
                <w:tcPr>
                  <w:tcW w:w="2175" w:type="dxa"/>
                  <w:vAlign w:val="center"/>
                </w:tcPr>
                <w:p w14:paraId="3B939A52">
                  <w:pPr>
                    <w:keepNext w:val="0"/>
                    <w:keepLines w:val="0"/>
                    <w:widowControl/>
                    <w:suppressLineNumbers w:val="0"/>
                    <w:jc w:val="center"/>
                    <w:textAlignment w:val="center"/>
                    <w:rPr>
                      <w:rFonts w:hint="eastAsia" w:ascii="仿宋" w:hAnsi="仿宋" w:eastAsia="仿宋" w:cs="仿宋"/>
                      <w:kern w:val="0"/>
                      <w:sz w:val="21"/>
                      <w:szCs w:val="21"/>
                      <w:highlight w:val="none"/>
                      <w:vertAlign w:val="baseline"/>
                      <w:lang w:val="en-US" w:eastAsia="zh-CN" w:bidi="ar-SA"/>
                    </w:rPr>
                  </w:pPr>
                  <w:r>
                    <w:rPr>
                      <w:rFonts w:hint="eastAsia" w:ascii="仿宋" w:hAnsi="仿宋" w:eastAsia="仿宋" w:cs="仿宋"/>
                      <w:kern w:val="0"/>
                      <w:sz w:val="21"/>
                      <w:szCs w:val="21"/>
                      <w:highlight w:val="none"/>
                      <w:vertAlign w:val="baseline"/>
                      <w:lang w:val="en-US" w:eastAsia="zh-CN" w:bidi="ar-SA"/>
                    </w:rPr>
                    <w:t>正价社会科学类图书</w:t>
                  </w:r>
                </w:p>
              </w:tc>
              <w:tc>
                <w:tcPr>
                  <w:tcW w:w="3046" w:type="dxa"/>
                  <w:vAlign w:val="center"/>
                </w:tcPr>
                <w:p w14:paraId="6C44354F">
                  <w:pPr>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工业</w:t>
                  </w:r>
                </w:p>
              </w:tc>
            </w:tr>
          </w:tbl>
          <w:p w14:paraId="0F5ECAB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vertAlign w:val="baseline"/>
                <w:lang w:val="en-US" w:eastAsia="zh-CN"/>
              </w:rPr>
            </w:pPr>
          </w:p>
        </w:tc>
      </w:tr>
      <w:tr w14:paraId="21BF0A8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C6FAD7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1.5.2</w:t>
            </w:r>
          </w:p>
        </w:tc>
        <w:tc>
          <w:tcPr>
            <w:tcW w:w="6652" w:type="dxa"/>
            <w:tcBorders>
              <w:tl2br w:val="nil"/>
              <w:tr2bl w:val="nil"/>
            </w:tcBorders>
            <w:vAlign w:val="center"/>
          </w:tcPr>
          <w:p w14:paraId="5A4DB06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☑本项目不专门面向中小企业预留采购份额。</w:t>
            </w:r>
          </w:p>
        </w:tc>
      </w:tr>
      <w:tr w14:paraId="32ECDB6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5552E28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1.11</w:t>
            </w:r>
          </w:p>
        </w:tc>
        <w:tc>
          <w:tcPr>
            <w:tcW w:w="6652" w:type="dxa"/>
            <w:tcBorders>
              <w:tl2br w:val="nil"/>
              <w:tr2bl w:val="nil"/>
            </w:tcBorders>
            <w:vAlign w:val="center"/>
          </w:tcPr>
          <w:p w14:paraId="6A6091F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是否允许联合体投标：否</w:t>
            </w:r>
          </w:p>
          <w:p w14:paraId="6C82478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联合体的其他资格要求：无</w:t>
            </w:r>
          </w:p>
        </w:tc>
      </w:tr>
      <w:tr w14:paraId="1BB0208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7BF318D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2.2</w:t>
            </w:r>
          </w:p>
        </w:tc>
        <w:tc>
          <w:tcPr>
            <w:tcW w:w="6652" w:type="dxa"/>
            <w:tcBorders>
              <w:tl2br w:val="nil"/>
              <w:tr2bl w:val="nil"/>
            </w:tcBorders>
            <w:vAlign w:val="center"/>
          </w:tcPr>
          <w:p w14:paraId="5EF28E4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项目预算金额：159.04万元，其中标项1预算金额112.6528</w:t>
            </w:r>
          </w:p>
          <w:p w14:paraId="4EF6AC5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万元，标项2预算金额46.3872万元</w:t>
            </w:r>
          </w:p>
          <w:p w14:paraId="462D5CC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lang w:val="en-US" w:eastAsia="zh-CN"/>
              </w:rPr>
              <w:t>最高限价：159.04万元，其中标项1预算金额112.6528万元，标项2预算金额46.3872万元</w:t>
            </w:r>
          </w:p>
        </w:tc>
      </w:tr>
      <w:tr w14:paraId="2AB2780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70E0473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5.4</w:t>
            </w:r>
          </w:p>
        </w:tc>
        <w:tc>
          <w:tcPr>
            <w:tcW w:w="6652" w:type="dxa"/>
            <w:tcBorders>
              <w:tl2br w:val="nil"/>
              <w:tr2bl w:val="nil"/>
            </w:tcBorders>
            <w:vAlign w:val="center"/>
          </w:tcPr>
          <w:p w14:paraId="1F20DAE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 xml:space="preserve">是否组织现场考察或者召开答疑会：否 </w:t>
            </w:r>
          </w:p>
          <w:p w14:paraId="521F3B8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组织现场考察或者召开答疑会相关要求：/</w:t>
            </w:r>
          </w:p>
        </w:tc>
      </w:tr>
      <w:tr w14:paraId="4F928E1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0584B8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 xml:space="preserve">5.7 </w:t>
            </w:r>
          </w:p>
        </w:tc>
        <w:tc>
          <w:tcPr>
            <w:tcW w:w="6652" w:type="dxa"/>
            <w:tcBorders>
              <w:tl2br w:val="nil"/>
              <w:tr2bl w:val="nil"/>
            </w:tcBorders>
            <w:vAlign w:val="center"/>
          </w:tcPr>
          <w:p w14:paraId="68EC2BB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是否需要提供样品：</w:t>
            </w:r>
            <w:r>
              <w:rPr>
                <w:rFonts w:hint="eastAsia" w:ascii="仿宋" w:hAnsi="仿宋" w:eastAsia="仿宋" w:cs="仿宋"/>
                <w:color w:val="auto"/>
                <w:sz w:val="24"/>
                <w:szCs w:val="24"/>
                <w:highlight w:val="none"/>
                <w:vertAlign w:val="baseline"/>
                <w:lang w:val="en-US" w:eastAsia="zh-CN"/>
              </w:rPr>
              <w:t>是</w:t>
            </w:r>
            <w:r>
              <w:rPr>
                <w:rFonts w:hint="eastAsia" w:ascii="仿宋" w:hAnsi="仿宋" w:eastAsia="仿宋" w:cs="仿宋"/>
                <w:color w:val="auto"/>
                <w:sz w:val="24"/>
                <w:szCs w:val="24"/>
                <w:highlight w:val="none"/>
                <w:vertAlign w:val="baseline"/>
              </w:rPr>
              <w:t xml:space="preserve"> </w:t>
            </w:r>
          </w:p>
          <w:p w14:paraId="06113BB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rPr>
              <w:t>提供样品要求包括：</w:t>
            </w:r>
            <w:r>
              <w:rPr>
                <w:rFonts w:hint="eastAsia" w:ascii="仿宋" w:hAnsi="仿宋" w:eastAsia="仿宋" w:cs="仿宋"/>
                <w:b w:val="0"/>
                <w:bCs w:val="0"/>
                <w:color w:val="auto"/>
                <w:sz w:val="24"/>
                <w:szCs w:val="24"/>
                <w:highlight w:val="none"/>
                <w:vertAlign w:val="baseline"/>
                <w:lang w:val="en-US" w:eastAsia="zh-CN"/>
              </w:rPr>
              <w:t>详见采购需求；</w:t>
            </w:r>
          </w:p>
        </w:tc>
      </w:tr>
      <w:tr w14:paraId="5A7892E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5BC566D">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 xml:space="preserve">7.1 </w:t>
            </w:r>
          </w:p>
        </w:tc>
        <w:tc>
          <w:tcPr>
            <w:tcW w:w="6652" w:type="dxa"/>
            <w:tcBorders>
              <w:tl2br w:val="nil"/>
              <w:tr2bl w:val="nil"/>
            </w:tcBorders>
            <w:vAlign w:val="center"/>
          </w:tcPr>
          <w:p w14:paraId="51FABC3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b/>
                <w:bCs/>
                <w:color w:val="auto"/>
                <w:sz w:val="24"/>
                <w:szCs w:val="24"/>
                <w:highlight w:val="none"/>
                <w:vertAlign w:val="baseline"/>
              </w:rPr>
              <w:t>如投标人对多个包进行投标，可以中标</w:t>
            </w:r>
            <w:r>
              <w:rPr>
                <w:rFonts w:hint="eastAsia" w:ascii="仿宋" w:hAnsi="仿宋" w:eastAsia="仿宋" w:cs="仿宋"/>
                <w:b/>
                <w:bCs/>
                <w:color w:val="auto"/>
                <w:sz w:val="24"/>
                <w:szCs w:val="24"/>
                <w:highlight w:val="none"/>
                <w:u w:val="single"/>
                <w:vertAlign w:val="baseline"/>
                <w:lang w:val="en-US" w:eastAsia="zh-CN"/>
              </w:rPr>
              <w:t>一</w:t>
            </w:r>
            <w:r>
              <w:rPr>
                <w:rFonts w:hint="eastAsia" w:ascii="仿宋" w:hAnsi="仿宋" w:eastAsia="仿宋" w:cs="仿宋"/>
                <w:b/>
                <w:bCs/>
                <w:color w:val="auto"/>
                <w:sz w:val="24"/>
                <w:szCs w:val="24"/>
                <w:highlight w:val="none"/>
                <w:vertAlign w:val="baseline"/>
              </w:rPr>
              <w:t>包（</w:t>
            </w:r>
            <w:r>
              <w:rPr>
                <w:rFonts w:hint="eastAsia" w:ascii="仿宋" w:hAnsi="仿宋" w:eastAsia="仿宋" w:cs="仿宋"/>
                <w:b/>
                <w:bCs/>
                <w:color w:val="auto"/>
                <w:sz w:val="24"/>
                <w:szCs w:val="24"/>
                <w:highlight w:val="none"/>
                <w:vertAlign w:val="baseline"/>
                <w:lang w:val="en-US" w:eastAsia="zh-CN"/>
              </w:rPr>
              <w:t>兼投不兼中，</w:t>
            </w:r>
            <w:r>
              <w:rPr>
                <w:rFonts w:hint="eastAsia" w:ascii="仿宋" w:hAnsi="仿宋" w:eastAsia="仿宋" w:cs="仿宋"/>
                <w:b/>
                <w:bCs/>
                <w:color w:val="auto"/>
                <w:sz w:val="24"/>
                <w:szCs w:val="24"/>
                <w:highlight w:val="none"/>
                <w:vertAlign w:val="baseline"/>
              </w:rPr>
              <w:t>每个投标人最多只可获本项目</w:t>
            </w:r>
            <w:r>
              <w:rPr>
                <w:rFonts w:hint="eastAsia" w:ascii="仿宋" w:hAnsi="仿宋" w:eastAsia="仿宋" w:cs="仿宋"/>
                <w:b/>
                <w:bCs/>
                <w:color w:val="auto"/>
                <w:sz w:val="24"/>
                <w:szCs w:val="24"/>
                <w:highlight w:val="none"/>
                <w:vertAlign w:val="baseline"/>
                <w:lang w:val="en-US" w:eastAsia="zh-CN"/>
              </w:rPr>
              <w:t>1</w:t>
            </w:r>
            <w:r>
              <w:rPr>
                <w:rFonts w:hint="eastAsia" w:ascii="仿宋" w:hAnsi="仿宋" w:eastAsia="仿宋" w:cs="仿宋"/>
                <w:b/>
                <w:bCs/>
                <w:color w:val="auto"/>
                <w:sz w:val="24"/>
                <w:szCs w:val="24"/>
                <w:highlight w:val="none"/>
                <w:vertAlign w:val="baseline"/>
              </w:rPr>
              <w:t>个包的中标。如投标人所投多包的综合得分均排序第一，则该投标人获本项目</w:t>
            </w:r>
            <w:r>
              <w:rPr>
                <w:rFonts w:hint="eastAsia" w:ascii="仿宋" w:hAnsi="仿宋" w:eastAsia="仿宋" w:cs="仿宋"/>
                <w:b/>
                <w:bCs/>
                <w:color w:val="auto"/>
                <w:sz w:val="24"/>
                <w:szCs w:val="24"/>
                <w:highlight w:val="none"/>
                <w:vertAlign w:val="baseline"/>
                <w:lang w:val="en-US" w:eastAsia="zh-CN"/>
              </w:rPr>
              <w:t>标项1</w:t>
            </w:r>
            <w:r>
              <w:rPr>
                <w:rFonts w:hint="eastAsia" w:ascii="仿宋" w:hAnsi="仿宋" w:eastAsia="仿宋" w:cs="仿宋"/>
                <w:b/>
                <w:bCs/>
                <w:color w:val="auto"/>
                <w:sz w:val="24"/>
                <w:szCs w:val="24"/>
                <w:highlight w:val="none"/>
                <w:vertAlign w:val="baseline"/>
              </w:rPr>
              <w:t>的中标。投标人前一个包中标，可以参与下一包的评审。下一包的中标供应商将按照该包排名顺序选取下一投标人。因此，确定中标供应商时，先确定</w:t>
            </w:r>
            <w:r>
              <w:rPr>
                <w:rFonts w:hint="eastAsia" w:ascii="仿宋" w:hAnsi="仿宋" w:eastAsia="仿宋" w:cs="仿宋"/>
                <w:b/>
                <w:bCs/>
                <w:color w:val="auto"/>
                <w:sz w:val="24"/>
                <w:szCs w:val="24"/>
                <w:highlight w:val="none"/>
                <w:vertAlign w:val="baseline"/>
                <w:lang w:val="en-US" w:eastAsia="zh-CN"/>
              </w:rPr>
              <w:t>标项1</w:t>
            </w:r>
            <w:r>
              <w:rPr>
                <w:rFonts w:hint="eastAsia" w:ascii="仿宋" w:hAnsi="仿宋" w:eastAsia="仿宋" w:cs="仿宋"/>
                <w:b/>
                <w:bCs/>
                <w:color w:val="auto"/>
                <w:sz w:val="24"/>
                <w:szCs w:val="24"/>
                <w:highlight w:val="none"/>
                <w:vertAlign w:val="baseline"/>
              </w:rPr>
              <w:t>中标供应商，再确定</w:t>
            </w:r>
            <w:r>
              <w:rPr>
                <w:rFonts w:hint="eastAsia" w:ascii="仿宋" w:hAnsi="仿宋" w:eastAsia="仿宋" w:cs="仿宋"/>
                <w:b/>
                <w:bCs/>
                <w:color w:val="auto"/>
                <w:sz w:val="24"/>
                <w:szCs w:val="24"/>
                <w:highlight w:val="none"/>
                <w:vertAlign w:val="baseline"/>
                <w:lang w:val="en-US" w:eastAsia="zh-CN"/>
              </w:rPr>
              <w:t>标项2</w:t>
            </w:r>
            <w:r>
              <w:rPr>
                <w:rFonts w:hint="eastAsia" w:ascii="仿宋" w:hAnsi="仿宋" w:eastAsia="仿宋" w:cs="仿宋"/>
                <w:b/>
                <w:bCs/>
                <w:color w:val="auto"/>
                <w:sz w:val="24"/>
                <w:szCs w:val="24"/>
                <w:highlight w:val="none"/>
                <w:vertAlign w:val="baseline"/>
              </w:rPr>
              <w:t>中标供应商。）</w:t>
            </w:r>
          </w:p>
        </w:tc>
      </w:tr>
      <w:tr w14:paraId="144AE56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3929F25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10</w:t>
            </w:r>
          </w:p>
        </w:tc>
        <w:tc>
          <w:tcPr>
            <w:tcW w:w="6652" w:type="dxa"/>
            <w:tcBorders>
              <w:tl2br w:val="nil"/>
              <w:tr2bl w:val="nil"/>
            </w:tcBorders>
            <w:vAlign w:val="center"/>
          </w:tcPr>
          <w:p w14:paraId="11E4A81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保证金形式：支票、汇票、本票、网上银行支付或者金融机构、担保机构出具的保函等</w:t>
            </w:r>
            <w:r>
              <w:rPr>
                <w:rFonts w:hint="eastAsia" w:ascii="仿宋" w:hAnsi="仿宋" w:eastAsia="仿宋" w:cs="仿宋"/>
                <w:color w:val="auto"/>
                <w:sz w:val="24"/>
                <w:szCs w:val="24"/>
                <w:highlight w:val="none"/>
                <w:vertAlign w:val="baseline"/>
                <w:lang w:val="en-US" w:eastAsia="zh-CN"/>
              </w:rPr>
              <w:t>政府采购法律法规中要求的</w:t>
            </w:r>
            <w:r>
              <w:rPr>
                <w:rFonts w:hint="eastAsia" w:ascii="仿宋" w:hAnsi="仿宋" w:eastAsia="仿宋" w:cs="仿宋"/>
                <w:color w:val="auto"/>
                <w:sz w:val="24"/>
                <w:szCs w:val="24"/>
                <w:highlight w:val="none"/>
                <w:vertAlign w:val="baseline"/>
              </w:rPr>
              <w:t>非现金形式</w:t>
            </w:r>
          </w:p>
          <w:p w14:paraId="1056528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保证金数额：</w:t>
            </w:r>
          </w:p>
          <w:p w14:paraId="4CBCD2F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lang w:val="en-US" w:eastAsia="zh-CN"/>
              </w:rPr>
              <w:t>标项1：22530</w:t>
            </w:r>
            <w:r>
              <w:rPr>
                <w:rFonts w:hint="eastAsia" w:ascii="仿宋" w:hAnsi="仿宋" w:eastAsia="仿宋" w:cs="仿宋"/>
                <w:color w:val="auto"/>
                <w:sz w:val="24"/>
                <w:szCs w:val="24"/>
                <w:highlight w:val="none"/>
                <w:vertAlign w:val="baseline"/>
              </w:rPr>
              <w:t>元</w:t>
            </w:r>
            <w:r>
              <w:rPr>
                <w:rFonts w:hint="eastAsia" w:ascii="仿宋" w:hAnsi="仿宋" w:eastAsia="仿宋" w:cs="仿宋"/>
                <w:color w:val="auto"/>
                <w:sz w:val="24"/>
                <w:szCs w:val="24"/>
                <w:highlight w:val="none"/>
                <w:vertAlign w:val="baseline"/>
                <w:lang w:eastAsia="zh-CN"/>
              </w:rPr>
              <w:t>（</w:t>
            </w:r>
            <w:r>
              <w:rPr>
                <w:rFonts w:hint="eastAsia" w:ascii="仿宋" w:hAnsi="仿宋" w:eastAsia="仿宋" w:cs="仿宋"/>
                <w:color w:val="auto"/>
                <w:sz w:val="24"/>
                <w:szCs w:val="24"/>
                <w:highlight w:val="none"/>
                <w:vertAlign w:val="baseline"/>
                <w:lang w:val="en-US" w:eastAsia="zh-CN"/>
              </w:rPr>
              <w:t>人民币贰万贰仟伍佰叁拾圆整</w:t>
            </w:r>
            <w:r>
              <w:rPr>
                <w:rFonts w:hint="eastAsia" w:ascii="仿宋" w:hAnsi="仿宋" w:eastAsia="仿宋" w:cs="仿宋"/>
                <w:color w:val="auto"/>
                <w:sz w:val="24"/>
                <w:szCs w:val="24"/>
                <w:highlight w:val="none"/>
                <w:vertAlign w:val="baseline"/>
                <w:lang w:eastAsia="zh-CN"/>
              </w:rPr>
              <w:t>）</w:t>
            </w:r>
          </w:p>
          <w:p w14:paraId="7DA334F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lang w:val="en-US" w:eastAsia="zh-CN"/>
              </w:rPr>
              <w:t>标项2：9277</w:t>
            </w:r>
            <w:r>
              <w:rPr>
                <w:rFonts w:hint="eastAsia" w:ascii="仿宋" w:hAnsi="仿宋" w:eastAsia="仿宋" w:cs="仿宋"/>
                <w:color w:val="auto"/>
                <w:sz w:val="24"/>
                <w:szCs w:val="24"/>
                <w:highlight w:val="none"/>
                <w:vertAlign w:val="baseline"/>
              </w:rPr>
              <w:t>元</w:t>
            </w:r>
            <w:r>
              <w:rPr>
                <w:rFonts w:hint="eastAsia" w:ascii="仿宋" w:hAnsi="仿宋" w:eastAsia="仿宋" w:cs="仿宋"/>
                <w:color w:val="auto"/>
                <w:sz w:val="24"/>
                <w:szCs w:val="24"/>
                <w:highlight w:val="none"/>
                <w:vertAlign w:val="baseline"/>
                <w:lang w:eastAsia="zh-CN"/>
              </w:rPr>
              <w:t>（</w:t>
            </w:r>
            <w:r>
              <w:rPr>
                <w:rFonts w:hint="eastAsia" w:ascii="仿宋" w:hAnsi="仿宋" w:eastAsia="仿宋" w:cs="仿宋"/>
                <w:color w:val="auto"/>
                <w:sz w:val="24"/>
                <w:szCs w:val="24"/>
                <w:highlight w:val="none"/>
                <w:vertAlign w:val="baseline"/>
                <w:lang w:val="en-US" w:eastAsia="zh-CN"/>
              </w:rPr>
              <w:t>人民币玖仟贰佰柒拾柒圆整</w:t>
            </w:r>
            <w:r>
              <w:rPr>
                <w:rFonts w:hint="eastAsia" w:ascii="仿宋" w:hAnsi="仿宋" w:eastAsia="仿宋" w:cs="仿宋"/>
                <w:color w:val="auto"/>
                <w:sz w:val="24"/>
                <w:szCs w:val="24"/>
                <w:highlight w:val="none"/>
                <w:vertAlign w:val="baseline"/>
                <w:lang w:eastAsia="zh-CN"/>
              </w:rPr>
              <w:t>）</w:t>
            </w:r>
            <w:r>
              <w:rPr>
                <w:rFonts w:hint="eastAsia" w:ascii="仿宋" w:hAnsi="仿宋" w:eastAsia="仿宋" w:cs="仿宋"/>
                <w:color w:val="auto"/>
                <w:sz w:val="24"/>
                <w:szCs w:val="24"/>
                <w:highlight w:val="none"/>
                <w:vertAlign w:val="baseline"/>
              </w:rPr>
              <w:t xml:space="preserve">  </w:t>
            </w:r>
          </w:p>
          <w:p w14:paraId="46340F5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vertAlign w:val="baseline"/>
              </w:rPr>
            </w:pPr>
            <w:r>
              <w:rPr>
                <w:rFonts w:hint="eastAsia" w:ascii="仿宋" w:hAnsi="仿宋" w:eastAsia="仿宋" w:cs="仿宋"/>
                <w:b/>
                <w:bCs/>
                <w:color w:val="auto"/>
                <w:sz w:val="24"/>
                <w:szCs w:val="24"/>
                <w:highlight w:val="none"/>
                <w:vertAlign w:val="baseline"/>
              </w:rPr>
              <w:t>网上银行</w:t>
            </w:r>
            <w:r>
              <w:rPr>
                <w:rFonts w:hint="eastAsia" w:ascii="仿宋" w:hAnsi="仿宋" w:eastAsia="仿宋" w:cs="仿宋"/>
                <w:b/>
                <w:bCs/>
                <w:color w:val="auto"/>
                <w:sz w:val="24"/>
                <w:szCs w:val="24"/>
                <w:highlight w:val="none"/>
                <w:vertAlign w:val="baseline"/>
                <w:lang w:val="en-US" w:eastAsia="zh-CN"/>
              </w:rPr>
              <w:t>缴纳</w:t>
            </w:r>
            <w:r>
              <w:rPr>
                <w:rFonts w:hint="eastAsia" w:ascii="仿宋" w:hAnsi="仿宋" w:eastAsia="仿宋" w:cs="仿宋"/>
                <w:b/>
                <w:bCs/>
                <w:color w:val="auto"/>
                <w:sz w:val="24"/>
                <w:szCs w:val="24"/>
                <w:highlight w:val="none"/>
                <w:vertAlign w:val="baseline"/>
              </w:rPr>
              <w:t>方式</w:t>
            </w:r>
            <w:r>
              <w:rPr>
                <w:rFonts w:hint="eastAsia" w:ascii="仿宋" w:hAnsi="仿宋" w:eastAsia="仿宋" w:cs="仿宋"/>
                <w:b/>
                <w:bCs/>
                <w:color w:val="auto"/>
                <w:sz w:val="24"/>
                <w:szCs w:val="24"/>
                <w:highlight w:val="none"/>
                <w:vertAlign w:val="baseline"/>
                <w:lang w:eastAsia="zh-CN"/>
              </w:rPr>
              <w:t>，</w:t>
            </w:r>
            <w:r>
              <w:rPr>
                <w:rFonts w:hint="eastAsia" w:ascii="仿宋" w:hAnsi="仿宋" w:eastAsia="仿宋" w:cs="仿宋"/>
                <w:b/>
                <w:bCs/>
                <w:color w:val="auto"/>
                <w:sz w:val="24"/>
                <w:szCs w:val="24"/>
                <w:highlight w:val="none"/>
                <w:vertAlign w:val="baseline"/>
              </w:rPr>
              <w:t>采购代理机构账号信息如下：</w:t>
            </w:r>
          </w:p>
          <w:p w14:paraId="0C9DAA2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保证金收款人：新疆世纪星工程咨询有限公司</w:t>
            </w:r>
          </w:p>
          <w:p w14:paraId="3C2C5B4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保证金收款账号：512090100100073085</w:t>
            </w:r>
          </w:p>
          <w:p w14:paraId="4A690B4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保证收款银行及行号: 兴业银行乌鲁木齐分行营业部309881002010</w:t>
            </w:r>
          </w:p>
          <w:p w14:paraId="39F33EA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投标保证金到账（保函提交）截止时间同投标截止时间。</w:t>
            </w:r>
          </w:p>
          <w:p w14:paraId="3703628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以支票、汇票、本票、网上银行支付等形式提交投标保证金的，应在投标截止时间前到账；</w:t>
            </w:r>
          </w:p>
          <w:p w14:paraId="567C522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投标保函递交方式：</w:t>
            </w:r>
            <w:r>
              <w:rPr>
                <w:rFonts w:hint="eastAsia" w:ascii="仿宋" w:hAnsi="仿宋" w:eastAsia="仿宋" w:cs="仿宋"/>
                <w:b w:val="0"/>
                <w:bCs w:val="0"/>
                <w:color w:val="auto"/>
                <w:sz w:val="24"/>
                <w:szCs w:val="24"/>
                <w:highlight w:val="none"/>
                <w:vertAlign w:val="baseline"/>
                <w:lang w:val="en-US" w:eastAsia="zh-CN"/>
              </w:rPr>
              <w:t>供应商通过"政采云平台金融服务中心"(https://jinrong.zcygov.cn/)，申请办理投标电子保函，开标时采购人或代理机构通过政采云平台保函系统进行查询，保函信息以查询结果为准，未查询到的电子保函评审时将按无效投标（响应）处理。</w:t>
            </w:r>
          </w:p>
          <w:p w14:paraId="0ED9204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由于到账时间晚于投标截止时间的，或者票据错误、印鉴不清等原因导致不能到账的，其投标无效。</w:t>
            </w:r>
          </w:p>
          <w:p w14:paraId="4B5D32A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b w:val="0"/>
                <w:bCs w:val="0"/>
                <w:color w:val="auto"/>
                <w:sz w:val="24"/>
                <w:szCs w:val="24"/>
                <w:highlight w:val="none"/>
                <w:vertAlign w:val="baseline"/>
                <w:lang w:val="en-US" w:eastAsia="zh-CN"/>
              </w:rPr>
              <w:t>投标保证金（投标电子保函）有效期与投标有效期一致。</w:t>
            </w:r>
          </w:p>
        </w:tc>
      </w:tr>
      <w:tr w14:paraId="4258D50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6AAAB51">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11.1</w:t>
            </w:r>
          </w:p>
        </w:tc>
        <w:tc>
          <w:tcPr>
            <w:tcW w:w="6652" w:type="dxa"/>
            <w:tcBorders>
              <w:tl2br w:val="nil"/>
              <w:tr2bl w:val="nil"/>
            </w:tcBorders>
            <w:vAlign w:val="center"/>
          </w:tcPr>
          <w:p w14:paraId="509E3F7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vertAlign w:val="baseline"/>
              </w:rPr>
            </w:pPr>
            <w:r>
              <w:rPr>
                <w:rFonts w:hint="eastAsia" w:ascii="仿宋" w:hAnsi="仿宋" w:eastAsia="仿宋" w:cs="仿宋"/>
                <w:b w:val="0"/>
                <w:bCs w:val="0"/>
                <w:color w:val="auto"/>
                <w:sz w:val="24"/>
                <w:szCs w:val="24"/>
                <w:highlight w:val="none"/>
                <w:vertAlign w:val="baseline"/>
              </w:rPr>
              <w:t>投标有效期：</w:t>
            </w:r>
            <w:r>
              <w:rPr>
                <w:rFonts w:hint="eastAsia" w:ascii="仿宋" w:hAnsi="仿宋" w:eastAsia="仿宋" w:cs="仿宋"/>
                <w:b w:val="0"/>
                <w:bCs w:val="0"/>
                <w:color w:val="auto"/>
                <w:sz w:val="24"/>
                <w:szCs w:val="24"/>
                <w:highlight w:val="none"/>
                <w:vertAlign w:val="baseline"/>
                <w:lang w:val="en-US" w:eastAsia="zh-CN"/>
              </w:rPr>
              <w:t>90</w:t>
            </w:r>
            <w:r>
              <w:rPr>
                <w:rFonts w:hint="eastAsia" w:ascii="仿宋" w:hAnsi="仿宋" w:eastAsia="仿宋" w:cs="仿宋"/>
                <w:b w:val="0"/>
                <w:bCs w:val="0"/>
                <w:color w:val="auto"/>
                <w:sz w:val="24"/>
                <w:szCs w:val="24"/>
                <w:highlight w:val="none"/>
                <w:vertAlign w:val="baseline"/>
              </w:rPr>
              <w:t>日历日</w:t>
            </w:r>
          </w:p>
        </w:tc>
      </w:tr>
      <w:tr w14:paraId="2D62126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5A2DCF61">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13.1</w:t>
            </w:r>
          </w:p>
        </w:tc>
        <w:tc>
          <w:tcPr>
            <w:tcW w:w="6652" w:type="dxa"/>
            <w:tcBorders>
              <w:tl2br w:val="nil"/>
              <w:tr2bl w:val="nil"/>
            </w:tcBorders>
            <w:vAlign w:val="center"/>
          </w:tcPr>
          <w:p w14:paraId="5FB1A91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投标截止时间：2025 年5月12日 11:00（北京时间）</w:t>
            </w:r>
          </w:p>
        </w:tc>
      </w:tr>
      <w:tr w14:paraId="7F3A41C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3AB575F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14.1</w:t>
            </w:r>
          </w:p>
        </w:tc>
        <w:tc>
          <w:tcPr>
            <w:tcW w:w="6652" w:type="dxa"/>
            <w:tcBorders>
              <w:tl2br w:val="nil"/>
              <w:tr2bl w:val="nil"/>
            </w:tcBorders>
            <w:vAlign w:val="center"/>
          </w:tcPr>
          <w:p w14:paraId="3F62472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开标时间：同投标截止时间 </w:t>
            </w:r>
          </w:p>
          <w:p w14:paraId="47F4CED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开标地点：政采云平台（https://www.zcygov.cn/）不见面开标系统</w:t>
            </w:r>
          </w:p>
        </w:tc>
      </w:tr>
      <w:tr w14:paraId="4CAF6FA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57" w:hRule="atLeast"/>
        </w:trPr>
        <w:tc>
          <w:tcPr>
            <w:tcW w:w="1870" w:type="dxa"/>
            <w:tcBorders>
              <w:bottom w:val="single" w:color="auto" w:sz="4" w:space="0"/>
              <w:tl2br w:val="nil"/>
              <w:tr2bl w:val="nil"/>
            </w:tcBorders>
            <w:vAlign w:val="center"/>
          </w:tcPr>
          <w:p w14:paraId="5823860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18.1</w:t>
            </w:r>
          </w:p>
        </w:tc>
        <w:tc>
          <w:tcPr>
            <w:tcW w:w="6652" w:type="dxa"/>
            <w:tcBorders>
              <w:bottom w:val="single" w:color="auto" w:sz="4" w:space="0"/>
              <w:tl2br w:val="nil"/>
              <w:tr2bl w:val="nil"/>
            </w:tcBorders>
            <w:vAlign w:val="center"/>
          </w:tcPr>
          <w:p w14:paraId="1E75ED9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采购人是否委托评标委员会直接确定中标人：否 </w:t>
            </w:r>
          </w:p>
        </w:tc>
      </w:tr>
      <w:tr w14:paraId="3C5C852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5" w:hRule="atLeast"/>
        </w:trPr>
        <w:tc>
          <w:tcPr>
            <w:tcW w:w="1870" w:type="dxa"/>
            <w:tcBorders>
              <w:top w:val="single" w:color="auto" w:sz="4" w:space="0"/>
              <w:tl2br w:val="nil"/>
              <w:tr2bl w:val="nil"/>
            </w:tcBorders>
            <w:vAlign w:val="center"/>
          </w:tcPr>
          <w:p w14:paraId="6D3A602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21.5</w:t>
            </w:r>
          </w:p>
        </w:tc>
        <w:tc>
          <w:tcPr>
            <w:tcW w:w="6652" w:type="dxa"/>
            <w:tcBorders>
              <w:top w:val="single" w:color="auto" w:sz="4" w:space="0"/>
              <w:tl2br w:val="nil"/>
              <w:tr2bl w:val="nil"/>
            </w:tcBorders>
            <w:vAlign w:val="center"/>
          </w:tcPr>
          <w:p w14:paraId="21EF04F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本项目是否允许分包：</w:t>
            </w:r>
          </w:p>
          <w:p w14:paraId="34A62E6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☑不允许</w:t>
            </w:r>
          </w:p>
          <w:p w14:paraId="2F6A5E4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□允许，具体要求：</w:t>
            </w:r>
          </w:p>
          <w:p w14:paraId="594DD67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（1）可以分包履行的具体内容：</w:t>
            </w:r>
            <w:r>
              <w:rPr>
                <w:rFonts w:hint="eastAsia" w:ascii="仿宋" w:hAnsi="仿宋" w:eastAsia="仿宋" w:cs="仿宋"/>
                <w:b w:val="0"/>
                <w:bCs w:val="0"/>
                <w:color w:val="auto"/>
                <w:sz w:val="24"/>
                <w:szCs w:val="24"/>
                <w:highlight w:val="none"/>
                <w:u w:val="single"/>
                <w:vertAlign w:val="baseline"/>
                <w:lang w:val="en-US" w:eastAsia="zh-CN"/>
              </w:rPr>
              <w:t xml:space="preserve">          </w:t>
            </w:r>
            <w:r>
              <w:rPr>
                <w:rFonts w:hint="eastAsia" w:ascii="仿宋" w:hAnsi="仿宋" w:eastAsia="仿宋" w:cs="仿宋"/>
                <w:b w:val="0"/>
                <w:bCs w:val="0"/>
                <w:color w:val="auto"/>
                <w:sz w:val="24"/>
                <w:szCs w:val="24"/>
                <w:highlight w:val="none"/>
                <w:vertAlign w:val="baseline"/>
                <w:lang w:val="en-US" w:eastAsia="zh-CN"/>
              </w:rPr>
              <w:t>；</w:t>
            </w:r>
          </w:p>
          <w:p w14:paraId="277099D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（2）允许分包的金额或者比例：</w:t>
            </w:r>
            <w:r>
              <w:rPr>
                <w:rFonts w:hint="eastAsia" w:ascii="仿宋" w:hAnsi="仿宋" w:eastAsia="仿宋" w:cs="仿宋"/>
                <w:b w:val="0"/>
                <w:bCs w:val="0"/>
                <w:color w:val="auto"/>
                <w:sz w:val="24"/>
                <w:szCs w:val="24"/>
                <w:highlight w:val="none"/>
                <w:u w:val="single"/>
                <w:vertAlign w:val="baseline"/>
                <w:lang w:val="en-US" w:eastAsia="zh-CN"/>
              </w:rPr>
              <w:t xml:space="preserve">          </w:t>
            </w:r>
            <w:r>
              <w:rPr>
                <w:rFonts w:hint="eastAsia" w:ascii="仿宋" w:hAnsi="仿宋" w:eastAsia="仿宋" w:cs="仿宋"/>
                <w:b w:val="0"/>
                <w:bCs w:val="0"/>
                <w:color w:val="auto"/>
                <w:sz w:val="24"/>
                <w:szCs w:val="24"/>
                <w:highlight w:val="none"/>
                <w:vertAlign w:val="baseline"/>
                <w:lang w:val="en-US" w:eastAsia="zh-CN"/>
              </w:rPr>
              <w:t>；</w:t>
            </w:r>
          </w:p>
          <w:p w14:paraId="50CDD16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（3）其他要求：</w:t>
            </w:r>
            <w:r>
              <w:rPr>
                <w:rFonts w:hint="eastAsia" w:ascii="仿宋" w:hAnsi="仿宋" w:eastAsia="仿宋" w:cs="仿宋"/>
                <w:b w:val="0"/>
                <w:bCs w:val="0"/>
                <w:color w:val="auto"/>
                <w:sz w:val="24"/>
                <w:szCs w:val="24"/>
                <w:highlight w:val="none"/>
                <w:u w:val="single"/>
                <w:vertAlign w:val="baseline"/>
                <w:lang w:val="en-US" w:eastAsia="zh-CN"/>
              </w:rPr>
              <w:t xml:space="preserve">              </w:t>
            </w:r>
            <w:r>
              <w:rPr>
                <w:rFonts w:hint="eastAsia" w:ascii="仿宋" w:hAnsi="仿宋" w:eastAsia="仿宋" w:cs="仿宋"/>
                <w:b w:val="0"/>
                <w:bCs w:val="0"/>
                <w:color w:val="auto"/>
                <w:sz w:val="24"/>
                <w:szCs w:val="24"/>
                <w:highlight w:val="none"/>
                <w:vertAlign w:val="baseline"/>
                <w:lang w:val="en-US" w:eastAsia="zh-CN"/>
              </w:rPr>
              <w:t>。</w:t>
            </w:r>
          </w:p>
        </w:tc>
      </w:tr>
      <w:tr w14:paraId="167FA0E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4C1E82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22.1</w:t>
            </w:r>
          </w:p>
        </w:tc>
        <w:tc>
          <w:tcPr>
            <w:tcW w:w="6652" w:type="dxa"/>
            <w:tcBorders>
              <w:tl2br w:val="nil"/>
              <w:tr2bl w:val="nil"/>
            </w:tcBorders>
            <w:vAlign w:val="center"/>
          </w:tcPr>
          <w:p w14:paraId="3190AD4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提交履约保证金的时间：/ </w:t>
            </w:r>
          </w:p>
          <w:p w14:paraId="717C762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履约保证金金额：/ </w:t>
            </w:r>
          </w:p>
          <w:p w14:paraId="7FDB247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履约保证金形式：/</w:t>
            </w:r>
          </w:p>
        </w:tc>
      </w:tr>
      <w:tr w14:paraId="5E24756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254" w:hRule="atLeast"/>
        </w:trPr>
        <w:tc>
          <w:tcPr>
            <w:tcW w:w="1870" w:type="dxa"/>
            <w:tcBorders>
              <w:bottom w:val="single" w:color="auto" w:sz="4" w:space="0"/>
              <w:tl2br w:val="nil"/>
              <w:tr2bl w:val="nil"/>
            </w:tcBorders>
            <w:vAlign w:val="center"/>
          </w:tcPr>
          <w:p w14:paraId="71A33E1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23.1</w:t>
            </w:r>
          </w:p>
        </w:tc>
        <w:tc>
          <w:tcPr>
            <w:tcW w:w="6652" w:type="dxa"/>
            <w:tcBorders>
              <w:bottom w:val="single" w:color="auto" w:sz="4" w:space="0"/>
              <w:tl2br w:val="nil"/>
              <w:tr2bl w:val="nil"/>
            </w:tcBorders>
            <w:vAlign w:val="center"/>
          </w:tcPr>
          <w:p w14:paraId="51F0A4A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是否由中标人缴纳招标代理费：是 </w:t>
            </w:r>
          </w:p>
          <w:p w14:paraId="1BB4161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招标代理费：</w:t>
            </w:r>
          </w:p>
          <w:p w14:paraId="7C59D19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标项一：参照原国家计委计价格【2002】1980 号文的计算方法下浮60%收取。  </w:t>
            </w:r>
          </w:p>
          <w:p w14:paraId="7CAFBF8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标项二：参照原国家计委计价格【2002】1980 号文的计算方法下浮40%收取。 </w:t>
            </w:r>
          </w:p>
          <w:p w14:paraId="4339E3B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支付形式：支票、电汇等形式 </w:t>
            </w:r>
          </w:p>
          <w:p w14:paraId="2EDDDE6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支付时间：在中标人领取中标通知书时，由中标人向采购代理机构一次性支付全部招标代理服务费。</w:t>
            </w:r>
          </w:p>
        </w:tc>
      </w:tr>
      <w:tr w14:paraId="0710166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9" w:hRule="atLeast"/>
        </w:trPr>
        <w:tc>
          <w:tcPr>
            <w:tcW w:w="1870" w:type="dxa"/>
            <w:tcBorders>
              <w:top w:val="single" w:color="auto" w:sz="4" w:space="0"/>
              <w:tl2br w:val="nil"/>
              <w:tr2bl w:val="nil"/>
            </w:tcBorders>
            <w:vAlign w:val="center"/>
          </w:tcPr>
          <w:p w14:paraId="10520AA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24</w:t>
            </w:r>
          </w:p>
        </w:tc>
        <w:tc>
          <w:tcPr>
            <w:tcW w:w="6652" w:type="dxa"/>
            <w:tcBorders>
              <w:top w:val="single" w:color="auto" w:sz="4" w:space="0"/>
              <w:tl2br w:val="nil"/>
              <w:tr2bl w:val="nil"/>
            </w:tcBorders>
            <w:vAlign w:val="center"/>
          </w:tcPr>
          <w:p w14:paraId="41161E8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接收询问和质疑的联系方式：</w:t>
            </w:r>
          </w:p>
          <w:p w14:paraId="1EB8BF3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1、询问</w:t>
            </w:r>
          </w:p>
          <w:p w14:paraId="131CD8C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联系部门、联系电话、通讯地址：见第一章《招标公告》中的采购代理机构信息和项目联系方式。</w:t>
            </w:r>
          </w:p>
          <w:p w14:paraId="198691A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2、质疑</w:t>
            </w:r>
          </w:p>
          <w:p w14:paraId="79C8348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联系部门：新疆世纪星工程咨询有限公司招标部</w:t>
            </w:r>
          </w:p>
          <w:p w14:paraId="060C973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联系人、联系电话：马莉     0991-3678303</w:t>
            </w:r>
          </w:p>
          <w:p w14:paraId="7401C4B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通讯地址：乌鲁木齐经济技术开发区二期黄山街一品九点阳光德港大厦B座20楼</w:t>
            </w:r>
          </w:p>
          <w:p w14:paraId="453A112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其他要求：质疑书、授权委托书及报名成功截图PDF扫描件发送至代理机构邮箱，以上资料原件邮寄或送至代理机构。</w:t>
            </w:r>
          </w:p>
        </w:tc>
      </w:tr>
      <w:tr w14:paraId="6EC08FC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8" w:hRule="atLeast"/>
        </w:trPr>
        <w:tc>
          <w:tcPr>
            <w:tcW w:w="8522" w:type="dxa"/>
            <w:gridSpan w:val="2"/>
            <w:tcBorders>
              <w:top w:val="single" w:color="auto" w:sz="4" w:space="0"/>
              <w:bottom w:val="single" w:color="auto" w:sz="4" w:space="0"/>
              <w:tl2br w:val="nil"/>
              <w:tr2bl w:val="nil"/>
            </w:tcBorders>
            <w:vAlign w:val="center"/>
          </w:tcPr>
          <w:p w14:paraId="6BCF190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适用于本投标人须知的额外增加的变动：</w:t>
            </w:r>
          </w:p>
        </w:tc>
      </w:tr>
      <w:tr w14:paraId="338EB5B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93" w:hRule="atLeast"/>
        </w:trPr>
        <w:tc>
          <w:tcPr>
            <w:tcW w:w="1870" w:type="dxa"/>
            <w:tcBorders>
              <w:top w:val="single" w:color="auto" w:sz="4" w:space="0"/>
              <w:bottom w:val="single" w:color="auto" w:sz="4" w:space="0"/>
              <w:tl2br w:val="nil"/>
              <w:tr2bl w:val="nil"/>
            </w:tcBorders>
            <w:vAlign w:val="center"/>
          </w:tcPr>
          <w:p w14:paraId="3376865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yellow"/>
                <w:vertAlign w:val="baseline"/>
                <w:lang w:val="en-US" w:eastAsia="zh-CN"/>
              </w:rPr>
            </w:pPr>
          </w:p>
        </w:tc>
        <w:tc>
          <w:tcPr>
            <w:tcW w:w="6652" w:type="dxa"/>
            <w:tcBorders>
              <w:top w:val="single" w:color="auto" w:sz="4" w:space="0"/>
              <w:bottom w:val="single" w:color="auto" w:sz="4" w:space="0"/>
              <w:tl2br w:val="nil"/>
              <w:tr2bl w:val="nil"/>
            </w:tcBorders>
            <w:vAlign w:val="center"/>
          </w:tcPr>
          <w:p w14:paraId="6A6A6E8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highlight w:val="none"/>
                <w:lang w:val="en-US" w:eastAsia="zh-CN"/>
              </w:rPr>
            </w:pPr>
            <w:r>
              <w:rPr>
                <w:rFonts w:hint="eastAsia" w:ascii="仿宋" w:hAnsi="仿宋" w:eastAsia="仿宋" w:cs="仿宋"/>
                <w:b w:val="0"/>
                <w:bCs w:val="0"/>
                <w:color w:val="auto"/>
                <w:sz w:val="24"/>
                <w:szCs w:val="24"/>
                <w:highlight w:val="none"/>
                <w:vertAlign w:val="baseline"/>
                <w:lang w:val="en-US" w:eastAsia="zh-CN"/>
              </w:rPr>
              <w:t>核心产品：/（本项目不适用）</w:t>
            </w:r>
          </w:p>
        </w:tc>
      </w:tr>
      <w:tr w14:paraId="3919FF7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47" w:hRule="atLeast"/>
        </w:trPr>
        <w:tc>
          <w:tcPr>
            <w:tcW w:w="1870" w:type="dxa"/>
            <w:tcBorders>
              <w:top w:val="single" w:color="auto" w:sz="4" w:space="0"/>
              <w:bottom w:val="single" w:color="auto" w:sz="4" w:space="0"/>
              <w:tl2br w:val="nil"/>
              <w:tr2bl w:val="nil"/>
            </w:tcBorders>
            <w:vAlign w:val="center"/>
          </w:tcPr>
          <w:p w14:paraId="4CFEA50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6652" w:type="dxa"/>
            <w:tcBorders>
              <w:top w:val="single" w:color="auto" w:sz="4" w:space="0"/>
              <w:bottom w:val="single" w:color="auto" w:sz="4" w:space="0"/>
              <w:tl2br w:val="nil"/>
              <w:tr2bl w:val="nil"/>
            </w:tcBorders>
            <w:vAlign w:val="center"/>
          </w:tcPr>
          <w:p w14:paraId="3261429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评标方法：综合评分法</w:t>
            </w:r>
          </w:p>
        </w:tc>
      </w:tr>
      <w:tr w14:paraId="24D4395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14:paraId="3E95EBC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6652" w:type="dxa"/>
            <w:tcBorders>
              <w:top w:val="single" w:color="auto" w:sz="4" w:space="0"/>
              <w:tl2br w:val="nil"/>
              <w:tr2bl w:val="nil"/>
            </w:tcBorders>
            <w:vAlign w:val="center"/>
          </w:tcPr>
          <w:p w14:paraId="7C69641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项目属性：货物</w:t>
            </w:r>
          </w:p>
        </w:tc>
      </w:tr>
      <w:tr w14:paraId="2E23042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14:paraId="39FCDD51">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样书</w:t>
            </w:r>
          </w:p>
        </w:tc>
        <w:tc>
          <w:tcPr>
            <w:tcW w:w="6652" w:type="dxa"/>
            <w:tcBorders>
              <w:top w:val="single" w:color="auto" w:sz="4" w:space="0"/>
              <w:tl2br w:val="nil"/>
              <w:tr2bl w:val="nil"/>
            </w:tcBorders>
            <w:vAlign w:val="center"/>
          </w:tcPr>
          <w:p w14:paraId="1BCF9F0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样书：</w:t>
            </w:r>
          </w:p>
          <w:p w14:paraId="2FB8C432">
            <w:pPr>
              <w:keepNext w:val="0"/>
              <w:keepLines w:val="0"/>
              <w:pageBreakBefore w:val="0"/>
              <w:widowControl w:val="0"/>
              <w:numPr>
                <w:ilvl w:val="0"/>
                <w:numId w:val="2"/>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需要提供的样品：详见采购需求；</w:t>
            </w:r>
          </w:p>
          <w:p w14:paraId="0436C8C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2.样书递交时间和地点：</w:t>
            </w:r>
          </w:p>
          <w:p w14:paraId="7E5CD82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递交时间：至投标时间截止前</w:t>
            </w:r>
          </w:p>
          <w:p w14:paraId="3982E98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递交地点：乌鲁木齐经济技术开发区二期黄山街一品九点阳光德港大厦B座20楼 </w:t>
            </w:r>
          </w:p>
          <w:p w14:paraId="5404915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3.样书的密封和包装：样书需合并密封包装，需粘贴密封条并标注供应商名称、项目名称、编号。</w:t>
            </w:r>
          </w:p>
        </w:tc>
      </w:tr>
      <w:tr w14:paraId="6E1164C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00" w:hRule="atLeast"/>
        </w:trPr>
        <w:tc>
          <w:tcPr>
            <w:tcW w:w="8522" w:type="dxa"/>
            <w:gridSpan w:val="2"/>
            <w:tcBorders>
              <w:tl2br w:val="nil"/>
              <w:tr2bl w:val="nil"/>
            </w:tcBorders>
            <w:vAlign w:val="center"/>
          </w:tcPr>
          <w:p w14:paraId="7C479F9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适用于本投标人须知的额外增加的变动：</w:t>
            </w:r>
          </w:p>
          <w:p w14:paraId="6564A4E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1、关于本项目所有公告、公示在新疆政府采购网发布。</w:t>
            </w:r>
          </w:p>
          <w:p w14:paraId="6AD2C32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2、请投标单位随时关注本项目的澄清、答疑、变更事项。</w:t>
            </w:r>
          </w:p>
          <w:p w14:paraId="6F510BE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3、本项目实行电子招投标，供应商须登录政采云平台申请获取招标文件，并通过政采云电子投标客户端制作响应文件，同时自行承担与投标有关的一切费用。</w:t>
            </w:r>
          </w:p>
          <w:p w14:paraId="783F5DD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14BD31A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5、有意向参与新疆区域电子开评标的供应商，可访问新疆数字证书认证中心官方网站（https://www.xjca.com.cn/）或下载“新疆政务通”APP自行进行申领。如需咨询，请联系新疆CA服务热线0991-2819290。</w:t>
            </w:r>
          </w:p>
          <w:p w14:paraId="3AE7BA8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6、供应商可前往新疆政府采购网（http://www.ccgp-xinjiang.gov.cn/）下载专区，下载政采云电子投标客户端，安装完成后，可通过账号密码或CA登录客户端进行响应文件制作。在使用政采云电子投标客户端时，如有问题可拨打政采云客户服务热线进行咨询。</w:t>
            </w:r>
          </w:p>
          <w:p w14:paraId="1E3D390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7、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3E79780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8、供应商在开标前须提前配置好电脑浏览器（建议使用360浏览器或谷歌浏览器），开标时请使用制作加密电子响应文件的CA锁进行解密及报价确认。</w:t>
            </w:r>
            <w:r>
              <w:rPr>
                <w:rFonts w:hint="eastAsia" w:ascii="仿宋" w:hAnsi="仿宋" w:eastAsia="仿宋" w:cs="仿宋"/>
                <w:b/>
                <w:bCs/>
                <w:color w:val="auto"/>
                <w:sz w:val="24"/>
                <w:szCs w:val="24"/>
                <w:highlight w:val="none"/>
                <w:vertAlign w:val="baseline"/>
                <w:lang w:val="en-US" w:eastAsia="zh-CN"/>
              </w:rPr>
              <w:t>本项目投标文件解密时间定为30分钟，如投标人因自身原因导致在规定的时间无法正常解密，视为开标后撤销其投标文件。</w:t>
            </w:r>
          </w:p>
          <w:p w14:paraId="3FB791F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9、政采云投标客户端中上传电子投标文件为三部分，分别为资格文件、报价文件、商务技术文件。投标人除分别按要求分别上传文件外，建议商务技术文件部分上传整本投标文件（包含资格部分、报价部分、商务技术部分）。</w:t>
            </w:r>
          </w:p>
          <w:p w14:paraId="245E803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10、报价方式：报价一律用百分比报折扣率（有效报价区间为0%≤所报折扣率＜100%），图书码洋的总折扣率须为“90%”、“95% ”等形式的折扣；如为“九折”、“九五折”、“优惠 10%”、 “优惠 5%”等形式的折扣，将被视为无效投标；图书码洋的折扣率=结算实洋/码洋。</w:t>
            </w:r>
          </w:p>
          <w:p w14:paraId="686A432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11、图书结算价格=图书码洋价×中标折扣率</w:t>
            </w:r>
          </w:p>
        </w:tc>
      </w:tr>
    </w:tbl>
    <w:p w14:paraId="16D305A2">
      <w:pP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br w:type="page"/>
      </w:r>
    </w:p>
    <w:p w14:paraId="2EE44506">
      <w:pPr>
        <w:pStyle w:val="2"/>
        <w:numPr>
          <w:ilvl w:val="0"/>
          <w:numId w:val="1"/>
        </w:numPr>
        <w:bidi w:val="0"/>
        <w:jc w:val="center"/>
        <w:rPr>
          <w:rFonts w:hint="eastAsia" w:ascii="仿宋" w:hAnsi="仿宋" w:eastAsia="仿宋" w:cs="仿宋"/>
          <w:color w:val="auto"/>
          <w:sz w:val="32"/>
          <w:szCs w:val="32"/>
          <w:highlight w:val="none"/>
        </w:rPr>
      </w:pPr>
      <w:bookmarkStart w:id="9" w:name="_Toc27881"/>
      <w:r>
        <w:rPr>
          <w:rFonts w:hint="eastAsia" w:ascii="仿宋" w:hAnsi="仿宋" w:eastAsia="仿宋" w:cs="仿宋"/>
          <w:color w:val="auto"/>
          <w:sz w:val="32"/>
          <w:szCs w:val="32"/>
          <w:highlight w:val="none"/>
        </w:rPr>
        <w:t>投标人须知</w:t>
      </w:r>
      <w:bookmarkEnd w:id="9"/>
    </w:p>
    <w:p w14:paraId="7ECE0C2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color w:val="auto"/>
          <w:sz w:val="24"/>
          <w:szCs w:val="24"/>
          <w:highlight w:val="none"/>
        </w:rPr>
      </w:pPr>
    </w:p>
    <w:p w14:paraId="28EF3273">
      <w:pPr>
        <w:keepNext w:val="0"/>
        <w:keepLines w:val="0"/>
        <w:pageBreakBefore w:val="0"/>
        <w:widowControl w:val="0"/>
        <w:numPr>
          <w:ilvl w:val="0"/>
          <w:numId w:val="3"/>
        </w:numPr>
        <w:kinsoku/>
        <w:wordWrap/>
        <w:overflowPunct/>
        <w:topLinePunct w:val="0"/>
        <w:autoSpaceDE/>
        <w:autoSpaceDN/>
        <w:bidi w:val="0"/>
        <w:adjustRightInd/>
        <w:snapToGrid/>
        <w:spacing w:line="500" w:lineRule="exact"/>
        <w:jc w:val="center"/>
        <w:textAlignment w:val="auto"/>
        <w:outlineLvl w:val="1"/>
        <w:rPr>
          <w:rFonts w:hint="eastAsia" w:ascii="仿宋" w:hAnsi="仿宋" w:eastAsia="仿宋" w:cs="仿宋"/>
          <w:b/>
          <w:bCs/>
          <w:color w:val="auto"/>
          <w:sz w:val="24"/>
          <w:szCs w:val="24"/>
          <w:highlight w:val="none"/>
        </w:rPr>
      </w:pPr>
      <w:bookmarkStart w:id="10" w:name="_Toc20936"/>
      <w:r>
        <w:rPr>
          <w:rFonts w:hint="eastAsia" w:ascii="仿宋" w:hAnsi="仿宋" w:eastAsia="仿宋" w:cs="仿宋"/>
          <w:b/>
          <w:bCs/>
          <w:color w:val="auto"/>
          <w:sz w:val="24"/>
          <w:szCs w:val="24"/>
          <w:highlight w:val="none"/>
        </w:rPr>
        <w:t>说 明</w:t>
      </w:r>
      <w:bookmarkEnd w:id="10"/>
    </w:p>
    <w:p w14:paraId="3F22A468">
      <w:pPr>
        <w:keepNext w:val="0"/>
        <w:keepLines w:val="0"/>
        <w:pageBreakBefore w:val="0"/>
        <w:widowControl w:val="0"/>
        <w:numPr>
          <w:ilvl w:val="0"/>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采购人、采购代理机构及投标人</w:t>
      </w:r>
    </w:p>
    <w:p w14:paraId="5C358627">
      <w:pPr>
        <w:keepNext w:val="0"/>
        <w:keepLines w:val="0"/>
        <w:pageBreakBefore w:val="0"/>
        <w:widowControl w:val="0"/>
        <w:numPr>
          <w:ilvl w:val="1"/>
          <w:numId w:val="5"/>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采购人：是指依法进行政府采购的国家机构、事业单位、团体组织。</w:t>
      </w:r>
    </w:p>
    <w:p w14:paraId="0A0D1D01">
      <w:pPr>
        <w:keepNext w:val="0"/>
        <w:keepLines w:val="0"/>
        <w:pageBreakBefore w:val="0"/>
        <w:widowControl w:val="0"/>
        <w:numPr>
          <w:ilvl w:val="1"/>
          <w:numId w:val="5"/>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采购代理机构：本次招标的采购代理机构为新疆世纪星工程咨询有限公司。</w:t>
      </w:r>
    </w:p>
    <w:p w14:paraId="7027F1CA">
      <w:pPr>
        <w:keepNext w:val="0"/>
        <w:keepLines w:val="0"/>
        <w:pageBreakBefore w:val="0"/>
        <w:widowControl w:val="0"/>
        <w:numPr>
          <w:ilvl w:val="1"/>
          <w:numId w:val="5"/>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投标人：是指向采购人提供货物、工程或者服务的法人、其他组织或者自然人。</w:t>
      </w:r>
    </w:p>
    <w:p w14:paraId="27C0DCD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投标人须满足以下条件：</w:t>
      </w:r>
    </w:p>
    <w:p w14:paraId="70F88EB5">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具备《中华人民共和国政府采购法》第二十二条关于投标人条件的规定，遵守国家、本项目采购人本级和上级财政部门政府采购的有关规定。</w:t>
      </w:r>
    </w:p>
    <w:p w14:paraId="52C74521">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以招标文件规定的方式获得了本项目的招标文件。</w:t>
      </w:r>
    </w:p>
    <w:p w14:paraId="3CFC393F">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符合</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中规定的其他资格要求。</w:t>
      </w:r>
    </w:p>
    <w:p w14:paraId="7D79138D">
      <w:pPr>
        <w:keepNext w:val="0"/>
        <w:keepLines w:val="0"/>
        <w:pageBreakBefore w:val="0"/>
        <w:widowControl w:val="0"/>
        <w:numPr>
          <w:ilvl w:val="1"/>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如经财政主管部门批准可以采购进口产品，将在投标须知前附表中写明。但投标人应保证所投产品可履行合法报通关手续进入中国关境内。若</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中未写明允许采购进口产品，如投标人所投产品为进口产品，其投标将作为</w:t>
      </w:r>
      <w:r>
        <w:rPr>
          <w:rFonts w:hint="eastAsia" w:ascii="仿宋" w:hAnsi="仿宋" w:eastAsia="仿宋" w:cs="仿宋"/>
          <w:b/>
          <w:bCs/>
          <w:color w:val="auto"/>
          <w:sz w:val="24"/>
          <w:szCs w:val="24"/>
          <w:highlight w:val="none"/>
          <w:lang w:val="en-US" w:eastAsia="zh-CN"/>
        </w:rPr>
        <w:t>无效投标</w:t>
      </w:r>
      <w:r>
        <w:rPr>
          <w:rFonts w:hint="eastAsia" w:ascii="仿宋" w:hAnsi="仿宋" w:eastAsia="仿宋" w:cs="仿宋"/>
          <w:b w:val="0"/>
          <w:bCs w:val="0"/>
          <w:color w:val="auto"/>
          <w:sz w:val="24"/>
          <w:szCs w:val="24"/>
          <w:highlight w:val="none"/>
          <w:lang w:val="en-US" w:eastAsia="zh-CN"/>
        </w:rPr>
        <w:t xml:space="preserve">被拒绝。 </w:t>
      </w:r>
    </w:p>
    <w:p w14:paraId="2D1DFF4E">
      <w:pPr>
        <w:keepNext w:val="0"/>
        <w:keepLines w:val="0"/>
        <w:pageBreakBefore w:val="0"/>
        <w:widowControl w:val="0"/>
        <w:numPr>
          <w:ilvl w:val="1"/>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中小企业、监狱企业及残疾人福利性单位。</w:t>
      </w:r>
    </w:p>
    <w:p w14:paraId="33A8B92E">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采购标的对应的中小企业划分标准所属行业见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299865E0">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若投标须知前附表中写明专门面向中小或小微企业采购的，如投标人所提供的货物为非中小或小微企业制造，或提供的服务、工程为非中小或小微企业承接，其投标将被认定为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。若投标须知前附表中写明本项目预留部分采购项目预算专门面向中小企业采购的，本项目面向中小企业采购预留份额、措施及比例见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，未达到上述比例的投标将被认定为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。承接企业如为监狱企业或残疾人福利性单位的，视同为小型、微型企业。</w:t>
      </w:r>
    </w:p>
    <w:p w14:paraId="28BBD9B0">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14:paraId="5F73D7F0">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 投标人提供的货物、工程或者服务符合下列情形的，享受中小企业扶持政策：</w:t>
      </w:r>
    </w:p>
    <w:p w14:paraId="401E3428">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在货物采购项目中，货物由中小企业制造，即货物由中小企业生产且使用该中小企业商号或者注册商标；</w:t>
      </w:r>
    </w:p>
    <w:p w14:paraId="5227B705">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在工程采购项目中，工程由中小企业承建，即工程施工单位为中小企业；</w:t>
      </w:r>
    </w:p>
    <w:p w14:paraId="2920DA83">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在服务采购项目中，服务由中小企业承接，即提供服务的人员为中小企业依照《中华人民共和国劳动合同法》订立劳动合同的从业人员。 </w:t>
      </w:r>
    </w:p>
    <w:p w14:paraId="1B9B1411">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在货物采购项目中，投标人提供的货物既有中小企业制造货物，也有大型企业制造货物的，不享受中小企业扶持政策。 </w:t>
      </w:r>
    </w:p>
    <w:p w14:paraId="2A9F7464">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以联合体形式参加政府采购活动，联合体各方均为中小企业的，联合体视同中小企业。其中，联合体各方均为小微企业的，联合体视同小微企业。</w:t>
      </w:r>
    </w:p>
    <w:p w14:paraId="1FDDB7DD">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683E0BB0">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享受政府采购支持政策的残疾人福利性单位根据《关于促进残疾人就业政府采购政策的通知》（财库〔2017〕141号）应当同时满足以下条件： </w:t>
      </w:r>
    </w:p>
    <w:p w14:paraId="4CBD7A65">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安置的残疾人占本单位在职职工人数的比例不低于25%（含25%），并且安置的残疾人人数不少于10人（含10人）； </w:t>
      </w:r>
    </w:p>
    <w:p w14:paraId="60BA0F85">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依法与安置的每位残疾人签订了一年以上（含一年）的劳动合同或服务协议；</w:t>
      </w:r>
    </w:p>
    <w:p w14:paraId="3E3051D3">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为安置的每位残疾人按月足额缴纳了基本养老保险、基本医疗保险、失业保险、工伤保险和生育保险等社会保险费；</w:t>
      </w:r>
    </w:p>
    <w:p w14:paraId="04B70BDB">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通过银行等金融机构向安置的每位残疾人，按月支付了不低于单位所在区县适用的经省级人民政府批准的月最低工资标准的工资；</w:t>
      </w:r>
    </w:p>
    <w:p w14:paraId="6E38BD7E">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提供本单位制造的货物、承担的工程或者服务，或者提供其他残疾人福利性单位制造的货物（不包括使用非残疾人福利性单位注册商标的货物）。</w:t>
      </w:r>
    </w:p>
    <w:p w14:paraId="2271981A">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AFC71E9">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享受中小企业扶持政策获得政府采购合同的，小微企业不得将合同分包给大中型企业，中型企业不得将合同分包给大型企业。</w:t>
      </w:r>
    </w:p>
    <w:p w14:paraId="11E2E8F8">
      <w:pPr>
        <w:keepNext w:val="0"/>
        <w:keepLines w:val="0"/>
        <w:pageBreakBefore w:val="0"/>
        <w:widowControl w:val="0"/>
        <w:numPr>
          <w:ilvl w:val="1"/>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政府采购节能产品、环境标志产品</w:t>
      </w:r>
    </w:p>
    <w:p w14:paraId="780B3350">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14:paraId="728C2CC1">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14:paraId="318DDB12">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如本项目采购产品属于实施政府强制采购品目清单范围的节能产品，则投标人所报产品必须获得国家确定的认证机构出具的、处于有效期之内的节能产品认证证书，否则</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18A27683">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非政府强制采购的节能产品或环境标志产品，依据品目清单和认证证书实施政府优先采购。优先采购的具体规定见第六章《评标程序、评标方法和评标标准》（如涉及）。</w:t>
      </w:r>
    </w:p>
    <w:p w14:paraId="63E1E0D4">
      <w:pPr>
        <w:keepNext w:val="0"/>
        <w:keepLines w:val="0"/>
        <w:pageBreakBefore w:val="0"/>
        <w:widowControl w:val="0"/>
        <w:numPr>
          <w:ilvl w:val="1"/>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支持乡村产业振兴管理</w:t>
      </w:r>
    </w:p>
    <w:p w14:paraId="2FB567A2">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为落实《关于运用政府采购政策支持乡村产业振兴的通知》（财库〔2021〕19 号）有关要求，做好支持脱贫攻坚工作，本项目采购活动中对于支持乡村振兴管理的相关要求见第五章《采购需求》（如涉及）。</w:t>
      </w:r>
    </w:p>
    <w:p w14:paraId="73BFCA1F">
      <w:pPr>
        <w:keepNext w:val="0"/>
        <w:keepLines w:val="0"/>
        <w:pageBreakBefore w:val="0"/>
        <w:widowControl w:val="0"/>
        <w:numPr>
          <w:ilvl w:val="1"/>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 正版软件</w:t>
      </w:r>
    </w:p>
    <w:p w14:paraId="755111CB">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14:paraId="1F27B803">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246528D4">
      <w:pPr>
        <w:keepNext w:val="0"/>
        <w:keepLines w:val="0"/>
        <w:pageBreakBefore w:val="0"/>
        <w:widowControl w:val="0"/>
        <w:numPr>
          <w:ilvl w:val="1"/>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供应商信用记录</w:t>
      </w:r>
    </w:p>
    <w:p w14:paraId="1B70DAA0">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依据《财政部关于在政府采购活动中查询及使用信用记录有关问题的通知》（财库〔2016〕125号），采购人、采购代理机构应当通过“信用中国”网站（www.creditchina.gov.cn）、中国政府采购网（www.ccgp.gov.cn）等渠道查询相关主体信用记录，对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响应文件将被认定为无效响应。两个以上的自然人、法人或者其他组织组成一个联合体，以一个供应商的身份共同参加政府采购活动的，应当对所有联合体成员进行信用记录查询，联合体成员存在不良信用记录的，视同联合体存在不良信用记录，其响应文件将被认定为无效响应。</w:t>
      </w:r>
    </w:p>
    <w:p w14:paraId="3FCC04AF">
      <w:pPr>
        <w:keepNext w:val="0"/>
        <w:keepLines w:val="0"/>
        <w:pageBreakBefore w:val="0"/>
        <w:widowControl w:val="0"/>
        <w:numPr>
          <w:ilvl w:val="1"/>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采购需求标准</w:t>
      </w:r>
    </w:p>
    <w:p w14:paraId="25E5F31C">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商品包装、快递包装政府采购需求标准（试行）</w:t>
      </w:r>
    </w:p>
    <w:p w14:paraId="7595CE8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为助力打好污染防治攻坚战，推广使用绿色包装，根据财政部关于印发《商品包装政府采购需求标准（试行）》、《快递包装政府采购需求标准（试行）》的通知（财办库〔2020〕123 号），本项目如涉及商品包装和快递包装的，则其具体要求见第五章《采购需求》。</w:t>
      </w:r>
    </w:p>
    <w:p w14:paraId="473E5F9D">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绿色数据中心政府采购需求标准（试行）</w:t>
      </w:r>
    </w:p>
    <w:p w14:paraId="293F6FC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为加快数据中心绿色转型，根据财政部生态环境部工业和信息化部关于印发《绿色数据中心政府采购需求标准（试行）》的通知（财库〔2023〕7 号），本项目如涉及绿色数据中心，则具体要求见第五章《采购需求》。</w:t>
      </w:r>
    </w:p>
    <w:p w14:paraId="3F3D14BA">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其他采购需求标准</w:t>
      </w:r>
    </w:p>
    <w:p w14:paraId="6FF7AF1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提高数据库政府采购需求管理的科学化、规范化水平，财政部、工业和信息化部制定了《数据库政府采购需求标准（2023版）》、《操作系统政府采购需求标准（2023版）》、《工作站政府采购需求标准（2023年版）》、《通用服务器政府采购需求标准（2023年版）》、《一体式计算机政府采购需求标准（2023年版）》、《便携式计算机政府采购需求标准（2023年版）》、《台式计算机政府采购需求标准（2023年版）》，本项目如涉及数据库、操作系统、工作站、通用服务器、一体式计算机、便携式计算机、台式计算机等，则具体要求见第五章《采购需求》。</w:t>
      </w:r>
    </w:p>
    <w:p w14:paraId="0A579BBD">
      <w:pPr>
        <w:keepNext w:val="0"/>
        <w:keepLines w:val="0"/>
        <w:pageBreakBefore w:val="0"/>
        <w:widowControl w:val="0"/>
        <w:numPr>
          <w:ilvl w:val="1"/>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中允许联合体投标，对联合体规定如下：</w:t>
      </w:r>
    </w:p>
    <w:p w14:paraId="7B620C62">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两个以上投标人可以组成一个投标联合体，以一个投标人的身份投标。  </w:t>
      </w:r>
    </w:p>
    <w:p w14:paraId="2D61A227">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联合体各方均应符合《中华人民共和国政府采购法》第二十二条规定的条件，遵守国家、本项目采购人本级和上级财政部门政府采购的有关规定。</w:t>
      </w:r>
    </w:p>
    <w:p w14:paraId="65BCD9F0">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采购人根据采购项目对投标人的特殊要求，联合体中至少应当有一方符合相关规定。</w:t>
      </w:r>
    </w:p>
    <w:p w14:paraId="724C74A7">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联合体各方应签订共同投标协议，明确约定联合体各方承担的工作和相应的责任，并将共同投标协议连同投标文件一并提交采购人或采购代理机构。</w:t>
      </w:r>
    </w:p>
    <w:p w14:paraId="10416203">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大中型企业、自然人、法人或者其他组织与小型、微型企业组成联合体共同参加投标，共同投标协议中应写明小型、微型企业的协议合同金额占到共同投标协议投标总金额的比例。联合体各方均为中小企业的，联合体视同中小企业。其中，联合体各方均为小微企业的，联合体视同小微企业。</w:t>
      </w:r>
    </w:p>
    <w:p w14:paraId="27CBA4C5">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联合体中有同类资质的投标人按照联合体分工承担相同工作的，按照资质等级较低的投标人确定资质等级。</w:t>
      </w:r>
    </w:p>
    <w:p w14:paraId="749ECCA6">
      <w:pPr>
        <w:keepNext w:val="0"/>
        <w:keepLines w:val="0"/>
        <w:pageBreakBefore w:val="0"/>
        <w:widowControl w:val="0"/>
        <w:numPr>
          <w:ilvl w:val="2"/>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对联合体投标的其他资格要求见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5FF52A86">
      <w:pPr>
        <w:keepNext w:val="0"/>
        <w:keepLines w:val="0"/>
        <w:pageBreakBefore w:val="0"/>
        <w:widowControl w:val="0"/>
        <w:numPr>
          <w:ilvl w:val="1"/>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单位负责人为同一人或者存在直接控股、管理关系的不同投标人，其投标将被认定为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 xml:space="preserve">。 </w:t>
      </w:r>
    </w:p>
    <w:p w14:paraId="5C96E204">
      <w:pPr>
        <w:keepNext w:val="0"/>
        <w:keepLines w:val="0"/>
        <w:pageBreakBefore w:val="0"/>
        <w:widowControl w:val="0"/>
        <w:numPr>
          <w:ilvl w:val="1"/>
          <w:numId w:val="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为本项目提供整体设计、规范编制或者项目管理、监理、检测等服务的投标人，其投标将被认定为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1B8D3129">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 xml:space="preserve"> 资金来源 </w:t>
      </w:r>
    </w:p>
    <w:p w14:paraId="5DAECB94">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本项目的采购人已获得足以支付本次招标后所签订的合同项下的资金（包括财政性资金和本项目采购中无法与财政性资金分割的非财政性资金）。 </w:t>
      </w:r>
    </w:p>
    <w:p w14:paraId="19C61203">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项目预算金额和最高限价见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3BD42968">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投标人报价超过招标文件规定的预算金额或者最高限价的，其投标将被认定为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 xml:space="preserve">。 </w:t>
      </w:r>
    </w:p>
    <w:p w14:paraId="57E9DE4C">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投标费用</w:t>
      </w:r>
    </w:p>
    <w:p w14:paraId="064B2B49">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投标人应自行承担所有与准备和参加投标有关的费用，无论投标的结果如何，采购人或采购代理机构在任何情况下均无承担这些费用的义务和责任。</w:t>
      </w:r>
    </w:p>
    <w:p w14:paraId="440BD9A8">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适用法律</w:t>
      </w:r>
    </w:p>
    <w:p w14:paraId="09FE81FE">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项目采购人、采购代理机构、投标人、评标委员会的相关行为均受《中华人民共和国政府采购法》、《中华人民共和国政府采购法实施条例》、《政府采购货物和服务招标投标管理办法》（财政部令第87号）及本项目本级和上级财政部门政府采购有关规定的约束，其权利受到上述法律法规的保护。</w:t>
      </w:r>
    </w:p>
    <w:p w14:paraId="2C58F177">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color w:val="auto"/>
          <w:sz w:val="24"/>
          <w:szCs w:val="24"/>
          <w:highlight w:val="none"/>
          <w:lang w:val="en-US" w:eastAsia="zh-CN"/>
        </w:rPr>
      </w:pPr>
    </w:p>
    <w:p w14:paraId="603EF7A2">
      <w:pPr>
        <w:keepNext w:val="0"/>
        <w:keepLines w:val="0"/>
        <w:pageBreakBefore w:val="0"/>
        <w:widowControl w:val="0"/>
        <w:numPr>
          <w:ilvl w:val="0"/>
          <w:numId w:val="9"/>
        </w:numPr>
        <w:tabs>
          <w:tab w:val="left" w:pos="0"/>
        </w:tabs>
        <w:kinsoku/>
        <w:wordWrap/>
        <w:overflowPunct/>
        <w:topLinePunct w:val="0"/>
        <w:autoSpaceDE/>
        <w:autoSpaceDN/>
        <w:bidi w:val="0"/>
        <w:adjustRightInd/>
        <w:snapToGrid/>
        <w:spacing w:line="500" w:lineRule="exact"/>
        <w:ind w:leftChars="0"/>
        <w:jc w:val="center"/>
        <w:textAlignment w:val="auto"/>
        <w:outlineLvl w:val="1"/>
        <w:rPr>
          <w:rFonts w:hint="eastAsia" w:ascii="仿宋" w:hAnsi="仿宋" w:eastAsia="仿宋" w:cs="仿宋"/>
          <w:b/>
          <w:bCs/>
          <w:color w:val="auto"/>
          <w:sz w:val="24"/>
          <w:szCs w:val="24"/>
          <w:highlight w:val="none"/>
          <w:lang w:val="en-US" w:eastAsia="zh-CN"/>
        </w:rPr>
      </w:pPr>
      <w:bookmarkStart w:id="11" w:name="_Toc6547"/>
      <w:r>
        <w:rPr>
          <w:rFonts w:hint="eastAsia" w:ascii="仿宋" w:hAnsi="仿宋" w:eastAsia="仿宋" w:cs="仿宋"/>
          <w:b/>
          <w:bCs/>
          <w:color w:val="auto"/>
          <w:sz w:val="24"/>
          <w:szCs w:val="24"/>
          <w:highlight w:val="none"/>
          <w:lang w:val="en-US" w:eastAsia="zh-CN"/>
        </w:rPr>
        <w:t>招标文件</w:t>
      </w:r>
      <w:bookmarkEnd w:id="11"/>
    </w:p>
    <w:p w14:paraId="00CA2EA4">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招标文件构成</w:t>
      </w:r>
    </w:p>
    <w:p w14:paraId="6D29D221">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招标文件包括以下部分：</w:t>
      </w:r>
    </w:p>
    <w:p w14:paraId="37538557">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第一章 招标公告（投标邀请） </w:t>
      </w:r>
    </w:p>
    <w:p w14:paraId="63F71E7A">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第二章 投标须知前附表 </w:t>
      </w:r>
    </w:p>
    <w:p w14:paraId="1373FFE0">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第三章 投标人须知</w:t>
      </w:r>
    </w:p>
    <w:p w14:paraId="5794834C">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第四章 政府采购合同 </w:t>
      </w:r>
    </w:p>
    <w:p w14:paraId="7ED74FF7">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第五章 采购需求 </w:t>
      </w:r>
    </w:p>
    <w:p w14:paraId="2FF05DCB">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第六章 评标程序、评标方法和评标标准</w:t>
      </w:r>
    </w:p>
    <w:p w14:paraId="08D23DF5">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第七章 投标文件格式 </w:t>
      </w:r>
    </w:p>
    <w:p w14:paraId="69631670">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投标人应认真阅读招标文件的全部内容。投标人应按照招标文件要求提交投标文件并保证所提供的全部资料的真实性，并对招标文件做出实质性响应，否则</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61A08588">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招标文件中有不一致的，有澄清的部分以最终的澄清更正内容为准；未澄清的，以投标须知前附表为准；</w:t>
      </w:r>
      <w:r>
        <w:rPr>
          <w:rFonts w:hint="eastAsia" w:ascii="仿宋" w:hAnsi="仿宋" w:eastAsia="仿宋" w:cs="仿宋"/>
          <w:b w:val="0"/>
          <w:bCs w:val="0"/>
          <w:color w:val="auto"/>
          <w:sz w:val="24"/>
          <w:szCs w:val="24"/>
          <w:highlight w:val="none"/>
          <w:u w:val="none"/>
          <w:lang w:val="en-US" w:eastAsia="zh-CN"/>
        </w:rPr>
        <w:t>投标须知前附表</w:t>
      </w:r>
      <w:r>
        <w:rPr>
          <w:rFonts w:hint="eastAsia" w:ascii="仿宋" w:hAnsi="仿宋" w:eastAsia="仿宋" w:cs="仿宋"/>
          <w:b w:val="0"/>
          <w:bCs w:val="0"/>
          <w:color w:val="auto"/>
          <w:sz w:val="24"/>
          <w:szCs w:val="24"/>
          <w:highlight w:val="none"/>
          <w:lang w:val="en-US" w:eastAsia="zh-CN"/>
        </w:rPr>
        <w:t>不涉及的内容，以编排在后的最后描述为准。</w:t>
      </w:r>
    </w:p>
    <w:p w14:paraId="18C826FC">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现场考察或者答疑会及相关事项见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373AD438">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采购人在踏勘现场中介绍的资料和数据等，只是为了使投标人能够利用招标人现有的资料。招标人对投标人由此而作出的推论、解释和结论概不负责。</w:t>
      </w:r>
    </w:p>
    <w:p w14:paraId="476EFD6D">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投标人自行承担踏勘现场发生的责任、风险和自身费用。</w:t>
      </w:r>
    </w:p>
    <w:p w14:paraId="03BEB2D3">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原则上采购人、采购代理机构不要求投标人提供样品。除仅凭书面方式不能准确描述采购需求，或者需要对样品进行主观判断以确认是否满足采购需求等特殊情况除外。如需提供样品，对样品相关要求见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，对样品的评审方法及评审标准见招标文件第六章《评标程序、评标方法和评标标准》。</w:t>
      </w:r>
    </w:p>
    <w:p w14:paraId="633BC1FD">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招标文件规定投标人提交样品的，样品属于投标文件的组成部分。样品的生产、运输、安装、保全等一切费用由投标人自理。</w:t>
      </w:r>
    </w:p>
    <w:p w14:paraId="29E4A10F">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结果公告发布后，中标供应商的样品由采购人封存，作为履约验收的依据之一。未中标供应商在接到采购代理机构通知后，应按规定时间尽快自行取回样品，否则视同供应商不再认领，代理机构有权进行处理。</w:t>
      </w:r>
    </w:p>
    <w:p w14:paraId="7D8EC874">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对招标文件的澄清或修改</w:t>
      </w:r>
    </w:p>
    <w:p w14:paraId="0552A0B4">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或采购代理机构对已发出的招标文件进行必要澄清或者修改的，将在原公告发布媒体（网站）上发布更正公告（通知），因投标人未及时登陆媒体（网站）查看导致通知未及时收到通知的，采购人或采购代理机构不承担责任。</w:t>
      </w:r>
    </w:p>
    <w:p w14:paraId="41705B11">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更正公告及其所发布的内容或信息（包括但不限于：招标文件的澄清或修改、现场考察或答疑会的有关事宜等）作为招标文件的组成部分，对投标人具有约束力。一经在指定媒体上发布后，更正公告将作为通知所有招标文件收受人的书面形式。</w:t>
      </w:r>
    </w:p>
    <w:p w14:paraId="67413F75">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澄清或者修改的内容为招标文件的组成部分，并对所有获取招标文件的潜在投标人具有约束力。澄清或者修改的内容可能影响投标文件编制的，将在投标截止时间至少 15 日前发布；不足 15 日的，将顺延提交投标文件的截止时间和开标时间。</w:t>
      </w:r>
    </w:p>
    <w:p w14:paraId="6E7BAAB8">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为了保证对招标文件的澄清和修改满足法律的时限要求，任何要求对招标文件进行澄清的投标人，均应在投标截止期十五日前，以书面形式将澄清要求通知采购人或采购代理机构。</w:t>
      </w:r>
    </w:p>
    <w:p w14:paraId="49575FCB">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如更正公告有重新发布电子招标文件的，投标人应登录电子招投标平台下载最新发布的电子招标文件制作投标文件。</w:t>
      </w:r>
    </w:p>
    <w:p w14:paraId="4F9C4D35">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投标人在规定的时间内未对招标文件提出疑问、质疑或要求澄清的，将视其为无异议。对招标文件中描述有歧义或前后不一致的地方，评标委员会有权进行评判，但对同一条款的评判应适用于每个投标人。</w:t>
      </w:r>
    </w:p>
    <w:p w14:paraId="47587242">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p>
    <w:p w14:paraId="1C89DCCF">
      <w:pPr>
        <w:keepNext w:val="0"/>
        <w:keepLines w:val="0"/>
        <w:pageBreakBefore w:val="0"/>
        <w:widowControl w:val="0"/>
        <w:numPr>
          <w:ilvl w:val="0"/>
          <w:numId w:val="9"/>
        </w:numPr>
        <w:tabs>
          <w:tab w:val="left" w:pos="0"/>
        </w:tabs>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color w:val="auto"/>
          <w:sz w:val="24"/>
          <w:szCs w:val="24"/>
          <w:highlight w:val="none"/>
          <w:lang w:val="en-US" w:eastAsia="zh-CN"/>
        </w:rPr>
      </w:pPr>
      <w:bookmarkStart w:id="12" w:name="_Toc9070"/>
      <w:r>
        <w:rPr>
          <w:rFonts w:hint="eastAsia" w:ascii="仿宋" w:hAnsi="仿宋" w:eastAsia="仿宋" w:cs="仿宋"/>
          <w:b/>
          <w:bCs/>
          <w:color w:val="auto"/>
          <w:sz w:val="24"/>
          <w:szCs w:val="24"/>
          <w:highlight w:val="none"/>
          <w:lang w:val="en-US" w:eastAsia="zh-CN"/>
        </w:rPr>
        <w:t>投标文件的编制</w:t>
      </w:r>
      <w:bookmarkEnd w:id="12"/>
    </w:p>
    <w:p w14:paraId="41C55F6E">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single"/>
          <w:lang w:val="en-US" w:eastAsia="zh-CN"/>
        </w:rPr>
      </w:pPr>
      <w:r>
        <w:rPr>
          <w:rFonts w:hint="eastAsia" w:ascii="仿宋" w:hAnsi="仿宋" w:eastAsia="仿宋" w:cs="仿宋"/>
          <w:b w:val="0"/>
          <w:bCs w:val="0"/>
          <w:color w:val="auto"/>
          <w:sz w:val="24"/>
          <w:szCs w:val="24"/>
          <w:highlight w:val="none"/>
          <w:lang w:val="en-US" w:eastAsia="zh-CN"/>
        </w:rPr>
        <w:t>投标范围、投标文件中计量单位的使用及投标语言</w:t>
      </w:r>
    </w:p>
    <w:p w14:paraId="603E97AB">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投标人可对招标文件中一个或几个分包进行投标，除非在</w:t>
      </w:r>
      <w:r>
        <w:rPr>
          <w:rFonts w:hint="eastAsia" w:ascii="仿宋" w:hAnsi="仿宋" w:eastAsia="仿宋" w:cs="仿宋"/>
          <w:b w:val="0"/>
          <w:bCs w:val="0"/>
          <w:color w:val="auto"/>
          <w:sz w:val="24"/>
          <w:szCs w:val="24"/>
          <w:highlight w:val="none"/>
          <w:u w:val="single"/>
          <w:lang w:val="en-US" w:eastAsia="zh-CN"/>
        </w:rPr>
        <w:t>投标须知前附表中另有规定</w:t>
      </w:r>
      <w:r>
        <w:rPr>
          <w:rFonts w:hint="eastAsia" w:ascii="仿宋" w:hAnsi="仿宋" w:eastAsia="仿宋" w:cs="仿宋"/>
          <w:b w:val="0"/>
          <w:bCs w:val="0"/>
          <w:color w:val="auto"/>
          <w:sz w:val="24"/>
          <w:szCs w:val="24"/>
          <w:highlight w:val="none"/>
          <w:lang w:val="en-US" w:eastAsia="zh-CN"/>
        </w:rPr>
        <w:t xml:space="preserve">。 </w:t>
      </w:r>
    </w:p>
    <w:p w14:paraId="116105C2">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投标人应当对所投采购包对应第五章《采购需求》所列的全部内容进行投标，不得将一个采购包中的内容拆分投标，其该包投标将被认定为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740EC02B">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无论招标文件中是否要求，投标人所投货物或服务均应符合国家强制性标准。</w:t>
      </w:r>
    </w:p>
    <w:p w14:paraId="1B7C459D">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除招标文件有特殊要求外，本项目投标所使用的计量单位，应采用中华人民共和国法定计量单位。</w:t>
      </w:r>
    </w:p>
    <w:p w14:paraId="098F9B39">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除专用术语外，投标文件及来往函电均应使用中文书写。必要时专用术语应附有中文解释。投标人提交的支持资料和已印制的文献可以用外文，但相应内容应附有中文翻译本，在解释投标文件时以中文翻译本为准。未附中文翻译本或翻译本中文内容明显与外文内容不一致的，其不利后果由投标人自行承担。 </w:t>
      </w:r>
    </w:p>
    <w:p w14:paraId="6569C017">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投标文件构成</w:t>
      </w:r>
    </w:p>
    <w:p w14:paraId="6B50CC9B">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投标人应当按照招标文件的要求编制投标文件。投标文件应由资格证明文件、报价文件、商务和技术文件四部分构成。投标文件的部分格式要求，见第七章《投标文件格式》。</w:t>
      </w:r>
    </w:p>
    <w:p w14:paraId="35E9925E">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第五章《采购需求》及第六章《评标程序、评标方法和评标标准》中涉及的证明文件。</w:t>
      </w:r>
    </w:p>
    <w:p w14:paraId="31094987">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照第五章《采购需求》，说明所提供货物或服务已对第五章《采购需求》做出了响应，或申明与第五章《采购需求》的偏差和例外。如第五章《采购需求》中要求提供证明文件的，投标人应当按具体要求提供证明文件。</w:t>
      </w:r>
    </w:p>
    <w:p w14:paraId="17184318">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投标人认为应附的其他材料。</w:t>
      </w:r>
    </w:p>
    <w:p w14:paraId="25569C52">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上述文件应按照招标文件的规定签署和盖公章或经公章授权的其他单位章（以下统称公章）。采用公章授权方式的，应当在投标文件中附公章授权书（格式自定）。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招标文件要求在投标文件指定位置进行签名（含电子签名）和盖章（含电子印章），对允许采用手写签名的文件，应在纸质文件手写签名后，提供文件的彩色扫描电子文档进行后续操作。</w:t>
      </w:r>
    </w:p>
    <w:p w14:paraId="512638AE">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投标报价</w:t>
      </w:r>
    </w:p>
    <w:p w14:paraId="4A237601">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所有投标均以人民币报价。</w:t>
      </w:r>
    </w:p>
    <w:p w14:paraId="5C17A9D4">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的报价应当包括完成本次招标全部采购需求所应提供的全部内容所发生的一切费用和税费，采购人将不再支付报价以外的任何费用。采购需求中有特殊规定的，从其规定。投标人的投标报价应遵守《中华人民共和国价格法》。同时，根据《中华人民共和国政府采购法》及相关配套法律、法规的规定，为保证公平竞争，如投标人有赠与行为的，将导致其</w:t>
      </w:r>
      <w:r>
        <w:rPr>
          <w:rFonts w:hint="eastAsia" w:ascii="仿宋" w:hAnsi="仿宋" w:eastAsia="仿宋" w:cs="仿宋"/>
          <w:b/>
          <w:bCs/>
          <w:color w:val="auto"/>
          <w:sz w:val="24"/>
          <w:szCs w:val="24"/>
          <w:highlight w:val="none"/>
          <w:lang w:val="en-US" w:eastAsia="zh-CN"/>
        </w:rPr>
        <w:t>投标被拒绝</w:t>
      </w:r>
      <w:r>
        <w:rPr>
          <w:rFonts w:hint="eastAsia" w:ascii="仿宋" w:hAnsi="仿宋" w:eastAsia="仿宋" w:cs="仿宋"/>
          <w:b w:val="0"/>
          <w:bCs w:val="0"/>
          <w:color w:val="auto"/>
          <w:sz w:val="24"/>
          <w:szCs w:val="24"/>
          <w:highlight w:val="none"/>
          <w:lang w:val="en-US" w:eastAsia="zh-CN"/>
        </w:rPr>
        <w:t>。</w:t>
      </w:r>
    </w:p>
    <w:p w14:paraId="54413200">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投标人所报的各分项投标单价在合同履行过程中是固定不变的，不得以任何理由予以变更。任何包含价格调整要求的投标或有选择性或可调整的报价（招标文件另有规定的除外），其投标将被认定为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 xml:space="preserve">。 </w:t>
      </w:r>
    </w:p>
    <w:p w14:paraId="752BA8F6">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按照““第五章采购需求”的需求内容、责任范围以及第四章政府采购合同”进行报价。并按“开标一览表”和“分项报价表”规定的格式报出总价和分项价格。投标总价中不得包含招标文件要求以外的内容，否则，在评审时不予核减。</w:t>
      </w:r>
    </w:p>
    <w:p w14:paraId="4DD0DED9">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投标保证金</w:t>
      </w:r>
    </w:p>
    <w:p w14:paraId="5192A056">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投标人应按</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中规定的金额及要求交纳投标保证金，并作为其投标的一部分。</w:t>
      </w:r>
    </w:p>
    <w:p w14:paraId="11065429">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交纳保证金的形式除</w:t>
      </w:r>
      <w:r>
        <w:rPr>
          <w:rFonts w:hint="eastAsia" w:ascii="仿宋" w:hAnsi="仿宋" w:eastAsia="仿宋" w:cs="仿宋"/>
          <w:b w:val="0"/>
          <w:bCs w:val="0"/>
          <w:color w:val="auto"/>
          <w:sz w:val="24"/>
          <w:szCs w:val="24"/>
          <w:highlight w:val="none"/>
          <w:u w:val="single"/>
          <w:lang w:val="en-US" w:eastAsia="zh-CN"/>
        </w:rPr>
        <w:t>供应商须知前附表</w:t>
      </w:r>
      <w:r>
        <w:rPr>
          <w:rFonts w:hint="eastAsia" w:ascii="仿宋" w:hAnsi="仿宋" w:eastAsia="仿宋" w:cs="仿宋"/>
          <w:b w:val="0"/>
          <w:bCs w:val="0"/>
          <w:color w:val="auto"/>
          <w:sz w:val="24"/>
          <w:szCs w:val="24"/>
          <w:highlight w:val="none"/>
          <w:lang w:val="en-US" w:eastAsia="zh-CN"/>
        </w:rPr>
        <w:t>中另有约定外，可采用的形式：政府采购法律法规接受的支票、汇票、本票、网上银行支付或者金融机构、担保机构出具的保函等非现金形式。</w:t>
      </w:r>
    </w:p>
    <w:p w14:paraId="34A49DE7">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到账（保函提交）截止时间同投标截止时间。以支票、汇票、本票、网上银行支付等形式提交投标保证金的，应在投标截止时间前到账；以金融机构、担保机构出具的保函等形式提交投标保证金的，应在投标截止时间前将原件提交至采购代理机构。由于到账时间晚于投标截止时间的，或者票据错误、印鉴不清等原因导致不能到账的，其</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6CFD03E4">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如采用金融机构、专业担保机构开具的投标担保函、投标保证保险函等形式提交投标保证金的，投标担保函或投标保证保险函须开具给采购人（保险受益人须为采购人），否则其</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。电子保函与纸质保函具有同样效力。</w:t>
      </w:r>
    </w:p>
    <w:p w14:paraId="68757F8A">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投标保证金（保函）有效期同投标有效期。</w:t>
      </w:r>
    </w:p>
    <w:p w14:paraId="1CE6C0CE">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联合体投标的，可以由联合体中的一方或者共同提交投标保证金，以一方名义提交投标保证金的，对联合体各方均具有约束力。</w:t>
      </w:r>
    </w:p>
    <w:p w14:paraId="0F322264">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采购代理机构将及时退还投标人的投标保证金，采用银行保函、担保机构担保函等形式递交的投标保证金，经供应商同意后采购人、采购代理机构可以不再退还，但因投标人自身原因导致无法及时退还的除外。</w:t>
      </w:r>
    </w:p>
    <w:p w14:paraId="1714DCE1">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投标人在投标截止时间前撤回已提交的投标文件的，自收到投标人书面撤回通知之日起 5 个工作日内退还已收取的投标保证金。 </w:t>
      </w:r>
    </w:p>
    <w:p w14:paraId="7B547356">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中标人的投标保证金，自采购合同签订之日起 5 个工作日内退还中标人。 </w:t>
      </w:r>
    </w:p>
    <w:p w14:paraId="2936EDA8">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未中标投标人的投标保证金，自中标通知书发出之日起 5 个工作日内退还未中标人。</w:t>
      </w:r>
    </w:p>
    <w:p w14:paraId="7B838AB3">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终止采购活动的项目已经收取投标保证金的，自终止采购活动后 5 个工作日内退还已收取的投标保证金。</w:t>
      </w:r>
    </w:p>
    <w:p w14:paraId="5D9C62ED">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有下列情形之一的，采购人或采购代理机构可以不予退还投标保证金：</w:t>
      </w:r>
    </w:p>
    <w:p w14:paraId="7932E7AC">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在投标有效期内，投标人撤回投标的； </w:t>
      </w:r>
    </w:p>
    <w:p w14:paraId="70A1DA32">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中标人不按本招标文件的规定与采购人签订合同的； </w:t>
      </w:r>
    </w:p>
    <w:p w14:paraId="5294BFEA">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中标人不按本招标文件的规定提交履约保证金的； </w:t>
      </w:r>
    </w:p>
    <w:p w14:paraId="2F1A06EC">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中标人不按本招标文件的规定缴纳中标服务费的； </w:t>
      </w:r>
    </w:p>
    <w:p w14:paraId="264507A7">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存在的串通投标情形的； </w:t>
      </w:r>
    </w:p>
    <w:p w14:paraId="24EE1A8D">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存在向采购人、代理机构或评标专家行贿事实的； </w:t>
      </w:r>
    </w:p>
    <w:p w14:paraId="2AAE470E">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法律、法规规定的其它情况。 </w:t>
      </w:r>
    </w:p>
    <w:p w14:paraId="7DCA7CDA">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投标有效期</w:t>
      </w:r>
    </w:p>
    <w:p w14:paraId="417E58B3">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投标文件应在</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中规定的投标有效期内保持有效，投标有效期少于招标文件规定期限的，其</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6C8A07BF">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也可以拒绝延长投标有效期的要求，退还其投标保证金。上述要求和答复都应以书面形式提交。</w:t>
      </w:r>
    </w:p>
    <w:p w14:paraId="596F6507">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投标文件的制作</w:t>
      </w:r>
    </w:p>
    <w:p w14:paraId="0DC8DBF2">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中，所有内容均以电子文件编制，如因不按电子招投标平台要求编制导致系统无法检索、读取相关信息时，其后果由投标人承担。由于本项目采用电子化投标，请充分考虑设备、网络环境、人员对系统熟悉度等因素，合理安排投标文件制作、提交时间，建议至少提前一天完成制作、提交工作。</w:t>
      </w:r>
    </w:p>
    <w:p w14:paraId="21FB4656">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投标人应使用电子招投标平台提供的投标客户端编制、标记、加密投标文件，成功加密后将生成指定格式的电子投标文件和电子备用投标文件</w:t>
      </w:r>
    </w:p>
    <w:p w14:paraId="3330B28C">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如有对多个采购包投标的，要对每个采购包独立制作电子投标文件。</w:t>
      </w:r>
    </w:p>
    <w:p w14:paraId="2D57FF14">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投标人须对招标文件的对应要求给予唯一的实质性响应，否则将视为</w:t>
      </w:r>
      <w:r>
        <w:rPr>
          <w:rFonts w:hint="eastAsia" w:ascii="仿宋" w:hAnsi="仿宋" w:eastAsia="仿宋" w:cs="仿宋"/>
          <w:b/>
          <w:bCs/>
          <w:color w:val="auto"/>
          <w:sz w:val="24"/>
          <w:szCs w:val="24"/>
          <w:highlight w:val="none"/>
          <w:lang w:val="en-US" w:eastAsia="zh-CN"/>
        </w:rPr>
        <w:t>不响应</w:t>
      </w:r>
      <w:r>
        <w:rPr>
          <w:rFonts w:hint="eastAsia" w:ascii="仿宋" w:hAnsi="仿宋" w:eastAsia="仿宋" w:cs="仿宋"/>
          <w:b w:val="0"/>
          <w:bCs w:val="0"/>
          <w:color w:val="auto"/>
          <w:sz w:val="24"/>
          <w:szCs w:val="24"/>
          <w:highlight w:val="none"/>
          <w:lang w:val="en-US" w:eastAsia="zh-CN"/>
        </w:rPr>
        <w:t>。</w:t>
      </w:r>
    </w:p>
    <w:p w14:paraId="12920EF8">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招标文件中，凡标有“※”的地方均为实质性响应条款，投标人若有一项带“※”的条款未响应或不满足，将按无效投标处理。</w:t>
      </w:r>
    </w:p>
    <w:p w14:paraId="1BEC1655">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按招标文件的规定及附件要求的内容和格式完整地填写和提供资料。投标人必须对投标文件所提供的全部资料的真实性承担法律责任，并无条件接受采购人和政府采购监督管理部门对其中任何资料进行核实（核对原件）的要求。</w:t>
      </w:r>
    </w:p>
    <w:p w14:paraId="70875174">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p>
    <w:p w14:paraId="6D04C315">
      <w:pPr>
        <w:keepNext w:val="0"/>
        <w:keepLines w:val="0"/>
        <w:pageBreakBefore w:val="0"/>
        <w:widowControl w:val="0"/>
        <w:numPr>
          <w:ilvl w:val="0"/>
          <w:numId w:val="9"/>
        </w:numPr>
        <w:tabs>
          <w:tab w:val="left" w:pos="0"/>
        </w:tabs>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color w:val="auto"/>
          <w:sz w:val="24"/>
          <w:szCs w:val="24"/>
          <w:highlight w:val="none"/>
          <w:lang w:val="en-US" w:eastAsia="zh-CN"/>
        </w:rPr>
      </w:pPr>
      <w:bookmarkStart w:id="13" w:name="_Toc21719"/>
      <w:r>
        <w:rPr>
          <w:rFonts w:hint="eastAsia" w:ascii="仿宋" w:hAnsi="仿宋" w:eastAsia="仿宋" w:cs="仿宋"/>
          <w:b/>
          <w:bCs/>
          <w:color w:val="auto"/>
          <w:sz w:val="24"/>
          <w:szCs w:val="24"/>
          <w:highlight w:val="none"/>
          <w:lang w:val="en-US" w:eastAsia="zh-CN"/>
        </w:rPr>
        <w:t>投标文件的提交</w:t>
      </w:r>
      <w:bookmarkEnd w:id="13"/>
    </w:p>
    <w:p w14:paraId="41BC8FA0">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投标文件的提交</w:t>
      </w:r>
    </w:p>
    <w:p w14:paraId="2974865D">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投标人应在</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规定的截止时间前，将投标文件递交到招标公告中规定的电子招投标平台。时间以电子招投标平台系统服务器从中国科学院国家授时中心取得的北京时间为准，投标截止时间结束后，系统将不允许投标人上传投标文件，已上传投标文件但未完成传输的文件系统将拒绝接收。</w:t>
      </w:r>
    </w:p>
    <w:p w14:paraId="28ECABAB">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代理机构对因不可抗力事件造成的投标文件的损坏、丢失的，不承担责任。</w:t>
      </w:r>
    </w:p>
    <w:p w14:paraId="59AFF375">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出现下述情形之一，属于未成功提交投标文件，按无效</w:t>
      </w:r>
      <w:r>
        <w:rPr>
          <w:rFonts w:hint="eastAsia" w:ascii="仿宋" w:hAnsi="仿宋" w:eastAsia="仿宋" w:cs="仿宋"/>
          <w:b/>
          <w:bCs/>
          <w:color w:val="auto"/>
          <w:sz w:val="24"/>
          <w:szCs w:val="24"/>
          <w:highlight w:val="none"/>
          <w:lang w:val="en-US" w:eastAsia="zh-CN"/>
        </w:rPr>
        <w:t>投标处理</w:t>
      </w:r>
      <w:r>
        <w:rPr>
          <w:rFonts w:hint="eastAsia" w:ascii="仿宋" w:hAnsi="仿宋" w:eastAsia="仿宋" w:cs="仿宋"/>
          <w:b w:val="0"/>
          <w:bCs w:val="0"/>
          <w:color w:val="auto"/>
          <w:sz w:val="24"/>
          <w:szCs w:val="24"/>
          <w:highlight w:val="none"/>
          <w:lang w:val="en-US" w:eastAsia="zh-CN"/>
        </w:rPr>
        <w:t>：</w:t>
      </w:r>
    </w:p>
    <w:p w14:paraId="7083569B">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至提交投标文件截止时，投标文件未完整上传的。 </w:t>
      </w:r>
    </w:p>
    <w:p w14:paraId="2428C358">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投标文件未按投标格式中注明需签字盖章的要求进行签名（含电子签名）和加盖电子印章，或签名（含电子签名）或电子印章不完整的。</w:t>
      </w:r>
    </w:p>
    <w:p w14:paraId="705548CF">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投标文件损坏或格式不正确的。</w:t>
      </w:r>
    </w:p>
    <w:p w14:paraId="0A211931">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投标文件的修改、撤回与撤销</w:t>
      </w:r>
    </w:p>
    <w:p w14:paraId="3DD36D66">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在提交投标文件截止时间前，投标人可以修改或撤回未解密的电子投标文件，并于提交投标文件截止时间前将修改后重新生成的电子投标文件上传至系统，到达投标文件提交截止时间后，将不允许修改或撤回。</w:t>
      </w:r>
    </w:p>
    <w:p w14:paraId="76B21B5D">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在提交投标文件截止时间后，投标人不得补充、修改和更换投标文件。</w:t>
      </w:r>
      <w:r>
        <w:rPr>
          <w:rFonts w:hint="eastAsia" w:ascii="仿宋" w:hAnsi="仿宋" w:eastAsia="仿宋" w:cs="仿宋"/>
          <w:b/>
          <w:bCs/>
          <w:color w:val="auto"/>
          <w:sz w:val="24"/>
          <w:szCs w:val="24"/>
          <w:highlight w:val="none"/>
          <w:lang w:val="en-US" w:eastAsia="zh-CN"/>
        </w:rPr>
        <w:t xml:space="preserve"> </w:t>
      </w:r>
    </w:p>
    <w:p w14:paraId="25F9D2CA">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color w:val="auto"/>
          <w:sz w:val="24"/>
          <w:szCs w:val="24"/>
          <w:highlight w:val="none"/>
          <w:lang w:val="en-US" w:eastAsia="zh-CN"/>
        </w:rPr>
      </w:pPr>
    </w:p>
    <w:p w14:paraId="29CD15E5">
      <w:pPr>
        <w:keepNext w:val="0"/>
        <w:keepLines w:val="0"/>
        <w:pageBreakBefore w:val="0"/>
        <w:widowControl w:val="0"/>
        <w:numPr>
          <w:ilvl w:val="0"/>
          <w:numId w:val="9"/>
        </w:numPr>
        <w:tabs>
          <w:tab w:val="left" w:pos="0"/>
        </w:tabs>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color w:val="auto"/>
          <w:sz w:val="24"/>
          <w:szCs w:val="24"/>
          <w:highlight w:val="none"/>
          <w:lang w:val="en-US" w:eastAsia="zh-CN"/>
        </w:rPr>
      </w:pPr>
      <w:bookmarkStart w:id="14" w:name="_Toc15263"/>
      <w:r>
        <w:rPr>
          <w:rFonts w:hint="eastAsia" w:ascii="仿宋" w:hAnsi="仿宋" w:eastAsia="仿宋" w:cs="仿宋"/>
          <w:b/>
          <w:bCs/>
          <w:color w:val="auto"/>
          <w:sz w:val="24"/>
          <w:szCs w:val="24"/>
          <w:highlight w:val="none"/>
          <w:lang w:val="en-US" w:eastAsia="zh-CN"/>
        </w:rPr>
        <w:t>开标、资格审查及评标</w:t>
      </w:r>
      <w:bookmarkEnd w:id="14"/>
    </w:p>
    <w:p w14:paraId="14762D1E">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开标</w:t>
      </w:r>
    </w:p>
    <w:p w14:paraId="1CB3E2DF">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采购人和采购代理机构将按</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规定的开标时间和地点组织公开开标并邀请所有投标人代表参加。开标时，由采购人或者采购代理机构工作人员宣布投标人名称、解密情况，投标价格和招标文件规定的需要宣布的其他内容（以开标一览表要求为准），开标为远程电子开标。</w:t>
      </w:r>
    </w:p>
    <w:p w14:paraId="6AFA2153">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采用远程电子开标的：</w:t>
      </w:r>
    </w:p>
    <w:p w14:paraId="726FF3B2">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的法定代表人或其授权代表应当按照本招标公告载明的时间和模式等要求参加开标。在投标截止时间前30分钟，应当登录开标大厅进行签到，并且填写授权代表的姓名与手机号码。若因签到时填写的授权代表信息有误而导致的不良后果，由供应商自行承担。</w:t>
      </w:r>
    </w:p>
    <w:p w14:paraId="689F1430">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开标时，投标人应当使用编制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远程电子开标的，各投标人在参加开标以前须自行对使用电脑的网络环境、驱动安装、客户端安装以及数字证书的有效性等进行检测，确保可以正常使用）。</w:t>
      </w:r>
    </w:p>
    <w:p w14:paraId="63AC6140">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在电子开标过程中出现因系统原因无法正常解密的，代理机构可根据实际情况开启上传备用电子投标文件通道。系统将对上传的备用电子投标文件的合法性进行验证，若发现提交的备用电子投标文件与加密的电子投标文件版本不一致（即两份文件不是编制投标文件同时生成的），系统将拒绝接收，视为无效投标。如供应商无法在代理规定的时间内完成备用电子投标文件的上传，投标将被拒绝，作无效</w:t>
      </w:r>
      <w:r>
        <w:rPr>
          <w:rFonts w:hint="eastAsia" w:ascii="仿宋" w:hAnsi="仿宋" w:eastAsia="仿宋" w:cs="仿宋"/>
          <w:b/>
          <w:bCs/>
          <w:color w:val="auto"/>
          <w:sz w:val="24"/>
          <w:szCs w:val="24"/>
          <w:highlight w:val="none"/>
          <w:lang w:val="en-US" w:eastAsia="zh-CN"/>
        </w:rPr>
        <w:t>投标处理</w:t>
      </w:r>
      <w:r>
        <w:rPr>
          <w:rFonts w:hint="eastAsia" w:ascii="仿宋" w:hAnsi="仿宋" w:eastAsia="仿宋" w:cs="仿宋"/>
          <w:b w:val="0"/>
          <w:bCs w:val="0"/>
          <w:color w:val="auto"/>
          <w:sz w:val="24"/>
          <w:szCs w:val="24"/>
          <w:highlight w:val="none"/>
          <w:lang w:val="en-US" w:eastAsia="zh-CN"/>
        </w:rPr>
        <w:t>。</w:t>
      </w:r>
    </w:p>
    <w:p w14:paraId="5BAA207C">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投标人代表对开标过程和开标记录有疑义，以及认为采购人、采购代理机构相关工作人员有需要回避的情形的，应当场提出询问或者回避申请。投标人未参加开标的，视同认可开标结果。</w:t>
      </w:r>
    </w:p>
    <w:p w14:paraId="32635528">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投标截止时间后，投标人不足3家的，不得开标。同时，本次采购活动结束。</w:t>
      </w:r>
    </w:p>
    <w:p w14:paraId="00223576">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开标时出现下列情况的，视为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处理：</w:t>
      </w:r>
    </w:p>
    <w:p w14:paraId="5E7CF0DE">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因投标人自身原因，未在规定时间内完成电子投标文件解密的；</w:t>
      </w:r>
    </w:p>
    <w:p w14:paraId="4528DD58">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如需使用备用电子投标文件解密时，在规定的解密时间内无法提供备用电子投标文件或提供的备用电子投标文件与加密的电子投标文件版本不一致（即两份文件不是投标客户端编制同时生成的）。 </w:t>
      </w:r>
    </w:p>
    <w:p w14:paraId="3008E5B7">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采购人或采购代理机构将对开标过程进行记录，由参加开标的各投标人代表和相关工作人员签字确认。</w:t>
      </w:r>
    </w:p>
    <w:p w14:paraId="63042241">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资格审查</w:t>
      </w:r>
    </w:p>
    <w:p w14:paraId="4BADA584">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采购人或采购代理机构依据法律法规和招标文件中规定的内容，对投标人及其投标货物或服务的资格进行审查，未通过资格审查的投标人不进入评标；资格证明文件不按电子招投标平台要求编制导致系统无法检索、读取相关信息时，将被认定为未通过资格审查；通过资格审查的投标人少于三家的，不进行评标。 </w:t>
      </w:r>
    </w:p>
    <w:p w14:paraId="75F1DE38">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资格审查要求详见第六章《评标程序、评标方法和评标标准》。</w:t>
      </w:r>
    </w:p>
    <w:p w14:paraId="799B32F6">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采购人或采购代理机构将按</w:t>
      </w:r>
      <w:r>
        <w:rPr>
          <w:rFonts w:hint="eastAsia" w:ascii="仿宋" w:hAnsi="仿宋" w:eastAsia="仿宋" w:cs="仿宋"/>
          <w:b w:val="0"/>
          <w:bCs w:val="0"/>
          <w:color w:val="auto"/>
          <w:sz w:val="24"/>
          <w:szCs w:val="24"/>
          <w:highlight w:val="none"/>
          <w:u w:val="none"/>
          <w:lang w:val="en-US" w:eastAsia="zh-CN"/>
        </w:rPr>
        <w:t>第六章《评标程序、评标方法和评标标准》</w:t>
      </w:r>
      <w:r>
        <w:rPr>
          <w:rFonts w:hint="eastAsia" w:ascii="仿宋" w:hAnsi="仿宋" w:eastAsia="仿宋" w:cs="仿宋"/>
          <w:b w:val="0"/>
          <w:bCs w:val="0"/>
          <w:color w:val="auto"/>
          <w:sz w:val="24"/>
          <w:szCs w:val="24"/>
          <w:highlight w:val="none"/>
          <w:lang w:val="en-US" w:eastAsia="zh-CN"/>
        </w:rPr>
        <w:t>中规定的时间查询投标人的信用记录。采购人或采购代理机构将查询网页打印、签字并存档备查。投标人不良信用记录以采购人或采购代理机构查询结果为准。在本招标文件规定的查询时间之外，网站信息发生的任何变更均不作为资格审查依据。</w:t>
      </w:r>
    </w:p>
    <w:p w14:paraId="06831110">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评标委员会</w:t>
      </w:r>
    </w:p>
    <w:p w14:paraId="63457FE1">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评标委员会根据政府采购有关规定和本次招标采购项目的特点进行组建，并负责具体评标事务，独立履行职责。 </w:t>
      </w:r>
    </w:p>
    <w:p w14:paraId="3EBAE987">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14:paraId="372D4581">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评标程序、评标方法和评标标准</w:t>
      </w:r>
    </w:p>
    <w:p w14:paraId="235B237F">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详见第六章《评标程序、评标方法和评标标准》</w:t>
      </w:r>
    </w:p>
    <w:p w14:paraId="595C69E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p>
    <w:p w14:paraId="35F36748">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color w:val="auto"/>
          <w:sz w:val="24"/>
          <w:szCs w:val="24"/>
          <w:highlight w:val="none"/>
          <w:lang w:val="en-US" w:eastAsia="zh-CN"/>
        </w:rPr>
      </w:pPr>
      <w:bookmarkStart w:id="15" w:name="_Toc7787"/>
      <w:r>
        <w:rPr>
          <w:rFonts w:hint="eastAsia" w:ascii="仿宋" w:hAnsi="仿宋" w:eastAsia="仿宋" w:cs="仿宋"/>
          <w:b/>
          <w:bCs/>
          <w:color w:val="auto"/>
          <w:sz w:val="24"/>
          <w:szCs w:val="24"/>
          <w:highlight w:val="none"/>
          <w:lang w:val="en-US" w:eastAsia="zh-CN"/>
        </w:rPr>
        <w:t>确定中标</w:t>
      </w:r>
      <w:bookmarkEnd w:id="15"/>
    </w:p>
    <w:p w14:paraId="09C1B7C7">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确定中标人</w:t>
      </w:r>
    </w:p>
    <w:p w14:paraId="30439E73">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将在评标报告确定的中标候选人名单中按顺序确定中标人，中标候选人并列的，由采购人或者采购人委托评标委员会按照招标文件规定的方式确定中标人；招标文件未规定的，采取随机抽取的方式确定。采购人是否委托评标委员会直接确定中标人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3E7857A1">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中标公告与中标通知书</w:t>
      </w:r>
    </w:p>
    <w:p w14:paraId="5DBD3051">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采购人或采购代理机构自中标人确定之日起 2 个工作日内，在招标公告发布媒体发布中标结果，同时向中标人发出中标通知书，中标公告期限为 1 个工作日。</w:t>
      </w:r>
    </w:p>
    <w:p w14:paraId="46272EFF">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中标通知书对采购人和中标供应商均具有法律效力。中标通知书发出后，中标供应商放弃中标项目的，应当依法承担法律责任。</w:t>
      </w:r>
    </w:p>
    <w:p w14:paraId="3B65B68E">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废标</w:t>
      </w:r>
    </w:p>
    <w:p w14:paraId="30D397B7">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在招标采购中，出现下列情形之一的，应予废标：</w:t>
      </w:r>
    </w:p>
    <w:p w14:paraId="2B2CB9E9">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符合专业条件的供应商或者对招标文件作实质响应的供应商不足三家的；</w:t>
      </w:r>
    </w:p>
    <w:p w14:paraId="47D5F1F3">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出现影响采购公正的违法、违规行为的；</w:t>
      </w:r>
    </w:p>
    <w:p w14:paraId="294207F3">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投标人的报价均超过了采购预算，采购人不能支付的；</w:t>
      </w:r>
    </w:p>
    <w:p w14:paraId="115F2577">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因重大变故，采购任务取消的；</w:t>
      </w:r>
    </w:p>
    <w:p w14:paraId="2572F3C3">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color w:val="auto"/>
          <w:highlight w:val="none"/>
          <w:lang w:val="en-US" w:eastAsia="zh-CN"/>
        </w:rPr>
      </w:pPr>
      <w:r>
        <w:rPr>
          <w:rFonts w:hint="eastAsia" w:ascii="仿宋" w:hAnsi="仿宋" w:eastAsia="仿宋" w:cs="仿宋"/>
          <w:b w:val="0"/>
          <w:bCs w:val="0"/>
          <w:color w:val="auto"/>
          <w:sz w:val="24"/>
          <w:szCs w:val="24"/>
          <w:highlight w:val="none"/>
          <w:lang w:val="en-US" w:eastAsia="zh-CN"/>
        </w:rPr>
        <w:t>法律、法规规定的其他情形。</w:t>
      </w:r>
    </w:p>
    <w:p w14:paraId="031720D4">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废标后，采购人将废标理由通知所有投标人。</w:t>
      </w:r>
    </w:p>
    <w:p w14:paraId="3F03A17E">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签订合同</w:t>
      </w:r>
    </w:p>
    <w:p w14:paraId="54CA876E">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中标人、采购人应当自中标通知书发出之日起 30 日内，按照招标文件和中标人投标文件的规定签订书面合同。所签订的合同不得对招标文件确定的事项和中标人投标文件作实质性修改。 </w:t>
      </w:r>
    </w:p>
    <w:p w14:paraId="49010D22">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中标人拒绝与采购人签订合同的，采购人可以按照评标报告推荐的中标候选人名单排序，确定下一候选人为中标人，也可以重新开展政府采购活动。</w:t>
      </w:r>
    </w:p>
    <w:p w14:paraId="2244DED6">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联合体中标的，联合体各方应当共同与采购人签订合同，就中标项目向采购人承担连带责任。 </w:t>
      </w:r>
    </w:p>
    <w:p w14:paraId="622E1E17">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政府采购合同不能转包。如采购人允许采用分包方式履行合同的，中标人可以依法在中标后将中标项目的非主体、非关键性工作采取分包方式履行合同。政府采购合同分包履行的，应当在投标文件中载明分包承担主体，分包承担主体应当具备相应资质条件且不得再次分包，否则</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。中标人就采购项目和分包项目向采购人负责，分包供应商就分包项目承担责任。</w:t>
      </w:r>
    </w:p>
    <w:p w14:paraId="569A3347">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履约保证金</w:t>
      </w:r>
    </w:p>
    <w:p w14:paraId="774A8863">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中标人应按照</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规定的金额、形式和时间向采购人缴纳履约保证金。</w:t>
      </w:r>
    </w:p>
    <w:p w14:paraId="592FB961">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经采购人同意，中标人也可以自愿采用其他履约保证金的提供方式。</w:t>
      </w:r>
    </w:p>
    <w:p w14:paraId="69BC45B1">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如果中标人没有按照上述条款规定缴纳履约保证金，将视为放弃中标资格，中标人的投标保证金将被没收。在此情况下，采购人可确定下一候选人为中标人，也可以重新开展政府采购活动。</w:t>
      </w:r>
    </w:p>
    <w:p w14:paraId="7C9601A8">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代理服务费</w:t>
      </w:r>
    </w:p>
    <w:p w14:paraId="7183231A">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收费对象、收费标准及缴纳时间见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 xml:space="preserve">。由中标人支付的，中标人须一次性向采购代理机构缴纳代理费，投标报价应包含代理费用。 </w:t>
      </w:r>
    </w:p>
    <w:p w14:paraId="67BC7347">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询问与质疑</w:t>
      </w:r>
    </w:p>
    <w:p w14:paraId="29E6E5D0">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询问</w:t>
      </w:r>
    </w:p>
    <w:p w14:paraId="2A96F895">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对政府采购活动事项（招标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中“采购人、采购代理机构的名称、地址和联系方式”。</w:t>
      </w:r>
    </w:p>
    <w:p w14:paraId="62F7BC01">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质疑</w:t>
      </w:r>
    </w:p>
    <w:p w14:paraId="7AE72393">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投标人认为招标文件、采购过程、中标结果使自己的权益受到损害的，可以在知道或者应知其权益受到损害之日起 7 个工作日内，由投标人派授权代表以书面形式向采购人、采购代理机构提出质疑。采购人、采购代理机构在收到质疑函后 7 个工作日内作出答复。</w:t>
      </w:r>
    </w:p>
    <w:p w14:paraId="0A91D5A8">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供应商应知其权益受到损害之日是指：</w:t>
      </w:r>
    </w:p>
    <w:p w14:paraId="4477605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（1）对招标文件提出质疑的，为获取招标文件之日或者招标文件获取期限届满之日；</w:t>
      </w:r>
    </w:p>
    <w:p w14:paraId="235E447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（2）对采购过程提出质疑的，为各采购程序环节结束之日；</w:t>
      </w:r>
    </w:p>
    <w:p w14:paraId="0C9E597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（3）对中标结果提出质疑的，为中标结果公告期限届满之日。 </w:t>
      </w:r>
    </w:p>
    <w:p w14:paraId="47B568A9">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质疑应当有明确的请求和必要的证明材料。依照谁主张谁举证的原则，提出质疑者须同时提交相关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14:paraId="720A0DFC">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质疑函须使用财政部制定的范本文件。投标人为自然人的，应当由本人签字；投标人为法人或者其他组织的，应当由法定代表人、主要负责人，或者其授权代表签字或者盖章，并加盖公章。</w:t>
      </w:r>
    </w:p>
    <w:p w14:paraId="7ABFBC3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质疑函应当包括下列内容： </w:t>
      </w:r>
    </w:p>
    <w:p w14:paraId="0D309BA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（1）投标人名称、地址、邮编、联系人及联系电话； </w:t>
      </w:r>
    </w:p>
    <w:p w14:paraId="52B3C89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（2）质疑项目的名称、编号； </w:t>
      </w:r>
    </w:p>
    <w:p w14:paraId="47287BC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（3）具体、明确的质疑事项和与质疑事项相关的请求； </w:t>
      </w:r>
    </w:p>
    <w:p w14:paraId="245E08A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（4）事实依据； </w:t>
      </w:r>
    </w:p>
    <w:p w14:paraId="265A5EE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（5）必要的法律依据； </w:t>
      </w:r>
    </w:p>
    <w:p w14:paraId="7871CF4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（6）提出质疑的日期。</w:t>
      </w:r>
    </w:p>
    <w:p w14:paraId="3313D6DA">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委托代理人进行质疑的，应当随质疑函同时提交投标人签署的授权委托书。授权委托书应当载明代理人的姓名或者名称、代理事项、具体权限、期限和相关事项。投标人为自然人的，应当由本人签字；投标人为法人或者其他组织的，应当由法定代表人、主要负责人签字或者盖章，并加盖公章。</w:t>
      </w:r>
    </w:p>
    <w:p w14:paraId="40D7142B">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14:paraId="4B8EF7A6">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其他</w:t>
      </w:r>
    </w:p>
    <w:p w14:paraId="11DAC379">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次招标活动中除招标文件规定外还需执行《中华人民共和国政府采购法》、《中华人民共和国政府采购法实施条例》、《政府采购货物和服务招标投标管理办法》（财政部令第87号）及本项目本级和上级财政部门政府采购有关规定。</w:t>
      </w:r>
    </w:p>
    <w:p w14:paraId="409D1EA3">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采购人或采购代理机构认为适当时、国家机关调查、审查、审计时以及其他符合法律规定的情形下，采购人或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14:paraId="7109FF9D">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适用于本投标人须知的额外增加的变动详见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2F8E4675">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p>
    <w:p w14:paraId="04E2D4E2">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br w:type="page"/>
      </w:r>
    </w:p>
    <w:p w14:paraId="3631C9A2">
      <w:pPr>
        <w:pStyle w:val="2"/>
        <w:numPr>
          <w:ilvl w:val="0"/>
          <w:numId w:val="1"/>
        </w:numPr>
        <w:bidi w:val="0"/>
        <w:spacing w:before="0" w:after="0" w:line="240" w:lineRule="auto"/>
        <w:jc w:val="center"/>
        <w:rPr>
          <w:rFonts w:hint="eastAsia" w:ascii="仿宋" w:hAnsi="仿宋" w:eastAsia="仿宋" w:cs="仿宋"/>
          <w:color w:val="auto"/>
          <w:sz w:val="32"/>
          <w:szCs w:val="32"/>
          <w:highlight w:val="none"/>
          <w:lang w:val="en-US" w:eastAsia="zh-CN"/>
        </w:rPr>
      </w:pPr>
      <w:bookmarkStart w:id="16" w:name="_Toc22543"/>
      <w:r>
        <w:rPr>
          <w:rFonts w:hint="eastAsia" w:ascii="仿宋" w:hAnsi="仿宋" w:eastAsia="仿宋" w:cs="仿宋"/>
          <w:color w:val="auto"/>
          <w:sz w:val="32"/>
          <w:szCs w:val="32"/>
          <w:highlight w:val="none"/>
          <w:lang w:val="en-US" w:eastAsia="zh-CN"/>
        </w:rPr>
        <w:t>政府采购合同</w:t>
      </w:r>
      <w:bookmarkEnd w:id="16"/>
    </w:p>
    <w:p w14:paraId="3297D8C9">
      <w:pPr>
        <w:pStyle w:val="3"/>
        <w:spacing w:before="0" w:after="0" w:line="440" w:lineRule="exact"/>
        <w:ind w:firstLine="482"/>
        <w:jc w:val="center"/>
        <w:rPr>
          <w:rFonts w:hint="eastAsia" w:ascii="仿宋" w:hAnsi="仿宋" w:eastAsia="仿宋" w:cs="仿宋"/>
          <w:color w:val="000000"/>
          <w:sz w:val="24"/>
          <w:szCs w:val="21"/>
        </w:rPr>
      </w:pPr>
      <w:r>
        <w:rPr>
          <w:rFonts w:hint="eastAsia" w:ascii="仿宋" w:hAnsi="仿宋" w:eastAsia="仿宋" w:cs="仿宋"/>
          <w:color w:val="000000"/>
          <w:sz w:val="24"/>
          <w:szCs w:val="21"/>
        </w:rPr>
        <w:t>（本合同文本仅供参考，具体签订以新疆农业职业技术大学提供合同为准。）</w:t>
      </w:r>
    </w:p>
    <w:p w14:paraId="0B14D6DB">
      <w:pPr>
        <w:adjustRightInd w:val="0"/>
        <w:snapToGrid w:val="0"/>
        <w:spacing w:line="460" w:lineRule="exact"/>
        <w:ind w:firstLine="480"/>
        <w:jc w:val="both"/>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甲方（全称）：</w:t>
      </w:r>
      <w:r>
        <w:rPr>
          <w:rFonts w:hint="eastAsia" w:ascii="仿宋" w:hAnsi="仿宋" w:eastAsia="仿宋" w:cs="仿宋"/>
          <w:b/>
          <w:color w:val="auto"/>
          <w:sz w:val="21"/>
          <w:szCs w:val="21"/>
          <w:highlight w:val="none"/>
          <w:u w:val="single"/>
        </w:rPr>
        <w:t xml:space="preserve"> </w:t>
      </w:r>
      <w:r>
        <w:rPr>
          <w:rFonts w:hint="eastAsia" w:ascii="仿宋" w:hAnsi="仿宋" w:eastAsia="仿宋" w:cs="仿宋"/>
          <w:b/>
          <w:color w:val="auto"/>
          <w:sz w:val="21"/>
          <w:szCs w:val="21"/>
          <w:highlight w:val="none"/>
          <w:u w:val="single"/>
          <w:lang w:val="en-US" w:eastAsia="zh-CN"/>
        </w:rPr>
        <w:t xml:space="preserve">                </w:t>
      </w:r>
      <w:r>
        <w:rPr>
          <w:rFonts w:hint="eastAsia" w:ascii="仿宋" w:hAnsi="仿宋" w:eastAsia="仿宋" w:cs="仿宋"/>
          <w:b/>
          <w:color w:val="auto"/>
          <w:sz w:val="21"/>
          <w:szCs w:val="21"/>
          <w:highlight w:val="none"/>
        </w:rPr>
        <w:t>（以下简称“甲方”）</w:t>
      </w:r>
    </w:p>
    <w:p w14:paraId="652813D4">
      <w:pPr>
        <w:adjustRightInd w:val="0"/>
        <w:snapToGrid w:val="0"/>
        <w:spacing w:line="460" w:lineRule="exact"/>
        <w:ind w:firstLine="480"/>
        <w:jc w:val="both"/>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乙方（全称）：</w:t>
      </w:r>
      <w:r>
        <w:rPr>
          <w:rFonts w:hint="eastAsia" w:ascii="仿宋" w:hAnsi="仿宋" w:eastAsia="仿宋" w:cs="仿宋"/>
          <w:b/>
          <w:color w:val="auto"/>
          <w:sz w:val="21"/>
          <w:szCs w:val="21"/>
          <w:highlight w:val="none"/>
          <w:u w:val="single"/>
          <w:lang w:val="en-US" w:eastAsia="zh-CN"/>
        </w:rPr>
        <w:t xml:space="preserve">                 </w:t>
      </w:r>
      <w:r>
        <w:rPr>
          <w:rFonts w:hint="eastAsia" w:ascii="仿宋" w:hAnsi="仿宋" w:eastAsia="仿宋" w:cs="仿宋"/>
          <w:b/>
          <w:color w:val="auto"/>
          <w:sz w:val="21"/>
          <w:szCs w:val="21"/>
          <w:highlight w:val="none"/>
        </w:rPr>
        <w:t>（以下简称“乙方”）</w:t>
      </w:r>
    </w:p>
    <w:p w14:paraId="3245E1FF">
      <w:pPr>
        <w:keepNext w:val="0"/>
        <w:keepLines w:val="0"/>
        <w:pageBreakBefore w:val="0"/>
        <w:kinsoku/>
        <w:wordWrap/>
        <w:overflowPunct/>
        <w:topLinePunct w:val="0"/>
        <w:autoSpaceDE/>
        <w:autoSpaceDN/>
        <w:bidi w:val="0"/>
        <w:adjustRightInd w:val="0"/>
        <w:snapToGrid w:val="0"/>
        <w:spacing w:line="400" w:lineRule="exact"/>
        <w:ind w:firstLine="480"/>
        <w:jc w:val="both"/>
        <w:textAlignment w:val="auto"/>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根据《中华人民共和国政府采购法》、《中华人民共和国民法典》及</w:t>
      </w:r>
      <w:r>
        <w:rPr>
          <w:rFonts w:hint="eastAsia" w:ascii="仿宋" w:hAnsi="仿宋" w:eastAsia="仿宋" w:cs="仿宋"/>
          <w:bCs/>
          <w:color w:val="auto"/>
          <w:sz w:val="21"/>
          <w:szCs w:val="21"/>
          <w:highlight w:val="none"/>
          <w:u w:val="single"/>
          <w:lang w:val="en-US" w:eastAsia="zh-CN"/>
        </w:rPr>
        <w:t xml:space="preserve">           </w:t>
      </w:r>
      <w:r>
        <w:rPr>
          <w:rFonts w:hint="eastAsia" w:ascii="仿宋" w:hAnsi="仿宋" w:eastAsia="仿宋" w:cs="仿宋"/>
          <w:bCs/>
          <w:color w:val="auto"/>
          <w:sz w:val="21"/>
          <w:szCs w:val="21"/>
          <w:highlight w:val="none"/>
        </w:rPr>
        <w:t>（项目编号：</w:t>
      </w:r>
      <w:r>
        <w:rPr>
          <w:rFonts w:hint="eastAsia" w:ascii="仿宋" w:hAnsi="仿宋" w:eastAsia="仿宋" w:cs="仿宋"/>
          <w:bCs/>
          <w:color w:val="auto"/>
          <w:sz w:val="21"/>
          <w:szCs w:val="21"/>
          <w:highlight w:val="none"/>
          <w:lang w:val="en-US" w:eastAsia="zh-CN"/>
        </w:rPr>
        <w:t xml:space="preserve">    </w:t>
      </w:r>
      <w:r>
        <w:rPr>
          <w:rFonts w:hint="eastAsia" w:ascii="仿宋" w:hAnsi="仿宋" w:eastAsia="仿宋" w:cs="仿宋"/>
          <w:bCs/>
          <w:color w:val="auto"/>
          <w:sz w:val="21"/>
          <w:szCs w:val="21"/>
          <w:highlight w:val="none"/>
        </w:rPr>
        <w:t>）的《招标文件》、乙方的《投标文件》及《中标通知书》，甲、乙双方同意签订本合同。本项目的招标文件、投标文件、《中标通知书》等均为本合同不可分割的部分。双方同意共同遵守如下条款：</w:t>
      </w:r>
    </w:p>
    <w:p w14:paraId="1A497562">
      <w:pPr>
        <w:keepNext w:val="0"/>
        <w:keepLines w:val="0"/>
        <w:pageBreakBefore w:val="0"/>
        <w:kinsoku/>
        <w:wordWrap/>
        <w:overflowPunct/>
        <w:topLinePunct w:val="0"/>
        <w:autoSpaceDE/>
        <w:autoSpaceDN/>
        <w:bidi w:val="0"/>
        <w:adjustRightInd w:val="0"/>
        <w:snapToGrid w:val="0"/>
        <w:spacing w:line="400" w:lineRule="exact"/>
        <w:ind w:firstLine="413" w:firstLineChars="196"/>
        <w:jc w:val="both"/>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一</w:t>
      </w: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val="en-US" w:eastAsia="zh-CN"/>
        </w:rPr>
        <w:t>项目内容</w:t>
      </w:r>
    </w:p>
    <w:p w14:paraId="49921101">
      <w:pPr>
        <w:keepNext w:val="0"/>
        <w:keepLines w:val="0"/>
        <w:pageBreakBefore w:val="0"/>
        <w:kinsoku/>
        <w:wordWrap/>
        <w:overflowPunct/>
        <w:topLinePunct w:val="0"/>
        <w:autoSpaceDE/>
        <w:autoSpaceDN/>
        <w:bidi w:val="0"/>
        <w:adjustRightInd w:val="0"/>
        <w:snapToGrid w:val="0"/>
        <w:spacing w:line="400" w:lineRule="exact"/>
        <w:ind w:firstLine="480"/>
        <w:jc w:val="both"/>
        <w:textAlignment w:val="auto"/>
        <w:rPr>
          <w:rFonts w:hint="eastAsia" w:ascii="仿宋" w:hAnsi="仿宋" w:eastAsia="仿宋" w:cs="仿宋"/>
          <w:bCs/>
          <w:color w:val="auto"/>
          <w:sz w:val="21"/>
          <w:szCs w:val="21"/>
          <w:highlight w:val="none"/>
        </w:rPr>
      </w:pPr>
      <w:r>
        <w:rPr>
          <w:rFonts w:hint="eastAsia" w:ascii="仿宋" w:hAnsi="仿宋" w:eastAsia="仿宋" w:cs="仿宋"/>
          <w:b w:val="0"/>
          <w:bCs/>
          <w:color w:val="auto"/>
          <w:sz w:val="21"/>
          <w:szCs w:val="21"/>
          <w:highlight w:val="none"/>
          <w:lang w:val="en-US" w:eastAsia="zh-CN"/>
        </w:rPr>
        <w:t>1</w:t>
      </w:r>
      <w:r>
        <w:rPr>
          <w:rFonts w:hint="eastAsia" w:ascii="仿宋" w:hAnsi="仿宋" w:eastAsia="仿宋" w:cs="仿宋"/>
          <w:b w:val="0"/>
          <w:bCs/>
          <w:color w:val="auto"/>
          <w:sz w:val="21"/>
          <w:szCs w:val="21"/>
          <w:highlight w:val="none"/>
        </w:rPr>
        <w:t>.</w:t>
      </w:r>
      <w:r>
        <w:rPr>
          <w:rFonts w:hint="eastAsia" w:ascii="仿宋" w:hAnsi="仿宋" w:eastAsia="仿宋" w:cs="仿宋"/>
          <w:b w:val="0"/>
          <w:bCs/>
          <w:color w:val="auto"/>
          <w:sz w:val="21"/>
          <w:szCs w:val="21"/>
          <w:highlight w:val="none"/>
          <w:lang w:val="en-US"/>
        </w:rPr>
        <w:t>合同名称</w:t>
      </w:r>
      <w:r>
        <w:rPr>
          <w:rFonts w:hint="eastAsia" w:ascii="仿宋" w:hAnsi="仿宋" w:eastAsia="仿宋" w:cs="仿宋"/>
          <w:bCs/>
          <w:color w:val="auto"/>
          <w:sz w:val="21"/>
          <w:szCs w:val="21"/>
          <w:highlight w:val="none"/>
        </w:rPr>
        <w:t>：</w:t>
      </w:r>
    </w:p>
    <w:p w14:paraId="63C9113D">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bCs/>
          <w:color w:val="auto"/>
          <w:kern w:val="0"/>
          <w:sz w:val="21"/>
          <w:szCs w:val="21"/>
          <w:highlight w:val="none"/>
          <w:lang w:val="en-US" w:eastAsia="zh-CN" w:bidi="ar-SA"/>
        </w:rPr>
      </w:pPr>
      <w:r>
        <w:rPr>
          <w:rFonts w:hint="eastAsia" w:ascii="仿宋" w:hAnsi="仿宋" w:eastAsia="仿宋" w:cs="仿宋"/>
          <w:b w:val="0"/>
          <w:bCs/>
          <w:color w:val="auto"/>
          <w:kern w:val="0"/>
          <w:sz w:val="21"/>
          <w:szCs w:val="21"/>
          <w:highlight w:val="none"/>
          <w:lang w:val="en-US" w:eastAsia="zh-CN" w:bidi="ar-SA"/>
        </w:rPr>
        <w:t>2.采购内容</w:t>
      </w:r>
      <w:r>
        <w:rPr>
          <w:rFonts w:hint="eastAsia" w:ascii="仿宋" w:hAnsi="仿宋" w:eastAsia="仿宋" w:cs="仿宋"/>
          <w:bCs/>
          <w:color w:val="auto"/>
          <w:kern w:val="0"/>
          <w:sz w:val="21"/>
          <w:szCs w:val="21"/>
          <w:highlight w:val="none"/>
          <w:lang w:val="en-US" w:eastAsia="zh-CN" w:bidi="ar-SA"/>
        </w:rPr>
        <w:t>：</w:t>
      </w:r>
    </w:p>
    <w:p w14:paraId="0AD4AEF7">
      <w:pPr>
        <w:keepNext w:val="0"/>
        <w:keepLines w:val="0"/>
        <w:pageBreakBefore w:val="0"/>
        <w:numPr>
          <w:ilvl w:val="0"/>
          <w:numId w:val="0"/>
        </w:numPr>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b w:val="0"/>
          <w:bCs/>
          <w:color w:val="auto"/>
          <w:kern w:val="0"/>
          <w:sz w:val="21"/>
          <w:szCs w:val="21"/>
          <w:highlight w:val="none"/>
          <w:lang w:val="en-US" w:eastAsia="zh-CN" w:bidi="ar-SA"/>
        </w:rPr>
      </w:pPr>
      <w:r>
        <w:rPr>
          <w:rFonts w:hint="eastAsia" w:ascii="仿宋" w:hAnsi="仿宋" w:eastAsia="仿宋" w:cs="仿宋"/>
          <w:b w:val="0"/>
          <w:bCs/>
          <w:color w:val="auto"/>
          <w:kern w:val="0"/>
          <w:sz w:val="21"/>
          <w:szCs w:val="21"/>
          <w:highlight w:val="none"/>
          <w:lang w:val="en-US" w:eastAsia="zh-CN" w:bidi="ar-SA"/>
        </w:rPr>
        <w:t>3.采购造价：</w:t>
      </w:r>
    </w:p>
    <w:p w14:paraId="60CEF100">
      <w:pPr>
        <w:pStyle w:val="4"/>
        <w:keepNext w:val="0"/>
        <w:keepLines w:val="0"/>
        <w:pageBreakBefore w:val="0"/>
        <w:numPr>
          <w:ilvl w:val="0"/>
          <w:numId w:val="0"/>
        </w:numPr>
        <w:kinsoku/>
        <w:wordWrap/>
        <w:overflowPunct/>
        <w:topLinePunct w:val="0"/>
        <w:autoSpaceDE/>
        <w:autoSpaceDN/>
        <w:bidi w:val="0"/>
        <w:spacing w:line="400" w:lineRule="exact"/>
        <w:ind w:firstLine="480"/>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本合同项下货物总金额   元，大写：    ，总册数    册，具体如下：</w:t>
      </w:r>
    </w:p>
    <w:p w14:paraId="64FEB207">
      <w:pPr>
        <w:pStyle w:val="4"/>
        <w:keepNext w:val="0"/>
        <w:keepLines w:val="0"/>
        <w:pageBreakBefore w:val="0"/>
        <w:numPr>
          <w:ilvl w:val="0"/>
          <w:numId w:val="0"/>
        </w:numPr>
        <w:kinsoku/>
        <w:wordWrap/>
        <w:overflowPunct/>
        <w:topLinePunct w:val="0"/>
        <w:autoSpaceDE/>
        <w:autoSpaceDN/>
        <w:bidi w:val="0"/>
        <w:spacing w:line="400" w:lineRule="exact"/>
        <w:ind w:firstLine="480"/>
        <w:textAlignment w:val="auto"/>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lang w:val="en-US" w:eastAsia="zh-CN"/>
        </w:rPr>
        <w:t>1）</w:t>
      </w:r>
      <w:r>
        <w:rPr>
          <w:rFonts w:hint="eastAsia" w:ascii="仿宋" w:hAnsi="仿宋" w:eastAsia="仿宋" w:cs="仿宋"/>
          <w:color w:val="auto"/>
          <w:kern w:val="0"/>
          <w:sz w:val="21"/>
          <w:szCs w:val="21"/>
          <w:highlight w:val="none"/>
        </w:rPr>
        <w:t>正价自然科学类图</w:t>
      </w:r>
      <w:r>
        <w:rPr>
          <w:rFonts w:hint="eastAsia" w:ascii="仿宋" w:hAnsi="仿宋" w:eastAsia="仿宋" w:cs="仿宋"/>
          <w:color w:val="auto"/>
          <w:kern w:val="0"/>
          <w:sz w:val="21"/>
          <w:szCs w:val="21"/>
          <w:highlight w:val="none"/>
          <w:lang w:val="en-US" w:eastAsia="zh-CN"/>
        </w:rPr>
        <w:t>书折扣    ，图书配货     册，副本3册，实际结算金额为     元（大写：        ）。</w:t>
      </w:r>
    </w:p>
    <w:p w14:paraId="21FF1C70">
      <w:pPr>
        <w:pStyle w:val="4"/>
        <w:keepNext w:val="0"/>
        <w:keepLines w:val="0"/>
        <w:pageBreakBefore w:val="0"/>
        <w:numPr>
          <w:ilvl w:val="0"/>
          <w:numId w:val="0"/>
        </w:numPr>
        <w:kinsoku/>
        <w:wordWrap/>
        <w:overflowPunct/>
        <w:topLinePunct w:val="0"/>
        <w:autoSpaceDE/>
        <w:autoSpaceDN/>
        <w:bidi w:val="0"/>
        <w:spacing w:line="400" w:lineRule="exact"/>
        <w:ind w:firstLine="480"/>
        <w:textAlignment w:val="auto"/>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lang w:val="en-US" w:eastAsia="zh-CN"/>
        </w:rPr>
        <w:t>2）</w:t>
      </w:r>
      <w:r>
        <w:rPr>
          <w:rFonts w:hint="eastAsia" w:ascii="仿宋" w:hAnsi="仿宋" w:eastAsia="仿宋" w:cs="仿宋"/>
          <w:color w:val="auto"/>
          <w:kern w:val="0"/>
          <w:sz w:val="21"/>
          <w:szCs w:val="21"/>
          <w:highlight w:val="none"/>
        </w:rPr>
        <w:t>特价综合类图书</w:t>
      </w:r>
      <w:r>
        <w:rPr>
          <w:rFonts w:hint="eastAsia" w:ascii="仿宋" w:hAnsi="仿宋" w:eastAsia="仿宋" w:cs="仿宋"/>
          <w:color w:val="auto"/>
          <w:kern w:val="0"/>
          <w:sz w:val="21"/>
          <w:szCs w:val="21"/>
          <w:highlight w:val="none"/>
          <w:lang w:val="en-US" w:eastAsia="zh-CN"/>
        </w:rPr>
        <w:t>折扣    ，图书配货   册，副本3册，实际结算金额为    元（大写：       ）。</w:t>
      </w:r>
    </w:p>
    <w:p w14:paraId="2A32338A">
      <w:pPr>
        <w:pStyle w:val="4"/>
        <w:keepNext w:val="0"/>
        <w:keepLines w:val="0"/>
        <w:pageBreakBefore w:val="0"/>
        <w:kinsoku/>
        <w:wordWrap/>
        <w:overflowPunct/>
        <w:topLinePunct w:val="0"/>
        <w:autoSpaceDE/>
        <w:autoSpaceDN/>
        <w:bidi w:val="0"/>
        <w:spacing w:line="400" w:lineRule="exact"/>
        <w:ind w:firstLine="480"/>
        <w:textAlignment w:val="auto"/>
        <w:rPr>
          <w:rFonts w:hint="eastAsia" w:ascii="仿宋" w:hAnsi="仿宋" w:eastAsia="仿宋" w:cs="仿宋"/>
          <w:b w:val="0"/>
          <w:bCs/>
          <w:color w:val="auto"/>
          <w:kern w:val="0"/>
          <w:sz w:val="21"/>
          <w:szCs w:val="21"/>
          <w:highlight w:val="none"/>
          <w:lang w:val="en-US" w:eastAsia="zh-CN" w:bidi="ar-SA"/>
        </w:rPr>
      </w:pPr>
      <w:r>
        <w:rPr>
          <w:rFonts w:hint="eastAsia" w:ascii="仿宋" w:hAnsi="仿宋" w:eastAsia="仿宋" w:cs="仿宋"/>
          <w:bCs/>
          <w:color w:val="auto"/>
          <w:kern w:val="0"/>
          <w:sz w:val="21"/>
          <w:szCs w:val="21"/>
          <w:highlight w:val="none"/>
          <w:lang w:eastAsia="zh-CN"/>
        </w:rPr>
        <w:t>（</w:t>
      </w:r>
      <w:r>
        <w:rPr>
          <w:rFonts w:hint="eastAsia" w:ascii="仿宋" w:hAnsi="仿宋" w:eastAsia="仿宋" w:cs="仿宋"/>
          <w:bCs/>
          <w:color w:val="auto"/>
          <w:kern w:val="0"/>
          <w:sz w:val="21"/>
          <w:szCs w:val="21"/>
          <w:highlight w:val="none"/>
          <w:lang w:val="en-US" w:eastAsia="zh-CN"/>
        </w:rPr>
        <w:t>3）</w:t>
      </w:r>
      <w:r>
        <w:rPr>
          <w:rFonts w:hint="eastAsia" w:ascii="仿宋" w:hAnsi="仿宋" w:eastAsia="仿宋" w:cs="仿宋"/>
          <w:bCs/>
          <w:color w:val="auto"/>
          <w:kern w:val="0"/>
          <w:sz w:val="21"/>
          <w:szCs w:val="21"/>
          <w:highlight w:val="none"/>
        </w:rPr>
        <w:t>本合同总价款包括货物（图书）、加工、提供编目数据，包装、运输、装卸、保险、税金，货到就位以及图书上架、验收合格之前和质保期内的售后服务一切税金和费用</w:t>
      </w:r>
      <w:r>
        <w:rPr>
          <w:rFonts w:hint="eastAsia" w:ascii="仿宋" w:hAnsi="仿宋" w:eastAsia="仿宋" w:cs="仿宋"/>
          <w:bCs/>
          <w:color w:val="auto"/>
          <w:kern w:val="0"/>
          <w:sz w:val="21"/>
          <w:szCs w:val="21"/>
          <w:highlight w:val="none"/>
          <w:lang w:eastAsia="zh-CN"/>
        </w:rPr>
        <w:t>。</w:t>
      </w:r>
    </w:p>
    <w:p w14:paraId="1288B883">
      <w:pPr>
        <w:keepNext w:val="0"/>
        <w:keepLines w:val="0"/>
        <w:pageBreakBefore w:val="0"/>
        <w:numPr>
          <w:ilvl w:val="0"/>
          <w:numId w:val="0"/>
        </w:numPr>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b w:val="0"/>
          <w:bCs w:val="0"/>
          <w:color w:val="auto"/>
          <w:kern w:val="0"/>
          <w:sz w:val="21"/>
          <w:szCs w:val="21"/>
          <w:highlight w:val="none"/>
          <w:lang w:val="en-US" w:eastAsia="zh-CN" w:bidi="ar-SA"/>
        </w:rPr>
      </w:pPr>
      <w:r>
        <w:rPr>
          <w:rFonts w:hint="eastAsia" w:ascii="仿宋" w:hAnsi="仿宋" w:eastAsia="仿宋" w:cs="仿宋"/>
          <w:b w:val="0"/>
          <w:bCs w:val="0"/>
          <w:color w:val="auto"/>
          <w:kern w:val="0"/>
          <w:sz w:val="21"/>
          <w:szCs w:val="21"/>
          <w:highlight w:val="none"/>
          <w:lang w:val="en-US" w:eastAsia="zh-CN" w:bidi="ar-SA"/>
        </w:rPr>
        <w:t>4.采购期限：</w:t>
      </w:r>
      <w:r>
        <w:rPr>
          <w:rFonts w:hint="eastAsia" w:ascii="仿宋" w:hAnsi="仿宋" w:eastAsia="仿宋" w:cs="仿宋"/>
          <w:color w:val="auto"/>
          <w:sz w:val="21"/>
          <w:szCs w:val="21"/>
          <w:highlight w:val="none"/>
        </w:rPr>
        <w:t>签订合同起至</w:t>
      </w:r>
      <w:r>
        <w:rPr>
          <w:rFonts w:hint="eastAsia" w:ascii="仿宋" w:hAnsi="仿宋" w:eastAsia="仿宋" w:cs="仿宋"/>
          <w:color w:val="auto"/>
          <w:sz w:val="21"/>
          <w:szCs w:val="21"/>
          <w:highlight w:val="none"/>
          <w:lang w:val="en-US" w:eastAsia="zh-CN"/>
        </w:rPr>
        <w:t xml:space="preserve">2025年   月   日 </w:t>
      </w:r>
      <w:r>
        <w:rPr>
          <w:rFonts w:hint="eastAsia" w:ascii="仿宋" w:hAnsi="仿宋" w:eastAsia="仿宋" w:cs="仿宋"/>
          <w:color w:val="auto"/>
          <w:sz w:val="21"/>
          <w:szCs w:val="21"/>
          <w:highlight w:val="none"/>
        </w:rPr>
        <w:t>前</w:t>
      </w:r>
      <w:r>
        <w:rPr>
          <w:rFonts w:hint="eastAsia" w:ascii="仿宋" w:hAnsi="仿宋" w:eastAsia="仿宋" w:cs="仿宋"/>
          <w:color w:val="auto"/>
          <w:sz w:val="21"/>
          <w:szCs w:val="21"/>
          <w:highlight w:val="none"/>
          <w:lang w:val="en-US"/>
        </w:rPr>
        <w:t>完成供货</w:t>
      </w:r>
      <w:r>
        <w:rPr>
          <w:rFonts w:hint="eastAsia" w:ascii="仿宋" w:hAnsi="仿宋" w:eastAsia="仿宋" w:cs="仿宋"/>
          <w:color w:val="auto"/>
          <w:sz w:val="21"/>
          <w:szCs w:val="21"/>
          <w:highlight w:val="none"/>
        </w:rPr>
        <w:t>。</w:t>
      </w:r>
    </w:p>
    <w:p w14:paraId="122CAE5E">
      <w:pPr>
        <w:keepNext w:val="0"/>
        <w:keepLines w:val="0"/>
        <w:pageBreakBefore w:val="0"/>
        <w:numPr>
          <w:ilvl w:val="0"/>
          <w:numId w:val="0"/>
        </w:numPr>
        <w:kinsoku/>
        <w:wordWrap/>
        <w:overflowPunct/>
        <w:topLinePunct w:val="0"/>
        <w:autoSpaceDE/>
        <w:autoSpaceDN/>
        <w:bidi w:val="0"/>
        <w:adjustRightInd w:val="0"/>
        <w:snapToGrid w:val="0"/>
        <w:spacing w:line="400" w:lineRule="exact"/>
        <w:ind w:firstLine="422" w:firstLineChars="200"/>
        <w:jc w:val="both"/>
        <w:textAlignment w:val="auto"/>
        <w:rPr>
          <w:rFonts w:hint="eastAsia" w:ascii="仿宋" w:hAnsi="仿宋" w:eastAsia="仿宋" w:cs="仿宋"/>
          <w:b/>
          <w:color w:val="auto"/>
          <w:kern w:val="2"/>
          <w:sz w:val="21"/>
          <w:szCs w:val="21"/>
          <w:highlight w:val="none"/>
        </w:rPr>
      </w:pPr>
      <w:r>
        <w:rPr>
          <w:rFonts w:hint="eastAsia" w:ascii="仿宋" w:hAnsi="仿宋" w:eastAsia="仿宋" w:cs="仿宋"/>
          <w:b/>
          <w:color w:val="auto"/>
          <w:kern w:val="2"/>
          <w:sz w:val="21"/>
          <w:szCs w:val="21"/>
          <w:highlight w:val="none"/>
          <w:lang w:val="en-US" w:eastAsia="zh-CN"/>
        </w:rPr>
        <w:t>二、</w:t>
      </w:r>
      <w:r>
        <w:rPr>
          <w:rFonts w:hint="eastAsia" w:ascii="仿宋" w:hAnsi="仿宋" w:eastAsia="仿宋" w:cs="仿宋"/>
          <w:b/>
          <w:color w:val="auto"/>
          <w:kern w:val="2"/>
          <w:sz w:val="21"/>
          <w:szCs w:val="21"/>
          <w:highlight w:val="none"/>
        </w:rPr>
        <w:t>图书采购要求</w:t>
      </w:r>
    </w:p>
    <w:p w14:paraId="3EBA8D0B">
      <w:pPr>
        <w:keepNext w:val="0"/>
        <w:keepLines w:val="0"/>
        <w:pageBreakBefore w:val="0"/>
        <w:kinsoku/>
        <w:wordWrap/>
        <w:overflowPunct/>
        <w:topLinePunct w:val="0"/>
        <w:autoSpaceDE/>
        <w:autoSpaceDN/>
        <w:bidi w:val="0"/>
        <w:adjustRightInd w:val="0"/>
        <w:snapToGrid w:val="0"/>
        <w:spacing w:line="400" w:lineRule="exact"/>
        <w:ind w:firstLine="480"/>
        <w:jc w:val="both"/>
        <w:textAlignment w:val="auto"/>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lang w:val="en-US" w:eastAsia="zh-CN"/>
        </w:rPr>
        <w:t>1</w:t>
      </w:r>
      <w:r>
        <w:rPr>
          <w:rFonts w:hint="eastAsia" w:ascii="仿宋" w:hAnsi="仿宋" w:eastAsia="仿宋" w:cs="仿宋"/>
          <w:bCs/>
          <w:color w:val="auto"/>
          <w:sz w:val="21"/>
          <w:szCs w:val="21"/>
          <w:highlight w:val="none"/>
        </w:rPr>
        <w:t>.</w:t>
      </w:r>
      <w:r>
        <w:rPr>
          <w:rFonts w:hint="eastAsia" w:ascii="仿宋" w:hAnsi="仿宋" w:eastAsia="仿宋" w:cs="仿宋"/>
          <w:bCs/>
          <w:color w:val="auto"/>
          <w:sz w:val="21"/>
          <w:szCs w:val="21"/>
          <w:highlight w:val="none"/>
          <w:lang w:val="en-US" w:eastAsia="zh-CN"/>
        </w:rPr>
        <w:t>乙方</w:t>
      </w:r>
      <w:r>
        <w:rPr>
          <w:rFonts w:hint="eastAsia" w:ascii="仿宋" w:hAnsi="仿宋" w:eastAsia="仿宋" w:cs="仿宋"/>
          <w:bCs/>
          <w:color w:val="auto"/>
          <w:sz w:val="21"/>
          <w:szCs w:val="21"/>
          <w:highlight w:val="none"/>
        </w:rPr>
        <w:t>按新疆农业职业技术</w:t>
      </w:r>
      <w:r>
        <w:rPr>
          <w:rFonts w:hint="eastAsia" w:ascii="仿宋" w:hAnsi="仿宋" w:eastAsia="仿宋" w:cs="仿宋"/>
          <w:bCs/>
          <w:color w:val="auto"/>
          <w:sz w:val="21"/>
          <w:szCs w:val="21"/>
          <w:highlight w:val="none"/>
          <w:lang w:eastAsia="zh-CN"/>
        </w:rPr>
        <w:t>大学</w:t>
      </w:r>
      <w:r>
        <w:rPr>
          <w:rFonts w:hint="eastAsia" w:ascii="仿宋" w:hAnsi="仿宋" w:eastAsia="仿宋" w:cs="仿宋"/>
          <w:bCs/>
          <w:color w:val="auto"/>
          <w:sz w:val="21"/>
          <w:szCs w:val="21"/>
          <w:highlight w:val="none"/>
        </w:rPr>
        <w:t>提供的目录采购图书（目录附后）</w:t>
      </w:r>
      <w:r>
        <w:rPr>
          <w:rFonts w:hint="eastAsia" w:ascii="仿宋" w:hAnsi="仿宋" w:eastAsia="仿宋" w:cs="仿宋"/>
          <w:bCs/>
          <w:color w:val="auto"/>
          <w:sz w:val="21"/>
          <w:szCs w:val="21"/>
          <w:highlight w:val="none"/>
          <w:lang w:eastAsia="zh-CN"/>
        </w:rPr>
        <w:t>，</w:t>
      </w:r>
      <w:r>
        <w:rPr>
          <w:rFonts w:hint="eastAsia" w:ascii="仿宋" w:hAnsi="仿宋" w:eastAsia="仿宋" w:cs="仿宋"/>
          <w:bCs/>
          <w:color w:val="auto"/>
          <w:sz w:val="21"/>
          <w:szCs w:val="21"/>
          <w:highlight w:val="none"/>
        </w:rPr>
        <w:t>供货截止时间</w:t>
      </w:r>
      <w:r>
        <w:rPr>
          <w:rFonts w:hint="eastAsia" w:ascii="仿宋" w:hAnsi="仿宋" w:eastAsia="仿宋" w:cs="仿宋"/>
          <w:bCs/>
          <w:color w:val="auto"/>
          <w:sz w:val="21"/>
          <w:szCs w:val="21"/>
          <w:highlight w:val="none"/>
          <w:lang w:val="en-US" w:eastAsia="zh-CN"/>
        </w:rPr>
        <w:t xml:space="preserve"> </w:t>
      </w:r>
      <w:r>
        <w:rPr>
          <w:rFonts w:hint="eastAsia" w:ascii="仿宋" w:hAnsi="仿宋" w:eastAsia="仿宋" w:cs="仿宋"/>
          <w:color w:val="auto"/>
          <w:sz w:val="21"/>
          <w:szCs w:val="21"/>
          <w:highlight w:val="none"/>
          <w:lang w:val="en-US" w:eastAsia="zh-CN"/>
        </w:rPr>
        <w:t>2025年6月30日</w:t>
      </w:r>
      <w:r>
        <w:rPr>
          <w:rFonts w:hint="eastAsia" w:ascii="仿宋" w:hAnsi="仿宋" w:eastAsia="仿宋" w:cs="仿宋"/>
          <w:bCs/>
          <w:color w:val="auto"/>
          <w:sz w:val="21"/>
          <w:szCs w:val="21"/>
          <w:highlight w:val="none"/>
        </w:rPr>
        <w:t>。</w:t>
      </w:r>
      <w:r>
        <w:rPr>
          <w:rFonts w:hint="eastAsia" w:ascii="仿宋" w:hAnsi="仿宋" w:eastAsia="仿宋" w:cs="仿宋"/>
          <w:bCs/>
          <w:color w:val="auto"/>
          <w:sz w:val="21"/>
          <w:szCs w:val="21"/>
          <w:highlight w:val="none"/>
          <w:lang w:eastAsia="zh-CN"/>
        </w:rPr>
        <w:t>大学</w:t>
      </w:r>
      <w:r>
        <w:rPr>
          <w:rFonts w:hint="eastAsia" w:ascii="仿宋" w:hAnsi="仿宋" w:eastAsia="仿宋" w:cs="仿宋"/>
          <w:bCs/>
          <w:color w:val="auto"/>
          <w:sz w:val="21"/>
          <w:szCs w:val="21"/>
          <w:highlight w:val="none"/>
        </w:rPr>
        <w:t>提供图书加工场地，所有采购图书到馆后，经审读符合要求的图书，由</w:t>
      </w:r>
      <w:r>
        <w:rPr>
          <w:rFonts w:hint="eastAsia" w:ascii="仿宋" w:hAnsi="仿宋" w:eastAsia="仿宋" w:cs="仿宋"/>
          <w:bCs/>
          <w:color w:val="auto"/>
          <w:sz w:val="21"/>
          <w:szCs w:val="21"/>
          <w:highlight w:val="none"/>
          <w:lang w:val="en-US" w:eastAsia="zh-CN"/>
        </w:rPr>
        <w:t>乙方</w:t>
      </w:r>
      <w:r>
        <w:rPr>
          <w:rFonts w:hint="eastAsia" w:ascii="仿宋" w:hAnsi="仿宋" w:eastAsia="仿宋" w:cs="仿宋"/>
          <w:bCs/>
          <w:color w:val="auto"/>
          <w:sz w:val="21"/>
          <w:szCs w:val="21"/>
          <w:highlight w:val="none"/>
        </w:rPr>
        <w:t>加工，图书加工费由</w:t>
      </w:r>
      <w:r>
        <w:rPr>
          <w:rFonts w:hint="eastAsia" w:ascii="仿宋" w:hAnsi="仿宋" w:eastAsia="仿宋" w:cs="仿宋"/>
          <w:bCs/>
          <w:color w:val="auto"/>
          <w:sz w:val="21"/>
          <w:szCs w:val="21"/>
          <w:highlight w:val="none"/>
          <w:lang w:val="en-US" w:eastAsia="zh-CN"/>
        </w:rPr>
        <w:t>乙方</w:t>
      </w:r>
      <w:r>
        <w:rPr>
          <w:rFonts w:hint="eastAsia" w:ascii="仿宋" w:hAnsi="仿宋" w:eastAsia="仿宋" w:cs="仿宋"/>
          <w:bCs/>
          <w:color w:val="auto"/>
          <w:sz w:val="21"/>
          <w:szCs w:val="21"/>
          <w:highlight w:val="none"/>
        </w:rPr>
        <w:t>承担，（包含图书加工服务、图书运输、提供编目数据、耗材等）。</w:t>
      </w:r>
    </w:p>
    <w:p w14:paraId="3967C8F3">
      <w:pPr>
        <w:keepNext w:val="0"/>
        <w:keepLines w:val="0"/>
        <w:pageBreakBefore w:val="0"/>
        <w:kinsoku/>
        <w:wordWrap/>
        <w:overflowPunct/>
        <w:topLinePunct w:val="0"/>
        <w:autoSpaceDE/>
        <w:autoSpaceDN/>
        <w:bidi w:val="0"/>
        <w:adjustRightInd w:val="0"/>
        <w:snapToGrid w:val="0"/>
        <w:spacing w:line="400" w:lineRule="exact"/>
        <w:ind w:firstLine="480"/>
        <w:jc w:val="both"/>
        <w:textAlignment w:val="auto"/>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lang w:val="en-US" w:eastAsia="zh-CN"/>
        </w:rPr>
        <w:t>2</w:t>
      </w:r>
      <w:r>
        <w:rPr>
          <w:rFonts w:hint="eastAsia" w:ascii="仿宋" w:hAnsi="仿宋" w:eastAsia="仿宋" w:cs="仿宋"/>
          <w:bCs/>
          <w:color w:val="auto"/>
          <w:sz w:val="21"/>
          <w:szCs w:val="21"/>
          <w:highlight w:val="none"/>
        </w:rPr>
        <w:t>.成人教育、自学考试等类，中小学、中专、大专教材，不列入本次采购范围。</w:t>
      </w:r>
    </w:p>
    <w:p w14:paraId="7C834C10">
      <w:pPr>
        <w:keepNext w:val="0"/>
        <w:keepLines w:val="0"/>
        <w:pageBreakBefore w:val="0"/>
        <w:kinsoku/>
        <w:wordWrap/>
        <w:overflowPunct/>
        <w:topLinePunct w:val="0"/>
        <w:autoSpaceDE/>
        <w:autoSpaceDN/>
        <w:bidi w:val="0"/>
        <w:adjustRightInd w:val="0"/>
        <w:snapToGrid w:val="0"/>
        <w:spacing w:line="400" w:lineRule="exact"/>
        <w:ind w:firstLine="480"/>
        <w:jc w:val="both"/>
        <w:textAlignment w:val="auto"/>
        <w:rPr>
          <w:rFonts w:hint="eastAsia"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3</w:t>
      </w:r>
      <w:r>
        <w:rPr>
          <w:rFonts w:hint="eastAsia" w:ascii="仿宋" w:hAnsi="仿宋" w:eastAsia="仿宋" w:cs="仿宋"/>
          <w:bCs/>
          <w:color w:val="auto"/>
          <w:sz w:val="21"/>
          <w:szCs w:val="21"/>
          <w:highlight w:val="none"/>
        </w:rPr>
        <w:t>.乙方提供的图书不能有如下内容</w:t>
      </w:r>
      <w:r>
        <w:rPr>
          <w:rFonts w:hint="eastAsia" w:ascii="仿宋" w:hAnsi="仿宋" w:eastAsia="仿宋" w:cs="仿宋"/>
          <w:color w:val="000000"/>
          <w:sz w:val="21"/>
          <w:szCs w:val="21"/>
          <w:highlight w:val="none"/>
          <w:lang w:val="en-US" w:eastAsia="zh-CN"/>
        </w:rPr>
        <w:t>内容</w:t>
      </w:r>
      <w:r>
        <w:rPr>
          <w:rFonts w:hint="eastAsia" w:ascii="仿宋" w:hAnsi="仿宋" w:eastAsia="仿宋" w:cs="仿宋"/>
          <w:color w:val="000000"/>
          <w:sz w:val="21"/>
          <w:szCs w:val="21"/>
          <w:highlight w:val="none"/>
        </w:rPr>
        <w:t>不能有</w:t>
      </w:r>
      <w:r>
        <w:rPr>
          <w:rFonts w:hint="eastAsia" w:ascii="仿宋" w:hAnsi="仿宋" w:eastAsia="仿宋" w:cs="仿宋"/>
          <w:color w:val="000000"/>
          <w:sz w:val="21"/>
          <w:szCs w:val="21"/>
          <w:highlight w:val="none"/>
          <w:shd w:val="clear"/>
        </w:rPr>
        <w:t>违背</w:t>
      </w:r>
      <w:r>
        <w:rPr>
          <w:rFonts w:hint="eastAsia" w:ascii="仿宋" w:hAnsi="仿宋" w:eastAsia="仿宋" w:cs="仿宋"/>
          <w:color w:val="000000"/>
          <w:sz w:val="21"/>
          <w:szCs w:val="21"/>
          <w:highlight w:val="none"/>
          <w:shd w:val="clear"/>
          <w:lang w:val="en-US" w:eastAsia="zh-CN"/>
        </w:rPr>
        <w:t>现行</w:t>
      </w:r>
      <w:r>
        <w:rPr>
          <w:rFonts w:hint="eastAsia" w:ascii="仿宋" w:hAnsi="仿宋" w:eastAsia="仿宋" w:cs="仿宋"/>
          <w:color w:val="000000"/>
          <w:sz w:val="21"/>
          <w:szCs w:val="21"/>
          <w:highlight w:val="none"/>
          <w:lang w:val="en-US" w:eastAsia="zh-CN"/>
        </w:rPr>
        <w:t>政策、</w:t>
      </w:r>
      <w:r>
        <w:rPr>
          <w:rFonts w:hint="eastAsia" w:ascii="仿宋" w:hAnsi="仿宋" w:eastAsia="仿宋" w:cs="仿宋"/>
          <w:color w:val="000000"/>
          <w:sz w:val="21"/>
          <w:szCs w:val="21"/>
          <w:highlight w:val="none"/>
        </w:rPr>
        <w:t>法律、行政法规</w:t>
      </w:r>
      <w:r>
        <w:rPr>
          <w:rFonts w:hint="eastAsia" w:ascii="仿宋" w:hAnsi="仿宋" w:eastAsia="仿宋" w:cs="仿宋"/>
          <w:color w:val="000000"/>
          <w:sz w:val="21"/>
          <w:szCs w:val="21"/>
          <w:highlight w:val="none"/>
          <w:lang w:eastAsia="zh-CN"/>
        </w:rPr>
        <w:t>、</w:t>
      </w:r>
      <w:r>
        <w:rPr>
          <w:rFonts w:hint="eastAsia" w:ascii="仿宋" w:hAnsi="仿宋" w:eastAsia="仿宋" w:cs="仿宋"/>
          <w:color w:val="000000"/>
          <w:sz w:val="21"/>
          <w:szCs w:val="21"/>
          <w:highlight w:val="none"/>
          <w:lang w:val="en-US" w:eastAsia="zh-CN"/>
        </w:rPr>
        <w:t>公序良俗</w:t>
      </w:r>
      <w:r>
        <w:rPr>
          <w:rFonts w:hint="eastAsia" w:ascii="仿宋" w:hAnsi="仿宋" w:eastAsia="仿宋" w:cs="仿宋"/>
          <w:color w:val="000000"/>
          <w:sz w:val="21"/>
          <w:szCs w:val="21"/>
          <w:highlight w:val="none"/>
        </w:rPr>
        <w:t>和</w:t>
      </w:r>
      <w:r>
        <w:rPr>
          <w:rFonts w:hint="eastAsia" w:ascii="仿宋" w:hAnsi="仿宋" w:eastAsia="仿宋" w:cs="仿宋"/>
          <w:bCs/>
          <w:color w:val="auto"/>
          <w:sz w:val="21"/>
          <w:szCs w:val="21"/>
          <w:highlight w:val="none"/>
          <w:lang w:val="en-US" w:eastAsia="zh-CN"/>
        </w:rPr>
        <w:t>党纪党规禁止的其他内容。</w:t>
      </w:r>
    </w:p>
    <w:p w14:paraId="7B3559E7">
      <w:pPr>
        <w:keepNext w:val="0"/>
        <w:keepLines w:val="0"/>
        <w:pageBreakBefore w:val="0"/>
        <w:kinsoku/>
        <w:wordWrap/>
        <w:overflowPunct/>
        <w:topLinePunct w:val="0"/>
        <w:autoSpaceDE/>
        <w:autoSpaceDN/>
        <w:bidi w:val="0"/>
        <w:adjustRightInd w:val="0"/>
        <w:snapToGrid w:val="0"/>
        <w:spacing w:line="400" w:lineRule="exact"/>
        <w:ind w:firstLine="480"/>
        <w:jc w:val="both"/>
        <w:textAlignment w:val="auto"/>
        <w:rPr>
          <w:rFonts w:hint="eastAsia"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4.</w:t>
      </w:r>
      <w:r>
        <w:rPr>
          <w:rFonts w:hint="eastAsia" w:ascii="仿宋" w:hAnsi="仿宋" w:eastAsia="仿宋" w:cs="仿宋"/>
          <w:color w:val="000000"/>
          <w:kern w:val="0"/>
          <w:sz w:val="21"/>
          <w:szCs w:val="21"/>
          <w:highlight w:val="none"/>
          <w:lang w:val="en-US" w:eastAsia="zh-CN" w:bidi="ar-SA"/>
        </w:rPr>
        <w:t>本次总价款包括货物（图书）、加工、提供编目数据，包装、运输、装卸、保险、税金，货到就位以及图书上架（前后两次）、验收合格之前和质保期内的售后服务一切税金和费用。</w:t>
      </w:r>
    </w:p>
    <w:p w14:paraId="170982B3">
      <w:pPr>
        <w:keepNext w:val="0"/>
        <w:keepLines w:val="0"/>
        <w:pageBreakBefore w:val="0"/>
        <w:kinsoku/>
        <w:wordWrap/>
        <w:overflowPunct/>
        <w:topLinePunct w:val="0"/>
        <w:autoSpaceDE/>
        <w:autoSpaceDN/>
        <w:bidi w:val="0"/>
        <w:adjustRightInd w:val="0"/>
        <w:snapToGrid w:val="0"/>
        <w:spacing w:line="400" w:lineRule="exact"/>
        <w:ind w:firstLine="480"/>
        <w:jc w:val="both"/>
        <w:textAlignment w:val="auto"/>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lang w:val="en-US" w:eastAsia="zh-CN"/>
        </w:rPr>
        <w:t>5</w:t>
      </w:r>
      <w:r>
        <w:rPr>
          <w:rFonts w:hint="eastAsia" w:ascii="仿宋" w:hAnsi="仿宋" w:eastAsia="仿宋" w:cs="仿宋"/>
          <w:bCs/>
          <w:color w:val="auto"/>
          <w:sz w:val="21"/>
          <w:szCs w:val="21"/>
          <w:highlight w:val="none"/>
        </w:rPr>
        <w:t>.</w:t>
      </w:r>
      <w:r>
        <w:rPr>
          <w:rFonts w:hint="eastAsia" w:ascii="仿宋" w:hAnsi="仿宋" w:eastAsia="仿宋" w:cs="仿宋"/>
          <w:b w:val="0"/>
          <w:color w:val="000000"/>
          <w:sz w:val="21"/>
          <w:szCs w:val="21"/>
          <w:highlight w:val="none"/>
          <w:lang w:val="en-US" w:eastAsia="zh-CN" w:bidi="ar-SA"/>
        </w:rPr>
        <w:t>新疆农工业职业技术大学审查不符合标准的图书乙方无条件退回</w:t>
      </w:r>
      <w:r>
        <w:rPr>
          <w:rFonts w:hint="eastAsia" w:ascii="仿宋" w:hAnsi="仿宋" w:eastAsia="仿宋" w:cs="仿宋"/>
          <w:b w:val="0"/>
          <w:color w:val="000000"/>
          <w:sz w:val="21"/>
          <w:szCs w:val="21"/>
          <w:highlight w:val="none"/>
          <w:shd w:val="clear"/>
          <w:lang w:val="en-US" w:eastAsia="zh-CN" w:bidi="ar-SA"/>
        </w:rPr>
        <w:t>。</w:t>
      </w:r>
    </w:p>
    <w:p w14:paraId="2FAAF933">
      <w:pPr>
        <w:pStyle w:val="15"/>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三、图书质量保证</w:t>
      </w:r>
    </w:p>
    <w:p w14:paraId="225223A1">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乙方</w:t>
      </w:r>
      <w:r>
        <w:rPr>
          <w:rFonts w:hint="eastAsia" w:ascii="仿宋" w:hAnsi="仿宋" w:eastAsia="仿宋" w:cs="仿宋"/>
          <w:color w:val="auto"/>
          <w:sz w:val="21"/>
          <w:szCs w:val="21"/>
          <w:highlight w:val="none"/>
        </w:rPr>
        <w:t>必须确保图书由正规渠道采购，保证正版图书，且为内容安全的正版图书，符合国家质量检测标准。</w:t>
      </w:r>
      <w:r>
        <w:rPr>
          <w:rFonts w:hint="eastAsia" w:ascii="仿宋" w:hAnsi="仿宋" w:eastAsia="仿宋" w:cs="仿宋"/>
          <w:color w:val="auto"/>
          <w:sz w:val="21"/>
          <w:szCs w:val="21"/>
          <w:highlight w:val="none"/>
          <w:lang w:val="en-US" w:eastAsia="zh-CN"/>
        </w:rPr>
        <w:t>乙方</w:t>
      </w:r>
      <w:r>
        <w:rPr>
          <w:rFonts w:hint="eastAsia" w:ascii="仿宋" w:hAnsi="仿宋" w:eastAsia="仿宋" w:cs="仿宋"/>
          <w:color w:val="auto"/>
          <w:sz w:val="21"/>
          <w:szCs w:val="21"/>
          <w:highlight w:val="none"/>
        </w:rPr>
        <w:t>需提供《图书采购无影响国家安全内容保证书》《正版图书保证书》一经发现所提供的为非正版、违法、盗版、翻版书籍出现安全问题，必须无条件退货。</w:t>
      </w:r>
      <w:r>
        <w:rPr>
          <w:rFonts w:hint="eastAsia" w:ascii="仿宋" w:hAnsi="仿宋" w:eastAsia="仿宋" w:cs="仿宋"/>
          <w:color w:val="auto"/>
          <w:sz w:val="21"/>
          <w:szCs w:val="21"/>
          <w:highlight w:val="none"/>
          <w:lang w:val="en-US" w:eastAsia="zh-CN"/>
        </w:rPr>
        <w:t>甲方</w:t>
      </w:r>
      <w:r>
        <w:rPr>
          <w:rFonts w:hint="eastAsia" w:ascii="仿宋" w:hAnsi="仿宋" w:eastAsia="仿宋" w:cs="仿宋"/>
          <w:color w:val="auto"/>
          <w:sz w:val="21"/>
          <w:szCs w:val="21"/>
          <w:highlight w:val="none"/>
        </w:rPr>
        <w:t>有权解除合同，取消其服务资格。违约责任、经济责任与法律责任由</w:t>
      </w:r>
      <w:r>
        <w:rPr>
          <w:rFonts w:hint="eastAsia" w:ascii="仿宋" w:hAnsi="仿宋" w:eastAsia="仿宋" w:cs="仿宋"/>
          <w:color w:val="auto"/>
          <w:sz w:val="21"/>
          <w:szCs w:val="21"/>
          <w:highlight w:val="none"/>
          <w:lang w:val="en-US" w:eastAsia="zh-CN"/>
        </w:rPr>
        <w:t>乙方</w:t>
      </w:r>
      <w:r>
        <w:rPr>
          <w:rFonts w:hint="eastAsia" w:ascii="仿宋" w:hAnsi="仿宋" w:eastAsia="仿宋" w:cs="仿宋"/>
          <w:color w:val="auto"/>
          <w:sz w:val="21"/>
          <w:szCs w:val="21"/>
          <w:highlight w:val="none"/>
        </w:rPr>
        <w:t>承担。</w:t>
      </w:r>
    </w:p>
    <w:p w14:paraId="4DB6E627">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2.图书的整体外观和装订必须平整、牢固，图书封面图案及文字要清晰有层次，颜色的色调应饱和。</w:t>
      </w:r>
    </w:p>
    <w:p w14:paraId="676F96FD">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3.所有图书正文的纸张表面应光滑，颜色和厚度一致，纸张无损坏、无撕页。正文印刷墨色一致，版心和页码的位置一致，无明显透印，文字及图表印刷清晰。</w:t>
      </w:r>
    </w:p>
    <w:p w14:paraId="60A8D9CF">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r>
        <w:rPr>
          <w:rFonts w:hint="eastAsia" w:ascii="仿宋" w:hAnsi="仿宋" w:eastAsia="仿宋" w:cs="仿宋"/>
          <w:color w:val="auto"/>
          <w:sz w:val="21"/>
          <w:szCs w:val="21"/>
          <w:highlight w:val="none"/>
          <w:lang w:val="en-US" w:eastAsia="zh-CN"/>
        </w:rPr>
        <w:t>乙方</w:t>
      </w:r>
      <w:r>
        <w:rPr>
          <w:rFonts w:hint="eastAsia" w:ascii="仿宋" w:hAnsi="仿宋" w:eastAsia="仿宋" w:cs="仿宋"/>
          <w:color w:val="auto"/>
          <w:sz w:val="21"/>
          <w:szCs w:val="21"/>
          <w:highlight w:val="none"/>
        </w:rPr>
        <w:t>配置的所有图书如不符合以上1-3项承诺质量保证的，</w:t>
      </w:r>
      <w:r>
        <w:rPr>
          <w:rFonts w:hint="eastAsia" w:ascii="仿宋" w:hAnsi="仿宋" w:eastAsia="仿宋" w:cs="仿宋"/>
          <w:color w:val="auto"/>
          <w:sz w:val="21"/>
          <w:szCs w:val="21"/>
          <w:highlight w:val="none"/>
          <w:lang w:val="en-US" w:eastAsia="zh-CN"/>
        </w:rPr>
        <w:t>乙方</w:t>
      </w:r>
      <w:r>
        <w:rPr>
          <w:rFonts w:hint="eastAsia" w:ascii="仿宋" w:hAnsi="仿宋" w:eastAsia="仿宋" w:cs="仿宋"/>
          <w:color w:val="auto"/>
          <w:sz w:val="21"/>
          <w:szCs w:val="21"/>
          <w:highlight w:val="none"/>
        </w:rPr>
        <w:t>应无条件给予退换。</w:t>
      </w:r>
      <w:r>
        <w:rPr>
          <w:rFonts w:hint="eastAsia" w:ascii="仿宋" w:hAnsi="仿宋" w:eastAsia="仿宋" w:cs="仿宋"/>
          <w:color w:val="auto"/>
          <w:sz w:val="21"/>
          <w:szCs w:val="21"/>
          <w:highlight w:val="none"/>
          <w:lang w:val="en-US" w:eastAsia="zh-CN"/>
        </w:rPr>
        <w:t>乙方</w:t>
      </w:r>
      <w:r>
        <w:rPr>
          <w:rFonts w:hint="eastAsia" w:ascii="仿宋" w:hAnsi="仿宋" w:eastAsia="仿宋" w:cs="仿宋"/>
          <w:color w:val="auto"/>
          <w:sz w:val="21"/>
          <w:szCs w:val="21"/>
          <w:highlight w:val="none"/>
        </w:rPr>
        <w:t>若提供的图书属盗版，一旦发现，将取消</w:t>
      </w:r>
      <w:r>
        <w:rPr>
          <w:rFonts w:hint="eastAsia" w:ascii="仿宋" w:hAnsi="仿宋" w:eastAsia="仿宋" w:cs="仿宋"/>
          <w:color w:val="auto"/>
          <w:sz w:val="21"/>
          <w:szCs w:val="21"/>
          <w:highlight w:val="none"/>
          <w:lang w:val="en-US" w:eastAsia="zh-CN"/>
        </w:rPr>
        <w:t>乙方</w:t>
      </w:r>
      <w:r>
        <w:rPr>
          <w:rFonts w:hint="eastAsia" w:ascii="仿宋" w:hAnsi="仿宋" w:eastAsia="仿宋" w:cs="仿宋"/>
          <w:color w:val="auto"/>
          <w:sz w:val="21"/>
          <w:szCs w:val="21"/>
          <w:highlight w:val="none"/>
        </w:rPr>
        <w:t>供书资格，</w:t>
      </w:r>
      <w:r>
        <w:rPr>
          <w:rFonts w:hint="eastAsia" w:ascii="仿宋" w:hAnsi="仿宋" w:eastAsia="仿宋" w:cs="仿宋"/>
          <w:color w:val="auto"/>
          <w:sz w:val="21"/>
          <w:szCs w:val="21"/>
          <w:highlight w:val="none"/>
          <w:lang w:val="en-US" w:eastAsia="zh-CN"/>
        </w:rPr>
        <w:t>甲方</w:t>
      </w:r>
      <w:r>
        <w:rPr>
          <w:rFonts w:hint="eastAsia" w:ascii="仿宋" w:hAnsi="仿宋" w:eastAsia="仿宋" w:cs="仿宋"/>
          <w:color w:val="auto"/>
          <w:sz w:val="21"/>
          <w:szCs w:val="21"/>
          <w:highlight w:val="none"/>
        </w:rPr>
        <w:t>将保留追究相关责任的权利。</w:t>
      </w:r>
    </w:p>
    <w:p w14:paraId="59E5CE14">
      <w:pPr>
        <w:keepNext w:val="0"/>
        <w:keepLines w:val="0"/>
        <w:pageBreakBefore w:val="0"/>
        <w:kinsoku/>
        <w:wordWrap/>
        <w:overflowPunct/>
        <w:topLinePunct w:val="0"/>
        <w:autoSpaceDE/>
        <w:autoSpaceDN/>
        <w:bidi w:val="0"/>
        <w:adjustRightInd w:val="0"/>
        <w:snapToGrid w:val="0"/>
        <w:spacing w:line="400" w:lineRule="exact"/>
        <w:ind w:firstLine="422" w:firstLineChars="200"/>
        <w:jc w:val="both"/>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四、供货要求</w:t>
      </w:r>
    </w:p>
    <w:p w14:paraId="4DEFBC5C">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乙方</w:t>
      </w:r>
      <w:r>
        <w:rPr>
          <w:rFonts w:hint="eastAsia" w:ascii="仿宋" w:hAnsi="仿宋" w:eastAsia="仿宋" w:cs="仿宋"/>
          <w:color w:val="auto"/>
          <w:sz w:val="21"/>
          <w:szCs w:val="21"/>
          <w:highlight w:val="none"/>
        </w:rPr>
        <w:t>按照采购人提供的目录及要求配置图书，严格保证出版及再版年限要求。</w:t>
      </w:r>
    </w:p>
    <w:p w14:paraId="44F0DFE7">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2.图书到货验收时，如有缺页、污损等情况，</w:t>
      </w:r>
      <w:r>
        <w:rPr>
          <w:rFonts w:hint="eastAsia" w:ascii="仿宋" w:hAnsi="仿宋" w:eastAsia="仿宋" w:cs="仿宋"/>
          <w:color w:val="auto"/>
          <w:sz w:val="21"/>
          <w:szCs w:val="21"/>
          <w:highlight w:val="none"/>
          <w:lang w:val="en-US" w:eastAsia="zh-CN"/>
        </w:rPr>
        <w:t>乙方</w:t>
      </w:r>
      <w:r>
        <w:rPr>
          <w:rFonts w:hint="eastAsia" w:ascii="仿宋" w:hAnsi="仿宋" w:eastAsia="仿宋" w:cs="仿宋"/>
          <w:color w:val="auto"/>
          <w:sz w:val="21"/>
          <w:szCs w:val="21"/>
          <w:highlight w:val="none"/>
        </w:rPr>
        <w:t>应予无条件调换。</w:t>
      </w:r>
    </w:p>
    <w:p w14:paraId="08AE2CCE">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3.种类、数量、时间根据实际情况，经过</w:t>
      </w:r>
      <w:r>
        <w:rPr>
          <w:rFonts w:hint="eastAsia" w:ascii="仿宋" w:hAnsi="仿宋" w:eastAsia="仿宋" w:cs="仿宋"/>
          <w:color w:val="auto"/>
          <w:sz w:val="21"/>
          <w:szCs w:val="21"/>
          <w:highlight w:val="none"/>
          <w:lang w:eastAsia="zh-CN"/>
        </w:rPr>
        <w:t>大学</w:t>
      </w:r>
      <w:r>
        <w:rPr>
          <w:rFonts w:hint="eastAsia" w:ascii="仿宋" w:hAnsi="仿宋" w:eastAsia="仿宋" w:cs="仿宋"/>
          <w:color w:val="auto"/>
          <w:sz w:val="21"/>
          <w:szCs w:val="21"/>
          <w:highlight w:val="none"/>
        </w:rPr>
        <w:t>同意，可略做调换。如果因各种原因选定图书目录无法满足采购数量，由</w:t>
      </w:r>
      <w:r>
        <w:rPr>
          <w:rFonts w:hint="eastAsia" w:ascii="仿宋" w:hAnsi="仿宋" w:eastAsia="仿宋" w:cs="仿宋"/>
          <w:color w:val="auto"/>
          <w:sz w:val="21"/>
          <w:szCs w:val="21"/>
          <w:highlight w:val="none"/>
          <w:lang w:val="en-US" w:eastAsia="zh-CN"/>
        </w:rPr>
        <w:t>甲方</w:t>
      </w:r>
      <w:r>
        <w:rPr>
          <w:rFonts w:hint="eastAsia" w:ascii="仿宋" w:hAnsi="仿宋" w:eastAsia="仿宋" w:cs="仿宋"/>
          <w:color w:val="auto"/>
          <w:sz w:val="21"/>
          <w:szCs w:val="21"/>
          <w:highlight w:val="none"/>
        </w:rPr>
        <w:t>继续组织图书目录提供给</w:t>
      </w:r>
      <w:r>
        <w:rPr>
          <w:rFonts w:hint="eastAsia" w:ascii="仿宋" w:hAnsi="仿宋" w:eastAsia="仿宋" w:cs="仿宋"/>
          <w:color w:val="auto"/>
          <w:sz w:val="21"/>
          <w:szCs w:val="21"/>
          <w:highlight w:val="none"/>
          <w:lang w:val="en-US" w:eastAsia="zh-CN"/>
        </w:rPr>
        <w:t>乙方</w:t>
      </w:r>
      <w:r>
        <w:rPr>
          <w:rFonts w:hint="eastAsia" w:ascii="仿宋" w:hAnsi="仿宋" w:eastAsia="仿宋" w:cs="仿宋"/>
          <w:color w:val="auto"/>
          <w:sz w:val="21"/>
          <w:szCs w:val="21"/>
          <w:highlight w:val="none"/>
        </w:rPr>
        <w:t>。</w:t>
      </w:r>
    </w:p>
    <w:p w14:paraId="526E36FB">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4.图书运输费由</w:t>
      </w:r>
      <w:r>
        <w:rPr>
          <w:rFonts w:hint="eastAsia" w:ascii="仿宋" w:hAnsi="仿宋" w:eastAsia="仿宋" w:cs="仿宋"/>
          <w:color w:val="auto"/>
          <w:sz w:val="21"/>
          <w:szCs w:val="21"/>
          <w:highlight w:val="none"/>
          <w:lang w:val="en-US" w:eastAsia="zh-CN"/>
        </w:rPr>
        <w:t>乙方</w:t>
      </w:r>
      <w:r>
        <w:rPr>
          <w:rFonts w:hint="eastAsia" w:ascii="仿宋" w:hAnsi="仿宋" w:eastAsia="仿宋" w:cs="仿宋"/>
          <w:color w:val="auto"/>
          <w:sz w:val="21"/>
          <w:szCs w:val="21"/>
          <w:highlight w:val="none"/>
        </w:rPr>
        <w:t>承担。新书按甲方要求免费送货到指定的地点拆包验收上架。</w:t>
      </w:r>
    </w:p>
    <w:p w14:paraId="4B7D50DD">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5.图书到馆后，验收如不符合采购人要求，无条件退货给</w:t>
      </w:r>
      <w:r>
        <w:rPr>
          <w:rFonts w:hint="eastAsia" w:ascii="仿宋" w:hAnsi="仿宋" w:eastAsia="仿宋" w:cs="仿宋"/>
          <w:color w:val="auto"/>
          <w:sz w:val="21"/>
          <w:szCs w:val="21"/>
          <w:highlight w:val="none"/>
          <w:lang w:val="en-US" w:eastAsia="zh-CN"/>
        </w:rPr>
        <w:t>乙方</w:t>
      </w:r>
      <w:r>
        <w:rPr>
          <w:rFonts w:hint="eastAsia" w:ascii="仿宋" w:hAnsi="仿宋" w:eastAsia="仿宋" w:cs="仿宋"/>
          <w:color w:val="auto"/>
          <w:sz w:val="21"/>
          <w:szCs w:val="21"/>
          <w:highlight w:val="none"/>
        </w:rPr>
        <w:t>并由乙方承担退货增加的运费。</w:t>
      </w:r>
    </w:p>
    <w:p w14:paraId="1F6941D7">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w:t>
      </w:r>
      <w:r>
        <w:rPr>
          <w:rFonts w:hint="eastAsia" w:ascii="仿宋" w:hAnsi="仿宋" w:eastAsia="仿宋" w:cs="仿宋"/>
          <w:color w:val="auto"/>
          <w:sz w:val="21"/>
          <w:szCs w:val="21"/>
          <w:highlight w:val="none"/>
          <w:lang w:val="en-US" w:eastAsia="zh-CN"/>
        </w:rPr>
        <w:t>乙方</w:t>
      </w:r>
      <w:r>
        <w:rPr>
          <w:rFonts w:hint="eastAsia" w:ascii="仿宋" w:hAnsi="仿宋" w:eastAsia="仿宋" w:cs="仿宋"/>
          <w:color w:val="auto"/>
          <w:sz w:val="21"/>
          <w:szCs w:val="21"/>
          <w:highlight w:val="none"/>
        </w:rPr>
        <w:t>供书发货差错率必须低于0.2%。出现差错须保证在2周内妥善解决。</w:t>
      </w:r>
    </w:p>
    <w:p w14:paraId="0087D5C6">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7.本合同中所涉及的图书资料到达新疆农业职业技术</w:t>
      </w:r>
      <w:r>
        <w:rPr>
          <w:rFonts w:hint="eastAsia" w:ascii="仿宋" w:hAnsi="仿宋" w:eastAsia="仿宋" w:cs="仿宋"/>
          <w:color w:val="auto"/>
          <w:sz w:val="21"/>
          <w:szCs w:val="21"/>
          <w:highlight w:val="none"/>
          <w:lang w:eastAsia="zh-CN"/>
        </w:rPr>
        <w:t>大学</w:t>
      </w:r>
      <w:r>
        <w:rPr>
          <w:rFonts w:hint="eastAsia" w:ascii="仿宋" w:hAnsi="仿宋" w:eastAsia="仿宋" w:cs="仿宋"/>
          <w:color w:val="auto"/>
          <w:sz w:val="21"/>
          <w:szCs w:val="21"/>
          <w:highlight w:val="none"/>
        </w:rPr>
        <w:t>图书馆后，如出现数量缺少、不符合标准MARC编目数据等情况，</w:t>
      </w:r>
      <w:r>
        <w:rPr>
          <w:rFonts w:hint="eastAsia" w:ascii="仿宋" w:hAnsi="仿宋" w:eastAsia="仿宋" w:cs="仿宋"/>
          <w:color w:val="auto"/>
          <w:sz w:val="21"/>
          <w:szCs w:val="21"/>
          <w:highlight w:val="none"/>
          <w:lang w:eastAsia="zh-CN"/>
        </w:rPr>
        <w:t>乙方</w:t>
      </w:r>
      <w:r>
        <w:rPr>
          <w:rFonts w:hint="eastAsia" w:ascii="仿宋" w:hAnsi="仿宋" w:eastAsia="仿宋" w:cs="仿宋"/>
          <w:color w:val="auto"/>
          <w:sz w:val="21"/>
          <w:szCs w:val="21"/>
          <w:highlight w:val="none"/>
        </w:rPr>
        <w:t>应当在接到新疆农业职业技术</w:t>
      </w:r>
      <w:r>
        <w:rPr>
          <w:rFonts w:hint="eastAsia" w:ascii="仿宋" w:hAnsi="仿宋" w:eastAsia="仿宋" w:cs="仿宋"/>
          <w:color w:val="auto"/>
          <w:sz w:val="21"/>
          <w:szCs w:val="21"/>
          <w:highlight w:val="none"/>
          <w:lang w:eastAsia="zh-CN"/>
        </w:rPr>
        <w:t>大学</w:t>
      </w:r>
      <w:r>
        <w:rPr>
          <w:rFonts w:hint="eastAsia" w:ascii="仿宋" w:hAnsi="仿宋" w:eastAsia="仿宋" w:cs="仿宋"/>
          <w:color w:val="auto"/>
          <w:sz w:val="21"/>
          <w:szCs w:val="21"/>
          <w:highlight w:val="none"/>
        </w:rPr>
        <w:t>图书馆通知后的5个工作日内补发。</w:t>
      </w:r>
    </w:p>
    <w:p w14:paraId="498E734D">
      <w:pPr>
        <w:keepNext w:val="0"/>
        <w:keepLines w:val="0"/>
        <w:pageBreakBefore w:val="0"/>
        <w:kinsoku/>
        <w:wordWrap/>
        <w:overflowPunct/>
        <w:topLinePunct w:val="0"/>
        <w:autoSpaceDE/>
        <w:autoSpaceDN/>
        <w:bidi w:val="0"/>
        <w:adjustRightInd w:val="0"/>
        <w:snapToGrid w:val="0"/>
        <w:spacing w:line="400" w:lineRule="exact"/>
        <w:ind w:firstLine="422" w:firstLineChars="200"/>
        <w:jc w:val="both"/>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五、到货率与到货速度要求</w:t>
      </w:r>
    </w:p>
    <w:p w14:paraId="31730C95">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zh-CN" w:eastAsia="zh-CN"/>
        </w:rPr>
        <w:t>1</w:t>
      </w:r>
      <w:r>
        <w:rPr>
          <w:rFonts w:hint="eastAsia" w:ascii="仿宋" w:hAnsi="仿宋" w:eastAsia="仿宋" w:cs="仿宋"/>
          <w:color w:val="auto"/>
          <w:sz w:val="21"/>
          <w:szCs w:val="21"/>
          <w:highlight w:val="none"/>
          <w:lang w:val="en-US" w:eastAsia="zh-CN"/>
        </w:rPr>
        <w:t>.图书采购：乙方自双方确认订单之日起30个工作日内送书到新疆农业职业技术大学图书馆，且到书率不低于80%，2025年6月30日以前完成100%。以上采购方式约定的到货日期，逾期未到我馆的图书，订单自动失效，造成的损失由乙方承担。</w:t>
      </w:r>
    </w:p>
    <w:p w14:paraId="32BEEBB7">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2.乙方在供货期间，如有服务质量下降，不履行服务承诺，甲方有权终止合同。乙方未做到招标文件要求的技术及服务要求的，甲方将以合同总价的5%予以扣除作为</w:t>
      </w:r>
      <w:r>
        <w:rPr>
          <w:rFonts w:hint="eastAsia" w:ascii="仿宋" w:hAnsi="仿宋" w:eastAsia="仿宋" w:cs="仿宋"/>
          <w:color w:val="000000"/>
          <w:sz w:val="21"/>
          <w:szCs w:val="21"/>
          <w:highlight w:val="none"/>
          <w:shd w:val="clear"/>
        </w:rPr>
        <w:t>作为</w:t>
      </w:r>
      <w:r>
        <w:rPr>
          <w:rFonts w:hint="eastAsia" w:ascii="仿宋" w:hAnsi="仿宋" w:eastAsia="仿宋" w:cs="仿宋"/>
          <w:color w:val="000000"/>
          <w:sz w:val="21"/>
          <w:szCs w:val="21"/>
          <w:highlight w:val="none"/>
          <w:shd w:val="clear"/>
          <w:lang w:val="en-US" w:eastAsia="zh-CN"/>
        </w:rPr>
        <w:t>违约金</w:t>
      </w:r>
      <w:r>
        <w:rPr>
          <w:rFonts w:hint="eastAsia" w:ascii="仿宋" w:hAnsi="仿宋" w:eastAsia="仿宋" w:cs="仿宋"/>
          <w:color w:val="auto"/>
          <w:sz w:val="21"/>
          <w:szCs w:val="21"/>
          <w:highlight w:val="none"/>
          <w:lang w:val="en-US" w:eastAsia="zh-CN"/>
        </w:rPr>
        <w:t>。</w:t>
      </w:r>
    </w:p>
    <w:p w14:paraId="1F570CED">
      <w:pPr>
        <w:keepNext w:val="0"/>
        <w:keepLines w:val="0"/>
        <w:pageBreakBefore w:val="0"/>
        <w:kinsoku/>
        <w:wordWrap/>
        <w:overflowPunct/>
        <w:topLinePunct w:val="0"/>
        <w:autoSpaceDE/>
        <w:autoSpaceDN/>
        <w:bidi w:val="0"/>
        <w:adjustRightInd w:val="0"/>
        <w:snapToGrid w:val="0"/>
        <w:spacing w:line="400" w:lineRule="exact"/>
        <w:ind w:firstLine="422" w:firstLineChars="200"/>
        <w:jc w:val="both"/>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六</w:t>
      </w:r>
      <w:r>
        <w:rPr>
          <w:rFonts w:hint="eastAsia" w:ascii="仿宋" w:hAnsi="仿宋" w:eastAsia="仿宋" w:cs="仿宋"/>
          <w:b/>
          <w:bCs/>
          <w:color w:val="auto"/>
          <w:sz w:val="21"/>
          <w:szCs w:val="21"/>
          <w:highlight w:val="none"/>
        </w:rPr>
        <w:t>、验收检测及配送要求</w:t>
      </w:r>
    </w:p>
    <w:p w14:paraId="77B4F64F">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在本项目按照合同要求完工后，由</w:t>
      </w:r>
      <w:r>
        <w:rPr>
          <w:rFonts w:hint="eastAsia" w:ascii="仿宋" w:hAnsi="仿宋" w:eastAsia="仿宋" w:cs="仿宋"/>
          <w:color w:val="auto"/>
          <w:sz w:val="21"/>
          <w:szCs w:val="21"/>
          <w:highlight w:val="none"/>
          <w:lang w:val="en-US" w:eastAsia="zh-CN"/>
        </w:rPr>
        <w:t>乙方和</w:t>
      </w:r>
      <w:r>
        <w:rPr>
          <w:rFonts w:hint="eastAsia" w:ascii="仿宋" w:hAnsi="仿宋" w:eastAsia="仿宋" w:cs="仿宋"/>
          <w:color w:val="auto"/>
          <w:sz w:val="21"/>
          <w:szCs w:val="21"/>
          <w:highlight w:val="none"/>
        </w:rPr>
        <w:t>甲方组织相关人员进行验收。</w:t>
      </w:r>
    </w:p>
    <w:p w14:paraId="7F8F6327">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1.乙方提供的图书的数量、金额、质量等，以甲方验收人员实际验收的情况为准。每批到馆图书应同时提供该批图书的总清单两份，每包图书外包装编上顺序，每包图书内附上该包图书清单。</w:t>
      </w:r>
    </w:p>
    <w:p w14:paraId="38185A57">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提供发货清单（一包一单，一批一整单）。每包一单内容包括：包号、书号、书名、单价、册数、码洋和合计。每批一总单，总单应注明以下项目：批号、送书日期、每批合计（种数、册数、码洋金额、实洋金额）、包号、包合计。如有缺页、污损等情况，乙方应予无条件调换。</w:t>
      </w:r>
    </w:p>
    <w:p w14:paraId="38C10793">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3.收货和验收如发生配货错误、到货破损、装订、印刷质量问题和损坏，无论是否已作前期加工，乙方必须无条件负责退换。</w:t>
      </w:r>
      <w:r>
        <w:rPr>
          <w:rFonts w:hint="eastAsia" w:ascii="仿宋" w:hAnsi="仿宋" w:eastAsia="仿宋" w:cs="仿宋"/>
          <w:color w:val="auto"/>
          <w:sz w:val="21"/>
          <w:szCs w:val="21"/>
          <w:highlight w:val="none"/>
          <w:lang w:val="en-US"/>
        </w:rPr>
        <w:t>甲方</w:t>
      </w:r>
      <w:r>
        <w:rPr>
          <w:rFonts w:hint="eastAsia" w:ascii="仿宋" w:hAnsi="仿宋" w:eastAsia="仿宋" w:cs="仿宋"/>
          <w:color w:val="auto"/>
          <w:sz w:val="21"/>
          <w:szCs w:val="21"/>
          <w:highlight w:val="none"/>
        </w:rPr>
        <w:t>有权对已到馆的、但内容不符合我校教学科研需要和水平的图书给予退货。</w:t>
      </w:r>
    </w:p>
    <w:p w14:paraId="35A2DE3A">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4.所有图书的品种及复本数量均由新疆农业职业技术</w:t>
      </w:r>
      <w:r>
        <w:rPr>
          <w:rFonts w:hint="eastAsia" w:ascii="仿宋" w:hAnsi="仿宋" w:eastAsia="仿宋" w:cs="仿宋"/>
          <w:color w:val="auto"/>
          <w:sz w:val="21"/>
          <w:szCs w:val="21"/>
          <w:highlight w:val="none"/>
          <w:lang w:eastAsia="zh-CN"/>
        </w:rPr>
        <w:t>大学</w:t>
      </w:r>
      <w:r>
        <w:rPr>
          <w:rFonts w:hint="eastAsia" w:ascii="仿宋" w:hAnsi="仿宋" w:eastAsia="仿宋" w:cs="仿宋"/>
          <w:color w:val="auto"/>
          <w:sz w:val="21"/>
          <w:szCs w:val="21"/>
          <w:highlight w:val="none"/>
        </w:rPr>
        <w:t>图书馆决定，乙方不得自行搭配和追加非图书馆确认订购的品种和复本数量的图书。图书品种、复本数量和随书光盘/磁带/磁盘等与订单不符时，无论是否已做前期加工，</w:t>
      </w:r>
      <w:r>
        <w:rPr>
          <w:rFonts w:hint="eastAsia" w:ascii="仿宋" w:hAnsi="仿宋" w:eastAsia="仿宋" w:cs="仿宋"/>
          <w:color w:val="auto"/>
          <w:sz w:val="21"/>
          <w:szCs w:val="21"/>
          <w:highlight w:val="none"/>
          <w:lang w:val="en-US"/>
        </w:rPr>
        <w:t>乙方</w:t>
      </w:r>
      <w:r>
        <w:rPr>
          <w:rFonts w:hint="eastAsia" w:ascii="仿宋" w:hAnsi="仿宋" w:eastAsia="仿宋" w:cs="仿宋"/>
          <w:color w:val="auto"/>
          <w:sz w:val="21"/>
          <w:szCs w:val="21"/>
          <w:highlight w:val="none"/>
        </w:rPr>
        <w:t>必须无条件负责退换。</w:t>
      </w:r>
    </w:p>
    <w:p w14:paraId="27E3111A">
      <w:pPr>
        <w:keepNext w:val="0"/>
        <w:keepLines w:val="0"/>
        <w:pageBreakBefore w:val="0"/>
        <w:kinsoku/>
        <w:wordWrap/>
        <w:overflowPunct/>
        <w:topLinePunct w:val="0"/>
        <w:autoSpaceDE/>
        <w:autoSpaceDN/>
        <w:bidi w:val="0"/>
        <w:adjustRightInd w:val="0"/>
        <w:snapToGrid w:val="0"/>
        <w:spacing w:line="400" w:lineRule="exact"/>
        <w:ind w:firstLine="422"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b/>
          <w:bCs/>
          <w:color w:val="auto"/>
          <w:sz w:val="21"/>
          <w:szCs w:val="21"/>
          <w:highlight w:val="none"/>
          <w:lang w:val="en-US" w:eastAsia="zh-CN"/>
        </w:rPr>
        <w:t>七</w:t>
      </w:r>
      <w:r>
        <w:rPr>
          <w:rFonts w:hint="eastAsia" w:ascii="仿宋" w:hAnsi="仿宋" w:eastAsia="仿宋" w:cs="仿宋"/>
          <w:b/>
          <w:bCs/>
          <w:color w:val="auto"/>
          <w:sz w:val="21"/>
          <w:szCs w:val="21"/>
          <w:highlight w:val="none"/>
        </w:rPr>
        <w:t>、深加工服务各项技术要求</w:t>
      </w:r>
    </w:p>
    <w:p w14:paraId="56250871">
      <w:pPr>
        <w:keepNext w:val="0"/>
        <w:keepLines w:val="0"/>
        <w:pageBreakBefore w:val="0"/>
        <w:kinsoku/>
        <w:wordWrap/>
        <w:overflowPunct/>
        <w:topLinePunct w:val="0"/>
        <w:autoSpaceDE/>
        <w:autoSpaceDN/>
        <w:bidi w:val="0"/>
        <w:adjustRightInd w:val="0"/>
        <w:snapToGrid w:val="0"/>
        <w:spacing w:line="400" w:lineRule="exact"/>
        <w:ind w:left="0" w:firstLine="420" w:firstLineChars="200"/>
        <w:jc w:val="left"/>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1.</w:t>
      </w:r>
      <w:r>
        <w:rPr>
          <w:rFonts w:hint="eastAsia" w:ascii="仿宋" w:hAnsi="仿宋" w:eastAsia="仿宋" w:cs="仿宋"/>
          <w:color w:val="000000"/>
          <w:sz w:val="21"/>
          <w:szCs w:val="21"/>
          <w:highlight w:val="none"/>
          <w:lang w:val="en-US" w:eastAsia="zh-CN"/>
        </w:rPr>
        <w:t>乙方</w:t>
      </w:r>
      <w:r>
        <w:rPr>
          <w:rFonts w:hint="eastAsia" w:ascii="仿宋" w:hAnsi="仿宋" w:eastAsia="仿宋" w:cs="仿宋"/>
          <w:color w:val="000000"/>
          <w:sz w:val="21"/>
          <w:szCs w:val="21"/>
          <w:highlight w:val="none"/>
        </w:rPr>
        <w:t>负责图书的后期加工，耗材自理。耗材包括：</w:t>
      </w:r>
      <w:r>
        <w:rPr>
          <w:rFonts w:hint="eastAsia" w:ascii="仿宋" w:hAnsi="仿宋" w:eastAsia="仿宋" w:cs="仿宋"/>
          <w:b w:val="0"/>
          <w:bCs w:val="0"/>
          <w:color w:val="000000"/>
          <w:sz w:val="21"/>
          <w:szCs w:val="21"/>
          <w:highlight w:val="none"/>
          <w:lang w:val="en-US" w:eastAsia="zh-CN"/>
        </w:rPr>
        <w:t>超高频REID卡芯片</w:t>
      </w:r>
      <w:r>
        <w:rPr>
          <w:rFonts w:hint="eastAsia" w:ascii="仿宋" w:hAnsi="仿宋" w:eastAsia="仿宋" w:cs="仿宋"/>
          <w:color w:val="000000"/>
          <w:sz w:val="21"/>
          <w:szCs w:val="21"/>
          <w:highlight w:val="none"/>
        </w:rPr>
        <w:t>、粘贴RFID标签、</w:t>
      </w:r>
      <w:r>
        <w:rPr>
          <w:rFonts w:hint="eastAsia" w:ascii="仿宋" w:hAnsi="仿宋" w:eastAsia="仿宋" w:cs="仿宋"/>
          <w:color w:val="000000"/>
          <w:sz w:val="21"/>
          <w:szCs w:val="21"/>
          <w:highlight w:val="none"/>
          <w:lang w:val="en-US" w:eastAsia="zh-CN"/>
        </w:rPr>
        <w:t>标签</w:t>
      </w:r>
      <w:r>
        <w:rPr>
          <w:rFonts w:hint="eastAsia" w:ascii="仿宋" w:hAnsi="仿宋" w:eastAsia="仿宋" w:cs="仿宋"/>
          <w:color w:val="000000"/>
          <w:sz w:val="21"/>
          <w:szCs w:val="21"/>
          <w:highlight w:val="none"/>
        </w:rPr>
        <w:t>塑封胶带、馆藏章等。若</w:t>
      </w:r>
      <w:r>
        <w:rPr>
          <w:rFonts w:hint="eastAsia" w:ascii="仿宋" w:hAnsi="仿宋" w:eastAsia="仿宋" w:cs="仿宋"/>
          <w:color w:val="000000"/>
          <w:sz w:val="21"/>
          <w:szCs w:val="21"/>
          <w:highlight w:val="none"/>
          <w:lang w:eastAsia="zh-CN"/>
        </w:rPr>
        <w:t>乙方</w:t>
      </w:r>
      <w:r>
        <w:rPr>
          <w:rFonts w:hint="eastAsia" w:ascii="仿宋" w:hAnsi="仿宋" w:eastAsia="仿宋" w:cs="仿宋"/>
          <w:color w:val="000000"/>
          <w:sz w:val="21"/>
          <w:szCs w:val="21"/>
          <w:highlight w:val="none"/>
        </w:rPr>
        <w:t>图书服务所需的耗材质量未达到采购人要求的，采购人将保留追究相关责任的权利。。</w:t>
      </w:r>
    </w:p>
    <w:p w14:paraId="550B6F76">
      <w:pPr>
        <w:keepNext w:val="0"/>
        <w:keepLines w:val="0"/>
        <w:pageBreakBefore w:val="0"/>
        <w:kinsoku/>
        <w:wordWrap/>
        <w:overflowPunct/>
        <w:topLinePunct w:val="0"/>
        <w:autoSpaceDE/>
        <w:autoSpaceDN/>
        <w:bidi w:val="0"/>
        <w:adjustRightInd w:val="0"/>
        <w:snapToGrid w:val="0"/>
        <w:spacing w:line="400" w:lineRule="exact"/>
        <w:ind w:left="0" w:firstLine="420" w:firstLineChars="200"/>
        <w:jc w:val="left"/>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2.</w:t>
      </w:r>
      <w:r>
        <w:rPr>
          <w:rFonts w:hint="eastAsia" w:ascii="仿宋" w:hAnsi="仿宋" w:eastAsia="仿宋" w:cs="仿宋"/>
          <w:color w:val="000000"/>
          <w:sz w:val="21"/>
          <w:szCs w:val="21"/>
          <w:highlight w:val="none"/>
          <w:lang w:eastAsia="zh-CN"/>
        </w:rPr>
        <w:t>乙方</w:t>
      </w:r>
      <w:r>
        <w:rPr>
          <w:rFonts w:hint="eastAsia" w:ascii="仿宋" w:hAnsi="仿宋" w:eastAsia="仿宋" w:cs="仿宋"/>
          <w:color w:val="000000"/>
          <w:sz w:val="21"/>
          <w:szCs w:val="21"/>
          <w:highlight w:val="none"/>
        </w:rPr>
        <w:t>须承诺对拟中标段所购图书提供查重、标准MARC数据、贴</w:t>
      </w:r>
      <w:r>
        <w:rPr>
          <w:rFonts w:hint="eastAsia" w:ascii="仿宋" w:hAnsi="仿宋" w:eastAsia="仿宋" w:cs="仿宋"/>
          <w:color w:val="000000"/>
          <w:sz w:val="21"/>
          <w:szCs w:val="21"/>
          <w:highlight w:val="none"/>
          <w:lang w:val="en-US" w:eastAsia="zh-CN"/>
        </w:rPr>
        <w:t>芯片</w:t>
      </w:r>
      <w:r>
        <w:rPr>
          <w:rFonts w:hint="eastAsia" w:ascii="仿宋" w:hAnsi="仿宋" w:eastAsia="仿宋" w:cs="仿宋"/>
          <w:color w:val="000000"/>
          <w:sz w:val="21"/>
          <w:szCs w:val="21"/>
          <w:highlight w:val="none"/>
        </w:rPr>
        <w:t xml:space="preserve">、贴书标、书标上面贴一层透明胶带以防脱落，盖馆藏章（书名页一个， </w:t>
      </w:r>
      <w:r>
        <w:rPr>
          <w:rFonts w:hint="eastAsia" w:ascii="仿宋" w:hAnsi="仿宋" w:eastAsia="仿宋" w:cs="仿宋"/>
          <w:color w:val="000000"/>
          <w:sz w:val="21"/>
          <w:szCs w:val="21"/>
          <w:highlight w:val="none"/>
          <w:shd w:val="clear"/>
        </w:rPr>
        <w:t>49-51页一个，</w:t>
      </w:r>
      <w:r>
        <w:rPr>
          <w:rFonts w:hint="eastAsia" w:ascii="仿宋" w:hAnsi="仿宋" w:eastAsia="仿宋" w:cs="仿宋"/>
          <w:color w:val="000000"/>
          <w:sz w:val="21"/>
          <w:szCs w:val="21"/>
          <w:highlight w:val="none"/>
        </w:rPr>
        <w:t>书口一个）等加工服务。</w:t>
      </w:r>
    </w:p>
    <w:p w14:paraId="79E6DCCD">
      <w:pPr>
        <w:keepNext w:val="0"/>
        <w:keepLines w:val="0"/>
        <w:pageBreakBefore w:val="0"/>
        <w:kinsoku/>
        <w:wordWrap/>
        <w:overflowPunct/>
        <w:topLinePunct w:val="0"/>
        <w:autoSpaceDE/>
        <w:autoSpaceDN/>
        <w:bidi w:val="0"/>
        <w:adjustRightInd w:val="0"/>
        <w:snapToGrid w:val="0"/>
        <w:spacing w:line="400" w:lineRule="exact"/>
        <w:ind w:left="0" w:firstLine="420" w:firstLineChars="200"/>
        <w:jc w:val="left"/>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3.售后标准编目数据服务：</w:t>
      </w:r>
      <w:r>
        <w:rPr>
          <w:rFonts w:hint="eastAsia" w:ascii="仿宋" w:hAnsi="仿宋" w:eastAsia="仿宋" w:cs="仿宋"/>
          <w:color w:val="000000"/>
          <w:sz w:val="21"/>
          <w:szCs w:val="21"/>
          <w:highlight w:val="none"/>
          <w:lang w:eastAsia="zh-CN"/>
        </w:rPr>
        <w:t>乙方</w:t>
      </w:r>
      <w:r>
        <w:rPr>
          <w:rFonts w:hint="eastAsia" w:ascii="仿宋" w:hAnsi="仿宋" w:eastAsia="仿宋" w:cs="仿宋"/>
          <w:color w:val="000000"/>
          <w:sz w:val="21"/>
          <w:szCs w:val="21"/>
          <w:highlight w:val="none"/>
          <w:lang w:val="en-US" w:eastAsia="zh-CN"/>
        </w:rPr>
        <w:t>按照</w:t>
      </w:r>
      <w:r>
        <w:rPr>
          <w:rFonts w:hint="eastAsia" w:ascii="仿宋" w:hAnsi="仿宋" w:eastAsia="仿宋" w:cs="仿宋"/>
          <w:color w:val="000000"/>
          <w:sz w:val="21"/>
          <w:szCs w:val="21"/>
          <w:highlight w:val="none"/>
        </w:rPr>
        <w:t>国家中文图书著录规则要求，随书提供标准CNMARC编目数据</w:t>
      </w:r>
      <w:r>
        <w:rPr>
          <w:rFonts w:hint="eastAsia" w:ascii="仿宋" w:hAnsi="仿宋" w:eastAsia="仿宋" w:cs="仿宋"/>
          <w:color w:val="000000"/>
          <w:sz w:val="21"/>
          <w:szCs w:val="21"/>
          <w:highlight w:val="none"/>
          <w:lang w:val="en-US" w:eastAsia="zh-CN"/>
        </w:rPr>
        <w:t>。完成</w:t>
      </w:r>
      <w:r>
        <w:rPr>
          <w:rFonts w:hint="eastAsia" w:ascii="仿宋" w:hAnsi="仿宋" w:eastAsia="仿宋" w:cs="仿宋"/>
          <w:color w:val="000000"/>
          <w:sz w:val="21"/>
          <w:szCs w:val="21"/>
          <w:highlight w:val="none"/>
        </w:rPr>
        <w:t>R</w:t>
      </w:r>
      <w:r>
        <w:rPr>
          <w:rFonts w:hint="eastAsia" w:ascii="仿宋" w:hAnsi="仿宋" w:eastAsia="仿宋" w:cs="仿宋"/>
          <w:color w:val="000000"/>
          <w:sz w:val="21"/>
          <w:szCs w:val="21"/>
          <w:highlight w:val="none"/>
          <w:lang w:val="en-US" w:eastAsia="zh-CN"/>
        </w:rPr>
        <w:t>F</w:t>
      </w:r>
      <w:r>
        <w:rPr>
          <w:rFonts w:hint="eastAsia" w:ascii="仿宋" w:hAnsi="仿宋" w:eastAsia="仿宋" w:cs="仿宋"/>
          <w:color w:val="000000"/>
          <w:sz w:val="21"/>
          <w:szCs w:val="21"/>
          <w:highlight w:val="none"/>
        </w:rPr>
        <w:t>ID芯片的加工工作，并完成R</w:t>
      </w:r>
      <w:r>
        <w:rPr>
          <w:rFonts w:hint="eastAsia" w:ascii="仿宋" w:hAnsi="仿宋" w:eastAsia="仿宋" w:cs="仿宋"/>
          <w:color w:val="000000"/>
          <w:sz w:val="21"/>
          <w:szCs w:val="21"/>
          <w:highlight w:val="none"/>
          <w:lang w:val="en-US" w:eastAsia="zh-CN"/>
        </w:rPr>
        <w:t>F</w:t>
      </w:r>
      <w:r>
        <w:rPr>
          <w:rFonts w:hint="eastAsia" w:ascii="仿宋" w:hAnsi="仿宋" w:eastAsia="仿宋" w:cs="仿宋"/>
          <w:color w:val="000000"/>
          <w:sz w:val="21"/>
          <w:szCs w:val="21"/>
          <w:highlight w:val="none"/>
        </w:rPr>
        <w:t>ID卡芯片数据转换</w:t>
      </w:r>
      <w:r>
        <w:rPr>
          <w:rFonts w:hint="eastAsia" w:ascii="仿宋" w:hAnsi="仿宋" w:eastAsia="仿宋" w:cs="仿宋"/>
          <w:sz w:val="21"/>
          <w:szCs w:val="21"/>
          <w:lang w:val="en-US" w:eastAsia="zh-CN"/>
        </w:rPr>
        <w:t>,</w:t>
      </w:r>
      <w:r>
        <w:rPr>
          <w:rFonts w:hint="eastAsia" w:ascii="仿宋" w:hAnsi="仿宋" w:eastAsia="仿宋" w:cs="仿宋"/>
          <w:color w:val="000000"/>
          <w:sz w:val="21"/>
          <w:szCs w:val="21"/>
          <w:highlight w:val="none"/>
          <w:lang w:val="en-US" w:eastAsia="zh-CN"/>
        </w:rPr>
        <w:t>最后</w:t>
      </w:r>
      <w:r>
        <w:rPr>
          <w:rFonts w:hint="eastAsia" w:ascii="仿宋" w:hAnsi="仿宋" w:eastAsia="仿宋" w:cs="仿宋"/>
          <w:color w:val="000000"/>
          <w:sz w:val="21"/>
          <w:szCs w:val="21"/>
          <w:highlight w:val="none"/>
        </w:rPr>
        <w:t>导入《超星图书馆管理系统》。编目数据应与图书同步或提前到馆，并达到100%的覆盖率。数据不全或复本不符合的，不予验收。</w:t>
      </w:r>
      <w:r>
        <w:rPr>
          <w:rFonts w:hint="eastAsia" w:ascii="仿宋" w:hAnsi="仿宋" w:eastAsia="仿宋" w:cs="仿宋"/>
          <w:color w:val="000000"/>
          <w:sz w:val="21"/>
          <w:szCs w:val="21"/>
          <w:highlight w:val="none"/>
          <w:lang w:eastAsia="zh-CN"/>
        </w:rPr>
        <w:t>乙方</w:t>
      </w:r>
      <w:r>
        <w:rPr>
          <w:rFonts w:hint="eastAsia" w:ascii="仿宋" w:hAnsi="仿宋" w:eastAsia="仿宋" w:cs="仿宋"/>
          <w:color w:val="000000"/>
          <w:sz w:val="21"/>
          <w:szCs w:val="21"/>
          <w:highlight w:val="none"/>
        </w:rPr>
        <w:t>在加工服务过程中，必须保证编目字段完整</w:t>
      </w:r>
      <w:r>
        <w:rPr>
          <w:rFonts w:hint="eastAsia" w:ascii="仿宋" w:hAnsi="仿宋" w:eastAsia="仿宋" w:cs="仿宋"/>
          <w:color w:val="000000"/>
          <w:sz w:val="21"/>
          <w:szCs w:val="21"/>
          <w:highlight w:val="none"/>
          <w:lang w:val="en-US" w:eastAsia="zh-CN"/>
        </w:rPr>
        <w:t>及准确性</w:t>
      </w:r>
      <w:r>
        <w:rPr>
          <w:rFonts w:hint="eastAsia" w:ascii="仿宋" w:hAnsi="仿宋" w:eastAsia="仿宋" w:cs="仿宋"/>
          <w:color w:val="000000"/>
          <w:sz w:val="21"/>
          <w:szCs w:val="21"/>
          <w:highlight w:val="none"/>
        </w:rPr>
        <w:t>。</w:t>
      </w:r>
    </w:p>
    <w:p w14:paraId="187C31DC">
      <w:pPr>
        <w:keepNext w:val="0"/>
        <w:keepLines w:val="0"/>
        <w:pageBreakBefore w:val="0"/>
        <w:kinsoku/>
        <w:wordWrap/>
        <w:overflowPunct/>
        <w:topLinePunct w:val="0"/>
        <w:autoSpaceDE/>
        <w:autoSpaceDN/>
        <w:bidi w:val="0"/>
        <w:adjustRightInd w:val="0"/>
        <w:snapToGrid w:val="0"/>
        <w:spacing w:line="400" w:lineRule="exact"/>
        <w:ind w:left="0" w:firstLine="420" w:firstLineChars="200"/>
        <w:jc w:val="left"/>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4.每种图书按照《中图法》（第五版）的分类标准及采购人的图书分类细则给出索书号，并依照采购人的图书加工细则贴好书标。</w:t>
      </w:r>
    </w:p>
    <w:p w14:paraId="25934A9C">
      <w:pPr>
        <w:keepNext w:val="0"/>
        <w:keepLines w:val="0"/>
        <w:pageBreakBefore w:val="0"/>
        <w:kinsoku/>
        <w:wordWrap/>
        <w:overflowPunct/>
        <w:topLinePunct w:val="0"/>
        <w:autoSpaceDE/>
        <w:autoSpaceDN/>
        <w:bidi w:val="0"/>
        <w:adjustRightInd w:val="0"/>
        <w:snapToGrid w:val="0"/>
        <w:spacing w:line="400" w:lineRule="exact"/>
        <w:ind w:left="0" w:firstLine="420" w:firstLineChars="200"/>
        <w:jc w:val="left"/>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5.售后深加工服务：</w:t>
      </w:r>
    </w:p>
    <w:p w14:paraId="46C77DB7">
      <w:pPr>
        <w:keepNext w:val="0"/>
        <w:keepLines w:val="0"/>
        <w:pageBreakBefore w:val="0"/>
        <w:kinsoku/>
        <w:wordWrap/>
        <w:overflowPunct/>
        <w:topLinePunct w:val="0"/>
        <w:autoSpaceDE/>
        <w:autoSpaceDN/>
        <w:bidi w:val="0"/>
        <w:adjustRightInd w:val="0"/>
        <w:snapToGrid w:val="0"/>
        <w:spacing w:line="400" w:lineRule="exact"/>
        <w:ind w:left="0" w:firstLine="420" w:firstLineChars="200"/>
        <w:jc w:val="left"/>
        <w:textAlignment w:val="auto"/>
        <w:rPr>
          <w:rFonts w:hint="eastAsia" w:ascii="仿宋" w:hAnsi="仿宋" w:eastAsia="仿宋" w:cs="仿宋"/>
          <w:color w:val="000000"/>
          <w:sz w:val="21"/>
          <w:szCs w:val="21"/>
          <w:highlight w:val="none"/>
          <w:shd w:val="clear"/>
        </w:rPr>
      </w:pPr>
      <w:r>
        <w:rPr>
          <w:rFonts w:hint="eastAsia" w:ascii="仿宋" w:hAnsi="仿宋" w:eastAsia="仿宋" w:cs="仿宋"/>
          <w:color w:val="000000"/>
          <w:sz w:val="21"/>
          <w:szCs w:val="21"/>
          <w:highlight w:val="none"/>
        </w:rPr>
        <w:t>（1）贴</w:t>
      </w:r>
      <w:r>
        <w:rPr>
          <w:rFonts w:hint="eastAsia" w:ascii="仿宋" w:hAnsi="仿宋" w:eastAsia="仿宋" w:cs="仿宋"/>
          <w:color w:val="000000"/>
          <w:sz w:val="21"/>
          <w:szCs w:val="21"/>
          <w:highlight w:val="none"/>
          <w:lang w:val="en-US" w:eastAsia="zh-CN"/>
        </w:rPr>
        <w:t>芯片</w:t>
      </w:r>
      <w:r>
        <w:rPr>
          <w:rFonts w:hint="eastAsia" w:ascii="仿宋" w:hAnsi="仿宋" w:eastAsia="仿宋" w:cs="仿宋"/>
          <w:color w:val="000000"/>
          <w:sz w:val="21"/>
          <w:szCs w:val="21"/>
          <w:highlight w:val="none"/>
        </w:rPr>
        <w:t>。要求1册1</w:t>
      </w:r>
      <w:r>
        <w:rPr>
          <w:rFonts w:hint="eastAsia" w:ascii="仿宋" w:hAnsi="仿宋" w:eastAsia="仿宋" w:cs="仿宋"/>
          <w:color w:val="000000"/>
          <w:sz w:val="21"/>
          <w:szCs w:val="21"/>
          <w:highlight w:val="none"/>
          <w:lang w:val="en-US" w:eastAsia="zh-CN"/>
        </w:rPr>
        <w:t>片</w:t>
      </w:r>
      <w:r>
        <w:rPr>
          <w:rFonts w:hint="eastAsia" w:ascii="仿宋" w:hAnsi="仿宋" w:eastAsia="仿宋" w:cs="仿宋"/>
          <w:color w:val="000000"/>
          <w:sz w:val="21"/>
          <w:szCs w:val="21"/>
          <w:highlight w:val="none"/>
        </w:rPr>
        <w:t>。在每册图书中间加装超高频REID卡芯片1条， 需夹在全书的中部紧靠书脊的部位，不能粘贴住书中的文字， 不能让读者轻易发现芯片粘贴的位置，</w:t>
      </w:r>
      <w:r>
        <w:rPr>
          <w:rFonts w:hint="eastAsia" w:ascii="仿宋" w:hAnsi="仿宋" w:eastAsia="仿宋" w:cs="仿宋"/>
          <w:color w:val="000000"/>
          <w:sz w:val="21"/>
          <w:szCs w:val="21"/>
          <w:highlight w:val="none"/>
          <w:lang w:val="en-US" w:eastAsia="zh-CN"/>
        </w:rPr>
        <w:t>乙方</w:t>
      </w:r>
      <w:r>
        <w:rPr>
          <w:rFonts w:hint="eastAsia" w:ascii="仿宋" w:hAnsi="仿宋" w:eastAsia="仿宋" w:cs="仿宋"/>
          <w:color w:val="000000"/>
          <w:sz w:val="21"/>
          <w:szCs w:val="21"/>
          <w:highlight w:val="none"/>
        </w:rPr>
        <w:t>使用</w:t>
      </w:r>
      <w:r>
        <w:rPr>
          <w:rFonts w:hint="eastAsia" w:ascii="仿宋" w:hAnsi="仿宋" w:eastAsia="仿宋" w:cs="仿宋"/>
          <w:color w:val="000000"/>
          <w:sz w:val="21"/>
          <w:szCs w:val="21"/>
          <w:highlight w:val="none"/>
          <w:lang w:val="en-US" w:eastAsia="zh-CN"/>
        </w:rPr>
        <w:t>的</w:t>
      </w:r>
      <w:r>
        <w:rPr>
          <w:rFonts w:hint="eastAsia" w:ascii="仿宋" w:hAnsi="仿宋" w:eastAsia="仿宋" w:cs="仿宋"/>
          <w:color w:val="000000"/>
          <w:sz w:val="21"/>
          <w:szCs w:val="21"/>
          <w:highlight w:val="none"/>
        </w:rPr>
        <w:t>芯片质量须通过甲方认可。</w:t>
      </w:r>
      <w:r>
        <w:rPr>
          <w:rFonts w:hint="eastAsia" w:ascii="仿宋" w:hAnsi="仿宋" w:eastAsia="仿宋" w:cs="仿宋"/>
          <w:color w:val="000000"/>
          <w:sz w:val="21"/>
          <w:szCs w:val="21"/>
          <w:highlight w:val="none"/>
          <w:shd w:val="clear"/>
        </w:rPr>
        <w:t>（2）贴条形码。每册书须贴条形码1张，条形码需贴在书名页的中下部，即出版社与著者中间，并覆盖透明保护膜等加工服务，同种图书不同复本号码要连续，</w:t>
      </w:r>
      <w:r>
        <w:rPr>
          <w:rFonts w:hint="eastAsia" w:ascii="仿宋" w:hAnsi="仿宋" w:eastAsia="仿宋" w:cs="仿宋"/>
          <w:color w:val="000000"/>
          <w:sz w:val="21"/>
          <w:szCs w:val="21"/>
          <w:highlight w:val="none"/>
          <w:shd w:val="clear"/>
          <w:lang w:val="en-US" w:eastAsia="zh-CN"/>
        </w:rPr>
        <w:t>条形码</w:t>
      </w:r>
      <w:r>
        <w:rPr>
          <w:rFonts w:hint="eastAsia" w:ascii="仿宋" w:hAnsi="仿宋" w:eastAsia="仿宋" w:cs="仿宋"/>
          <w:color w:val="000000"/>
          <w:sz w:val="21"/>
          <w:szCs w:val="21"/>
          <w:highlight w:val="none"/>
          <w:shd w:val="clear"/>
        </w:rPr>
        <w:t>要求</w:t>
      </w:r>
      <w:r>
        <w:rPr>
          <w:rFonts w:hint="eastAsia" w:ascii="仿宋" w:hAnsi="仿宋" w:eastAsia="仿宋" w:cs="仿宋"/>
          <w:color w:val="000000"/>
          <w:sz w:val="21"/>
          <w:szCs w:val="21"/>
          <w:highlight w:val="none"/>
          <w:shd w:val="clear"/>
          <w:lang w:val="en-US" w:eastAsia="zh-CN"/>
        </w:rPr>
        <w:t>贴</w:t>
      </w:r>
      <w:r>
        <w:rPr>
          <w:rFonts w:hint="eastAsia" w:ascii="仿宋" w:hAnsi="仿宋" w:eastAsia="仿宋" w:cs="仿宋"/>
          <w:color w:val="000000"/>
          <w:sz w:val="21"/>
          <w:szCs w:val="21"/>
          <w:highlight w:val="none"/>
          <w:shd w:val="clear"/>
        </w:rPr>
        <w:t>端正</w:t>
      </w:r>
      <w:r>
        <w:rPr>
          <w:rFonts w:hint="eastAsia" w:ascii="仿宋" w:hAnsi="仿宋" w:eastAsia="仿宋" w:cs="仿宋"/>
          <w:color w:val="000000"/>
          <w:sz w:val="21"/>
          <w:szCs w:val="21"/>
          <w:highlight w:val="none"/>
          <w:shd w:val="clear"/>
          <w:lang w:eastAsia="zh-CN"/>
        </w:rPr>
        <w:t>、</w:t>
      </w:r>
      <w:r>
        <w:rPr>
          <w:rFonts w:hint="eastAsia" w:ascii="仿宋" w:hAnsi="仿宋" w:eastAsia="仿宋" w:cs="仿宋"/>
          <w:color w:val="000000"/>
          <w:sz w:val="21"/>
          <w:szCs w:val="21"/>
          <w:highlight w:val="none"/>
          <w:shd w:val="clear"/>
        </w:rPr>
        <w:t xml:space="preserve">不得歪斜。 </w:t>
      </w:r>
    </w:p>
    <w:p w14:paraId="1154DFDA">
      <w:pPr>
        <w:keepNext w:val="0"/>
        <w:keepLines w:val="0"/>
        <w:pageBreakBefore w:val="0"/>
        <w:kinsoku/>
        <w:wordWrap/>
        <w:overflowPunct/>
        <w:topLinePunct w:val="0"/>
        <w:autoSpaceDE/>
        <w:autoSpaceDN/>
        <w:bidi w:val="0"/>
        <w:adjustRightInd w:val="0"/>
        <w:snapToGrid w:val="0"/>
        <w:spacing w:line="400" w:lineRule="exact"/>
        <w:ind w:left="0" w:firstLine="420" w:firstLineChars="200"/>
        <w:jc w:val="left"/>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 xml:space="preserve">  （3）盖馆藏章。每册书须盖馆藏章3处，根据采购人所提供之馆藏章，使用深蓝色印油，加盖于粘贴了条码号的图书页面，即：图书书名页和图书总页码第51页右上角位置及图书切口处。盖章要求端正且清晰。</w:t>
      </w:r>
    </w:p>
    <w:p w14:paraId="5AA4A5F1">
      <w:pPr>
        <w:keepNext w:val="0"/>
        <w:keepLines w:val="0"/>
        <w:pageBreakBefore w:val="0"/>
        <w:kinsoku/>
        <w:wordWrap/>
        <w:overflowPunct/>
        <w:topLinePunct w:val="0"/>
        <w:autoSpaceDE/>
        <w:autoSpaceDN/>
        <w:bidi w:val="0"/>
        <w:adjustRightInd w:val="0"/>
        <w:snapToGrid w:val="0"/>
        <w:spacing w:line="400" w:lineRule="exact"/>
        <w:ind w:left="0" w:firstLine="420" w:firstLineChars="200"/>
        <w:jc w:val="left"/>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（4）</w:t>
      </w:r>
      <w:r>
        <w:rPr>
          <w:rFonts w:hint="eastAsia" w:ascii="仿宋" w:hAnsi="仿宋" w:eastAsia="仿宋" w:cs="仿宋"/>
          <w:color w:val="000000"/>
          <w:sz w:val="21"/>
          <w:szCs w:val="21"/>
          <w:highlight w:val="none"/>
          <w:lang w:eastAsia="zh-CN"/>
        </w:rPr>
        <w:t>乙方</w:t>
      </w:r>
      <w:r>
        <w:rPr>
          <w:rFonts w:hint="eastAsia" w:ascii="仿宋" w:hAnsi="仿宋" w:eastAsia="仿宋" w:cs="仿宋"/>
          <w:color w:val="000000"/>
          <w:sz w:val="21"/>
          <w:szCs w:val="21"/>
          <w:highlight w:val="none"/>
        </w:rPr>
        <w:t>根据其提供的编目数据，通过远程或现场完成图书的编目处理、字段添加、馆藏分配、典藏及导库等工作；可由图书馆人员进入对应批次开展验收编目工作，中标方按照要求完成图书后期全加工服务</w:t>
      </w:r>
      <w:r>
        <w:rPr>
          <w:rFonts w:hint="eastAsia" w:ascii="仿宋" w:hAnsi="仿宋" w:eastAsia="仿宋" w:cs="仿宋"/>
          <w:color w:val="000000"/>
          <w:sz w:val="21"/>
          <w:szCs w:val="21"/>
          <w:highlight w:val="none"/>
          <w:lang w:val="en-US" w:eastAsia="zh-CN"/>
        </w:rPr>
        <w:t>及</w:t>
      </w:r>
      <w:r>
        <w:rPr>
          <w:rFonts w:hint="eastAsia" w:ascii="仿宋" w:hAnsi="仿宋" w:eastAsia="仿宋" w:cs="仿宋"/>
          <w:color w:val="000000"/>
          <w:sz w:val="21"/>
          <w:szCs w:val="21"/>
          <w:highlight w:val="none"/>
        </w:rPr>
        <w:t>分类上架。</w:t>
      </w:r>
    </w:p>
    <w:p w14:paraId="349C8710">
      <w:pPr>
        <w:keepNext w:val="0"/>
        <w:keepLines w:val="0"/>
        <w:pageBreakBefore w:val="0"/>
        <w:kinsoku/>
        <w:wordWrap/>
        <w:overflowPunct/>
        <w:topLinePunct w:val="0"/>
        <w:autoSpaceDE/>
        <w:autoSpaceDN/>
        <w:bidi w:val="0"/>
        <w:adjustRightInd w:val="0"/>
        <w:snapToGrid w:val="0"/>
        <w:spacing w:line="400" w:lineRule="exact"/>
        <w:ind w:left="0" w:firstLine="420" w:firstLineChars="200"/>
        <w:jc w:val="left"/>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（5）贴书标。图书粘贴与其对应RFID标签，粘贴位置为离书底部2-3厘米处，标签位置一致，书标粘贴整齐，并与图书馆藏码绑定关联。</w:t>
      </w:r>
      <w:r>
        <w:rPr>
          <w:rFonts w:hint="eastAsia" w:ascii="仿宋" w:hAnsi="仿宋" w:eastAsia="仿宋" w:cs="仿宋"/>
          <w:color w:val="000000"/>
          <w:sz w:val="21"/>
          <w:szCs w:val="21"/>
          <w:highlight w:val="none"/>
          <w:shd w:val="clear"/>
        </w:rPr>
        <w:t>粘贴完成后，须覆盖透明保护膜，</w:t>
      </w:r>
      <w:r>
        <w:rPr>
          <w:rFonts w:hint="eastAsia" w:ascii="仿宋" w:hAnsi="仿宋" w:eastAsia="仿宋" w:cs="仿宋"/>
          <w:color w:val="000000"/>
          <w:sz w:val="21"/>
          <w:szCs w:val="21"/>
          <w:highlight w:val="none"/>
        </w:rPr>
        <w:t>要求端正，不覆盖字迹，不得歪斜。如发现条形码、书标、馆藏章等有质量问题或遗漏情况，中标方承担相应的经济责任。</w:t>
      </w:r>
    </w:p>
    <w:p w14:paraId="79A5884B">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（6）打印馆藏号（财产号）。一册2处，第一个印在书名页右上角，第二个印在目录页右上角。馆藏号、条码号要求一致。</w:t>
      </w:r>
    </w:p>
    <w:p w14:paraId="7BD3233C">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lang w:val="en-US"/>
        </w:rPr>
        <w:t>.</w:t>
      </w:r>
      <w:r>
        <w:rPr>
          <w:rFonts w:hint="eastAsia" w:ascii="仿宋" w:hAnsi="仿宋" w:eastAsia="仿宋" w:cs="仿宋"/>
          <w:color w:val="auto"/>
          <w:sz w:val="21"/>
          <w:szCs w:val="21"/>
          <w:highlight w:val="none"/>
          <w:lang w:eastAsia="zh-Hans"/>
        </w:rPr>
        <w:t>甲方所采购的</w:t>
      </w:r>
      <w:r>
        <w:rPr>
          <w:rFonts w:hint="eastAsia" w:ascii="仿宋" w:hAnsi="仿宋" w:eastAsia="仿宋" w:cs="仿宋"/>
          <w:color w:val="auto"/>
          <w:sz w:val="21"/>
          <w:szCs w:val="21"/>
          <w:highlight w:val="none"/>
        </w:rPr>
        <w:t>所有图书验收合格后乙方</w:t>
      </w:r>
      <w:r>
        <w:rPr>
          <w:rFonts w:hint="eastAsia" w:ascii="仿宋" w:hAnsi="仿宋" w:eastAsia="仿宋" w:cs="仿宋"/>
          <w:color w:val="auto"/>
          <w:sz w:val="21"/>
          <w:szCs w:val="21"/>
          <w:highlight w:val="none"/>
          <w:lang w:val="en-US"/>
        </w:rPr>
        <w:t>免费</w:t>
      </w:r>
      <w:r>
        <w:rPr>
          <w:rFonts w:hint="eastAsia" w:ascii="仿宋" w:hAnsi="仿宋" w:eastAsia="仿宋" w:cs="仿宋"/>
          <w:color w:val="auto"/>
          <w:sz w:val="21"/>
          <w:szCs w:val="21"/>
          <w:highlight w:val="none"/>
        </w:rPr>
        <w:t>提供</w:t>
      </w:r>
      <w:r>
        <w:rPr>
          <w:rFonts w:hint="eastAsia" w:ascii="仿宋" w:hAnsi="仿宋" w:eastAsia="仿宋" w:cs="仿宋"/>
          <w:color w:val="auto"/>
          <w:sz w:val="21"/>
          <w:szCs w:val="21"/>
          <w:highlight w:val="none"/>
          <w:lang w:val="en-US" w:eastAsia="zh-CN"/>
        </w:rPr>
        <w:t>一套电子目录，</w:t>
      </w:r>
      <w:r>
        <w:rPr>
          <w:rFonts w:hint="eastAsia" w:ascii="仿宋" w:hAnsi="仿宋" w:eastAsia="仿宋" w:cs="仿宋"/>
          <w:color w:val="auto"/>
          <w:sz w:val="21"/>
          <w:szCs w:val="21"/>
          <w:highlight w:val="none"/>
          <w:lang w:val="en-US"/>
        </w:rPr>
        <w:t>二套</w:t>
      </w:r>
      <w:r>
        <w:rPr>
          <w:rFonts w:hint="eastAsia" w:ascii="仿宋" w:hAnsi="仿宋" w:eastAsia="仿宋" w:cs="仿宋"/>
          <w:color w:val="auto"/>
          <w:sz w:val="21"/>
          <w:szCs w:val="21"/>
          <w:highlight w:val="none"/>
          <w:lang w:val="en-US" w:eastAsia="zh-CN"/>
        </w:rPr>
        <w:t>纸质</w:t>
      </w:r>
      <w:r>
        <w:rPr>
          <w:rFonts w:hint="eastAsia" w:ascii="仿宋" w:hAnsi="仿宋" w:eastAsia="仿宋" w:cs="仿宋"/>
          <w:color w:val="auto"/>
          <w:sz w:val="21"/>
          <w:szCs w:val="21"/>
          <w:highlight w:val="none"/>
        </w:rPr>
        <w:t>流水账册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如甲方有需要在合理范围内增加纸质账册或电子目录，乙方不得另收任何费用</w:t>
      </w:r>
      <w:r>
        <w:rPr>
          <w:rFonts w:hint="eastAsia" w:ascii="仿宋" w:hAnsi="仿宋" w:eastAsia="仿宋" w:cs="仿宋"/>
          <w:color w:val="auto"/>
          <w:sz w:val="21"/>
          <w:szCs w:val="21"/>
          <w:highlight w:val="none"/>
        </w:rPr>
        <w:t>。</w:t>
      </w:r>
    </w:p>
    <w:p w14:paraId="0E64A865">
      <w:pPr>
        <w:keepNext w:val="0"/>
        <w:keepLines w:val="0"/>
        <w:pageBreakBefore w:val="0"/>
        <w:kinsoku/>
        <w:wordWrap/>
        <w:overflowPunct/>
        <w:topLinePunct w:val="0"/>
        <w:autoSpaceDE/>
        <w:autoSpaceDN/>
        <w:bidi w:val="0"/>
        <w:adjustRightInd w:val="0"/>
        <w:snapToGrid w:val="0"/>
        <w:spacing w:line="400" w:lineRule="exact"/>
        <w:ind w:firstLine="422" w:firstLineChars="200"/>
        <w:jc w:val="both"/>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八、付款方式</w:t>
      </w:r>
    </w:p>
    <w:p w14:paraId="6053F2E1">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lang w:val="en-US"/>
        </w:rPr>
      </w:pPr>
      <w:r>
        <w:rPr>
          <w:rFonts w:hint="eastAsia" w:ascii="仿宋" w:hAnsi="仿宋" w:eastAsia="仿宋" w:cs="仿宋"/>
          <w:color w:val="auto"/>
          <w:kern w:val="0"/>
          <w:sz w:val="21"/>
          <w:szCs w:val="21"/>
          <w:highlight w:val="none"/>
          <w:lang w:val="en-US" w:eastAsia="zh-CN"/>
        </w:rPr>
        <w:t>1.</w:t>
      </w:r>
      <w:r>
        <w:rPr>
          <w:rFonts w:hint="eastAsia" w:ascii="仿宋" w:hAnsi="仿宋" w:eastAsia="仿宋" w:cs="仿宋"/>
          <w:color w:val="auto"/>
          <w:kern w:val="0"/>
          <w:sz w:val="21"/>
          <w:szCs w:val="21"/>
          <w:highlight w:val="none"/>
          <w:lang w:val="en-US" w:eastAsia="zh-CN" w:bidi="ar"/>
        </w:rPr>
        <w:t>签订合同后支付合同价款的30%，全部图书进行深加工且图书上排架验收合格后，甲方支付合同价款的70%。</w:t>
      </w:r>
    </w:p>
    <w:p w14:paraId="1502DC00">
      <w:pPr>
        <w:pStyle w:val="4"/>
        <w:keepNext w:val="0"/>
        <w:keepLines w:val="0"/>
        <w:pageBreakBefore w:val="0"/>
        <w:kinsoku/>
        <w:wordWrap/>
        <w:overflowPunct/>
        <w:topLinePunct w:val="0"/>
        <w:autoSpaceDE/>
        <w:autoSpaceDN/>
        <w:bidi w:val="0"/>
        <w:spacing w:line="400" w:lineRule="exact"/>
        <w:ind w:firstLine="48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en-US"/>
        </w:rPr>
        <w:t>2</w:t>
      </w:r>
      <w:r>
        <w:rPr>
          <w:rFonts w:hint="eastAsia" w:ascii="仿宋" w:hAnsi="仿宋" w:eastAsia="仿宋" w:cs="仿宋"/>
          <w:color w:val="auto"/>
          <w:kern w:val="0"/>
          <w:sz w:val="21"/>
          <w:szCs w:val="21"/>
          <w:highlight w:val="none"/>
        </w:rPr>
        <w:t>.乙方汇款信息：</w:t>
      </w:r>
    </w:p>
    <w:p w14:paraId="3FF6F93A">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lang w:val="en-US"/>
        </w:rPr>
        <w:t>户       名：</w:t>
      </w:r>
      <w:r>
        <w:rPr>
          <w:rFonts w:hint="eastAsia" w:ascii="仿宋" w:hAnsi="仿宋" w:eastAsia="仿宋" w:cs="仿宋"/>
          <w:color w:val="auto"/>
          <w:sz w:val="21"/>
          <w:szCs w:val="21"/>
          <w:highlight w:val="none"/>
          <w:lang w:val="en-US" w:eastAsia="zh-CN"/>
        </w:rPr>
        <w:t xml:space="preserve"> </w:t>
      </w:r>
    </w:p>
    <w:p w14:paraId="09D71668">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lang w:val="en-US"/>
        </w:rPr>
        <w:t>开户银行信息：</w:t>
      </w:r>
    </w:p>
    <w:p w14:paraId="0D1E879D">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rPr>
        <w:t>开 户 账 号：</w:t>
      </w:r>
      <w:r>
        <w:rPr>
          <w:rFonts w:hint="eastAsia" w:ascii="仿宋" w:hAnsi="仿宋" w:eastAsia="仿宋" w:cs="仿宋"/>
          <w:color w:val="auto"/>
          <w:sz w:val="21"/>
          <w:szCs w:val="21"/>
          <w:highlight w:val="none"/>
          <w:lang w:val="en-US" w:eastAsia="zh-CN"/>
        </w:rPr>
        <w:t xml:space="preserve"> </w:t>
      </w:r>
    </w:p>
    <w:p w14:paraId="238426D0">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lang w:val="en-US"/>
        </w:rPr>
        <w:t xml:space="preserve">行       号： </w:t>
      </w:r>
    </w:p>
    <w:p w14:paraId="25F981F1">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lang w:val="en-US" w:eastAsia="zh-Hans"/>
        </w:rPr>
      </w:pPr>
      <w:r>
        <w:rPr>
          <w:rFonts w:hint="eastAsia" w:ascii="仿宋" w:hAnsi="仿宋" w:eastAsia="仿宋" w:cs="仿宋"/>
          <w:color w:val="auto"/>
          <w:sz w:val="21"/>
          <w:szCs w:val="21"/>
          <w:highlight w:val="none"/>
          <w:lang w:val="en-US"/>
        </w:rPr>
        <w:t>3</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kern w:val="0"/>
          <w:sz w:val="21"/>
          <w:szCs w:val="21"/>
          <w:highlight w:val="none"/>
          <w:lang w:val="en-US" w:eastAsia="zh-CN" w:bidi="ar-SA"/>
        </w:rPr>
        <w:t xml:space="preserve">“先票后款”是本合同结算的重要方式，发票认证通过是付款的必要前提之一。甲方支付价款前，乙方应向甲方提供增值税发票，甲方接收发票后应尽快启动内部审批流程，审批流程完毕后向乙方支付价款。但如乙方不开发票或者发票不合格，甲方有权延迟启动内部审批流程直至乙方开具合格发票之日，且不承担任何违约责任，乙方的各项合同义务仍应按合同约定履行。 </w:t>
      </w:r>
    </w:p>
    <w:p w14:paraId="6620E5EB">
      <w:pPr>
        <w:keepNext w:val="0"/>
        <w:keepLines w:val="0"/>
        <w:pageBreakBefore w:val="0"/>
        <w:kinsoku/>
        <w:wordWrap/>
        <w:overflowPunct/>
        <w:topLinePunct w:val="0"/>
        <w:autoSpaceDE/>
        <w:autoSpaceDN/>
        <w:bidi w:val="0"/>
        <w:adjustRightInd w:val="0"/>
        <w:snapToGrid w:val="0"/>
        <w:spacing w:line="400" w:lineRule="exact"/>
        <w:ind w:firstLine="422" w:firstLineChars="200"/>
        <w:jc w:val="both"/>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九、违约责任</w:t>
      </w:r>
    </w:p>
    <w:p w14:paraId="7EF663E2">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Hans"/>
        </w:rPr>
        <w:t>.</w:t>
      </w:r>
      <w:r>
        <w:rPr>
          <w:rFonts w:hint="eastAsia" w:ascii="仿宋" w:hAnsi="仿宋" w:eastAsia="仿宋" w:cs="仿宋"/>
          <w:color w:val="auto"/>
          <w:sz w:val="21"/>
          <w:szCs w:val="21"/>
          <w:highlight w:val="none"/>
        </w:rPr>
        <w:t>任何一方违反其于本合同项下的陈述、承诺、保证或义务，而使另一方遭受任何诉讼、纠纷、索赔、处罚等的</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，违约方应负责解决，并消除影响。使另一方发生任何费用、额外责任或遭受经济损失的，应当负责赔偿。</w:t>
      </w:r>
    </w:p>
    <w:p w14:paraId="66ECE20F">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rPr>
        <w:t>乙方未提供给甲方</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val="en-US"/>
        </w:rPr>
        <w:t>册</w:t>
      </w:r>
      <w:r>
        <w:rPr>
          <w:rFonts w:hint="eastAsia" w:ascii="仿宋" w:hAnsi="仿宋" w:eastAsia="仿宋" w:cs="仿宋"/>
          <w:color w:val="auto"/>
          <w:sz w:val="21"/>
          <w:szCs w:val="21"/>
          <w:highlight w:val="none"/>
          <w:lang w:val="en-US" w:eastAsia="zh-CN"/>
        </w:rPr>
        <w:t>（正价图书   册、特价图书   册）</w:t>
      </w:r>
      <w:r>
        <w:rPr>
          <w:rFonts w:hint="eastAsia" w:ascii="仿宋" w:hAnsi="仿宋" w:eastAsia="仿宋" w:cs="仿宋"/>
          <w:color w:val="auto"/>
          <w:sz w:val="21"/>
          <w:szCs w:val="21"/>
          <w:highlight w:val="none"/>
          <w:lang w:val="en-US"/>
        </w:rPr>
        <w:t>以上图书，</w:t>
      </w:r>
      <w:r>
        <w:rPr>
          <w:rFonts w:hint="eastAsia" w:ascii="仿宋" w:hAnsi="仿宋" w:eastAsia="仿宋" w:cs="仿宋"/>
          <w:color w:val="auto"/>
          <w:sz w:val="21"/>
          <w:szCs w:val="21"/>
          <w:highlight w:val="none"/>
        </w:rPr>
        <w:t>乙方</w:t>
      </w:r>
      <w:r>
        <w:rPr>
          <w:rFonts w:hint="eastAsia" w:ascii="仿宋" w:hAnsi="仿宋" w:eastAsia="仿宋" w:cs="仿宋"/>
          <w:color w:val="auto"/>
          <w:sz w:val="21"/>
          <w:szCs w:val="21"/>
          <w:highlight w:val="none"/>
          <w:lang w:val="en-US"/>
        </w:rPr>
        <w:t>应</w:t>
      </w:r>
      <w:r>
        <w:rPr>
          <w:rFonts w:hint="eastAsia" w:ascii="仿宋" w:hAnsi="仿宋" w:eastAsia="仿宋" w:cs="仿宋"/>
          <w:color w:val="auto"/>
          <w:sz w:val="21"/>
          <w:szCs w:val="21"/>
          <w:highlight w:val="none"/>
        </w:rPr>
        <w:t>承担</w:t>
      </w:r>
      <w:r>
        <w:rPr>
          <w:rFonts w:hint="eastAsia" w:ascii="仿宋" w:hAnsi="仿宋" w:eastAsia="仿宋" w:cs="仿宋"/>
          <w:color w:val="auto"/>
          <w:sz w:val="21"/>
          <w:szCs w:val="21"/>
          <w:highlight w:val="none"/>
          <w:lang w:val="en-US"/>
        </w:rPr>
        <w:t>此合同总额10%</w:t>
      </w:r>
      <w:r>
        <w:rPr>
          <w:rFonts w:hint="eastAsia" w:ascii="仿宋" w:hAnsi="仿宋" w:eastAsia="仿宋" w:cs="仿宋"/>
          <w:color w:val="auto"/>
          <w:sz w:val="21"/>
          <w:szCs w:val="21"/>
          <w:highlight w:val="none"/>
        </w:rPr>
        <w:t>赔偿责任。</w:t>
      </w:r>
    </w:p>
    <w:p w14:paraId="102388E2">
      <w:pPr>
        <w:keepNext w:val="0"/>
        <w:keepLines w:val="0"/>
        <w:pageBreakBefore w:val="0"/>
        <w:widowControl/>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color w:val="auto"/>
          <w:sz w:val="21"/>
          <w:szCs w:val="21"/>
          <w:highlight w:val="none"/>
          <w:lang w:eastAsia="zh-Hans"/>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val="en-US" w:eastAsia="zh-Hans"/>
        </w:rPr>
        <w:t>.质保期内</w:t>
      </w:r>
      <w:r>
        <w:rPr>
          <w:rFonts w:hint="eastAsia" w:ascii="仿宋" w:hAnsi="仿宋" w:eastAsia="仿宋" w:cs="仿宋"/>
          <w:color w:val="auto"/>
          <w:sz w:val="21"/>
          <w:szCs w:val="21"/>
          <w:highlight w:val="none"/>
          <w:lang w:eastAsia="zh-Hans"/>
        </w:rPr>
        <w:t>，</w:t>
      </w:r>
      <w:r>
        <w:rPr>
          <w:rFonts w:hint="eastAsia" w:ascii="仿宋" w:hAnsi="仿宋" w:eastAsia="仿宋" w:cs="仿宋"/>
          <w:color w:val="auto"/>
          <w:sz w:val="21"/>
          <w:szCs w:val="21"/>
          <w:highlight w:val="none"/>
          <w:lang w:val="en-US" w:eastAsia="zh-Hans"/>
        </w:rPr>
        <w:t>若图书质量发生不符合本合同约定的情形</w:t>
      </w:r>
      <w:r>
        <w:rPr>
          <w:rFonts w:hint="eastAsia" w:ascii="仿宋" w:hAnsi="仿宋" w:eastAsia="仿宋" w:cs="仿宋"/>
          <w:color w:val="auto"/>
          <w:sz w:val="21"/>
          <w:szCs w:val="21"/>
          <w:highlight w:val="none"/>
          <w:lang w:eastAsia="zh-Hans"/>
        </w:rPr>
        <w:t>，</w:t>
      </w:r>
      <w:r>
        <w:rPr>
          <w:rFonts w:hint="eastAsia" w:ascii="仿宋" w:hAnsi="仿宋" w:eastAsia="仿宋" w:cs="仿宋"/>
          <w:color w:val="auto"/>
          <w:sz w:val="21"/>
          <w:szCs w:val="21"/>
          <w:highlight w:val="none"/>
          <w:lang w:val="en-US" w:eastAsia="zh-Hans"/>
        </w:rPr>
        <w:t>乙方应当积极按照甲方要求退换货</w:t>
      </w:r>
      <w:r>
        <w:rPr>
          <w:rFonts w:hint="eastAsia" w:ascii="仿宋" w:hAnsi="仿宋" w:eastAsia="仿宋" w:cs="仿宋"/>
          <w:color w:val="auto"/>
          <w:sz w:val="21"/>
          <w:szCs w:val="21"/>
          <w:highlight w:val="none"/>
          <w:lang w:eastAsia="zh-Hans"/>
        </w:rPr>
        <w:t>，</w:t>
      </w:r>
      <w:r>
        <w:rPr>
          <w:rFonts w:hint="eastAsia" w:ascii="仿宋" w:hAnsi="仿宋" w:eastAsia="仿宋" w:cs="仿宋"/>
          <w:color w:val="auto"/>
          <w:sz w:val="21"/>
          <w:szCs w:val="21"/>
          <w:highlight w:val="none"/>
          <w:lang w:val="en-US" w:eastAsia="zh-Hans"/>
        </w:rPr>
        <w:t>乙方怠于履行质保义务的</w:t>
      </w:r>
      <w:r>
        <w:rPr>
          <w:rFonts w:hint="eastAsia" w:ascii="仿宋" w:hAnsi="仿宋" w:eastAsia="仿宋" w:cs="仿宋"/>
          <w:color w:val="auto"/>
          <w:sz w:val="21"/>
          <w:szCs w:val="21"/>
          <w:highlight w:val="none"/>
          <w:lang w:eastAsia="zh-Hans"/>
        </w:rPr>
        <w:t>，</w:t>
      </w:r>
      <w:r>
        <w:rPr>
          <w:rFonts w:hint="eastAsia" w:ascii="仿宋" w:hAnsi="仿宋" w:eastAsia="仿宋" w:cs="仿宋"/>
          <w:color w:val="auto"/>
          <w:sz w:val="21"/>
          <w:szCs w:val="21"/>
          <w:highlight w:val="none"/>
          <w:lang w:val="en-US" w:eastAsia="zh-Hans"/>
        </w:rPr>
        <w:t>甲方有权从第三方购入相同规格的图书</w:t>
      </w:r>
      <w:r>
        <w:rPr>
          <w:rFonts w:hint="eastAsia" w:ascii="仿宋" w:hAnsi="仿宋" w:eastAsia="仿宋" w:cs="仿宋"/>
          <w:color w:val="auto"/>
          <w:sz w:val="21"/>
          <w:szCs w:val="21"/>
          <w:highlight w:val="none"/>
          <w:lang w:eastAsia="zh-Hans"/>
        </w:rPr>
        <w:t>，</w:t>
      </w:r>
      <w:r>
        <w:rPr>
          <w:rFonts w:hint="eastAsia" w:ascii="仿宋" w:hAnsi="仿宋" w:eastAsia="仿宋" w:cs="仿宋"/>
          <w:color w:val="auto"/>
          <w:sz w:val="21"/>
          <w:szCs w:val="21"/>
          <w:highlight w:val="none"/>
          <w:lang w:val="en-US" w:eastAsia="zh-Hans"/>
        </w:rPr>
        <w:t>所产生的费用由乙方承担</w:t>
      </w:r>
      <w:r>
        <w:rPr>
          <w:rFonts w:hint="eastAsia" w:ascii="仿宋" w:hAnsi="仿宋" w:eastAsia="仿宋" w:cs="仿宋"/>
          <w:color w:val="auto"/>
          <w:sz w:val="21"/>
          <w:szCs w:val="21"/>
          <w:highlight w:val="none"/>
          <w:lang w:eastAsia="zh-Hans"/>
        </w:rPr>
        <w:t>，</w:t>
      </w:r>
      <w:r>
        <w:rPr>
          <w:rFonts w:hint="eastAsia" w:ascii="仿宋" w:hAnsi="仿宋" w:eastAsia="仿宋" w:cs="仿宋"/>
          <w:color w:val="auto"/>
          <w:sz w:val="21"/>
          <w:szCs w:val="21"/>
          <w:highlight w:val="none"/>
          <w:lang w:val="en-US" w:eastAsia="zh-Hans"/>
        </w:rPr>
        <w:t>甲方有权保留诉讼权利，由此给甲方造成的律师费</w:t>
      </w:r>
      <w:r>
        <w:rPr>
          <w:rFonts w:hint="eastAsia" w:ascii="仿宋" w:hAnsi="仿宋" w:eastAsia="仿宋" w:cs="仿宋"/>
          <w:i w:val="0"/>
          <w:iCs w:val="0"/>
          <w:caps w:val="0"/>
          <w:color w:val="auto"/>
          <w:spacing w:val="0"/>
          <w:kern w:val="0"/>
          <w:sz w:val="21"/>
          <w:szCs w:val="21"/>
          <w:highlight w:val="none"/>
          <w:u w:val="none"/>
          <w:shd w:val="clear"/>
          <w:lang w:val="en-US" w:eastAsia="zh-Hans" w:bidi="ar"/>
        </w:rPr>
        <w:t>、保全费、财产保全费、送达费等一切维权费用由乙方承担。</w:t>
      </w:r>
    </w:p>
    <w:p w14:paraId="60445514">
      <w:pPr>
        <w:keepNext w:val="0"/>
        <w:keepLines w:val="0"/>
        <w:pageBreakBefore w:val="0"/>
        <w:kinsoku/>
        <w:wordWrap/>
        <w:overflowPunct/>
        <w:topLinePunct w:val="0"/>
        <w:autoSpaceDE/>
        <w:autoSpaceDN/>
        <w:bidi w:val="0"/>
        <w:adjustRightInd w:val="0"/>
        <w:snapToGrid w:val="0"/>
        <w:spacing w:line="400" w:lineRule="exact"/>
        <w:ind w:firstLine="413" w:firstLineChars="196"/>
        <w:jc w:val="both"/>
        <w:textAlignment w:val="auto"/>
        <w:rPr>
          <w:rFonts w:hint="eastAsia" w:ascii="仿宋" w:hAnsi="仿宋" w:eastAsia="仿宋" w:cs="仿宋"/>
          <w:b/>
          <w:color w:val="auto"/>
          <w:sz w:val="21"/>
          <w:szCs w:val="21"/>
          <w:highlight w:val="none"/>
          <w:lang w:eastAsia="zh-Hans"/>
        </w:rPr>
      </w:pPr>
      <w:r>
        <w:rPr>
          <w:rFonts w:hint="eastAsia" w:ascii="仿宋" w:hAnsi="仿宋" w:eastAsia="仿宋" w:cs="仿宋"/>
          <w:b/>
          <w:color w:val="auto"/>
          <w:sz w:val="21"/>
          <w:szCs w:val="21"/>
          <w:highlight w:val="none"/>
          <w:lang w:eastAsia="zh-Hans"/>
        </w:rPr>
        <w:t>十、送达条款</w:t>
      </w:r>
    </w:p>
    <w:p w14:paraId="156D8EAC">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bCs/>
          <w:color w:val="auto"/>
          <w:sz w:val="21"/>
          <w:szCs w:val="21"/>
          <w:highlight w:val="none"/>
          <w:lang w:eastAsia="zh-Hans"/>
        </w:rPr>
      </w:pPr>
      <w:r>
        <w:rPr>
          <w:rFonts w:hint="eastAsia" w:ascii="仿宋" w:hAnsi="仿宋" w:eastAsia="仿宋" w:cs="仿宋"/>
          <w:bCs/>
          <w:color w:val="auto"/>
          <w:sz w:val="21"/>
          <w:szCs w:val="21"/>
          <w:highlight w:val="none"/>
          <w:lang w:eastAsia="zh-Hans"/>
        </w:rPr>
        <w:t>甲乙双方共同确认，合同尾部的通信地址系双方共同确认的有效送达地址，任何一方通信地址发生变更应当书面方式通知对方，以此通信地址或书面通知变更后的地址送达的文件视为有效送达，送达文书被拒签或退回的，以按此通信地址或书面通知变更后的地址交邮后第</w:t>
      </w:r>
      <w:r>
        <w:rPr>
          <w:rFonts w:hint="eastAsia" w:ascii="仿宋" w:hAnsi="仿宋" w:eastAsia="仿宋" w:cs="仿宋"/>
          <w:bCs/>
          <w:color w:val="auto"/>
          <w:sz w:val="21"/>
          <w:szCs w:val="21"/>
          <w:highlight w:val="none"/>
          <w:lang w:val="en-US" w:eastAsia="zh-CN"/>
        </w:rPr>
        <w:t>10</w:t>
      </w:r>
      <w:r>
        <w:rPr>
          <w:rFonts w:hint="eastAsia" w:ascii="仿宋" w:hAnsi="仿宋" w:eastAsia="仿宋" w:cs="仿宋"/>
          <w:bCs/>
          <w:color w:val="auto"/>
          <w:sz w:val="21"/>
          <w:szCs w:val="21"/>
          <w:highlight w:val="none"/>
          <w:lang w:eastAsia="zh-Hans"/>
        </w:rPr>
        <w:t>日视为送达。</w:t>
      </w:r>
    </w:p>
    <w:p w14:paraId="3C4EBB5F">
      <w:pPr>
        <w:keepNext w:val="0"/>
        <w:keepLines w:val="0"/>
        <w:pageBreakBefore w:val="0"/>
        <w:kinsoku/>
        <w:wordWrap/>
        <w:overflowPunct/>
        <w:topLinePunct w:val="0"/>
        <w:autoSpaceDE/>
        <w:autoSpaceDN/>
        <w:bidi w:val="0"/>
        <w:adjustRightInd w:val="0"/>
        <w:snapToGrid w:val="0"/>
        <w:spacing w:line="400" w:lineRule="exact"/>
        <w:ind w:firstLine="413" w:firstLineChars="196"/>
        <w:jc w:val="both"/>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十一、不可抗力</w:t>
      </w:r>
    </w:p>
    <w:p w14:paraId="4A06279C">
      <w:pPr>
        <w:pStyle w:val="4"/>
        <w:keepNext w:val="0"/>
        <w:keepLines w:val="0"/>
        <w:pageBreakBefore w:val="0"/>
        <w:kinsoku/>
        <w:wordWrap/>
        <w:overflowPunct/>
        <w:topLinePunct w:val="0"/>
        <w:autoSpaceDE/>
        <w:autoSpaceDN/>
        <w:bidi w:val="0"/>
        <w:adjustRightInd w:val="0"/>
        <w:snapToGrid w:val="0"/>
        <w:spacing w:line="400" w:lineRule="exact"/>
        <w:ind w:firstLine="480"/>
        <w:jc w:val="both"/>
        <w:textAlignment w:val="auto"/>
        <w:rPr>
          <w:rFonts w:hint="eastAsia" w:ascii="仿宋" w:hAnsi="仿宋" w:eastAsia="仿宋" w:cs="仿宋"/>
          <w:bCs/>
          <w:color w:val="auto"/>
          <w:kern w:val="0"/>
          <w:sz w:val="21"/>
          <w:szCs w:val="21"/>
          <w:highlight w:val="none"/>
          <w:lang w:eastAsia="zh-Hans"/>
        </w:rPr>
      </w:pPr>
      <w:r>
        <w:rPr>
          <w:rFonts w:hint="eastAsia" w:ascii="仿宋" w:hAnsi="仿宋" w:eastAsia="仿宋" w:cs="仿宋"/>
          <w:bCs/>
          <w:color w:val="auto"/>
          <w:kern w:val="0"/>
          <w:sz w:val="21"/>
          <w:szCs w:val="21"/>
          <w:highlight w:val="none"/>
          <w:lang w:eastAsia="zh-Hans"/>
        </w:rPr>
        <w:t>甲乙双方的任何一方由于不可抗力的原因不能履行合同时，应及时向对方通报不能履行或不完全履行的理由，在取得有关主管机关证明以后，允许延期履行、部分履行或者不履行合同，并根据情况可部分或全部免予承担违约责任。</w:t>
      </w:r>
    </w:p>
    <w:p w14:paraId="7890A800">
      <w:pPr>
        <w:keepNext w:val="0"/>
        <w:keepLines w:val="0"/>
        <w:pageBreakBefore w:val="0"/>
        <w:kinsoku/>
        <w:wordWrap/>
        <w:overflowPunct/>
        <w:topLinePunct w:val="0"/>
        <w:autoSpaceDE/>
        <w:autoSpaceDN/>
        <w:bidi w:val="0"/>
        <w:adjustRightInd w:val="0"/>
        <w:snapToGrid w:val="0"/>
        <w:spacing w:line="400" w:lineRule="exact"/>
        <w:ind w:firstLine="413" w:firstLineChars="196"/>
        <w:jc w:val="both"/>
        <w:textAlignment w:val="auto"/>
        <w:rPr>
          <w:rFonts w:hint="eastAsia" w:ascii="仿宋" w:hAnsi="仿宋" w:eastAsia="仿宋" w:cs="仿宋"/>
          <w:b/>
          <w:color w:val="auto"/>
          <w:sz w:val="21"/>
          <w:szCs w:val="21"/>
          <w:highlight w:val="none"/>
          <w:lang w:val="zh-CN"/>
        </w:rPr>
      </w:pPr>
      <w:r>
        <w:rPr>
          <w:rFonts w:hint="eastAsia" w:ascii="仿宋" w:hAnsi="仿宋" w:eastAsia="仿宋" w:cs="仿宋"/>
          <w:b/>
          <w:color w:val="auto"/>
          <w:sz w:val="21"/>
          <w:szCs w:val="21"/>
          <w:highlight w:val="none"/>
          <w:lang w:val="zh-CN"/>
        </w:rPr>
        <w:t>十二、附则</w:t>
      </w:r>
    </w:p>
    <w:p w14:paraId="27E960BF">
      <w:pPr>
        <w:keepNext w:val="0"/>
        <w:keepLines w:val="0"/>
        <w:pageBreakBefore w:val="0"/>
        <w:kinsoku/>
        <w:wordWrap/>
        <w:overflowPunct/>
        <w:topLinePunct w:val="0"/>
        <w:autoSpaceDE/>
        <w:autoSpaceDN/>
        <w:bidi w:val="0"/>
        <w:adjustRightInd w:val="0"/>
        <w:snapToGrid w:val="0"/>
        <w:spacing w:line="400" w:lineRule="exact"/>
        <w:ind w:firstLine="480"/>
        <w:jc w:val="both"/>
        <w:textAlignment w:val="auto"/>
        <w:rPr>
          <w:rFonts w:hint="eastAsia" w:ascii="仿宋" w:hAnsi="仿宋" w:eastAsia="仿宋" w:cs="仿宋"/>
          <w:bCs/>
          <w:color w:val="auto"/>
          <w:sz w:val="21"/>
          <w:szCs w:val="21"/>
          <w:highlight w:val="none"/>
          <w:lang w:val="zh-CN"/>
        </w:rPr>
      </w:pPr>
      <w:r>
        <w:rPr>
          <w:rFonts w:hint="eastAsia" w:ascii="仿宋" w:hAnsi="仿宋" w:eastAsia="仿宋" w:cs="仿宋"/>
          <w:bCs/>
          <w:color w:val="auto"/>
          <w:sz w:val="21"/>
          <w:szCs w:val="21"/>
          <w:highlight w:val="none"/>
          <w:lang w:val="zh-CN"/>
        </w:rPr>
        <w:t>1.本</w:t>
      </w:r>
      <w:r>
        <w:rPr>
          <w:rFonts w:hint="eastAsia" w:ascii="仿宋" w:hAnsi="仿宋" w:eastAsia="仿宋" w:cs="仿宋"/>
          <w:bCs/>
          <w:color w:val="auto"/>
          <w:sz w:val="21"/>
          <w:szCs w:val="21"/>
          <w:highlight w:val="none"/>
        </w:rPr>
        <w:t>合同</w:t>
      </w:r>
      <w:r>
        <w:rPr>
          <w:rFonts w:hint="eastAsia" w:ascii="仿宋" w:hAnsi="仿宋" w:eastAsia="仿宋" w:cs="仿宋"/>
          <w:bCs/>
          <w:color w:val="auto"/>
          <w:sz w:val="21"/>
          <w:szCs w:val="21"/>
          <w:highlight w:val="none"/>
          <w:lang w:val="zh-CN"/>
        </w:rPr>
        <w:t>自甲、乙双方法人代表或其委托人签字后即生效。</w:t>
      </w:r>
    </w:p>
    <w:p w14:paraId="131B99CB">
      <w:pPr>
        <w:keepNext w:val="0"/>
        <w:keepLines w:val="0"/>
        <w:pageBreakBefore w:val="0"/>
        <w:kinsoku/>
        <w:wordWrap/>
        <w:overflowPunct/>
        <w:topLinePunct w:val="0"/>
        <w:autoSpaceDE/>
        <w:autoSpaceDN/>
        <w:bidi w:val="0"/>
        <w:adjustRightInd w:val="0"/>
        <w:snapToGrid w:val="0"/>
        <w:spacing w:line="400" w:lineRule="exact"/>
        <w:ind w:firstLine="480"/>
        <w:jc w:val="both"/>
        <w:textAlignment w:val="auto"/>
        <w:rPr>
          <w:rFonts w:hint="eastAsia" w:ascii="仿宋" w:hAnsi="仿宋" w:eastAsia="仿宋" w:cs="仿宋"/>
          <w:bCs/>
          <w:color w:val="auto"/>
          <w:sz w:val="21"/>
          <w:szCs w:val="21"/>
          <w:highlight w:val="none"/>
          <w:lang w:val="zh-CN"/>
        </w:rPr>
      </w:pPr>
      <w:r>
        <w:rPr>
          <w:rFonts w:hint="eastAsia" w:ascii="仿宋" w:hAnsi="仿宋" w:eastAsia="仿宋" w:cs="仿宋"/>
          <w:bCs/>
          <w:color w:val="auto"/>
          <w:sz w:val="21"/>
          <w:szCs w:val="21"/>
          <w:highlight w:val="none"/>
          <w:lang w:val="zh-CN"/>
        </w:rPr>
        <w:t>2.在</w:t>
      </w:r>
      <w:r>
        <w:rPr>
          <w:rFonts w:hint="eastAsia" w:ascii="仿宋" w:hAnsi="仿宋" w:eastAsia="仿宋" w:cs="仿宋"/>
          <w:bCs/>
          <w:color w:val="auto"/>
          <w:sz w:val="21"/>
          <w:szCs w:val="21"/>
          <w:highlight w:val="none"/>
        </w:rPr>
        <w:t>合同</w:t>
      </w:r>
      <w:r>
        <w:rPr>
          <w:rFonts w:hint="eastAsia" w:ascii="仿宋" w:hAnsi="仿宋" w:eastAsia="仿宋" w:cs="仿宋"/>
          <w:bCs/>
          <w:color w:val="auto"/>
          <w:sz w:val="21"/>
          <w:szCs w:val="21"/>
          <w:highlight w:val="none"/>
          <w:lang w:val="zh-CN"/>
        </w:rPr>
        <w:t>生效后甲、乙双方不得擅自修改或补充本</w:t>
      </w:r>
      <w:r>
        <w:rPr>
          <w:rFonts w:hint="eastAsia" w:ascii="仿宋" w:hAnsi="仿宋" w:eastAsia="仿宋" w:cs="仿宋"/>
          <w:bCs/>
          <w:color w:val="auto"/>
          <w:sz w:val="21"/>
          <w:szCs w:val="21"/>
          <w:highlight w:val="none"/>
        </w:rPr>
        <w:t>合同</w:t>
      </w:r>
      <w:r>
        <w:rPr>
          <w:rFonts w:hint="eastAsia" w:ascii="仿宋" w:hAnsi="仿宋" w:eastAsia="仿宋" w:cs="仿宋"/>
          <w:bCs/>
          <w:color w:val="auto"/>
          <w:sz w:val="21"/>
          <w:szCs w:val="21"/>
          <w:highlight w:val="none"/>
          <w:lang w:val="zh-CN"/>
        </w:rPr>
        <w:t>内容。</w:t>
      </w:r>
    </w:p>
    <w:p w14:paraId="37E4A9F8">
      <w:pPr>
        <w:keepNext w:val="0"/>
        <w:keepLines w:val="0"/>
        <w:pageBreakBefore w:val="0"/>
        <w:kinsoku/>
        <w:wordWrap/>
        <w:overflowPunct/>
        <w:topLinePunct w:val="0"/>
        <w:autoSpaceDE/>
        <w:autoSpaceDN/>
        <w:bidi w:val="0"/>
        <w:adjustRightInd w:val="0"/>
        <w:snapToGrid w:val="0"/>
        <w:spacing w:line="400" w:lineRule="exact"/>
        <w:ind w:firstLine="480"/>
        <w:jc w:val="both"/>
        <w:textAlignment w:val="auto"/>
        <w:rPr>
          <w:rFonts w:hint="eastAsia" w:ascii="仿宋" w:hAnsi="仿宋" w:eastAsia="仿宋" w:cs="仿宋"/>
          <w:bCs/>
          <w:color w:val="auto"/>
          <w:sz w:val="21"/>
          <w:szCs w:val="21"/>
          <w:highlight w:val="none"/>
          <w:lang w:val="zh-CN"/>
        </w:rPr>
      </w:pPr>
      <w:r>
        <w:rPr>
          <w:rFonts w:hint="eastAsia" w:ascii="仿宋" w:hAnsi="仿宋" w:eastAsia="仿宋" w:cs="仿宋"/>
          <w:bCs/>
          <w:color w:val="auto"/>
          <w:sz w:val="21"/>
          <w:szCs w:val="21"/>
          <w:highlight w:val="none"/>
          <w:lang w:val="zh-CN"/>
        </w:rPr>
        <w:t>3.从签订本合同之时起，乙方需在</w:t>
      </w:r>
      <w:r>
        <w:rPr>
          <w:rFonts w:hint="eastAsia" w:ascii="仿宋" w:hAnsi="仿宋" w:eastAsia="仿宋" w:cs="仿宋"/>
          <w:bCs/>
          <w:color w:val="auto"/>
          <w:sz w:val="21"/>
          <w:szCs w:val="21"/>
          <w:highlight w:val="none"/>
          <w:u w:val="none"/>
        </w:rPr>
        <w:t>202</w:t>
      </w:r>
      <w:r>
        <w:rPr>
          <w:rFonts w:hint="eastAsia" w:ascii="仿宋" w:hAnsi="仿宋" w:eastAsia="仿宋" w:cs="仿宋"/>
          <w:bCs/>
          <w:color w:val="auto"/>
          <w:sz w:val="21"/>
          <w:szCs w:val="21"/>
          <w:highlight w:val="none"/>
          <w:u w:val="none"/>
          <w:lang w:val="en-US" w:eastAsia="zh-CN"/>
        </w:rPr>
        <w:t>5</w:t>
      </w:r>
      <w:r>
        <w:rPr>
          <w:rFonts w:hint="eastAsia" w:ascii="仿宋" w:hAnsi="仿宋" w:eastAsia="仿宋" w:cs="仿宋"/>
          <w:bCs/>
          <w:color w:val="auto"/>
          <w:sz w:val="21"/>
          <w:szCs w:val="21"/>
          <w:highlight w:val="none"/>
          <w:u w:val="none"/>
        </w:rPr>
        <w:t>年</w:t>
      </w:r>
      <w:r>
        <w:rPr>
          <w:rFonts w:hint="eastAsia" w:ascii="仿宋" w:hAnsi="仿宋" w:eastAsia="仿宋" w:cs="仿宋"/>
          <w:bCs/>
          <w:color w:val="auto"/>
          <w:sz w:val="21"/>
          <w:szCs w:val="21"/>
          <w:highlight w:val="none"/>
          <w:u w:val="none"/>
          <w:lang w:val="en-US" w:eastAsia="zh-CN"/>
        </w:rPr>
        <w:t xml:space="preserve">  </w:t>
      </w:r>
      <w:r>
        <w:rPr>
          <w:rFonts w:hint="eastAsia" w:ascii="仿宋" w:hAnsi="仿宋" w:eastAsia="仿宋" w:cs="仿宋"/>
          <w:bCs/>
          <w:color w:val="auto"/>
          <w:sz w:val="21"/>
          <w:szCs w:val="21"/>
          <w:highlight w:val="none"/>
          <w:u w:val="none"/>
        </w:rPr>
        <w:t>月</w:t>
      </w:r>
      <w:r>
        <w:rPr>
          <w:rFonts w:hint="eastAsia" w:ascii="仿宋" w:hAnsi="仿宋" w:eastAsia="仿宋" w:cs="仿宋"/>
          <w:bCs/>
          <w:color w:val="auto"/>
          <w:sz w:val="21"/>
          <w:szCs w:val="21"/>
          <w:highlight w:val="none"/>
          <w:u w:val="none"/>
          <w:lang w:val="en-US" w:eastAsia="zh-CN"/>
        </w:rPr>
        <w:t xml:space="preserve">  </w:t>
      </w:r>
      <w:r>
        <w:rPr>
          <w:rFonts w:hint="eastAsia" w:ascii="仿宋" w:hAnsi="仿宋" w:eastAsia="仿宋" w:cs="仿宋"/>
          <w:bCs/>
          <w:color w:val="auto"/>
          <w:sz w:val="21"/>
          <w:szCs w:val="21"/>
          <w:highlight w:val="none"/>
          <w:u w:val="none"/>
        </w:rPr>
        <w:t>日</w:t>
      </w:r>
      <w:r>
        <w:rPr>
          <w:rFonts w:hint="eastAsia" w:ascii="仿宋" w:hAnsi="仿宋" w:eastAsia="仿宋" w:cs="仿宋"/>
          <w:bCs/>
          <w:color w:val="auto"/>
          <w:sz w:val="21"/>
          <w:szCs w:val="21"/>
          <w:highlight w:val="none"/>
          <w:lang w:val="zh-CN"/>
        </w:rPr>
        <w:t>之内完成所有图书的配送，</w:t>
      </w:r>
      <w:r>
        <w:rPr>
          <w:rFonts w:hint="eastAsia" w:ascii="仿宋" w:hAnsi="仿宋" w:eastAsia="仿宋" w:cs="仿宋"/>
          <w:bCs/>
          <w:color w:val="auto"/>
          <w:sz w:val="21"/>
          <w:szCs w:val="21"/>
          <w:highlight w:val="none"/>
          <w:lang w:val="en-US" w:eastAsia="zh-CN"/>
        </w:rPr>
        <w:t>2025 年  月   日之内完成所有图书的加工</w:t>
      </w:r>
      <w:r>
        <w:rPr>
          <w:rFonts w:hint="eastAsia" w:ascii="仿宋" w:hAnsi="仿宋" w:eastAsia="仿宋" w:cs="仿宋"/>
          <w:bCs/>
          <w:color w:val="auto"/>
          <w:sz w:val="21"/>
          <w:szCs w:val="21"/>
          <w:highlight w:val="none"/>
          <w:lang w:val="zh-CN"/>
        </w:rPr>
        <w:t>。</w:t>
      </w:r>
    </w:p>
    <w:p w14:paraId="0BDE6999">
      <w:pPr>
        <w:keepNext w:val="0"/>
        <w:keepLines w:val="0"/>
        <w:pageBreakBefore w:val="0"/>
        <w:kinsoku/>
        <w:wordWrap/>
        <w:overflowPunct/>
        <w:topLinePunct w:val="0"/>
        <w:autoSpaceDE/>
        <w:autoSpaceDN/>
        <w:bidi w:val="0"/>
        <w:adjustRightInd w:val="0"/>
        <w:snapToGrid w:val="0"/>
        <w:spacing w:line="400" w:lineRule="exact"/>
        <w:ind w:firstLine="480"/>
        <w:jc w:val="both"/>
        <w:textAlignment w:val="auto"/>
        <w:rPr>
          <w:rFonts w:hint="eastAsia"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4.质保期的计算自最后一笔款项支付乙方账户之日起一年。</w:t>
      </w:r>
    </w:p>
    <w:p w14:paraId="4795D5DF">
      <w:pPr>
        <w:keepNext w:val="0"/>
        <w:keepLines w:val="0"/>
        <w:pageBreakBefore w:val="0"/>
        <w:kinsoku/>
        <w:wordWrap/>
        <w:overflowPunct/>
        <w:topLinePunct w:val="0"/>
        <w:autoSpaceDE/>
        <w:autoSpaceDN/>
        <w:bidi w:val="0"/>
        <w:adjustRightInd w:val="0"/>
        <w:snapToGrid w:val="0"/>
        <w:spacing w:line="400" w:lineRule="exact"/>
        <w:ind w:firstLine="480"/>
        <w:jc w:val="both"/>
        <w:textAlignment w:val="auto"/>
        <w:rPr>
          <w:rFonts w:hint="eastAsia" w:ascii="仿宋" w:hAnsi="仿宋" w:eastAsia="仿宋" w:cs="仿宋"/>
          <w:bCs/>
          <w:color w:val="auto"/>
          <w:sz w:val="21"/>
          <w:szCs w:val="21"/>
          <w:highlight w:val="none"/>
          <w:lang w:val="zh-CN"/>
        </w:rPr>
      </w:pPr>
      <w:r>
        <w:rPr>
          <w:rFonts w:hint="eastAsia" w:ascii="仿宋" w:hAnsi="仿宋" w:eastAsia="仿宋" w:cs="仿宋"/>
          <w:bCs/>
          <w:color w:val="auto"/>
          <w:sz w:val="21"/>
          <w:szCs w:val="21"/>
          <w:highlight w:val="none"/>
          <w:lang w:val="en-US" w:eastAsia="zh-CN"/>
        </w:rPr>
        <w:t>5</w:t>
      </w:r>
      <w:r>
        <w:rPr>
          <w:rFonts w:hint="eastAsia" w:ascii="仿宋" w:hAnsi="仿宋" w:eastAsia="仿宋" w:cs="仿宋"/>
          <w:bCs/>
          <w:color w:val="auto"/>
          <w:sz w:val="21"/>
          <w:szCs w:val="21"/>
          <w:highlight w:val="none"/>
          <w:lang w:val="zh-CN"/>
        </w:rPr>
        <w:t>.严格按照本</w:t>
      </w:r>
      <w:r>
        <w:rPr>
          <w:rFonts w:hint="eastAsia" w:ascii="仿宋" w:hAnsi="仿宋" w:eastAsia="仿宋" w:cs="仿宋"/>
          <w:bCs/>
          <w:color w:val="auto"/>
          <w:sz w:val="21"/>
          <w:szCs w:val="21"/>
          <w:highlight w:val="none"/>
        </w:rPr>
        <w:t>合同</w:t>
      </w:r>
      <w:r>
        <w:rPr>
          <w:rFonts w:hint="eastAsia" w:ascii="仿宋" w:hAnsi="仿宋" w:eastAsia="仿宋" w:cs="仿宋"/>
          <w:bCs/>
          <w:color w:val="auto"/>
          <w:sz w:val="21"/>
          <w:szCs w:val="21"/>
          <w:highlight w:val="none"/>
          <w:lang w:val="zh-CN"/>
        </w:rPr>
        <w:t>的条款履行各自的义务，严格依据国家法律解决有关本</w:t>
      </w:r>
      <w:r>
        <w:rPr>
          <w:rFonts w:hint="eastAsia" w:ascii="仿宋" w:hAnsi="仿宋" w:eastAsia="仿宋" w:cs="仿宋"/>
          <w:bCs/>
          <w:color w:val="auto"/>
          <w:sz w:val="21"/>
          <w:szCs w:val="21"/>
          <w:highlight w:val="none"/>
        </w:rPr>
        <w:t>合同</w:t>
      </w:r>
      <w:r>
        <w:rPr>
          <w:rFonts w:hint="eastAsia" w:ascii="仿宋" w:hAnsi="仿宋" w:eastAsia="仿宋" w:cs="仿宋"/>
          <w:bCs/>
          <w:color w:val="auto"/>
          <w:sz w:val="21"/>
          <w:szCs w:val="21"/>
          <w:highlight w:val="none"/>
          <w:lang w:val="zh-CN"/>
        </w:rPr>
        <w:t>的一切纠纷。本</w:t>
      </w:r>
      <w:r>
        <w:rPr>
          <w:rFonts w:hint="eastAsia" w:ascii="仿宋" w:hAnsi="仿宋" w:eastAsia="仿宋" w:cs="仿宋"/>
          <w:bCs/>
          <w:color w:val="auto"/>
          <w:sz w:val="21"/>
          <w:szCs w:val="21"/>
          <w:highlight w:val="none"/>
        </w:rPr>
        <w:t>合同</w:t>
      </w:r>
      <w:r>
        <w:rPr>
          <w:rFonts w:hint="eastAsia" w:ascii="仿宋" w:hAnsi="仿宋" w:eastAsia="仿宋" w:cs="仿宋"/>
          <w:bCs/>
          <w:color w:val="auto"/>
          <w:sz w:val="21"/>
          <w:szCs w:val="21"/>
          <w:highlight w:val="none"/>
          <w:lang w:val="zh-CN"/>
        </w:rPr>
        <w:t>发生争议产生的诉讼，由</w:t>
      </w:r>
      <w:r>
        <w:rPr>
          <w:rFonts w:hint="eastAsia" w:ascii="仿宋" w:hAnsi="仿宋" w:eastAsia="仿宋" w:cs="仿宋"/>
          <w:bCs/>
          <w:color w:val="auto"/>
          <w:sz w:val="21"/>
          <w:szCs w:val="21"/>
          <w:highlight w:val="none"/>
          <w:lang w:val="en-US" w:eastAsia="zh-CN"/>
        </w:rPr>
        <w:t>甲方</w:t>
      </w:r>
      <w:r>
        <w:rPr>
          <w:rFonts w:hint="eastAsia" w:ascii="仿宋" w:hAnsi="仿宋" w:eastAsia="仿宋" w:cs="仿宋"/>
          <w:bCs/>
          <w:color w:val="auto"/>
          <w:sz w:val="21"/>
          <w:szCs w:val="21"/>
          <w:highlight w:val="none"/>
          <w:lang w:val="zh-CN"/>
        </w:rPr>
        <w:t>所在地人民法院管辖。</w:t>
      </w:r>
    </w:p>
    <w:p w14:paraId="21BAF402">
      <w:pPr>
        <w:keepNext w:val="0"/>
        <w:keepLines w:val="0"/>
        <w:pageBreakBefore w:val="0"/>
        <w:kinsoku/>
        <w:wordWrap/>
        <w:overflowPunct/>
        <w:topLinePunct w:val="0"/>
        <w:autoSpaceDE/>
        <w:autoSpaceDN/>
        <w:bidi w:val="0"/>
        <w:adjustRightInd w:val="0"/>
        <w:snapToGrid w:val="0"/>
        <w:spacing w:line="400" w:lineRule="exact"/>
        <w:ind w:firstLine="420" w:firstLineChars="200"/>
        <w:jc w:val="both"/>
        <w:textAlignment w:val="auto"/>
        <w:rPr>
          <w:rFonts w:hint="eastAsia" w:ascii="仿宋" w:hAnsi="仿宋" w:eastAsia="仿宋" w:cs="仿宋"/>
          <w:bCs/>
          <w:color w:val="auto"/>
          <w:sz w:val="21"/>
          <w:szCs w:val="21"/>
          <w:highlight w:val="none"/>
          <w:lang w:val="zh-CN"/>
        </w:rPr>
      </w:pPr>
      <w:r>
        <w:rPr>
          <w:rFonts w:hint="eastAsia" w:ascii="仿宋" w:hAnsi="仿宋" w:eastAsia="仿宋" w:cs="仿宋"/>
          <w:bCs/>
          <w:color w:val="auto"/>
          <w:sz w:val="21"/>
          <w:szCs w:val="21"/>
          <w:highlight w:val="none"/>
          <w:lang w:val="en-US" w:eastAsia="zh-CN"/>
        </w:rPr>
        <w:t>6</w:t>
      </w:r>
      <w:r>
        <w:rPr>
          <w:rFonts w:hint="eastAsia" w:ascii="仿宋" w:hAnsi="仿宋" w:eastAsia="仿宋" w:cs="仿宋"/>
          <w:bCs/>
          <w:color w:val="auto"/>
          <w:sz w:val="21"/>
          <w:szCs w:val="21"/>
          <w:highlight w:val="none"/>
          <w:lang w:val="zh-CN"/>
        </w:rPr>
        <w:t>.本合同一式</w:t>
      </w:r>
      <w:r>
        <w:rPr>
          <w:rFonts w:hint="eastAsia" w:ascii="仿宋" w:hAnsi="仿宋" w:eastAsia="仿宋" w:cs="仿宋"/>
          <w:bCs/>
          <w:color w:val="auto"/>
          <w:sz w:val="21"/>
          <w:szCs w:val="21"/>
          <w:highlight w:val="none"/>
          <w:u w:val="single"/>
        </w:rPr>
        <w:t xml:space="preserve">  </w:t>
      </w:r>
      <w:r>
        <w:rPr>
          <w:rFonts w:hint="eastAsia" w:ascii="仿宋" w:hAnsi="仿宋" w:eastAsia="仿宋" w:cs="仿宋"/>
          <w:bCs/>
          <w:color w:val="auto"/>
          <w:sz w:val="21"/>
          <w:szCs w:val="21"/>
          <w:highlight w:val="none"/>
          <w:u w:val="single"/>
          <w:lang w:val="en-US" w:eastAsia="zh-CN"/>
        </w:rPr>
        <w:t>捌</w:t>
      </w:r>
      <w:r>
        <w:rPr>
          <w:rFonts w:hint="eastAsia" w:ascii="仿宋" w:hAnsi="仿宋" w:eastAsia="仿宋" w:cs="仿宋"/>
          <w:bCs/>
          <w:color w:val="auto"/>
          <w:sz w:val="21"/>
          <w:szCs w:val="21"/>
          <w:highlight w:val="none"/>
          <w:u w:val="single"/>
          <w:lang w:val="zh-CN"/>
        </w:rPr>
        <w:t xml:space="preserve"> </w:t>
      </w:r>
      <w:r>
        <w:rPr>
          <w:rFonts w:hint="eastAsia" w:ascii="仿宋" w:hAnsi="仿宋" w:eastAsia="仿宋" w:cs="仿宋"/>
          <w:bCs/>
          <w:color w:val="auto"/>
          <w:sz w:val="21"/>
          <w:szCs w:val="21"/>
          <w:highlight w:val="none"/>
          <w:lang w:val="zh-CN"/>
        </w:rPr>
        <w:t>份，乙方执</w:t>
      </w:r>
      <w:r>
        <w:rPr>
          <w:rFonts w:hint="eastAsia" w:ascii="仿宋" w:hAnsi="仿宋" w:eastAsia="仿宋" w:cs="仿宋"/>
          <w:bCs/>
          <w:color w:val="auto"/>
          <w:sz w:val="21"/>
          <w:szCs w:val="21"/>
          <w:highlight w:val="none"/>
          <w:u w:val="single"/>
        </w:rPr>
        <w:t xml:space="preserve">   </w:t>
      </w:r>
      <w:r>
        <w:rPr>
          <w:rFonts w:hint="eastAsia" w:ascii="仿宋" w:hAnsi="仿宋" w:eastAsia="仿宋" w:cs="仿宋"/>
          <w:bCs/>
          <w:color w:val="auto"/>
          <w:sz w:val="21"/>
          <w:szCs w:val="21"/>
          <w:highlight w:val="none"/>
          <w:u w:val="single"/>
          <w:lang w:val="en-US" w:eastAsia="zh-CN"/>
        </w:rPr>
        <w:t>贰</w:t>
      </w:r>
      <w:r>
        <w:rPr>
          <w:rFonts w:hint="eastAsia" w:ascii="仿宋" w:hAnsi="仿宋" w:eastAsia="仿宋" w:cs="仿宋"/>
          <w:bCs/>
          <w:color w:val="auto"/>
          <w:sz w:val="21"/>
          <w:szCs w:val="21"/>
          <w:highlight w:val="none"/>
          <w:u w:val="single"/>
        </w:rPr>
        <w:t xml:space="preserve">  </w:t>
      </w:r>
      <w:r>
        <w:rPr>
          <w:rFonts w:hint="eastAsia" w:ascii="仿宋" w:hAnsi="仿宋" w:eastAsia="仿宋" w:cs="仿宋"/>
          <w:bCs/>
          <w:color w:val="auto"/>
          <w:sz w:val="21"/>
          <w:szCs w:val="21"/>
          <w:highlight w:val="none"/>
          <w:lang w:val="zh-CN"/>
        </w:rPr>
        <w:t>份，甲方执</w:t>
      </w:r>
      <w:r>
        <w:rPr>
          <w:rFonts w:hint="eastAsia" w:ascii="仿宋" w:hAnsi="仿宋" w:eastAsia="仿宋" w:cs="仿宋"/>
          <w:bCs/>
          <w:color w:val="auto"/>
          <w:sz w:val="21"/>
          <w:szCs w:val="21"/>
          <w:highlight w:val="none"/>
          <w:u w:val="single"/>
          <w:lang w:val="zh-CN"/>
        </w:rPr>
        <w:t xml:space="preserve">  </w:t>
      </w:r>
      <w:r>
        <w:rPr>
          <w:rFonts w:hint="eastAsia" w:ascii="仿宋" w:hAnsi="仿宋" w:eastAsia="仿宋" w:cs="仿宋"/>
          <w:bCs/>
          <w:color w:val="auto"/>
          <w:sz w:val="21"/>
          <w:szCs w:val="21"/>
          <w:highlight w:val="none"/>
          <w:u w:val="single"/>
        </w:rPr>
        <w:t xml:space="preserve">  </w:t>
      </w:r>
      <w:r>
        <w:rPr>
          <w:rFonts w:hint="eastAsia" w:ascii="仿宋" w:hAnsi="仿宋" w:eastAsia="仿宋" w:cs="仿宋"/>
          <w:bCs/>
          <w:color w:val="auto"/>
          <w:sz w:val="21"/>
          <w:szCs w:val="21"/>
          <w:highlight w:val="none"/>
          <w:u w:val="single"/>
          <w:lang w:val="en-US" w:eastAsia="zh-CN"/>
        </w:rPr>
        <w:t>陆</w:t>
      </w:r>
      <w:r>
        <w:rPr>
          <w:rFonts w:hint="eastAsia" w:ascii="仿宋" w:hAnsi="仿宋" w:eastAsia="仿宋" w:cs="仿宋"/>
          <w:bCs/>
          <w:color w:val="auto"/>
          <w:sz w:val="21"/>
          <w:szCs w:val="21"/>
          <w:highlight w:val="none"/>
          <w:u w:val="single"/>
        </w:rPr>
        <w:t xml:space="preserve"> </w:t>
      </w:r>
      <w:r>
        <w:rPr>
          <w:rFonts w:hint="eastAsia" w:ascii="仿宋" w:hAnsi="仿宋" w:eastAsia="仿宋" w:cs="仿宋"/>
          <w:bCs/>
          <w:color w:val="auto"/>
          <w:sz w:val="21"/>
          <w:szCs w:val="21"/>
          <w:highlight w:val="none"/>
          <w:u w:val="single"/>
          <w:lang w:val="zh-CN"/>
        </w:rPr>
        <w:t xml:space="preserve">  </w:t>
      </w:r>
      <w:r>
        <w:rPr>
          <w:rFonts w:hint="eastAsia" w:ascii="仿宋" w:hAnsi="仿宋" w:eastAsia="仿宋" w:cs="仿宋"/>
          <w:bCs/>
          <w:color w:val="auto"/>
          <w:sz w:val="21"/>
          <w:szCs w:val="21"/>
          <w:highlight w:val="none"/>
          <w:lang w:val="zh-CN"/>
        </w:rPr>
        <w:t>份。</w:t>
      </w:r>
    </w:p>
    <w:p w14:paraId="5EA3736A">
      <w:pPr>
        <w:keepNext w:val="0"/>
        <w:keepLines w:val="0"/>
        <w:pageBreakBefore w:val="0"/>
        <w:kinsoku/>
        <w:wordWrap/>
        <w:overflowPunct/>
        <w:topLinePunct w:val="0"/>
        <w:autoSpaceDE/>
        <w:autoSpaceDN/>
        <w:bidi w:val="0"/>
        <w:adjustRightInd w:val="0"/>
        <w:snapToGrid w:val="0"/>
        <w:spacing w:line="400" w:lineRule="exact"/>
        <w:ind w:firstLine="840" w:firstLineChars="400"/>
        <w:jc w:val="both"/>
        <w:textAlignment w:val="auto"/>
        <w:rPr>
          <w:rFonts w:hint="eastAsia" w:ascii="仿宋" w:hAnsi="仿宋" w:eastAsia="仿宋" w:cs="仿宋"/>
          <w:bCs/>
          <w:color w:val="auto"/>
          <w:sz w:val="21"/>
          <w:szCs w:val="21"/>
          <w:highlight w:val="none"/>
          <w:lang w:val="zh-CN"/>
        </w:rPr>
      </w:pPr>
    </w:p>
    <w:p w14:paraId="7248561D">
      <w:pPr>
        <w:pStyle w:val="4"/>
        <w:keepNext w:val="0"/>
        <w:keepLines w:val="0"/>
        <w:pageBreakBefore w:val="0"/>
        <w:kinsoku/>
        <w:wordWrap/>
        <w:overflowPunct/>
        <w:topLinePunct w:val="0"/>
        <w:autoSpaceDE/>
        <w:autoSpaceDN/>
        <w:bidi w:val="0"/>
        <w:spacing w:line="400" w:lineRule="exact"/>
        <w:ind w:firstLine="420" w:firstLineChars="200"/>
        <w:textAlignment w:val="auto"/>
        <w:rPr>
          <w:rFonts w:hint="eastAsia" w:ascii="仿宋" w:hAnsi="仿宋" w:eastAsia="仿宋" w:cs="仿宋"/>
          <w:color w:val="auto"/>
          <w:sz w:val="21"/>
          <w:szCs w:val="21"/>
          <w:highlight w:val="none"/>
        </w:rPr>
      </w:pPr>
    </w:p>
    <w:p w14:paraId="153C0A50">
      <w:pPr>
        <w:pStyle w:val="4"/>
        <w:keepNext w:val="0"/>
        <w:keepLines w:val="0"/>
        <w:pageBreakBefore w:val="0"/>
        <w:kinsoku/>
        <w:wordWrap/>
        <w:overflowPunct/>
        <w:topLinePunct w:val="0"/>
        <w:autoSpaceDE/>
        <w:autoSpaceDN/>
        <w:bidi w:val="0"/>
        <w:spacing w:line="400" w:lineRule="exact"/>
        <w:ind w:left="5280" w:hanging="4620" w:hangingChars="2200"/>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color w:val="auto"/>
          <w:sz w:val="21"/>
          <w:szCs w:val="21"/>
          <w:highlight w:val="none"/>
        </w:rPr>
        <w:t>甲方（公章）</w:t>
      </w:r>
      <w:r>
        <w:rPr>
          <w:rFonts w:hint="eastAsia" w:ascii="仿宋" w:hAnsi="仿宋" w:eastAsia="仿宋" w:cs="仿宋"/>
          <w:color w:val="auto"/>
          <w:sz w:val="21"/>
          <w:szCs w:val="21"/>
          <w:highlight w:val="none"/>
          <w:u w:val="single"/>
        </w:rPr>
        <w:t>新疆农业职业技术</w:t>
      </w:r>
      <w:r>
        <w:rPr>
          <w:rFonts w:hint="eastAsia" w:ascii="仿宋" w:hAnsi="仿宋" w:eastAsia="仿宋" w:cs="仿宋"/>
          <w:color w:val="auto"/>
          <w:sz w:val="21"/>
          <w:szCs w:val="21"/>
          <w:highlight w:val="none"/>
          <w:u w:val="single"/>
          <w:lang w:eastAsia="zh-CN"/>
        </w:rPr>
        <w:t>大学</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 xml:space="preserve">   乙方（公章）</w:t>
      </w:r>
      <w:r>
        <w:rPr>
          <w:rFonts w:hint="eastAsia" w:ascii="仿宋" w:hAnsi="仿宋" w:eastAsia="仿宋" w:cs="仿宋"/>
          <w:bCs/>
          <w:color w:val="auto"/>
          <w:sz w:val="21"/>
          <w:szCs w:val="21"/>
          <w:highlight w:val="none"/>
          <w:u w:val="single"/>
          <w:lang w:val="en-US" w:eastAsia="zh-CN"/>
        </w:rPr>
        <w:t xml:space="preserve">                    </w:t>
      </w:r>
    </w:p>
    <w:p w14:paraId="5B898613">
      <w:pPr>
        <w:pStyle w:val="4"/>
        <w:keepNext w:val="0"/>
        <w:keepLines w:val="0"/>
        <w:pageBreakBefore w:val="0"/>
        <w:tabs>
          <w:tab w:val="center" w:pos="4628"/>
        </w:tabs>
        <w:kinsoku/>
        <w:wordWrap/>
        <w:overflowPunct/>
        <w:topLinePunct w:val="0"/>
        <w:autoSpaceDE/>
        <w:autoSpaceDN/>
        <w:bidi w:val="0"/>
        <w:spacing w:line="400" w:lineRule="exact"/>
        <w:ind w:firstLine="0" w:firstLineChars="0"/>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代表人（签字）：</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   代表人（签字）：</w:t>
      </w:r>
    </w:p>
    <w:p w14:paraId="284C15E8">
      <w:pPr>
        <w:pStyle w:val="4"/>
        <w:keepNext w:val="0"/>
        <w:keepLines w:val="0"/>
        <w:pageBreakBefore w:val="0"/>
        <w:tabs>
          <w:tab w:val="left" w:pos="5136"/>
        </w:tabs>
        <w:kinsoku/>
        <w:wordWrap/>
        <w:overflowPunct/>
        <w:topLinePunct w:val="0"/>
        <w:autoSpaceDE/>
        <w:autoSpaceDN/>
        <w:bidi w:val="0"/>
        <w:spacing w:line="400" w:lineRule="exact"/>
        <w:ind w:firstLine="0" w:firstLineChars="0"/>
        <w:textAlignment w:val="auto"/>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  系 电  话：</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   联 系 电 话：</w:t>
      </w:r>
      <w:r>
        <w:rPr>
          <w:rFonts w:hint="eastAsia" w:ascii="仿宋" w:hAnsi="仿宋" w:eastAsia="仿宋" w:cs="仿宋"/>
          <w:color w:val="auto"/>
          <w:sz w:val="21"/>
          <w:szCs w:val="21"/>
          <w:highlight w:val="none"/>
          <w:u w:val="single"/>
          <w:lang w:val="en-US" w:eastAsia="zh-CN"/>
        </w:rPr>
        <w:t xml:space="preserve">                    </w:t>
      </w:r>
    </w:p>
    <w:p w14:paraId="2B30308E">
      <w:pPr>
        <w:pStyle w:val="10"/>
        <w:keepNext w:val="0"/>
        <w:keepLines w:val="0"/>
        <w:pageBreakBefore w:val="0"/>
        <w:kinsoku/>
        <w:wordWrap/>
        <w:overflowPunct/>
        <w:topLinePunct w:val="0"/>
        <w:autoSpaceDE/>
        <w:autoSpaceDN/>
        <w:bidi w:val="0"/>
        <w:spacing w:before="2" w:line="400" w:lineRule="exact"/>
        <w:ind w:left="5040" w:hanging="4410" w:hangingChars="21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b w:val="0"/>
          <w:bCs/>
          <w:color w:val="auto"/>
          <w:sz w:val="21"/>
          <w:szCs w:val="21"/>
          <w:highlight w:val="none"/>
        </w:rPr>
        <w:t>地址：</w:t>
      </w:r>
      <w:r>
        <w:rPr>
          <w:rFonts w:hint="eastAsia" w:ascii="仿宋" w:hAnsi="仿宋" w:eastAsia="仿宋" w:cs="仿宋"/>
          <w:b w:val="0"/>
          <w:bCs/>
          <w:color w:val="auto"/>
          <w:sz w:val="21"/>
          <w:szCs w:val="21"/>
          <w:highlight w:val="none"/>
          <w:u w:val="single"/>
        </w:rPr>
        <w:t>昌吉市文化东路29号</w:t>
      </w:r>
      <w:r>
        <w:rPr>
          <w:rFonts w:hint="eastAsia" w:ascii="仿宋" w:hAnsi="仿宋" w:eastAsia="仿宋" w:cs="仿宋"/>
          <w:b w:val="0"/>
          <w:bCs/>
          <w:color w:val="auto"/>
          <w:sz w:val="21"/>
          <w:szCs w:val="21"/>
          <w:highlight w:val="none"/>
        </w:rPr>
        <w:t xml:space="preserve">          地址：</w:t>
      </w:r>
      <w:r>
        <w:rPr>
          <w:rFonts w:hint="eastAsia" w:ascii="仿宋" w:hAnsi="仿宋" w:eastAsia="仿宋" w:cs="仿宋"/>
          <w:b w:val="0"/>
          <w:bCs/>
          <w:color w:val="auto"/>
          <w:sz w:val="21"/>
          <w:szCs w:val="21"/>
          <w:highlight w:val="none"/>
          <w:u w:val="single"/>
          <w:lang w:val="en-US" w:eastAsia="zh-CN"/>
        </w:rPr>
        <w:t xml:space="preserve">                  </w:t>
      </w:r>
    </w:p>
    <w:p w14:paraId="4BC4F06B">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签订合同地点：</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      签订合同时间：</w:t>
      </w:r>
    </w:p>
    <w:p w14:paraId="41D55641">
      <w:pPr>
        <w:pStyle w:val="4"/>
        <w:rPr>
          <w:rFonts w:hint="eastAsia" w:ascii="仿宋" w:hAnsi="仿宋" w:eastAsia="仿宋" w:cs="仿宋"/>
          <w:color w:val="000000"/>
          <w:sz w:val="24"/>
          <w:szCs w:val="21"/>
        </w:rPr>
      </w:pPr>
    </w:p>
    <w:p w14:paraId="7EE53F0A">
      <w:pPr>
        <w:rPr>
          <w:rFonts w:hint="eastAsia" w:ascii="仿宋" w:hAnsi="仿宋" w:eastAsia="仿宋" w:cs="仿宋"/>
          <w:color w:val="000000"/>
          <w:sz w:val="24"/>
          <w:szCs w:val="21"/>
        </w:rPr>
      </w:pPr>
    </w:p>
    <w:p w14:paraId="7DCF5A81">
      <w:pPr>
        <w:rPr>
          <w:rFonts w:hint="eastAsia" w:ascii="仿宋" w:hAnsi="仿宋" w:eastAsia="仿宋" w:cs="仿宋"/>
          <w:color w:val="000000"/>
          <w:sz w:val="24"/>
          <w:szCs w:val="21"/>
        </w:rPr>
      </w:pPr>
    </w:p>
    <w:p w14:paraId="041527E4">
      <w:pPr>
        <w:rPr>
          <w:rFonts w:hint="eastAsia" w:ascii="仿宋" w:hAnsi="仿宋" w:eastAsia="仿宋" w:cs="仿宋"/>
          <w:color w:val="000000"/>
          <w:sz w:val="24"/>
          <w:szCs w:val="21"/>
        </w:rPr>
      </w:pPr>
    </w:p>
    <w:p w14:paraId="2512A8FF">
      <w:pPr>
        <w:rPr>
          <w:rFonts w:hint="eastAsia" w:ascii="仿宋" w:hAnsi="仿宋" w:eastAsia="仿宋" w:cs="仿宋"/>
          <w:color w:val="000000"/>
          <w:sz w:val="24"/>
          <w:szCs w:val="21"/>
        </w:rPr>
      </w:pPr>
    </w:p>
    <w:p w14:paraId="4FE3526E">
      <w:pPr>
        <w:rPr>
          <w:rFonts w:hint="eastAsia" w:ascii="仿宋" w:hAnsi="仿宋" w:eastAsia="仿宋" w:cs="仿宋"/>
          <w:color w:val="000000"/>
          <w:sz w:val="24"/>
          <w:szCs w:val="21"/>
        </w:rPr>
      </w:pPr>
    </w:p>
    <w:p w14:paraId="6476F96D">
      <w:pPr>
        <w:rPr>
          <w:rFonts w:hint="eastAsia" w:ascii="仿宋" w:hAnsi="仿宋" w:eastAsia="仿宋" w:cs="仿宋"/>
          <w:color w:val="000000"/>
          <w:sz w:val="24"/>
          <w:szCs w:val="21"/>
        </w:rPr>
      </w:pPr>
    </w:p>
    <w:p w14:paraId="0C3DABEF">
      <w:pPr>
        <w:rPr>
          <w:rFonts w:hint="eastAsia" w:ascii="仿宋" w:hAnsi="仿宋" w:eastAsia="仿宋" w:cs="仿宋"/>
          <w:color w:val="000000"/>
          <w:sz w:val="24"/>
          <w:szCs w:val="21"/>
        </w:rPr>
      </w:pPr>
    </w:p>
    <w:p w14:paraId="7A89461F">
      <w:pPr>
        <w:rPr>
          <w:rFonts w:hint="eastAsia" w:ascii="仿宋" w:hAnsi="仿宋" w:eastAsia="仿宋" w:cs="仿宋"/>
          <w:color w:val="000000"/>
          <w:sz w:val="24"/>
          <w:szCs w:val="21"/>
        </w:rPr>
      </w:pPr>
    </w:p>
    <w:p w14:paraId="6C615C75">
      <w:pPr>
        <w:rPr>
          <w:rFonts w:hint="eastAsia" w:ascii="仿宋" w:hAnsi="仿宋" w:eastAsia="仿宋" w:cs="仿宋"/>
          <w:color w:val="000000"/>
          <w:sz w:val="24"/>
          <w:szCs w:val="21"/>
        </w:rPr>
      </w:pPr>
    </w:p>
    <w:p w14:paraId="049A3A2B">
      <w:pPr>
        <w:rPr>
          <w:rFonts w:hint="eastAsia" w:ascii="仿宋" w:hAnsi="仿宋" w:eastAsia="仿宋" w:cs="仿宋"/>
          <w:color w:val="000000"/>
          <w:sz w:val="24"/>
          <w:szCs w:val="21"/>
        </w:rPr>
      </w:pPr>
    </w:p>
    <w:p w14:paraId="67848A59">
      <w:pPr>
        <w:rPr>
          <w:rFonts w:hint="eastAsia" w:ascii="仿宋" w:hAnsi="仿宋" w:eastAsia="仿宋" w:cs="仿宋"/>
          <w:color w:val="000000"/>
          <w:sz w:val="24"/>
          <w:szCs w:val="21"/>
        </w:rPr>
      </w:pPr>
    </w:p>
    <w:p w14:paraId="225A17B1">
      <w:pPr>
        <w:rPr>
          <w:rFonts w:hint="eastAsia" w:ascii="仿宋" w:hAnsi="仿宋" w:eastAsia="仿宋" w:cs="仿宋"/>
          <w:color w:val="000000"/>
          <w:sz w:val="24"/>
          <w:szCs w:val="21"/>
        </w:rPr>
      </w:pPr>
    </w:p>
    <w:p w14:paraId="7C38986B">
      <w:pPr>
        <w:pStyle w:val="2"/>
        <w:numPr>
          <w:ilvl w:val="0"/>
          <w:numId w:val="1"/>
        </w:numPr>
        <w:bidi w:val="0"/>
        <w:jc w:val="center"/>
        <w:rPr>
          <w:rFonts w:hint="eastAsia" w:ascii="仿宋" w:hAnsi="仿宋" w:eastAsia="仿宋" w:cs="仿宋"/>
          <w:color w:val="auto"/>
          <w:sz w:val="32"/>
          <w:szCs w:val="32"/>
          <w:highlight w:val="none"/>
          <w:lang w:val="en-US" w:eastAsia="zh-CN"/>
        </w:rPr>
      </w:pPr>
      <w:bookmarkStart w:id="17" w:name="_Toc20159"/>
      <w:r>
        <w:rPr>
          <w:rFonts w:hint="eastAsia" w:ascii="仿宋" w:hAnsi="仿宋" w:eastAsia="仿宋" w:cs="仿宋"/>
          <w:color w:val="auto"/>
          <w:sz w:val="32"/>
          <w:szCs w:val="32"/>
          <w:highlight w:val="none"/>
          <w:lang w:val="en-US" w:eastAsia="zh-CN"/>
        </w:rPr>
        <w:t>采购需求</w:t>
      </w:r>
      <w:bookmarkEnd w:id="17"/>
    </w:p>
    <w:p w14:paraId="7A2BCCF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1.以下技术指标及要求中如出现设备或产品品牌或指向某个品牌，仅作为参考该设备或产品所需达到的具体技术性能要求，不作为该设备或产品的品牌要求。</w:t>
      </w:r>
    </w:p>
    <w:p w14:paraId="5C1722C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下列标有“※”的条款均为实质性响应条款，投标人若有一项带“※”的条款未响应或不满足，将按无效投标处理。“★”的条款均为重要条款，投标人若有一项重要条款未响应或不满足，该条款将不得分（具体详见本项目评审标准）。未标“※、★”的条款均为一般条款，投标人若有一项一般条款未响应或不满足，该条款将不得分（具体详见本项目评审标准）。</w:t>
      </w:r>
    </w:p>
    <w:p w14:paraId="71916412">
      <w:pPr>
        <w:rPr>
          <w:rFonts w:hint="eastAsia" w:ascii="仿宋" w:hAnsi="仿宋" w:eastAsia="仿宋" w:cs="仿宋"/>
          <w:color w:val="auto"/>
          <w:highlight w:val="none"/>
          <w:lang w:val="en-US" w:eastAsia="zh-CN"/>
        </w:rPr>
      </w:pPr>
    </w:p>
    <w:p w14:paraId="146500E9">
      <w:pPr>
        <w:keepNext w:val="0"/>
        <w:keepLines w:val="0"/>
        <w:pageBreakBefore w:val="0"/>
        <w:widowControl w:val="0"/>
        <w:numPr>
          <w:ilvl w:val="0"/>
          <w:numId w:val="10"/>
        </w:numPr>
        <w:kinsoku/>
        <w:wordWrap/>
        <w:overflowPunct/>
        <w:topLinePunct w:val="0"/>
        <w:autoSpaceDE/>
        <w:autoSpaceDN/>
        <w:bidi w:val="0"/>
        <w:adjustRightInd/>
        <w:snapToGrid/>
        <w:spacing w:line="500" w:lineRule="exac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需求一览表</w:t>
      </w:r>
    </w:p>
    <w:tbl>
      <w:tblPr>
        <w:tblStyle w:val="27"/>
        <w:tblW w:w="8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8"/>
        <w:gridCol w:w="1552"/>
        <w:gridCol w:w="3629"/>
        <w:gridCol w:w="1729"/>
      </w:tblGrid>
      <w:tr w14:paraId="72900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288" w:type="dxa"/>
            <w:vAlign w:val="center"/>
          </w:tcPr>
          <w:p w14:paraId="1D2E8A33">
            <w:pPr>
              <w:pStyle w:val="18"/>
              <w:jc w:val="center"/>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val="en-US" w:eastAsia="zh-CN"/>
              </w:rPr>
              <w:t>包号</w:t>
            </w:r>
          </w:p>
        </w:tc>
        <w:tc>
          <w:tcPr>
            <w:tcW w:w="1552" w:type="dxa"/>
            <w:vAlign w:val="center"/>
          </w:tcPr>
          <w:p w14:paraId="353B6DBC">
            <w:pPr>
              <w:pStyle w:val="18"/>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品目号</w:t>
            </w:r>
          </w:p>
        </w:tc>
        <w:tc>
          <w:tcPr>
            <w:tcW w:w="3629" w:type="dxa"/>
            <w:vAlign w:val="center"/>
          </w:tcPr>
          <w:p w14:paraId="37F6C99A">
            <w:pPr>
              <w:pStyle w:val="18"/>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标的</w:t>
            </w:r>
            <w:r>
              <w:rPr>
                <w:rFonts w:hint="eastAsia" w:ascii="仿宋" w:hAnsi="仿宋" w:eastAsia="仿宋" w:cs="仿宋"/>
                <w:b/>
                <w:bCs/>
                <w:color w:val="auto"/>
                <w:sz w:val="21"/>
                <w:szCs w:val="21"/>
                <w:highlight w:val="none"/>
              </w:rPr>
              <w:t>名称</w:t>
            </w:r>
          </w:p>
        </w:tc>
        <w:tc>
          <w:tcPr>
            <w:tcW w:w="1729" w:type="dxa"/>
            <w:vAlign w:val="center"/>
          </w:tcPr>
          <w:p w14:paraId="1F61EC7E">
            <w:pPr>
              <w:pStyle w:val="18"/>
              <w:jc w:val="center"/>
              <w:rPr>
                <w:rFonts w:hint="eastAsia" w:ascii="仿宋" w:hAnsi="仿宋" w:eastAsia="仿宋" w:cs="仿宋"/>
                <w:b/>
                <w:bCs/>
                <w:color w:val="auto"/>
                <w:sz w:val="21"/>
                <w:szCs w:val="21"/>
                <w:highlight w:val="none"/>
                <w:lang w:val="en-US"/>
              </w:rPr>
            </w:pPr>
            <w:r>
              <w:rPr>
                <w:rFonts w:hint="eastAsia" w:ascii="仿宋" w:hAnsi="仿宋" w:eastAsia="仿宋" w:cs="仿宋"/>
                <w:b/>
                <w:bCs/>
                <w:color w:val="auto"/>
                <w:sz w:val="21"/>
                <w:szCs w:val="21"/>
                <w:highlight w:val="none"/>
                <w:lang w:val="en-US"/>
              </w:rPr>
              <w:t>数量/单位</w:t>
            </w:r>
          </w:p>
        </w:tc>
      </w:tr>
      <w:tr w14:paraId="1CE6E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288" w:type="dxa"/>
            <w:vAlign w:val="center"/>
          </w:tcPr>
          <w:p w14:paraId="41C39B88">
            <w:pPr>
              <w:pStyle w:val="18"/>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标项1</w:t>
            </w:r>
          </w:p>
        </w:tc>
        <w:tc>
          <w:tcPr>
            <w:tcW w:w="1552" w:type="dxa"/>
            <w:vAlign w:val="center"/>
          </w:tcPr>
          <w:p w14:paraId="190D75EC">
            <w:pPr>
              <w:pStyle w:val="18"/>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1-1</w:t>
            </w:r>
          </w:p>
        </w:tc>
        <w:tc>
          <w:tcPr>
            <w:tcW w:w="3629" w:type="dxa"/>
            <w:vAlign w:val="center"/>
          </w:tcPr>
          <w:p w14:paraId="169A4A78">
            <w:pPr>
              <w:pStyle w:val="18"/>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正价自然科学类图书</w:t>
            </w:r>
          </w:p>
        </w:tc>
        <w:tc>
          <w:tcPr>
            <w:tcW w:w="1729" w:type="dxa"/>
            <w:vAlign w:val="center"/>
          </w:tcPr>
          <w:p w14:paraId="7C867EEC">
            <w:pPr>
              <w:pStyle w:val="18"/>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1批</w:t>
            </w:r>
          </w:p>
        </w:tc>
      </w:tr>
      <w:tr w14:paraId="5153D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288" w:type="dxa"/>
            <w:vAlign w:val="center"/>
          </w:tcPr>
          <w:p w14:paraId="07526B46">
            <w:pPr>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标项2</w:t>
            </w:r>
          </w:p>
        </w:tc>
        <w:tc>
          <w:tcPr>
            <w:tcW w:w="1552" w:type="dxa"/>
            <w:vAlign w:val="center"/>
          </w:tcPr>
          <w:p w14:paraId="7F74922F">
            <w:pPr>
              <w:pStyle w:val="18"/>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2-1</w:t>
            </w:r>
          </w:p>
        </w:tc>
        <w:tc>
          <w:tcPr>
            <w:tcW w:w="3629" w:type="dxa"/>
            <w:vAlign w:val="center"/>
          </w:tcPr>
          <w:p w14:paraId="4B216BBA">
            <w:pPr>
              <w:pStyle w:val="18"/>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正价社会科学类图书</w:t>
            </w:r>
          </w:p>
        </w:tc>
        <w:tc>
          <w:tcPr>
            <w:tcW w:w="1729" w:type="dxa"/>
            <w:vAlign w:val="center"/>
          </w:tcPr>
          <w:p w14:paraId="0A7B75F7">
            <w:pPr>
              <w:pStyle w:val="18"/>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1批</w:t>
            </w:r>
          </w:p>
        </w:tc>
      </w:tr>
    </w:tbl>
    <w:p w14:paraId="10AA682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p>
    <w:p w14:paraId="11930C6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二、项目概况</w:t>
      </w:r>
    </w:p>
    <w:p w14:paraId="7178655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新疆农业职业技术大学2025年图书采购项目，预算经费1590400元，采购图书合计33146册，副本量3册。截止供货时间2025年6月30日。具体如下：</w:t>
      </w:r>
    </w:p>
    <w:p w14:paraId="1D10EFF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1.正价自然科学类图书，金额1126528元、采购21664册，出版时间2022-2025年。</w:t>
      </w:r>
    </w:p>
    <w:p w14:paraId="2BAD3CD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2.正价社会科学类图书，金额463872元、采购11482册，出版时间2023-2025年。</w:t>
      </w:r>
    </w:p>
    <w:p w14:paraId="7072E39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三、招标要求</w:t>
      </w:r>
    </w:p>
    <w:p w14:paraId="2B85E51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1.新疆农业职业技术大学本次纸质图书采购内容：</w:t>
      </w:r>
    </w:p>
    <w:p w14:paraId="23E4779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（1）正价自然科学类图书：自然科学总论（N）,数理科学和化学（O）,天文科学、地球科学（P）,生物科学(Q),农业科学(S),工业技术(T),交通运输(U),航空、航天(V),环境科学、安全科学(X)，副本3册。</w:t>
      </w:r>
    </w:p>
    <w:p w14:paraId="53764BE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正价社会科学类图书：马克思主义、列宁主义、毛泽东思想、邓小平理论（A），哲学(B)，社会科学总论(C)，政治、法律(D)，军事(E)，经济(F)，文化、科学、教育、体育(G)，语言、文字(H)，文学(I)，艺术(J)，历史、地理(K),综合性图书(Z)，副本3册。其中B9类图书不在此次采购范围内。</w:t>
      </w:r>
    </w:p>
    <w:p w14:paraId="1D2A093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2.供应商按新疆农业职业技术大学图书馆提供的目录采购图书</w:t>
      </w:r>
      <w:r>
        <w:rPr>
          <w:rFonts w:hint="eastAsia" w:ascii="仿宋" w:hAnsi="仿宋" w:eastAsia="仿宋" w:cs="仿宋"/>
          <w:b/>
          <w:bCs/>
          <w:color w:val="auto"/>
          <w:sz w:val="24"/>
          <w:szCs w:val="24"/>
          <w:highlight w:val="none"/>
          <w:lang w:val="en-US" w:eastAsia="zh-CN"/>
        </w:rPr>
        <w:t>（详见附件2025年采购图书目录）</w:t>
      </w:r>
      <w:r>
        <w:rPr>
          <w:rFonts w:hint="eastAsia" w:ascii="仿宋" w:hAnsi="仿宋" w:eastAsia="仿宋" w:cs="仿宋"/>
          <w:b w:val="0"/>
          <w:bCs w:val="0"/>
          <w:color w:val="auto"/>
          <w:sz w:val="24"/>
          <w:szCs w:val="24"/>
          <w:highlight w:val="none"/>
          <w:lang w:val="en-US" w:eastAsia="zh-CN"/>
        </w:rPr>
        <w:t>。大学提供图书加工场地，所有采购图书到馆后，经审读符合要求的图书，由供应商加工，图书加工费由供应商承担，（包含图书加工服务、图书运输、提供编目数据、耗材等）。供货截止时间 2025 年6月30 日。</w:t>
      </w:r>
    </w:p>
    <w:p w14:paraId="1A32D26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3.成人教育、自学考试等类，中小学、中专、大专、本科等教材，不列入本次采购范围。</w:t>
      </w:r>
    </w:p>
    <w:p w14:paraId="49F5B69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4.中标方提供的的图书内容不能有违背现行政策、法律、行政法规、公序良俗和党纪党规禁止的其他内容。</w:t>
      </w:r>
    </w:p>
    <w:p w14:paraId="2B427E4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5.新疆农工业职业技术大学审查不符合标准的图书供应商无条件退回。</w:t>
      </w:r>
    </w:p>
    <w:p w14:paraId="1C0EC38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6.本次总价款包括货物（图书）、加工、提供编目数据，包装、运输、装卸、保险、税金，货到就位以及图书上架（前后两次）、验收合格之前和质保期内的售后服务一切税金和费用。</w:t>
      </w:r>
    </w:p>
    <w:p w14:paraId="1D03F88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7.付款方式：签订合同后支付合同价款的30%，全部图书进行深加工且图书上排架验收合格后，甲方支付合同价款的70%。</w:t>
      </w:r>
    </w:p>
    <w:p w14:paraId="10D836C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8.合同履约期限：</w:t>
      </w:r>
      <w:r>
        <w:rPr>
          <w:rFonts w:hint="eastAsia" w:ascii="仿宋" w:hAnsi="仿宋" w:eastAsia="仿宋" w:cs="仿宋"/>
          <w:color w:val="auto"/>
          <w:sz w:val="24"/>
          <w:szCs w:val="24"/>
          <w:highlight w:val="none"/>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日前完成供货</w:t>
      </w:r>
      <w:r>
        <w:rPr>
          <w:rFonts w:hint="eastAsia" w:ascii="仿宋" w:hAnsi="仿宋" w:eastAsia="仿宋" w:cs="仿宋"/>
          <w:color w:val="auto"/>
          <w:sz w:val="24"/>
          <w:szCs w:val="24"/>
          <w:highlight w:val="none"/>
          <w:lang w:eastAsia="zh-CN"/>
        </w:rPr>
        <w:t>。</w:t>
      </w:r>
    </w:p>
    <w:p w14:paraId="5B1F5E2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9.交货地点：新疆农业职业技术大学图书馆</w:t>
      </w:r>
    </w:p>
    <w:p w14:paraId="609E383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四、质量要求</w:t>
      </w:r>
    </w:p>
    <w:p w14:paraId="1201CE6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1.供应商必须确保图书由正规渠道采购，保证正版图书，且为内容安全的正版图书，符合国家质量检测标准。供应商需提供《图书采购无影响国家安全内容保证书》，《正版图书保证书》，一经发现所提供的为非正版、违法、盗版、翻版书籍出现安全问题，必须无条件退货。新疆农业职业技术大学有权解除合同，取消其服务资格。违约责任、经济责任与法律责任由中标方承担。 </w:t>
      </w:r>
    </w:p>
    <w:p w14:paraId="038F25D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2.图书的整体外观和装订必须平整、牢固，图书封面图案及文字要清晰有层次，颜色的色调应饱和。</w:t>
      </w:r>
    </w:p>
    <w:p w14:paraId="7715EAC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3.所有图书正文的纸张表面应光滑，颜色和厚度一致，纸张无损坏、无撕页。正文印刷墨色一致，版心和页码的位置一致，无明显透印，文字及图表印刷清晰。</w:t>
      </w:r>
    </w:p>
    <w:p w14:paraId="0EE51D4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4.供应商配置的所有图书如不符合以上1-3项承诺质量保证的，供应商应无条件给予退换。供应商若提供的图书属盗版，一旦发现，将取消供应商供书资格，采购人将保留追究相关责任的权利。</w:t>
      </w:r>
    </w:p>
    <w:p w14:paraId="0A6AE4F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五、供货要求</w:t>
      </w:r>
    </w:p>
    <w:p w14:paraId="3C0D1EE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1.供应商按照采购人提供的目录及要求配置图书，严格保证出版及再版年限要求。</w:t>
      </w:r>
    </w:p>
    <w:p w14:paraId="165BEFC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2.图书到货验收时，如有缺页、污损等情况，供应方应予无条件调换。</w:t>
      </w:r>
    </w:p>
    <w:p w14:paraId="4AC594E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3.种类、数量、时间根据实际情况，经过学校同意，可略做调换。如果因各种原因选定图书目录无法满足采购数量，由采购人继续组织图书目录提供给供应商。</w:t>
      </w:r>
    </w:p>
    <w:p w14:paraId="5717EE5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4.图书运输费由供应商承担。新书按甲方要求免费送货到指定的地点拆包验收上架。</w:t>
      </w:r>
    </w:p>
    <w:p w14:paraId="1C30EFC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5.图书到馆后，验收如不符合采购人要求，无条件退货给供应商并由乙方承担退货增加的运费。</w:t>
      </w:r>
    </w:p>
    <w:p w14:paraId="4F0B04C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6.供应商供书发货差错率必须低于0.2%。出现差错须保证在2周内妥善解决。</w:t>
      </w:r>
    </w:p>
    <w:p w14:paraId="244E982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7.本次合同中所涉及的图书资料到达新疆农业职业技术大学图书馆后，如出现数量缺少、不符合标准MARC编目数据等情况，供应商应当在接到新疆农业职业技术大学图书馆通知后的5个工作日内补发。</w:t>
      </w:r>
    </w:p>
    <w:p w14:paraId="33DB9CE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六、到货率与到货速度要求</w:t>
      </w:r>
    </w:p>
    <w:p w14:paraId="1DAC307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图书采购：供应商自双方确认订单之日起，30个工作日内送书到采购人且到书率不低于80%，2025年6月30日以前完成100%。以上采购方式约定的到货日期，逾期未到我馆的图书，订单自动失效，造成的损失由供应商承担。</w:t>
      </w:r>
    </w:p>
    <w:p w14:paraId="0DEA319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2.供应商在供货期间，如有服务质量下降，不履行服务承诺，采购人有权终止合同。供应商未做到招标文件要求的技术及服务要求的，采购人将以合同总价的5%予以扣除作为违约金。</w:t>
      </w:r>
    </w:p>
    <w:p w14:paraId="70432A3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七、验收及售后服务要求</w:t>
      </w:r>
    </w:p>
    <w:p w14:paraId="4389E71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在本项目按照合同要求完工后，由采购人组织相关人员进行验收。</w:t>
      </w:r>
    </w:p>
    <w:p w14:paraId="49297E5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1.供应商提供的图书的数量、金额、质量等，以采购人验收人员实际验收的情况为准。每批到馆图书应同时提供该批图书的总清单两份，每包图书外包装编上顺序，每包图书内附上该包图书清单。</w:t>
      </w:r>
    </w:p>
    <w:p w14:paraId="1D67CDB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提供发货清单（一包一单，一批一整单）。每包一单内容包括：包号、书号、书名、单价、册数、码洋和合计。每批一总单，总单应注明以下项目：批号、送书日期、每批合计（种数、册数、码洋金额、实洋金额）、包号、包合计。如有缺页、污损等情况，供应商应予无条件调换。</w:t>
      </w:r>
    </w:p>
    <w:p w14:paraId="3125743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收货和验收如发生配货错误、到货破损、装订、印刷质量问题和损坏，无论是否已作前期加工，供应商必须无条件负责退换。新疆农业职业技术大学有权对已到馆的、但内容不符合我校教学科研需要和水平的图书给予退货。</w:t>
      </w:r>
    </w:p>
    <w:p w14:paraId="195F3E5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所有图书的品种及副本数量均由新疆农业职业技术大学图书馆决定，供应商不得自行搭配和追加非图书馆确认订购的品种和副本数量的图书。图书品种、副本数量和随书光盘/磁带/磁盘等与订单不符时，无论是否已做前期加工，中标方必须无条件负责退换。</w:t>
      </w:r>
    </w:p>
    <w:p w14:paraId="4638F62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八、深加工服务各项技术要求</w:t>
      </w:r>
    </w:p>
    <w:p w14:paraId="3938309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1.供应商负责图书的后期加工，耗材自理。耗材包括：超高频REID卡芯片、粘贴RFID标签、标签塑封胶带、馆藏章等。若供应商图书服务所需的耗材质量未达到采购人要求的，</w:t>
      </w:r>
      <w:r>
        <w:rPr>
          <w:rFonts w:hint="eastAsia" w:ascii="仿宋" w:hAnsi="仿宋" w:eastAsia="仿宋" w:cs="仿宋"/>
          <w:color w:val="auto"/>
          <w:sz w:val="24"/>
          <w:szCs w:val="24"/>
          <w:highlight w:val="none"/>
        </w:rPr>
        <w:t>采购人将保留追究相关责任的权利</w:t>
      </w:r>
      <w:r>
        <w:rPr>
          <w:rFonts w:hint="eastAsia" w:ascii="仿宋" w:hAnsi="仿宋" w:eastAsia="仿宋" w:cs="仿宋"/>
          <w:b w:val="0"/>
          <w:bCs w:val="0"/>
          <w:color w:val="auto"/>
          <w:sz w:val="24"/>
          <w:szCs w:val="24"/>
          <w:highlight w:val="none"/>
          <w:lang w:val="en-US" w:eastAsia="zh-CN"/>
        </w:rPr>
        <w:t>。</w:t>
      </w:r>
    </w:p>
    <w:p w14:paraId="19FDA4B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2.供应商须承诺对拟中标段所购图书提供查重、标准MARC数据、贴芯片、贴书标、书标上面贴一层透明胶带以防脱落，盖馆藏章（书名页一个， 49-51页一个，书口一个）等加工服务。</w:t>
      </w:r>
    </w:p>
    <w:p w14:paraId="0B162D2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售后标准编目数据服务：供应商按照国家中文图书著录规则要求，随书提供标准CNMARC编目数据。完成RFID芯片的加工工作，并完成RFID卡芯片数据转换,最后导入《超星图书馆管理系统》。编目数据应与图书同步或提前到馆，并达到100%的覆盖率。数据不全或复本不符合的，不予验收。供应商在加工服务过程中，必须保证编目字段完整及准确性。</w:t>
      </w:r>
    </w:p>
    <w:p w14:paraId="1F51BAC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4.每种图书按照《中图法》（第五版）的分类标准及采购人的图书分类细则给出索书号，并依照采购人的图书加工细则贴好书标。</w:t>
      </w:r>
    </w:p>
    <w:p w14:paraId="4E1A603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5.售后深加工服务：</w:t>
      </w:r>
    </w:p>
    <w:p w14:paraId="5546B51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（1）贴芯片。要求1册1片。在每册图书中间加装超高频REID卡芯片1条， 需夹在全书的中部紧靠书脊的部位，不能粘贴住书中的文字， 不能让读者轻易发现芯片粘贴的位置，供应商使用的芯片质量须通过甲方认可。（2）贴条形码。每册书须贴条形码1张，条形码需贴在书名页的中下部，即出版社与著者中间，并覆盖透明保护膜等加工服务，同种图书不同复本号码要连续，条形码要求贴端正、不得歪斜。 </w:t>
      </w:r>
    </w:p>
    <w:p w14:paraId="4453874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（2）盖馆藏章。每册书须盖馆藏章3处，根据采购人所提供之馆藏章，使用深蓝色印油，加盖于粘贴了条码号的图书页面，即：图书书名页和图书总页码第51页右上角位置及图书切口处。盖章要求端正且清晰。</w:t>
      </w:r>
    </w:p>
    <w:p w14:paraId="0EEECD4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供应商根据其提供的编目数据，通过远程或现场完成图书的编目处理、字段添加、馆藏分配、典藏及导库等工作；可由图书馆人员进入对应批次开展验收编目工作，供应商按照要求完成图书后期全加工服务及分类上架。</w:t>
      </w:r>
    </w:p>
    <w:p w14:paraId="2D894E5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贴书标。图书粘贴与其对应RFID标签，粘贴位置为离书底部2-3厘米处，标签位置一致，书标粘贴整齐，并与图书馆藏码绑定关联。粘贴完成后，须覆盖透明保护膜，要求端正，不覆盖字迹，不得歪斜。如发现条形码、书标、馆藏章等有质量问题或遗漏情况，中标方承担相应的经济责任。</w:t>
      </w:r>
    </w:p>
    <w:p w14:paraId="16EB0BA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（5）打印馆藏号（财产号）。一册2处，第一个印在书名页右上角，第二个印在目录页右上角。馆藏号、条码号要求一致。</w:t>
      </w:r>
    </w:p>
    <w:p w14:paraId="4C77C41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6.所有图书验收合格后乙方免费提供一套电子目录，二套纸质流水账册。</w:t>
      </w:r>
    </w:p>
    <w:p w14:paraId="68D2339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备注：标项1：供应商按样书书目要求提供:10个正价自然科学类图书图书样品及每本样品图书相应的正版说明材料。（详见附件2025年采购图书目录）</w:t>
      </w:r>
    </w:p>
    <w:p w14:paraId="2688D80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标项2供应商按样书书目要求提供:10个正价社会科学类图书图书样品及每本样品图书相应的正版说明材料。（详见附件2025年采购图书目录）</w:t>
      </w:r>
    </w:p>
    <w:p w14:paraId="75590108">
      <w:pPr>
        <w:pStyle w:val="2"/>
        <w:numPr>
          <w:ilvl w:val="0"/>
          <w:numId w:val="1"/>
        </w:numPr>
        <w:bidi w:val="0"/>
        <w:jc w:val="center"/>
        <w:rPr>
          <w:rFonts w:hint="eastAsia" w:ascii="仿宋" w:hAnsi="仿宋" w:eastAsia="仿宋" w:cs="仿宋"/>
          <w:color w:val="auto"/>
          <w:sz w:val="32"/>
          <w:szCs w:val="32"/>
          <w:highlight w:val="none"/>
          <w:lang w:val="en-US" w:eastAsia="zh-CN"/>
        </w:rPr>
      </w:pPr>
      <w:bookmarkStart w:id="18" w:name="_Toc21893"/>
      <w:r>
        <w:rPr>
          <w:rFonts w:hint="eastAsia" w:ascii="仿宋" w:hAnsi="仿宋" w:eastAsia="仿宋" w:cs="仿宋"/>
          <w:color w:val="auto"/>
          <w:sz w:val="32"/>
          <w:szCs w:val="32"/>
          <w:highlight w:val="none"/>
          <w:lang w:val="en-US" w:eastAsia="zh-CN"/>
        </w:rPr>
        <w:t>评标程序、评标方法和评标标准</w:t>
      </w:r>
      <w:bookmarkEnd w:id="18"/>
    </w:p>
    <w:p w14:paraId="2439748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p>
    <w:p w14:paraId="65894591">
      <w:pPr>
        <w:keepNext w:val="0"/>
        <w:keepLines w:val="0"/>
        <w:pageBreakBefore w:val="0"/>
        <w:widowControl w:val="0"/>
        <w:numPr>
          <w:ilvl w:val="0"/>
          <w:numId w:val="11"/>
        </w:numPr>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lang w:val="en-US" w:eastAsia="zh-CN"/>
        </w:rPr>
      </w:pPr>
      <w:bookmarkStart w:id="19" w:name="_Toc27440"/>
      <w:r>
        <w:rPr>
          <w:rFonts w:hint="eastAsia" w:ascii="仿宋" w:hAnsi="仿宋" w:eastAsia="仿宋" w:cs="仿宋"/>
          <w:b/>
          <w:bCs/>
          <w:color w:val="auto"/>
          <w:sz w:val="24"/>
          <w:szCs w:val="24"/>
          <w:highlight w:val="none"/>
          <w:lang w:val="en-US" w:eastAsia="zh-CN"/>
        </w:rPr>
        <w:t>评标方法</w:t>
      </w:r>
      <w:bookmarkEnd w:id="19"/>
      <w:r>
        <w:rPr>
          <w:rFonts w:hint="eastAsia" w:ascii="仿宋" w:hAnsi="仿宋" w:eastAsia="仿宋" w:cs="仿宋"/>
          <w:b/>
          <w:bCs/>
          <w:color w:val="auto"/>
          <w:sz w:val="24"/>
          <w:szCs w:val="24"/>
          <w:highlight w:val="none"/>
          <w:lang w:val="en-US" w:eastAsia="zh-CN"/>
        </w:rPr>
        <w:t xml:space="preserve"> </w:t>
      </w:r>
    </w:p>
    <w:p w14:paraId="57D8E7C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本项目采用综合评分法，是指投标文件满足招标文件全部实质性要求，且按照评审因素的量化指标评审得分最高的投标人为中标候选人的评标方法。</w:t>
      </w:r>
    </w:p>
    <w:p w14:paraId="4C6B2549">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color w:val="auto"/>
          <w:sz w:val="24"/>
          <w:szCs w:val="24"/>
          <w:highlight w:val="none"/>
          <w:lang w:val="en-US" w:eastAsia="zh-CN"/>
        </w:rPr>
      </w:pPr>
      <w:bookmarkStart w:id="20" w:name="_Toc12617"/>
      <w:r>
        <w:rPr>
          <w:rFonts w:hint="eastAsia" w:ascii="仿宋" w:hAnsi="仿宋" w:eastAsia="仿宋" w:cs="仿宋"/>
          <w:b/>
          <w:bCs/>
          <w:color w:val="auto"/>
          <w:sz w:val="24"/>
          <w:szCs w:val="24"/>
          <w:highlight w:val="none"/>
          <w:lang w:val="en-US" w:eastAsia="zh-CN"/>
        </w:rPr>
        <w:t>评标原则</w:t>
      </w:r>
      <w:bookmarkEnd w:id="20"/>
    </w:p>
    <w:p w14:paraId="7B2F8C0D">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评标活动遵循公平、公正、科学和择优的原则，以招标文件和投标文件为评标的基本依据，并按照招标文件规定的评标方法和评标标准进行评标。</w:t>
      </w:r>
    </w:p>
    <w:p w14:paraId="4AEB0AB7">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具体评审事项由评标委员会负责，并按招标文件的规定办法进行评审。对招标文件中描述有歧义或前后不一致的地方，评标委员会有权按法律法规的规定进行评判，但对同一条款的评判应适用于每个投标人。</w:t>
      </w:r>
    </w:p>
    <w:p w14:paraId="51C4399D">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color w:val="auto"/>
          <w:sz w:val="24"/>
          <w:szCs w:val="24"/>
          <w:highlight w:val="none"/>
          <w:lang w:val="en-US" w:eastAsia="zh-CN"/>
        </w:rPr>
      </w:pPr>
      <w:bookmarkStart w:id="21" w:name="_Toc6046"/>
      <w:r>
        <w:rPr>
          <w:rFonts w:hint="eastAsia" w:ascii="仿宋" w:hAnsi="仿宋" w:eastAsia="仿宋" w:cs="仿宋"/>
          <w:b/>
          <w:bCs/>
          <w:color w:val="auto"/>
          <w:sz w:val="24"/>
          <w:szCs w:val="24"/>
          <w:highlight w:val="none"/>
          <w:lang w:val="en-US" w:eastAsia="zh-CN"/>
        </w:rPr>
        <w:t>资格审查</w:t>
      </w:r>
      <w:bookmarkEnd w:id="21"/>
    </w:p>
    <w:p w14:paraId="36A714E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开标结束后，采购人或采购代理机构将根据《资格审查要求》中的规定，对投标人进行资格审查，以确定投标人是否具备投标资格，并形成资格审查结果。资格性审查中凡有其中任意一项未通过的，评审结果为未通过，未通过资格性审查的投标人按</w:t>
      </w:r>
      <w:r>
        <w:rPr>
          <w:rFonts w:hint="eastAsia" w:ascii="仿宋" w:hAnsi="仿宋" w:eastAsia="仿宋" w:cs="仿宋"/>
          <w:b/>
          <w:bCs/>
          <w:color w:val="auto"/>
          <w:sz w:val="24"/>
          <w:szCs w:val="24"/>
          <w:highlight w:val="none"/>
          <w:lang w:val="en-US" w:eastAsia="zh-CN"/>
        </w:rPr>
        <w:t>无效投标</w:t>
      </w:r>
      <w:r>
        <w:rPr>
          <w:rFonts w:hint="eastAsia" w:ascii="仿宋" w:hAnsi="仿宋" w:eastAsia="仿宋" w:cs="仿宋"/>
          <w:b w:val="0"/>
          <w:bCs w:val="0"/>
          <w:color w:val="auto"/>
          <w:sz w:val="24"/>
          <w:szCs w:val="24"/>
          <w:highlight w:val="none"/>
          <w:lang w:val="en-US" w:eastAsia="zh-CN"/>
        </w:rPr>
        <w:t>处理，不进入符合性审查。资格审查要求如下：</w:t>
      </w:r>
    </w:p>
    <w:p w14:paraId="257526D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资格审查要求</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8"/>
        <w:gridCol w:w="2536"/>
        <w:gridCol w:w="5228"/>
      </w:tblGrid>
      <w:tr w14:paraId="3A66E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22FE8782">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序号</w:t>
            </w:r>
          </w:p>
        </w:tc>
        <w:tc>
          <w:tcPr>
            <w:tcW w:w="2536" w:type="dxa"/>
            <w:vAlign w:val="center"/>
          </w:tcPr>
          <w:p w14:paraId="3A316FD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审查因素</w:t>
            </w:r>
          </w:p>
        </w:tc>
        <w:tc>
          <w:tcPr>
            <w:tcW w:w="5228" w:type="dxa"/>
            <w:vAlign w:val="center"/>
          </w:tcPr>
          <w:p w14:paraId="01294C3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审查内容</w:t>
            </w:r>
          </w:p>
        </w:tc>
      </w:tr>
      <w:tr w14:paraId="50245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4AA2F84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w:t>
            </w:r>
          </w:p>
        </w:tc>
        <w:tc>
          <w:tcPr>
            <w:tcW w:w="2536" w:type="dxa"/>
            <w:vAlign w:val="center"/>
          </w:tcPr>
          <w:p w14:paraId="36472A5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具有独立承担民事责任的能力</w:t>
            </w:r>
          </w:p>
        </w:tc>
        <w:tc>
          <w:tcPr>
            <w:tcW w:w="5228" w:type="dxa"/>
            <w:vAlign w:val="center"/>
          </w:tcPr>
          <w:p w14:paraId="6D67BD9B">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人为企业（包括合伙企业）的，应提供有效的“营业执照”；投标人为事业单位的，应提供有效的“事业单位法人证书”；投标人是非企业机构的，应提供有效的“执业许可证”、“登记证书”等证明文件;投标人是个体工商户的，应提供有效的“个体工商户营业执照”；投标人是自然人的，应提供有效的自然人身份证明。”（上述资料须复印件加盖公章）</w:t>
            </w:r>
          </w:p>
          <w:p w14:paraId="7DBAD3C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highlight w:val="none"/>
                <w:lang w:val="en-US" w:eastAsia="zh-CN"/>
              </w:rPr>
            </w:pPr>
            <w:r>
              <w:rPr>
                <w:rFonts w:hint="eastAsia" w:ascii="仿宋" w:hAnsi="仿宋" w:eastAsia="仿宋" w:cs="仿宋"/>
                <w:b w:val="0"/>
                <w:bCs w:val="0"/>
                <w:color w:val="auto"/>
                <w:sz w:val="21"/>
                <w:szCs w:val="21"/>
                <w:highlight w:val="none"/>
                <w:vertAlign w:val="baseline"/>
                <w:lang w:val="en-US" w:eastAsia="zh-CN"/>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p>
        </w:tc>
      </w:tr>
      <w:tr w14:paraId="3682C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201C514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2</w:t>
            </w:r>
          </w:p>
        </w:tc>
        <w:tc>
          <w:tcPr>
            <w:tcW w:w="2536" w:type="dxa"/>
            <w:vAlign w:val="center"/>
          </w:tcPr>
          <w:p w14:paraId="1FE43B1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具有良好的商业信誉和健全的财务会计制度</w:t>
            </w:r>
          </w:p>
        </w:tc>
        <w:tc>
          <w:tcPr>
            <w:tcW w:w="5228" w:type="dxa"/>
            <w:vAlign w:val="center"/>
          </w:tcPr>
          <w:p w14:paraId="26C8D32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须提供本单位上一年度由会计师事务所出具的财务审计报告（当上一年度审计报告未出来时（每年6月前（含）），可提供前一年度审计报告），审计报告须包括资产负债表、利润表、现金流量表、所有者权益变动（如有）及其附注（复印件并加盖本单位公章）。如投标人无法提供上年度审计报告，则需提供开标日前三个月内银行出具的资信证明原件或复印件加盖公章。如投标人注册成立不足三个月的则提供承诺书（自拟）原件。</w:t>
            </w:r>
          </w:p>
        </w:tc>
      </w:tr>
      <w:tr w14:paraId="373A0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2B9DC5F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3</w:t>
            </w:r>
          </w:p>
        </w:tc>
        <w:tc>
          <w:tcPr>
            <w:tcW w:w="2536" w:type="dxa"/>
            <w:vAlign w:val="center"/>
          </w:tcPr>
          <w:p w14:paraId="71E95E9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具有履行合同所必需的设备和专业技术能力</w:t>
            </w:r>
          </w:p>
        </w:tc>
        <w:tc>
          <w:tcPr>
            <w:tcW w:w="5228" w:type="dxa"/>
            <w:vAlign w:val="center"/>
          </w:tcPr>
          <w:p w14:paraId="3C75387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须提供具备履行合同所必需的设备和专业技术能力的书面声明原件</w:t>
            </w:r>
          </w:p>
        </w:tc>
      </w:tr>
      <w:tr w14:paraId="22C77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62DDC65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4</w:t>
            </w:r>
          </w:p>
        </w:tc>
        <w:tc>
          <w:tcPr>
            <w:tcW w:w="2536" w:type="dxa"/>
            <w:vAlign w:val="center"/>
          </w:tcPr>
          <w:p w14:paraId="3FDF96D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有依法缴纳税收和依法缴纳社会保障资金的记录</w:t>
            </w:r>
          </w:p>
        </w:tc>
        <w:tc>
          <w:tcPr>
            <w:tcW w:w="5228" w:type="dxa"/>
            <w:vAlign w:val="center"/>
          </w:tcPr>
          <w:p w14:paraId="03AC56AB">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须提供投标文件递交截止日期之前六个月内任何一期的纳税记录（如投标人缴纳的增值税、所得税、印花税等我国现行税种中任意一项即可）或证明文件原件或复印件加盖公章（依法免税的应提供相应文件说明）</w:t>
            </w:r>
          </w:p>
          <w:p w14:paraId="000623C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2.须提供投标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w:t>
            </w:r>
          </w:p>
        </w:tc>
      </w:tr>
      <w:tr w14:paraId="19C5A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14715052">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5</w:t>
            </w:r>
          </w:p>
        </w:tc>
        <w:tc>
          <w:tcPr>
            <w:tcW w:w="2536" w:type="dxa"/>
            <w:vAlign w:val="center"/>
          </w:tcPr>
          <w:p w14:paraId="53B105A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参加政府采购活动前三年内，在经营活动中没有重大违法记录</w:t>
            </w:r>
          </w:p>
        </w:tc>
        <w:tc>
          <w:tcPr>
            <w:tcW w:w="5228" w:type="dxa"/>
            <w:vAlign w:val="center"/>
          </w:tcPr>
          <w:p w14:paraId="6F27F20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须提供声明函原件</w:t>
            </w:r>
          </w:p>
        </w:tc>
      </w:tr>
      <w:tr w14:paraId="6B842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509B70C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6</w:t>
            </w:r>
          </w:p>
        </w:tc>
        <w:tc>
          <w:tcPr>
            <w:tcW w:w="2536" w:type="dxa"/>
            <w:vAlign w:val="center"/>
          </w:tcPr>
          <w:p w14:paraId="2963759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投标人信用记录</w:t>
            </w:r>
          </w:p>
        </w:tc>
        <w:tc>
          <w:tcPr>
            <w:tcW w:w="5228" w:type="dxa"/>
            <w:vAlign w:val="center"/>
          </w:tcPr>
          <w:p w14:paraId="0DF6C9B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查询渠道：信用中国网站和中国政府采购网</w:t>
            </w:r>
          </w:p>
          <w:p w14:paraId="59D0DF1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查询时间：投标截止时间后至资格审查阶段完成；</w:t>
            </w:r>
          </w:p>
          <w:p w14:paraId="495C23FB">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投标无效。联合体形式投标的，联合体成员存在不良信用记录，视同联合体存在不良信用记录。</w:t>
            </w:r>
          </w:p>
          <w:p w14:paraId="725BED3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无须投标人提供，由采购人或采购代理机构查询结果为准。</w:t>
            </w:r>
          </w:p>
        </w:tc>
      </w:tr>
      <w:tr w14:paraId="614A6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1BBFF4C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7</w:t>
            </w:r>
          </w:p>
        </w:tc>
        <w:tc>
          <w:tcPr>
            <w:tcW w:w="2536" w:type="dxa"/>
            <w:vAlign w:val="center"/>
          </w:tcPr>
          <w:p w14:paraId="18B9356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color w:val="auto"/>
                <w:sz w:val="21"/>
                <w:szCs w:val="21"/>
                <w:highlight w:val="yellow"/>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本项目的特定资格要求</w:t>
            </w:r>
          </w:p>
        </w:tc>
        <w:tc>
          <w:tcPr>
            <w:tcW w:w="5228" w:type="dxa"/>
            <w:vAlign w:val="center"/>
          </w:tcPr>
          <w:p w14:paraId="6B245E3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1"/>
                <w:szCs w:val="21"/>
                <w:highlight w:val="yellow"/>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 xml:space="preserve">标项1、标项2投标人须具有有效的《出版物经营许可证》，提供证书复印件加盖公章。 </w:t>
            </w:r>
          </w:p>
        </w:tc>
      </w:tr>
    </w:tbl>
    <w:p w14:paraId="34B99B7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color w:val="auto"/>
          <w:sz w:val="24"/>
          <w:szCs w:val="24"/>
          <w:highlight w:val="none"/>
          <w:lang w:val="en-US" w:eastAsia="zh-CN"/>
        </w:rPr>
      </w:pPr>
    </w:p>
    <w:p w14:paraId="0119957A">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color w:val="auto"/>
          <w:sz w:val="24"/>
          <w:szCs w:val="24"/>
          <w:highlight w:val="none"/>
          <w:lang w:val="en-US" w:eastAsia="zh-CN"/>
        </w:rPr>
      </w:pPr>
      <w:bookmarkStart w:id="22" w:name="_Toc4337"/>
      <w:r>
        <w:rPr>
          <w:rFonts w:hint="eastAsia" w:ascii="仿宋" w:hAnsi="仿宋" w:eastAsia="仿宋" w:cs="仿宋"/>
          <w:b/>
          <w:bCs/>
          <w:color w:val="auto"/>
          <w:sz w:val="24"/>
          <w:szCs w:val="24"/>
          <w:highlight w:val="none"/>
          <w:lang w:val="en-US" w:eastAsia="zh-CN"/>
        </w:rPr>
        <w:t>符合性审查</w:t>
      </w:r>
      <w:bookmarkEnd w:id="22"/>
    </w:p>
    <w:p w14:paraId="4BC7F1E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委员会对通过资格审查的合格投标人的投标文件进行符合性审查。评标委员会根据《符合性审查要求》中规定的审查因素和审查内容，对投标人的投标文件是否实质上响应招标文件进行符合性审查，并形成符合性审查评审结果。符合性审查中凡有其中任意一项未通过的，评审结果为未通过，未通过符合性审查的投标人按无效投标处理，不进入详细评审。符合性审查要求如下：</w:t>
      </w:r>
    </w:p>
    <w:p w14:paraId="7EBC25B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符合性审查要求</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132"/>
        <w:gridCol w:w="5573"/>
      </w:tblGrid>
      <w:tr w14:paraId="2326D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2031D6B">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序号</w:t>
            </w:r>
          </w:p>
        </w:tc>
        <w:tc>
          <w:tcPr>
            <w:tcW w:w="2132" w:type="dxa"/>
            <w:vAlign w:val="center"/>
          </w:tcPr>
          <w:p w14:paraId="03B25F0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审查因素</w:t>
            </w:r>
          </w:p>
        </w:tc>
        <w:tc>
          <w:tcPr>
            <w:tcW w:w="5573" w:type="dxa"/>
            <w:vAlign w:val="center"/>
          </w:tcPr>
          <w:p w14:paraId="48D4E56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审查内容</w:t>
            </w:r>
          </w:p>
        </w:tc>
      </w:tr>
      <w:tr w14:paraId="6B387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D739077">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w:t>
            </w:r>
          </w:p>
        </w:tc>
        <w:tc>
          <w:tcPr>
            <w:tcW w:w="2132" w:type="dxa"/>
            <w:vAlign w:val="center"/>
          </w:tcPr>
          <w:p w14:paraId="000EDBE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授权委托书</w:t>
            </w:r>
          </w:p>
        </w:tc>
        <w:tc>
          <w:tcPr>
            <w:tcW w:w="5573" w:type="dxa"/>
            <w:vAlign w:val="center"/>
          </w:tcPr>
          <w:p w14:paraId="136E49D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投标文件中由法定代表人签字或盖签名章的，须提供法定代表人身份证明书；投标文件中由授权委托人签字的，须提供法定代表人授权委托书及法定代表人身份证明书。</w:t>
            </w:r>
          </w:p>
        </w:tc>
      </w:tr>
      <w:tr w14:paraId="501EB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50B74E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2</w:t>
            </w:r>
          </w:p>
        </w:tc>
        <w:tc>
          <w:tcPr>
            <w:tcW w:w="2132" w:type="dxa"/>
            <w:vAlign w:val="center"/>
          </w:tcPr>
          <w:p w14:paraId="09FB746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投标完整性</w:t>
            </w:r>
          </w:p>
        </w:tc>
        <w:tc>
          <w:tcPr>
            <w:tcW w:w="5573" w:type="dxa"/>
            <w:vAlign w:val="center"/>
          </w:tcPr>
          <w:p w14:paraId="3197034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未将一个采购包/标项中的内容拆开投标</w:t>
            </w:r>
          </w:p>
        </w:tc>
      </w:tr>
      <w:tr w14:paraId="730F5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BF8984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3</w:t>
            </w:r>
          </w:p>
        </w:tc>
        <w:tc>
          <w:tcPr>
            <w:tcW w:w="2132" w:type="dxa"/>
            <w:vAlign w:val="center"/>
          </w:tcPr>
          <w:p w14:paraId="678AE84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投标报价</w:t>
            </w:r>
          </w:p>
        </w:tc>
        <w:tc>
          <w:tcPr>
            <w:tcW w:w="5573" w:type="dxa"/>
            <w:vAlign w:val="center"/>
          </w:tcPr>
          <w:p w14:paraId="39357D6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投标报价未超过招标文件中规定的采购品目单价预算金额/单价最高限价或项目/采购包预算金额或者项目/采购包最高限价；</w:t>
            </w:r>
          </w:p>
        </w:tc>
      </w:tr>
      <w:tr w14:paraId="64FFD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3B81B2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4</w:t>
            </w:r>
          </w:p>
        </w:tc>
        <w:tc>
          <w:tcPr>
            <w:tcW w:w="2132" w:type="dxa"/>
            <w:vAlign w:val="center"/>
          </w:tcPr>
          <w:p w14:paraId="5C356A9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报价唯一性</w:t>
            </w:r>
          </w:p>
        </w:tc>
        <w:tc>
          <w:tcPr>
            <w:tcW w:w="5573" w:type="dxa"/>
            <w:vAlign w:val="center"/>
          </w:tcPr>
          <w:p w14:paraId="560D39B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投标文件未出现可选择性或可调整的报价（招标文件另有规定的除外）</w:t>
            </w:r>
          </w:p>
        </w:tc>
      </w:tr>
      <w:tr w14:paraId="5FC77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trPr>
        <w:tc>
          <w:tcPr>
            <w:tcW w:w="817" w:type="dxa"/>
            <w:vAlign w:val="center"/>
          </w:tcPr>
          <w:p w14:paraId="7B58882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5</w:t>
            </w:r>
          </w:p>
        </w:tc>
        <w:tc>
          <w:tcPr>
            <w:tcW w:w="2132" w:type="dxa"/>
            <w:vAlign w:val="center"/>
          </w:tcPr>
          <w:p w14:paraId="1F24146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投标有效期</w:t>
            </w:r>
          </w:p>
        </w:tc>
        <w:tc>
          <w:tcPr>
            <w:tcW w:w="5573" w:type="dxa"/>
            <w:vAlign w:val="center"/>
          </w:tcPr>
          <w:p w14:paraId="44C14DE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投标文件中承诺的投标有效期满足招标文件中载明的投标有效期的</w:t>
            </w:r>
          </w:p>
        </w:tc>
      </w:tr>
      <w:tr w14:paraId="74309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04E1BC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6</w:t>
            </w:r>
          </w:p>
        </w:tc>
        <w:tc>
          <w:tcPr>
            <w:tcW w:w="2132" w:type="dxa"/>
            <w:vAlign w:val="center"/>
          </w:tcPr>
          <w:p w14:paraId="7F8C2F5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签署、盖章</w:t>
            </w:r>
          </w:p>
        </w:tc>
        <w:tc>
          <w:tcPr>
            <w:tcW w:w="5573" w:type="dxa"/>
            <w:vAlign w:val="center"/>
          </w:tcPr>
          <w:p w14:paraId="1A367AA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按照招标文件要求签署、盖章的</w:t>
            </w:r>
          </w:p>
        </w:tc>
      </w:tr>
      <w:tr w14:paraId="16126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2A77B4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7</w:t>
            </w:r>
          </w:p>
        </w:tc>
        <w:tc>
          <w:tcPr>
            <w:tcW w:w="2132" w:type="dxa"/>
            <w:vAlign w:val="center"/>
          </w:tcPr>
          <w:p w14:paraId="046A28B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采购需求的响应</w:t>
            </w:r>
          </w:p>
        </w:tc>
        <w:tc>
          <w:tcPr>
            <w:tcW w:w="5573" w:type="dxa"/>
            <w:vAlign w:val="center"/>
          </w:tcPr>
          <w:p w14:paraId="014D7CA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投标文件满足招标文件中</w:t>
            </w:r>
            <w:r>
              <w:rPr>
                <w:rFonts w:hint="eastAsia" w:ascii="仿宋" w:hAnsi="仿宋" w:eastAsia="仿宋" w:cs="仿宋"/>
                <w:b/>
                <w:bCs/>
                <w:sz w:val="24"/>
                <w:szCs w:val="24"/>
                <w:highlight w:val="none"/>
                <w:lang w:val="en-US" w:eastAsia="zh-CN"/>
              </w:rPr>
              <w:t>※、★</w:t>
            </w:r>
            <w:r>
              <w:rPr>
                <w:rFonts w:hint="eastAsia" w:ascii="仿宋" w:hAnsi="仿宋" w:eastAsia="仿宋" w:cs="仿宋"/>
                <w:b w:val="0"/>
                <w:bCs w:val="0"/>
                <w:sz w:val="21"/>
                <w:szCs w:val="21"/>
                <w:highlight w:val="none"/>
                <w:vertAlign w:val="baseline"/>
                <w:lang w:val="en-US" w:eastAsia="zh-CN"/>
              </w:rPr>
              <w:t>号条款要求的</w:t>
            </w:r>
          </w:p>
        </w:tc>
      </w:tr>
      <w:tr w14:paraId="7AF95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7C06046">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8</w:t>
            </w:r>
          </w:p>
        </w:tc>
        <w:tc>
          <w:tcPr>
            <w:tcW w:w="2132" w:type="dxa"/>
            <w:vAlign w:val="center"/>
          </w:tcPr>
          <w:p w14:paraId="128F90F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报价合理性</w:t>
            </w:r>
          </w:p>
        </w:tc>
        <w:tc>
          <w:tcPr>
            <w:tcW w:w="5573" w:type="dxa"/>
            <w:vAlign w:val="center"/>
          </w:tcPr>
          <w:p w14:paraId="6F2A8AE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报价合理，或投标人的报价明显低于其他通过符合性审查投标人的报价，有可能影响产品质量或者不能诚信履约的，能够应评标委员会要求在规定时间内证明其报价合理性的</w:t>
            </w:r>
          </w:p>
        </w:tc>
      </w:tr>
      <w:tr w14:paraId="3B90B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90DBAF2">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9</w:t>
            </w:r>
          </w:p>
        </w:tc>
        <w:tc>
          <w:tcPr>
            <w:tcW w:w="2132" w:type="dxa"/>
            <w:vAlign w:val="center"/>
          </w:tcPr>
          <w:p w14:paraId="6F098DC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附加条件</w:t>
            </w:r>
          </w:p>
        </w:tc>
        <w:tc>
          <w:tcPr>
            <w:tcW w:w="5573" w:type="dxa"/>
            <w:vAlign w:val="center"/>
          </w:tcPr>
          <w:p w14:paraId="78C8DDE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投标文件未含有采购人不能接受的附加条件的</w:t>
            </w:r>
          </w:p>
        </w:tc>
      </w:tr>
      <w:tr w14:paraId="22A5C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076891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10</w:t>
            </w:r>
          </w:p>
        </w:tc>
        <w:tc>
          <w:tcPr>
            <w:tcW w:w="2132" w:type="dxa"/>
            <w:vAlign w:val="center"/>
          </w:tcPr>
          <w:p w14:paraId="2ABF630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其他</w:t>
            </w:r>
          </w:p>
        </w:tc>
        <w:tc>
          <w:tcPr>
            <w:tcW w:w="5573" w:type="dxa"/>
            <w:vAlign w:val="center"/>
          </w:tcPr>
          <w:p w14:paraId="6F3DB5A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投标文件中不存在违反国家法律、法规和招标文件规定的其他无效情形</w:t>
            </w:r>
          </w:p>
        </w:tc>
      </w:tr>
      <w:tr w14:paraId="36011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9CD4CE2">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11</w:t>
            </w:r>
          </w:p>
        </w:tc>
        <w:tc>
          <w:tcPr>
            <w:tcW w:w="2132" w:type="dxa"/>
            <w:vAlign w:val="center"/>
          </w:tcPr>
          <w:p w14:paraId="0AC8E4C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投标保证金</w:t>
            </w:r>
          </w:p>
        </w:tc>
        <w:tc>
          <w:tcPr>
            <w:tcW w:w="5573" w:type="dxa"/>
            <w:vAlign w:val="center"/>
          </w:tcPr>
          <w:p w14:paraId="4718A28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按照招标文件要求缴纳投标保证金</w:t>
            </w:r>
          </w:p>
        </w:tc>
      </w:tr>
    </w:tbl>
    <w:p w14:paraId="2375C5F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p>
    <w:p w14:paraId="102F8E9B">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color w:val="auto"/>
          <w:sz w:val="24"/>
          <w:szCs w:val="24"/>
          <w:highlight w:val="none"/>
          <w:lang w:val="en-US" w:eastAsia="zh-CN"/>
        </w:rPr>
      </w:pPr>
      <w:bookmarkStart w:id="23" w:name="_Toc23924"/>
      <w:r>
        <w:rPr>
          <w:rFonts w:hint="eastAsia" w:ascii="仿宋" w:hAnsi="仿宋" w:eastAsia="仿宋" w:cs="仿宋"/>
          <w:b/>
          <w:bCs/>
          <w:color w:val="auto"/>
          <w:sz w:val="24"/>
          <w:szCs w:val="24"/>
          <w:highlight w:val="none"/>
          <w:lang w:val="en-US" w:eastAsia="zh-CN"/>
        </w:rPr>
        <w:t>投标文件有关事项的澄清或者说明</w:t>
      </w:r>
      <w:bookmarkEnd w:id="23"/>
    </w:p>
    <w:p w14:paraId="27039BF0">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过程中，评标委员会将以书面形式要求投标人对其投标文件中含义不明确、同类问题表述不一致或者有明显文字和计算错误的内容，作出必要的澄清、说明或者补正。代理机构可根据开标环节记录的授权代表人联系方式电话告知投标人，投标人需登录电子招投标系统，在规定时间内完成澄清（响应），并加盖电子印章。若因投标人联系方式错误未接收短信、未接听电话或超时未进行澄清（响应）造成的不利后果由供应商自行承担。投标人的澄清、说明或者补正不得超出投标文件的范围或者改变投标文件的实质性内容。澄清文件将作为投标文件内容的一部分。</w:t>
      </w:r>
    </w:p>
    <w:p w14:paraId="2CE9DD1F">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委员会认为投标人的报价明显低于其他通过符合性审查投标人的报价，有可能影响产品质量或者不能诚信履约的，有权要求该投标人在评标现场合理的时间内提供书面说明，必要时提交相关证明材料；若投标人不能证明其报价合理性，评标委员会将其作为</w:t>
      </w:r>
      <w:r>
        <w:rPr>
          <w:rFonts w:hint="eastAsia" w:ascii="仿宋" w:hAnsi="仿宋" w:eastAsia="仿宋" w:cs="仿宋"/>
          <w:b/>
          <w:bCs/>
          <w:color w:val="auto"/>
          <w:sz w:val="24"/>
          <w:szCs w:val="24"/>
          <w:highlight w:val="none"/>
          <w:lang w:val="en-US" w:eastAsia="zh-CN"/>
        </w:rPr>
        <w:t>无效投标</w:t>
      </w:r>
      <w:r>
        <w:rPr>
          <w:rFonts w:hint="eastAsia" w:ascii="仿宋" w:hAnsi="仿宋" w:eastAsia="仿宋" w:cs="仿宋"/>
          <w:b w:val="0"/>
          <w:bCs w:val="0"/>
          <w:color w:val="auto"/>
          <w:sz w:val="24"/>
          <w:szCs w:val="24"/>
          <w:highlight w:val="none"/>
          <w:lang w:val="en-US" w:eastAsia="zh-CN"/>
        </w:rPr>
        <w:t>处理。</w:t>
      </w:r>
    </w:p>
    <w:p w14:paraId="77ADA579">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开投标，其</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1C86D37E">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评标委员会不接受投标人主动提出的澄清、说明或补正。</w:t>
      </w:r>
    </w:p>
    <w:p w14:paraId="31EA5578">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评标委员会对投标人提交的澄清、说明或补正有疑问的，可以要求投标人进一步澄清、说明或补正。</w:t>
      </w:r>
    </w:p>
    <w:p w14:paraId="08AF39F1">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对报价的计算错误按以下原则修正：</w:t>
      </w:r>
    </w:p>
    <w:p w14:paraId="592E06FF">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中开标一览表内容与投标文件中相应内容不一致的，以开标一览表为准；（电子开评标系统中开标记录（开标一览表）与投标文件中开标一览表（报价表）内容不一致的，以电子开评标系统中开标记录内容为准）</w:t>
      </w:r>
    </w:p>
    <w:p w14:paraId="71B836C2">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大写金额和小写金额不一致的，以大写金额为准；</w:t>
      </w:r>
    </w:p>
    <w:p w14:paraId="40CCD909">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单价金额小数点或者百分比有明显错位的，以开标一览表的总价为准，并修改单价。</w:t>
      </w:r>
    </w:p>
    <w:p w14:paraId="0398B407">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总价金额与按单价汇总金额不一致的，以单价金额计算结果为准。但是单价金额计算结果超过预算金额/最高限价的，对其按</w:t>
      </w:r>
      <w:r>
        <w:rPr>
          <w:rFonts w:hint="eastAsia" w:ascii="仿宋" w:hAnsi="仿宋" w:eastAsia="仿宋" w:cs="仿宋"/>
          <w:b/>
          <w:bCs/>
          <w:color w:val="auto"/>
          <w:sz w:val="24"/>
          <w:szCs w:val="24"/>
          <w:highlight w:val="none"/>
          <w:lang w:val="en-US" w:eastAsia="zh-CN"/>
        </w:rPr>
        <w:t>无效投标</w:t>
      </w:r>
      <w:r>
        <w:rPr>
          <w:rFonts w:hint="eastAsia" w:ascii="仿宋" w:hAnsi="仿宋" w:eastAsia="仿宋" w:cs="仿宋"/>
          <w:b w:val="0"/>
          <w:bCs w:val="0"/>
          <w:color w:val="auto"/>
          <w:sz w:val="24"/>
          <w:szCs w:val="24"/>
          <w:highlight w:val="none"/>
          <w:lang w:val="en-US" w:eastAsia="zh-CN"/>
        </w:rPr>
        <w:t>处理。</w:t>
      </w:r>
    </w:p>
    <w:p w14:paraId="7BE675C7">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若投标客户端上传的电子报价数据（开标一览表中的公布唱标价）与电子投标文件价格不一致的，以电子报价数据（开标一览表中的公布唱标价）为准。 </w:t>
      </w:r>
    </w:p>
    <w:p w14:paraId="12E3C5E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注：同时出现两种以上不一致的，按照前款规定的顺序在系统上进行价格澄清。澄清后的价格加盖电子印章确认后产生约束力，但不得超出投标文件的范围或者改变投标文件的实质性内容，投标人不确认的，其</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6B6DFF43">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color w:val="auto"/>
          <w:sz w:val="24"/>
          <w:szCs w:val="24"/>
          <w:highlight w:val="none"/>
          <w:lang w:val="en-US" w:eastAsia="zh-CN"/>
        </w:rPr>
      </w:pPr>
      <w:bookmarkStart w:id="24" w:name="_Toc22049"/>
      <w:r>
        <w:rPr>
          <w:rFonts w:hint="eastAsia" w:ascii="仿宋" w:hAnsi="仿宋" w:eastAsia="仿宋" w:cs="仿宋"/>
          <w:b/>
          <w:bCs/>
          <w:color w:val="auto"/>
          <w:sz w:val="24"/>
          <w:szCs w:val="24"/>
          <w:highlight w:val="none"/>
          <w:lang w:val="en-US" w:eastAsia="zh-CN"/>
        </w:rPr>
        <w:t>详细评审</w:t>
      </w:r>
      <w:bookmarkEnd w:id="24"/>
    </w:p>
    <w:p w14:paraId="67E8F7A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经资格审查和符合性审查合格的投标文件，评标委员会将根据《详细评审标准》，对其技术部分、商务部分及报价部分作进一步的综合比较和评价。详细评审标准如下：</w:t>
      </w:r>
    </w:p>
    <w:p w14:paraId="23A9CDC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详细评审标准（标项一、标项二）</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4"/>
        <w:gridCol w:w="994"/>
        <w:gridCol w:w="843"/>
        <w:gridCol w:w="5611"/>
      </w:tblGrid>
      <w:tr w14:paraId="7AA92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2068" w:type="dxa"/>
            <w:gridSpan w:val="2"/>
            <w:vAlign w:val="center"/>
          </w:tcPr>
          <w:p w14:paraId="60D2D454">
            <w:pPr>
              <w:spacing w:line="240" w:lineRule="auto"/>
              <w:ind w:left="0" w:leftChars="0" w:right="638" w:rightChars="304"/>
              <w:jc w:val="center"/>
              <w:rPr>
                <w:rFonts w:hint="eastAsia" w:ascii="仿宋" w:hAnsi="仿宋" w:eastAsia="仿宋" w:cs="仿宋"/>
                <w:b/>
                <w:bCs w:val="0"/>
                <w:color w:val="auto"/>
                <w:sz w:val="21"/>
                <w:szCs w:val="21"/>
                <w:highlight w:val="none"/>
                <w:vertAlign w:val="baseline"/>
              </w:rPr>
            </w:pPr>
            <w:r>
              <w:rPr>
                <w:rFonts w:hint="eastAsia" w:ascii="仿宋" w:hAnsi="仿宋" w:eastAsia="仿宋" w:cs="仿宋"/>
                <w:b/>
                <w:bCs w:val="0"/>
                <w:color w:val="auto"/>
                <w:kern w:val="0"/>
                <w:sz w:val="21"/>
                <w:szCs w:val="21"/>
                <w:highlight w:val="none"/>
              </w:rPr>
              <w:t>评分因素</w:t>
            </w:r>
          </w:p>
        </w:tc>
        <w:tc>
          <w:tcPr>
            <w:tcW w:w="843" w:type="dxa"/>
            <w:vAlign w:val="center"/>
          </w:tcPr>
          <w:p w14:paraId="386C49C5">
            <w:pPr>
              <w:spacing w:line="240" w:lineRule="auto"/>
              <w:ind w:left="0" w:leftChars="0" w:right="0" w:rightChars="0"/>
              <w:jc w:val="center"/>
              <w:rPr>
                <w:rFonts w:hint="eastAsia" w:ascii="仿宋" w:hAnsi="仿宋" w:eastAsia="仿宋" w:cs="仿宋"/>
                <w:b/>
                <w:bCs w:val="0"/>
                <w:color w:val="auto"/>
                <w:sz w:val="21"/>
                <w:szCs w:val="21"/>
                <w:highlight w:val="none"/>
                <w:vertAlign w:val="baseline"/>
              </w:rPr>
            </w:pPr>
            <w:r>
              <w:rPr>
                <w:rFonts w:hint="eastAsia" w:ascii="仿宋" w:hAnsi="仿宋" w:eastAsia="仿宋" w:cs="仿宋"/>
                <w:b/>
                <w:bCs w:val="0"/>
                <w:color w:val="auto"/>
                <w:kern w:val="0"/>
                <w:sz w:val="21"/>
                <w:szCs w:val="21"/>
                <w:highlight w:val="none"/>
              </w:rPr>
              <w:t>分值</w:t>
            </w:r>
          </w:p>
        </w:tc>
        <w:tc>
          <w:tcPr>
            <w:tcW w:w="5611" w:type="dxa"/>
            <w:vAlign w:val="center"/>
          </w:tcPr>
          <w:p w14:paraId="3A7AC8D4">
            <w:pPr>
              <w:spacing w:line="240" w:lineRule="auto"/>
              <w:ind w:left="0" w:leftChars="0" w:right="-31" w:rightChars="-15"/>
              <w:jc w:val="center"/>
              <w:rPr>
                <w:rFonts w:hint="eastAsia" w:ascii="仿宋" w:hAnsi="仿宋" w:eastAsia="仿宋" w:cs="仿宋"/>
                <w:b/>
                <w:bCs w:val="0"/>
                <w:color w:val="auto"/>
                <w:sz w:val="21"/>
                <w:szCs w:val="21"/>
                <w:highlight w:val="none"/>
                <w:vertAlign w:val="baseline"/>
              </w:rPr>
            </w:pPr>
            <w:r>
              <w:rPr>
                <w:rFonts w:hint="eastAsia" w:ascii="仿宋" w:hAnsi="仿宋" w:eastAsia="仿宋" w:cs="仿宋"/>
                <w:b/>
                <w:bCs w:val="0"/>
                <w:color w:val="auto"/>
                <w:kern w:val="0"/>
                <w:sz w:val="21"/>
                <w:szCs w:val="21"/>
                <w:highlight w:val="none"/>
              </w:rPr>
              <w:t>评分细则</w:t>
            </w:r>
          </w:p>
        </w:tc>
      </w:tr>
      <w:tr w14:paraId="520D3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atLeast"/>
          <w:jc w:val="center"/>
        </w:trPr>
        <w:tc>
          <w:tcPr>
            <w:tcW w:w="2068" w:type="dxa"/>
            <w:gridSpan w:val="2"/>
            <w:vAlign w:val="center"/>
          </w:tcPr>
          <w:p w14:paraId="266A6908">
            <w:pPr>
              <w:spacing w:line="240" w:lineRule="auto"/>
              <w:ind w:left="0" w:leftChars="0" w:right="638" w:rightChars="304"/>
              <w:jc w:val="center"/>
              <w:rPr>
                <w:rFonts w:hint="eastAsia" w:ascii="仿宋" w:hAnsi="仿宋" w:eastAsia="仿宋" w:cs="仿宋"/>
                <w:b/>
                <w:bCs w:val="0"/>
                <w:color w:val="auto"/>
                <w:kern w:val="0"/>
                <w:sz w:val="21"/>
                <w:szCs w:val="21"/>
                <w:highlight w:val="none"/>
                <w:lang w:val="en-US" w:eastAsia="zh-CN"/>
              </w:rPr>
            </w:pPr>
            <w:r>
              <w:rPr>
                <w:rFonts w:hint="eastAsia" w:ascii="仿宋" w:hAnsi="仿宋" w:eastAsia="仿宋" w:cs="仿宋"/>
                <w:b w:val="0"/>
                <w:bCs/>
                <w:color w:val="auto"/>
                <w:kern w:val="0"/>
                <w:sz w:val="21"/>
                <w:szCs w:val="21"/>
                <w:highlight w:val="none"/>
                <w:lang w:val="en-US" w:eastAsia="zh-CN"/>
              </w:rPr>
              <w:t>分值构成</w:t>
            </w:r>
          </w:p>
        </w:tc>
        <w:tc>
          <w:tcPr>
            <w:tcW w:w="6454" w:type="dxa"/>
            <w:gridSpan w:val="2"/>
            <w:vAlign w:val="center"/>
          </w:tcPr>
          <w:p w14:paraId="355DED9A">
            <w:pPr>
              <w:spacing w:line="240" w:lineRule="auto"/>
              <w:ind w:left="0" w:leftChars="0" w:right="-31" w:rightChars="-15"/>
              <w:jc w:val="left"/>
              <w:rPr>
                <w:rFonts w:hint="eastAsia" w:ascii="仿宋" w:hAnsi="仿宋" w:eastAsia="仿宋" w:cs="仿宋"/>
                <w:b w:val="0"/>
                <w:bCs/>
                <w:color w:val="auto"/>
                <w:kern w:val="0"/>
                <w:sz w:val="21"/>
                <w:szCs w:val="21"/>
                <w:highlight w:val="none"/>
              </w:rPr>
            </w:pPr>
            <w:r>
              <w:rPr>
                <w:rFonts w:hint="eastAsia" w:ascii="仿宋" w:hAnsi="仿宋" w:eastAsia="仿宋" w:cs="仿宋"/>
                <w:b w:val="0"/>
                <w:bCs/>
                <w:color w:val="auto"/>
                <w:kern w:val="0"/>
                <w:sz w:val="21"/>
                <w:szCs w:val="21"/>
                <w:highlight w:val="none"/>
              </w:rPr>
              <w:t>商务部分</w:t>
            </w:r>
            <w:r>
              <w:rPr>
                <w:rFonts w:hint="eastAsia" w:ascii="仿宋" w:hAnsi="仿宋" w:eastAsia="仿宋" w:cs="仿宋"/>
                <w:b w:val="0"/>
                <w:bCs/>
                <w:color w:val="auto"/>
                <w:kern w:val="0"/>
                <w:sz w:val="21"/>
                <w:szCs w:val="21"/>
                <w:highlight w:val="none"/>
                <w:lang w:val="en-US" w:eastAsia="zh-CN"/>
              </w:rPr>
              <w:t>25</w:t>
            </w:r>
            <w:r>
              <w:rPr>
                <w:rFonts w:hint="eastAsia" w:ascii="仿宋" w:hAnsi="仿宋" w:eastAsia="仿宋" w:cs="仿宋"/>
                <w:b w:val="0"/>
                <w:bCs/>
                <w:color w:val="auto"/>
                <w:kern w:val="0"/>
                <w:sz w:val="21"/>
                <w:szCs w:val="21"/>
                <w:highlight w:val="none"/>
              </w:rPr>
              <w:t>.0分</w:t>
            </w:r>
          </w:p>
          <w:p w14:paraId="148673B4">
            <w:pPr>
              <w:spacing w:line="240" w:lineRule="auto"/>
              <w:ind w:left="0" w:leftChars="0" w:right="-31" w:rightChars="-15"/>
              <w:jc w:val="left"/>
              <w:rPr>
                <w:rFonts w:hint="eastAsia" w:ascii="仿宋" w:hAnsi="仿宋" w:eastAsia="仿宋" w:cs="仿宋"/>
                <w:b w:val="0"/>
                <w:bCs/>
                <w:color w:val="auto"/>
                <w:kern w:val="0"/>
                <w:sz w:val="21"/>
                <w:szCs w:val="21"/>
                <w:highlight w:val="none"/>
              </w:rPr>
            </w:pPr>
            <w:r>
              <w:rPr>
                <w:rFonts w:hint="eastAsia" w:ascii="仿宋" w:hAnsi="仿宋" w:eastAsia="仿宋" w:cs="仿宋"/>
                <w:b w:val="0"/>
                <w:bCs/>
                <w:color w:val="auto"/>
                <w:kern w:val="0"/>
                <w:sz w:val="21"/>
                <w:szCs w:val="21"/>
                <w:highlight w:val="none"/>
              </w:rPr>
              <w:t>技术部分</w:t>
            </w:r>
            <w:r>
              <w:rPr>
                <w:rFonts w:hint="eastAsia" w:ascii="仿宋" w:hAnsi="仿宋" w:eastAsia="仿宋" w:cs="仿宋"/>
                <w:b w:val="0"/>
                <w:bCs/>
                <w:color w:val="auto"/>
                <w:kern w:val="0"/>
                <w:sz w:val="21"/>
                <w:szCs w:val="21"/>
                <w:highlight w:val="none"/>
                <w:lang w:val="en-US" w:eastAsia="zh-CN"/>
              </w:rPr>
              <w:t>45</w:t>
            </w:r>
            <w:r>
              <w:rPr>
                <w:rFonts w:hint="eastAsia" w:ascii="仿宋" w:hAnsi="仿宋" w:eastAsia="仿宋" w:cs="仿宋"/>
                <w:b w:val="0"/>
                <w:bCs/>
                <w:color w:val="auto"/>
                <w:kern w:val="0"/>
                <w:sz w:val="21"/>
                <w:szCs w:val="21"/>
                <w:highlight w:val="none"/>
              </w:rPr>
              <w:t>.0分</w:t>
            </w:r>
          </w:p>
          <w:p w14:paraId="0E257BB8">
            <w:pPr>
              <w:spacing w:line="240" w:lineRule="auto"/>
              <w:ind w:left="0" w:leftChars="0" w:right="-31" w:rightChars="-15"/>
              <w:jc w:val="left"/>
              <w:rPr>
                <w:rFonts w:hint="eastAsia" w:ascii="仿宋" w:hAnsi="仿宋" w:eastAsia="仿宋" w:cs="仿宋"/>
                <w:b/>
                <w:bCs w:val="0"/>
                <w:color w:val="auto"/>
                <w:kern w:val="0"/>
                <w:sz w:val="21"/>
                <w:szCs w:val="21"/>
                <w:highlight w:val="none"/>
              </w:rPr>
            </w:pPr>
            <w:r>
              <w:rPr>
                <w:rFonts w:hint="eastAsia" w:ascii="仿宋" w:hAnsi="仿宋" w:eastAsia="仿宋" w:cs="仿宋"/>
                <w:b w:val="0"/>
                <w:bCs/>
                <w:color w:val="auto"/>
                <w:kern w:val="0"/>
                <w:sz w:val="21"/>
                <w:szCs w:val="21"/>
                <w:highlight w:val="none"/>
              </w:rPr>
              <w:t>报价得分</w:t>
            </w:r>
            <w:r>
              <w:rPr>
                <w:rFonts w:hint="eastAsia" w:ascii="仿宋" w:hAnsi="仿宋" w:eastAsia="仿宋" w:cs="仿宋"/>
                <w:b w:val="0"/>
                <w:bCs/>
                <w:color w:val="auto"/>
                <w:kern w:val="0"/>
                <w:sz w:val="21"/>
                <w:szCs w:val="21"/>
                <w:highlight w:val="none"/>
                <w:lang w:val="en-US" w:eastAsia="zh-CN"/>
              </w:rPr>
              <w:t>3</w:t>
            </w:r>
            <w:r>
              <w:rPr>
                <w:rFonts w:hint="eastAsia" w:ascii="仿宋" w:hAnsi="仿宋" w:eastAsia="仿宋" w:cs="仿宋"/>
                <w:b w:val="0"/>
                <w:bCs/>
                <w:color w:val="auto"/>
                <w:kern w:val="0"/>
                <w:sz w:val="21"/>
                <w:szCs w:val="21"/>
                <w:highlight w:val="none"/>
              </w:rPr>
              <w:t>0.0分</w:t>
            </w:r>
          </w:p>
        </w:tc>
      </w:tr>
      <w:tr w14:paraId="756D8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2068" w:type="dxa"/>
            <w:gridSpan w:val="2"/>
            <w:vAlign w:val="center"/>
          </w:tcPr>
          <w:p w14:paraId="02F948EA">
            <w:pPr>
              <w:pStyle w:val="18"/>
              <w:spacing w:line="240" w:lineRule="auto"/>
              <w:ind w:right="8" w:rightChars="0"/>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报价</w:t>
            </w:r>
            <w:r>
              <w:rPr>
                <w:rFonts w:hint="eastAsia" w:ascii="仿宋" w:hAnsi="仿宋" w:eastAsia="仿宋" w:cs="仿宋"/>
                <w:sz w:val="21"/>
                <w:szCs w:val="21"/>
                <w:highlight w:val="none"/>
                <w:vertAlign w:val="baseline"/>
              </w:rPr>
              <w:t>部分（30 分）</w:t>
            </w:r>
          </w:p>
        </w:tc>
        <w:tc>
          <w:tcPr>
            <w:tcW w:w="843" w:type="dxa"/>
            <w:vAlign w:val="center"/>
          </w:tcPr>
          <w:p w14:paraId="2146211E">
            <w:pPr>
              <w:pStyle w:val="18"/>
              <w:spacing w:line="240" w:lineRule="auto"/>
              <w:ind w:right="0" w:rightChars="0"/>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30</w:t>
            </w:r>
          </w:p>
        </w:tc>
        <w:tc>
          <w:tcPr>
            <w:tcW w:w="5611" w:type="dxa"/>
          </w:tcPr>
          <w:p w14:paraId="134ECC7A">
            <w:pPr>
              <w:pStyle w:val="18"/>
              <w:spacing w:line="240" w:lineRule="auto"/>
              <w:ind w:right="-31" w:rightChars="-15"/>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综合评分法中的价格分统一采用低价优先法计算，即满足招标文件要求且投标折扣最低的投标折扣为评标基准折扣，其价格分为满分30分。其他投标人的价格分统一按照下列公式计算：投标报价得分=(评标基准折扣／投标折扣)×30</w:t>
            </w:r>
          </w:p>
        </w:tc>
      </w:tr>
      <w:tr w14:paraId="47719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0" w:hRule="atLeast"/>
          <w:jc w:val="center"/>
        </w:trPr>
        <w:tc>
          <w:tcPr>
            <w:tcW w:w="1074" w:type="dxa"/>
            <w:vMerge w:val="restart"/>
            <w:tcBorders>
              <w:right w:val="single" w:color="000000" w:sz="4" w:space="0"/>
            </w:tcBorders>
            <w:vAlign w:val="center"/>
          </w:tcPr>
          <w:p w14:paraId="757FDC81">
            <w:pPr>
              <w:pStyle w:val="18"/>
              <w:spacing w:line="240" w:lineRule="auto"/>
              <w:ind w:right="-19" w:rightChars="-9"/>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rPr>
              <w:t>商务部分(</w:t>
            </w:r>
            <w:r>
              <w:rPr>
                <w:rFonts w:hint="eastAsia" w:ascii="仿宋" w:hAnsi="仿宋" w:eastAsia="仿宋" w:cs="仿宋"/>
                <w:sz w:val="21"/>
                <w:szCs w:val="21"/>
                <w:highlight w:val="none"/>
                <w:vertAlign w:val="baseline"/>
                <w:lang w:val="en-US" w:eastAsia="zh-CN"/>
              </w:rPr>
              <w:t>25</w:t>
            </w:r>
            <w:r>
              <w:rPr>
                <w:rFonts w:hint="eastAsia" w:ascii="仿宋" w:hAnsi="仿宋" w:eastAsia="仿宋" w:cs="仿宋"/>
                <w:sz w:val="21"/>
                <w:szCs w:val="21"/>
                <w:highlight w:val="none"/>
                <w:vertAlign w:val="baseline"/>
              </w:rPr>
              <w:t>分)</w:t>
            </w:r>
          </w:p>
        </w:tc>
        <w:tc>
          <w:tcPr>
            <w:tcW w:w="994" w:type="dxa"/>
            <w:tcBorders>
              <w:left w:val="single" w:color="000000" w:sz="4" w:space="0"/>
            </w:tcBorders>
            <w:vAlign w:val="center"/>
          </w:tcPr>
          <w:p w14:paraId="0C2DD91E">
            <w:pPr>
              <w:pStyle w:val="18"/>
              <w:spacing w:line="240" w:lineRule="auto"/>
              <w:ind w:right="31" w:rightChars="15"/>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类似项目业绩</w:t>
            </w:r>
          </w:p>
        </w:tc>
        <w:tc>
          <w:tcPr>
            <w:tcW w:w="843" w:type="dxa"/>
            <w:vAlign w:val="center"/>
          </w:tcPr>
          <w:p w14:paraId="193D03F2">
            <w:pPr>
              <w:pStyle w:val="18"/>
              <w:spacing w:line="240" w:lineRule="auto"/>
              <w:ind w:right="0" w:rightChars="0"/>
              <w:jc w:val="center"/>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15</w:t>
            </w:r>
          </w:p>
        </w:tc>
        <w:tc>
          <w:tcPr>
            <w:tcW w:w="5611" w:type="dxa"/>
          </w:tcPr>
          <w:p w14:paraId="4755D661">
            <w:pPr>
              <w:pStyle w:val="18"/>
              <w:spacing w:line="240" w:lineRule="auto"/>
              <w:ind w:right="-31" w:rightChars="-15"/>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投标人近三年（202</w:t>
            </w:r>
            <w:r>
              <w:rPr>
                <w:rFonts w:hint="eastAsia" w:ascii="仿宋" w:hAnsi="仿宋" w:eastAsia="仿宋" w:cs="仿宋"/>
                <w:sz w:val="21"/>
                <w:szCs w:val="21"/>
                <w:highlight w:val="none"/>
                <w:vertAlign w:val="baseline"/>
                <w:lang w:val="en-US" w:eastAsia="zh-CN"/>
              </w:rPr>
              <w:t>2</w:t>
            </w:r>
            <w:r>
              <w:rPr>
                <w:rFonts w:hint="eastAsia" w:ascii="仿宋" w:hAnsi="仿宋" w:eastAsia="仿宋" w:cs="仿宋"/>
                <w:sz w:val="21"/>
                <w:szCs w:val="21"/>
                <w:highlight w:val="none"/>
                <w:vertAlign w:val="baseline"/>
              </w:rPr>
              <w:t>年1月1日-至今）完成类似项目业绩，每提供一个业绩证明材料得</w:t>
            </w:r>
            <w:r>
              <w:rPr>
                <w:rFonts w:hint="eastAsia" w:ascii="仿宋" w:hAnsi="仿宋" w:eastAsia="仿宋" w:cs="仿宋"/>
                <w:sz w:val="21"/>
                <w:szCs w:val="21"/>
                <w:highlight w:val="none"/>
                <w:vertAlign w:val="baseline"/>
                <w:lang w:val="en-US" w:eastAsia="zh-CN"/>
              </w:rPr>
              <w:t>3</w:t>
            </w:r>
            <w:r>
              <w:rPr>
                <w:rFonts w:hint="eastAsia" w:ascii="仿宋" w:hAnsi="仿宋" w:eastAsia="仿宋" w:cs="仿宋"/>
                <w:sz w:val="21"/>
                <w:szCs w:val="21"/>
                <w:highlight w:val="none"/>
                <w:vertAlign w:val="baseline"/>
              </w:rPr>
              <w:t>分，最高得</w:t>
            </w:r>
            <w:r>
              <w:rPr>
                <w:rFonts w:hint="eastAsia" w:ascii="仿宋" w:hAnsi="仿宋" w:eastAsia="仿宋" w:cs="仿宋"/>
                <w:sz w:val="21"/>
                <w:szCs w:val="21"/>
                <w:highlight w:val="none"/>
                <w:vertAlign w:val="baseline"/>
                <w:lang w:val="en-US" w:eastAsia="zh-CN"/>
              </w:rPr>
              <w:t>15</w:t>
            </w:r>
            <w:r>
              <w:rPr>
                <w:rFonts w:hint="eastAsia" w:ascii="仿宋" w:hAnsi="仿宋" w:eastAsia="仿宋" w:cs="仿宋"/>
                <w:sz w:val="21"/>
                <w:szCs w:val="21"/>
                <w:highlight w:val="none"/>
                <w:vertAlign w:val="baseline"/>
              </w:rPr>
              <w:t>分；业绩证明材料为合同协议书，至少含合同首页、合同金额页、双方签字盖章页（加盖单位章的复印件/扫描件），未提供或证明材料不全的不得分。</w:t>
            </w:r>
          </w:p>
        </w:tc>
      </w:tr>
      <w:tr w14:paraId="002EE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4" w:type="dxa"/>
            <w:vMerge w:val="continue"/>
            <w:tcBorders>
              <w:right w:val="single" w:color="000000" w:sz="4" w:space="0"/>
            </w:tcBorders>
            <w:vAlign w:val="center"/>
          </w:tcPr>
          <w:p w14:paraId="078F5618">
            <w:pPr>
              <w:pStyle w:val="18"/>
              <w:spacing w:line="240" w:lineRule="auto"/>
              <w:ind w:right="-19" w:rightChars="-9"/>
              <w:jc w:val="center"/>
              <w:rPr>
                <w:rFonts w:hint="eastAsia" w:ascii="仿宋" w:hAnsi="仿宋" w:eastAsia="仿宋" w:cs="仿宋"/>
                <w:sz w:val="21"/>
                <w:szCs w:val="21"/>
                <w:highlight w:val="none"/>
                <w:vertAlign w:val="baseline"/>
              </w:rPr>
            </w:pPr>
          </w:p>
        </w:tc>
        <w:tc>
          <w:tcPr>
            <w:tcW w:w="994" w:type="dxa"/>
            <w:tcBorders>
              <w:left w:val="single" w:color="000000" w:sz="4" w:space="0"/>
            </w:tcBorders>
            <w:vAlign w:val="center"/>
          </w:tcPr>
          <w:p w14:paraId="52D7E18D">
            <w:pPr>
              <w:pStyle w:val="18"/>
              <w:spacing w:line="240" w:lineRule="auto"/>
              <w:ind w:right="31" w:rightChars="15"/>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样品</w:t>
            </w:r>
          </w:p>
        </w:tc>
        <w:tc>
          <w:tcPr>
            <w:tcW w:w="843" w:type="dxa"/>
            <w:vAlign w:val="center"/>
          </w:tcPr>
          <w:p w14:paraId="22503933">
            <w:pPr>
              <w:pStyle w:val="18"/>
              <w:spacing w:line="240" w:lineRule="auto"/>
              <w:ind w:right="-31" w:rightChars="-15"/>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5</w:t>
            </w:r>
          </w:p>
        </w:tc>
        <w:tc>
          <w:tcPr>
            <w:tcW w:w="5611" w:type="dxa"/>
            <w:vAlign w:val="top"/>
          </w:tcPr>
          <w:p w14:paraId="07338BBD">
            <w:pPr>
              <w:pStyle w:val="18"/>
              <w:spacing w:line="240" w:lineRule="auto"/>
              <w:ind w:right="-31" w:rightChars="-15"/>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为保证图书质量，供应商按样书目录要求提供10个品目图书样品及每本样品图书相应的正版证明原件或扫描件，格式自拟。样品图书每提供1种，得0.5分，满分5分；</w:t>
            </w:r>
          </w:p>
          <w:p w14:paraId="0DEB7171">
            <w:pPr>
              <w:pStyle w:val="18"/>
              <w:spacing w:line="240" w:lineRule="auto"/>
              <w:ind w:right="-31" w:rightChars="-15"/>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注：</w:t>
            </w:r>
            <w:r>
              <w:rPr>
                <w:rFonts w:hint="eastAsia" w:ascii="仿宋" w:hAnsi="仿宋" w:eastAsia="仿宋" w:cs="仿宋"/>
                <w:sz w:val="21"/>
                <w:szCs w:val="21"/>
                <w:highlight w:val="none"/>
                <w:vertAlign w:val="baseline"/>
              </w:rPr>
              <w:t>未提供或证明材料不全的不得分</w:t>
            </w:r>
            <w:r>
              <w:rPr>
                <w:rFonts w:hint="eastAsia" w:ascii="仿宋" w:hAnsi="仿宋" w:eastAsia="仿宋" w:cs="仿宋"/>
                <w:sz w:val="21"/>
                <w:szCs w:val="21"/>
                <w:highlight w:val="none"/>
                <w:vertAlign w:val="baseline"/>
                <w:lang w:eastAsia="zh-CN"/>
              </w:rPr>
              <w:t>，</w:t>
            </w:r>
            <w:r>
              <w:rPr>
                <w:rFonts w:hint="eastAsia" w:ascii="仿宋" w:hAnsi="仿宋" w:eastAsia="仿宋" w:cs="仿宋"/>
                <w:sz w:val="21"/>
                <w:szCs w:val="21"/>
                <w:highlight w:val="none"/>
                <w:vertAlign w:val="baseline"/>
                <w:lang w:val="en-US" w:eastAsia="zh-CN"/>
              </w:rPr>
              <w:t>提供样品率低于百分之九十不得分。（详见附件2025年采购图书目录）</w:t>
            </w:r>
          </w:p>
        </w:tc>
      </w:tr>
      <w:tr w14:paraId="1ACA9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0" w:hRule="atLeast"/>
          <w:jc w:val="center"/>
        </w:trPr>
        <w:tc>
          <w:tcPr>
            <w:tcW w:w="1074" w:type="dxa"/>
            <w:vMerge w:val="continue"/>
            <w:tcBorders>
              <w:right w:val="single" w:color="000000" w:sz="4" w:space="0"/>
            </w:tcBorders>
            <w:vAlign w:val="center"/>
          </w:tcPr>
          <w:p w14:paraId="79614EEF">
            <w:pPr>
              <w:pStyle w:val="18"/>
              <w:spacing w:line="240" w:lineRule="auto"/>
              <w:ind w:right="-19" w:rightChars="-9"/>
              <w:jc w:val="center"/>
              <w:rPr>
                <w:rFonts w:hint="eastAsia" w:ascii="仿宋" w:hAnsi="仿宋" w:eastAsia="仿宋" w:cs="仿宋"/>
                <w:sz w:val="21"/>
                <w:szCs w:val="21"/>
                <w:highlight w:val="none"/>
                <w:vertAlign w:val="baseline"/>
              </w:rPr>
            </w:pPr>
          </w:p>
        </w:tc>
        <w:tc>
          <w:tcPr>
            <w:tcW w:w="994" w:type="dxa"/>
            <w:tcBorders>
              <w:left w:val="single" w:color="000000" w:sz="4" w:space="0"/>
            </w:tcBorders>
            <w:vAlign w:val="center"/>
          </w:tcPr>
          <w:p w14:paraId="38B7A17B">
            <w:pPr>
              <w:widowControl/>
              <w:jc w:val="center"/>
              <w:textAlignment w:val="center"/>
              <w:rPr>
                <w:rFonts w:hint="eastAsia" w:ascii="仿宋" w:hAnsi="仿宋" w:eastAsia="仿宋" w:cs="仿宋"/>
                <w:sz w:val="21"/>
                <w:szCs w:val="21"/>
                <w:highlight w:val="none"/>
                <w:vertAlign w:val="baseline"/>
              </w:rPr>
            </w:pPr>
            <w:r>
              <w:rPr>
                <w:rFonts w:hint="eastAsia" w:ascii="仿宋" w:hAnsi="仿宋" w:eastAsia="仿宋" w:cs="仿宋"/>
                <w:color w:val="000000"/>
                <w:szCs w:val="24"/>
                <w:highlight w:val="none"/>
                <w:lang w:bidi="ar"/>
              </w:rPr>
              <w:t>企业服务能力及采购渠道</w:t>
            </w:r>
          </w:p>
        </w:tc>
        <w:tc>
          <w:tcPr>
            <w:tcW w:w="843" w:type="dxa"/>
            <w:vAlign w:val="center"/>
          </w:tcPr>
          <w:p w14:paraId="4C3B88CD">
            <w:pPr>
              <w:widowControl/>
              <w:jc w:val="center"/>
              <w:textAlignment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color w:val="000000"/>
                <w:szCs w:val="24"/>
                <w:highlight w:val="none"/>
                <w:lang w:bidi="ar"/>
              </w:rPr>
              <w:t>5</w:t>
            </w:r>
          </w:p>
        </w:tc>
        <w:tc>
          <w:tcPr>
            <w:tcW w:w="5611" w:type="dxa"/>
            <w:vAlign w:val="center"/>
          </w:tcPr>
          <w:p w14:paraId="472610C0">
            <w:pPr>
              <w:widowControl/>
              <w:textAlignment w:val="center"/>
              <w:rPr>
                <w:rFonts w:hint="eastAsia" w:ascii="仿宋" w:hAnsi="仿宋" w:eastAsia="仿宋" w:cs="仿宋"/>
                <w:color w:val="000000"/>
                <w:szCs w:val="24"/>
                <w:highlight w:val="none"/>
                <w:lang w:eastAsia="zh-CN" w:bidi="ar"/>
              </w:rPr>
            </w:pPr>
            <w:r>
              <w:rPr>
                <w:rFonts w:hint="eastAsia" w:ascii="仿宋" w:hAnsi="仿宋" w:eastAsia="仿宋" w:cs="仿宋"/>
                <w:color w:val="000000"/>
                <w:szCs w:val="24"/>
                <w:highlight w:val="none"/>
                <w:lang w:bidi="ar"/>
              </w:rPr>
              <w:t>投标</w:t>
            </w:r>
            <w:r>
              <w:rPr>
                <w:rFonts w:hint="eastAsia" w:ascii="仿宋" w:hAnsi="仿宋" w:eastAsia="仿宋" w:cs="仿宋"/>
                <w:color w:val="000000"/>
                <w:szCs w:val="24"/>
                <w:highlight w:val="none"/>
                <w:lang w:val="en-US" w:eastAsia="zh-CN" w:bidi="ar"/>
              </w:rPr>
              <w:t>人</w:t>
            </w:r>
            <w:r>
              <w:rPr>
                <w:rFonts w:hint="eastAsia" w:ascii="仿宋" w:hAnsi="仿宋" w:eastAsia="仿宋" w:cs="仿宋"/>
                <w:color w:val="000000"/>
                <w:szCs w:val="24"/>
                <w:highlight w:val="none"/>
                <w:lang w:bidi="ar"/>
              </w:rPr>
              <w:t>具有图书现采场地小于等于500平方米得1分，每增加100平方米，加1分；最高得5分；</w:t>
            </w:r>
            <w:r>
              <w:rPr>
                <w:rFonts w:hint="eastAsia" w:ascii="仿宋" w:hAnsi="仿宋" w:eastAsia="仿宋" w:cs="仿宋"/>
                <w:color w:val="000000"/>
                <w:szCs w:val="24"/>
                <w:highlight w:val="none"/>
                <w:lang w:val="en-US" w:eastAsia="zh-CN" w:bidi="ar"/>
              </w:rPr>
              <w:t>未提供</w:t>
            </w:r>
            <w:r>
              <w:rPr>
                <w:rFonts w:hint="eastAsia" w:ascii="仿宋" w:hAnsi="仿宋" w:eastAsia="仿宋" w:cs="仿宋"/>
                <w:color w:val="000000"/>
                <w:szCs w:val="24"/>
                <w:highlight w:val="none"/>
                <w:lang w:bidi="ar"/>
              </w:rPr>
              <w:t>不得分</w:t>
            </w:r>
            <w:r>
              <w:rPr>
                <w:rFonts w:hint="eastAsia" w:ascii="仿宋" w:hAnsi="仿宋" w:eastAsia="仿宋" w:cs="仿宋"/>
                <w:color w:val="000000"/>
                <w:szCs w:val="24"/>
                <w:highlight w:val="none"/>
                <w:lang w:eastAsia="zh-CN" w:bidi="ar"/>
              </w:rPr>
              <w:t>；</w:t>
            </w:r>
          </w:p>
          <w:p w14:paraId="42A33350">
            <w:pPr>
              <w:widowControl/>
              <w:textAlignment w:val="center"/>
              <w:rPr>
                <w:rFonts w:hint="eastAsia" w:ascii="仿宋" w:hAnsi="仿宋" w:eastAsia="仿宋" w:cs="仿宋"/>
                <w:sz w:val="21"/>
                <w:szCs w:val="21"/>
                <w:highlight w:val="none"/>
                <w:vertAlign w:val="baseline"/>
              </w:rPr>
            </w:pPr>
            <w:r>
              <w:rPr>
                <w:rFonts w:hint="eastAsia" w:ascii="仿宋" w:hAnsi="仿宋" w:eastAsia="仿宋" w:cs="仿宋"/>
                <w:color w:val="000000"/>
                <w:szCs w:val="24"/>
                <w:highlight w:val="none"/>
                <w:lang w:val="en-US" w:eastAsia="zh-CN" w:bidi="ar"/>
              </w:rPr>
              <w:t>注：需</w:t>
            </w:r>
            <w:r>
              <w:rPr>
                <w:rFonts w:hint="eastAsia" w:ascii="仿宋" w:hAnsi="仿宋" w:eastAsia="仿宋" w:cs="仿宋"/>
                <w:color w:val="000000"/>
                <w:szCs w:val="24"/>
                <w:highlight w:val="none"/>
                <w:lang w:bidi="ar"/>
              </w:rPr>
              <w:t>提供样本室、卖场及库房的照片；房产证复印件或租用合同复印件并加盖供应商公章）。</w:t>
            </w:r>
          </w:p>
        </w:tc>
      </w:tr>
      <w:tr w14:paraId="7153F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1074" w:type="dxa"/>
            <w:vMerge w:val="restart"/>
            <w:tcBorders>
              <w:right w:val="single" w:color="000000" w:sz="4" w:space="0"/>
            </w:tcBorders>
            <w:vAlign w:val="center"/>
          </w:tcPr>
          <w:p w14:paraId="5A9DBA24">
            <w:pPr>
              <w:pStyle w:val="18"/>
              <w:spacing w:line="240" w:lineRule="auto"/>
              <w:ind w:right="-19" w:rightChars="-9"/>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技术部分 (</w:t>
            </w:r>
            <w:r>
              <w:rPr>
                <w:rFonts w:hint="eastAsia" w:ascii="仿宋" w:hAnsi="仿宋" w:eastAsia="仿宋" w:cs="仿宋"/>
                <w:sz w:val="21"/>
                <w:szCs w:val="21"/>
                <w:highlight w:val="none"/>
                <w:vertAlign w:val="baseline"/>
                <w:lang w:val="en-US" w:eastAsia="zh-CN"/>
              </w:rPr>
              <w:t>45</w:t>
            </w:r>
            <w:r>
              <w:rPr>
                <w:rFonts w:hint="eastAsia" w:ascii="仿宋" w:hAnsi="仿宋" w:eastAsia="仿宋" w:cs="仿宋"/>
                <w:sz w:val="21"/>
                <w:szCs w:val="21"/>
                <w:highlight w:val="none"/>
                <w:vertAlign w:val="baseline"/>
              </w:rPr>
              <w:t>分)</w:t>
            </w:r>
          </w:p>
        </w:tc>
        <w:tc>
          <w:tcPr>
            <w:tcW w:w="994" w:type="dxa"/>
            <w:tcBorders>
              <w:left w:val="single" w:color="000000" w:sz="4" w:space="0"/>
            </w:tcBorders>
            <w:vAlign w:val="center"/>
          </w:tcPr>
          <w:p w14:paraId="2A38C76A">
            <w:pPr>
              <w:pStyle w:val="18"/>
              <w:spacing w:line="240" w:lineRule="auto"/>
              <w:ind w:right="31" w:rightChars="15"/>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项目实施方案</w:t>
            </w:r>
          </w:p>
        </w:tc>
        <w:tc>
          <w:tcPr>
            <w:tcW w:w="843" w:type="dxa"/>
            <w:vAlign w:val="center"/>
          </w:tcPr>
          <w:p w14:paraId="6191A4BE">
            <w:pPr>
              <w:pStyle w:val="18"/>
              <w:spacing w:line="240" w:lineRule="auto"/>
              <w:ind w:right="0" w:rightChars="0"/>
              <w:jc w:val="center"/>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12</w:t>
            </w:r>
          </w:p>
        </w:tc>
        <w:tc>
          <w:tcPr>
            <w:tcW w:w="5611" w:type="dxa"/>
          </w:tcPr>
          <w:p w14:paraId="7342B6A6">
            <w:pPr>
              <w:pStyle w:val="18"/>
              <w:spacing w:line="240" w:lineRule="auto"/>
              <w:ind w:right="-31" w:rightChars="-15"/>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投标人根据本项目特点，提供本项目实施方案包括：</w:t>
            </w:r>
            <w:r>
              <w:rPr>
                <w:rFonts w:hint="eastAsia" w:ascii="仿宋" w:hAnsi="仿宋" w:eastAsia="仿宋" w:cs="仿宋"/>
                <w:sz w:val="21"/>
                <w:szCs w:val="21"/>
                <w:highlight w:val="none"/>
                <w:vertAlign w:val="baseline"/>
                <w:lang w:eastAsia="zh-CN"/>
              </w:rPr>
              <w:t>（</w:t>
            </w:r>
            <w:r>
              <w:rPr>
                <w:rFonts w:hint="eastAsia" w:ascii="仿宋" w:hAnsi="仿宋" w:eastAsia="仿宋" w:cs="仿宋"/>
                <w:sz w:val="21"/>
                <w:szCs w:val="21"/>
                <w:highlight w:val="none"/>
                <w:vertAlign w:val="baseline"/>
                <w:lang w:val="en-US" w:eastAsia="zh-CN"/>
              </w:rPr>
              <w:t>1</w:t>
            </w:r>
            <w:r>
              <w:rPr>
                <w:rFonts w:hint="eastAsia" w:ascii="仿宋" w:hAnsi="仿宋" w:eastAsia="仿宋" w:cs="仿宋"/>
                <w:sz w:val="21"/>
                <w:szCs w:val="21"/>
                <w:highlight w:val="none"/>
                <w:vertAlign w:val="baseline"/>
                <w:lang w:eastAsia="zh-CN"/>
              </w:rPr>
              <w:t>）</w:t>
            </w:r>
            <w:r>
              <w:rPr>
                <w:rFonts w:hint="eastAsia" w:ascii="仿宋" w:hAnsi="仿宋" w:eastAsia="仿宋" w:cs="仿宋"/>
                <w:sz w:val="21"/>
                <w:szCs w:val="21"/>
                <w:highlight w:val="none"/>
                <w:vertAlign w:val="baseline"/>
              </w:rPr>
              <w:t>供货方案</w:t>
            </w:r>
            <w:r>
              <w:rPr>
                <w:rFonts w:hint="eastAsia" w:ascii="仿宋" w:hAnsi="仿宋" w:eastAsia="仿宋" w:cs="仿宋"/>
                <w:sz w:val="21"/>
                <w:szCs w:val="21"/>
                <w:highlight w:val="none"/>
                <w:vertAlign w:val="baseline"/>
                <w:lang w:eastAsia="zh-CN"/>
              </w:rPr>
              <w:t>；（</w:t>
            </w:r>
            <w:r>
              <w:rPr>
                <w:rFonts w:hint="eastAsia" w:ascii="仿宋" w:hAnsi="仿宋" w:eastAsia="仿宋" w:cs="仿宋"/>
                <w:sz w:val="21"/>
                <w:szCs w:val="21"/>
                <w:highlight w:val="none"/>
                <w:vertAlign w:val="baseline"/>
                <w:lang w:val="en-US" w:eastAsia="zh-CN"/>
              </w:rPr>
              <w:t>2</w:t>
            </w:r>
            <w:r>
              <w:rPr>
                <w:rFonts w:hint="eastAsia" w:ascii="仿宋" w:hAnsi="仿宋" w:eastAsia="仿宋" w:cs="仿宋"/>
                <w:sz w:val="21"/>
                <w:szCs w:val="21"/>
                <w:highlight w:val="none"/>
                <w:vertAlign w:val="baseline"/>
                <w:lang w:eastAsia="zh-CN"/>
              </w:rPr>
              <w:t>）</w:t>
            </w:r>
            <w:r>
              <w:rPr>
                <w:rFonts w:hint="eastAsia" w:ascii="仿宋" w:hAnsi="仿宋" w:eastAsia="仿宋" w:cs="仿宋"/>
                <w:sz w:val="21"/>
                <w:szCs w:val="21"/>
                <w:highlight w:val="none"/>
                <w:vertAlign w:val="baseline"/>
              </w:rPr>
              <w:t>包装配送方案</w:t>
            </w:r>
            <w:r>
              <w:rPr>
                <w:rFonts w:hint="eastAsia" w:ascii="仿宋" w:hAnsi="仿宋" w:eastAsia="仿宋" w:cs="仿宋"/>
                <w:sz w:val="21"/>
                <w:szCs w:val="21"/>
                <w:highlight w:val="none"/>
                <w:vertAlign w:val="baseline"/>
                <w:lang w:eastAsia="zh-CN"/>
              </w:rPr>
              <w:t>；（</w:t>
            </w:r>
            <w:r>
              <w:rPr>
                <w:rFonts w:hint="eastAsia" w:ascii="仿宋" w:hAnsi="仿宋" w:eastAsia="仿宋" w:cs="仿宋"/>
                <w:sz w:val="21"/>
                <w:szCs w:val="21"/>
                <w:highlight w:val="none"/>
                <w:vertAlign w:val="baseline"/>
                <w:lang w:val="en-US" w:eastAsia="zh-CN"/>
              </w:rPr>
              <w:t>3</w:t>
            </w:r>
            <w:r>
              <w:rPr>
                <w:rFonts w:hint="eastAsia" w:ascii="仿宋" w:hAnsi="仿宋" w:eastAsia="仿宋" w:cs="仿宋"/>
                <w:sz w:val="21"/>
                <w:szCs w:val="21"/>
                <w:highlight w:val="none"/>
                <w:vertAlign w:val="baseline"/>
                <w:lang w:eastAsia="zh-CN"/>
              </w:rPr>
              <w:t>）</w:t>
            </w:r>
            <w:r>
              <w:rPr>
                <w:rFonts w:hint="eastAsia" w:ascii="仿宋" w:hAnsi="仿宋" w:eastAsia="仿宋" w:cs="仿宋"/>
                <w:sz w:val="21"/>
                <w:szCs w:val="21"/>
                <w:highlight w:val="none"/>
                <w:vertAlign w:val="baseline"/>
              </w:rPr>
              <w:t>到货验收方案</w:t>
            </w:r>
            <w:r>
              <w:rPr>
                <w:rFonts w:hint="eastAsia" w:ascii="仿宋" w:hAnsi="仿宋" w:eastAsia="仿宋" w:cs="仿宋"/>
                <w:sz w:val="21"/>
                <w:szCs w:val="21"/>
                <w:highlight w:val="none"/>
                <w:vertAlign w:val="baseline"/>
                <w:lang w:eastAsia="zh-CN"/>
              </w:rPr>
              <w:t>；（</w:t>
            </w:r>
            <w:r>
              <w:rPr>
                <w:rFonts w:hint="eastAsia" w:ascii="仿宋" w:hAnsi="仿宋" w:eastAsia="仿宋" w:cs="仿宋"/>
                <w:sz w:val="21"/>
                <w:szCs w:val="21"/>
                <w:highlight w:val="none"/>
                <w:vertAlign w:val="baseline"/>
                <w:lang w:val="en-US" w:eastAsia="zh-CN"/>
              </w:rPr>
              <w:t>4</w:t>
            </w:r>
            <w:r>
              <w:rPr>
                <w:rFonts w:hint="eastAsia" w:ascii="仿宋" w:hAnsi="仿宋" w:eastAsia="仿宋" w:cs="仿宋"/>
                <w:sz w:val="21"/>
                <w:szCs w:val="21"/>
                <w:highlight w:val="none"/>
                <w:vertAlign w:val="baseline"/>
                <w:lang w:eastAsia="zh-CN"/>
              </w:rPr>
              <w:t>）</w:t>
            </w:r>
            <w:r>
              <w:rPr>
                <w:rFonts w:hint="eastAsia" w:ascii="仿宋" w:hAnsi="仿宋" w:eastAsia="仿宋" w:cs="仿宋"/>
                <w:sz w:val="21"/>
                <w:szCs w:val="21"/>
                <w:highlight w:val="none"/>
                <w:vertAlign w:val="baseline"/>
              </w:rPr>
              <w:t>人员配备</w:t>
            </w:r>
            <w:r>
              <w:rPr>
                <w:rFonts w:hint="eastAsia" w:ascii="仿宋" w:hAnsi="仿宋" w:eastAsia="仿宋" w:cs="仿宋"/>
                <w:sz w:val="21"/>
                <w:szCs w:val="21"/>
                <w:highlight w:val="none"/>
                <w:vertAlign w:val="baseline"/>
                <w:lang w:eastAsia="zh-CN"/>
              </w:rPr>
              <w:t>；（</w:t>
            </w:r>
            <w:r>
              <w:rPr>
                <w:rFonts w:hint="eastAsia" w:ascii="仿宋" w:hAnsi="仿宋" w:eastAsia="仿宋" w:cs="仿宋"/>
                <w:sz w:val="21"/>
                <w:szCs w:val="21"/>
                <w:highlight w:val="none"/>
                <w:vertAlign w:val="baseline"/>
                <w:lang w:val="en-US" w:eastAsia="zh-CN"/>
              </w:rPr>
              <w:t>5</w:t>
            </w:r>
            <w:r>
              <w:rPr>
                <w:rFonts w:hint="eastAsia" w:ascii="仿宋" w:hAnsi="仿宋" w:eastAsia="仿宋" w:cs="仿宋"/>
                <w:sz w:val="21"/>
                <w:szCs w:val="21"/>
                <w:highlight w:val="none"/>
                <w:vertAlign w:val="baseline"/>
                <w:lang w:eastAsia="zh-CN"/>
              </w:rPr>
              <w:t>）</w:t>
            </w:r>
            <w:r>
              <w:rPr>
                <w:rFonts w:hint="eastAsia" w:ascii="仿宋" w:hAnsi="仿宋" w:eastAsia="仿宋" w:cs="仿宋"/>
                <w:sz w:val="21"/>
                <w:szCs w:val="21"/>
                <w:highlight w:val="none"/>
                <w:vertAlign w:val="baseline"/>
              </w:rPr>
              <w:t>进度安排及保障措施</w:t>
            </w:r>
            <w:r>
              <w:rPr>
                <w:rFonts w:hint="eastAsia" w:ascii="仿宋" w:hAnsi="仿宋" w:eastAsia="仿宋" w:cs="仿宋"/>
                <w:sz w:val="21"/>
                <w:szCs w:val="21"/>
                <w:highlight w:val="none"/>
                <w:vertAlign w:val="baseline"/>
                <w:lang w:eastAsia="zh-CN"/>
              </w:rPr>
              <w:t>；（</w:t>
            </w:r>
            <w:r>
              <w:rPr>
                <w:rFonts w:hint="eastAsia" w:ascii="仿宋" w:hAnsi="仿宋" w:eastAsia="仿宋" w:cs="仿宋"/>
                <w:sz w:val="21"/>
                <w:szCs w:val="21"/>
                <w:highlight w:val="none"/>
                <w:vertAlign w:val="baseline"/>
                <w:lang w:val="en-US" w:eastAsia="zh-CN"/>
              </w:rPr>
              <w:t>6</w:t>
            </w:r>
            <w:r>
              <w:rPr>
                <w:rFonts w:hint="eastAsia" w:ascii="仿宋" w:hAnsi="仿宋" w:eastAsia="仿宋" w:cs="仿宋"/>
                <w:sz w:val="21"/>
                <w:szCs w:val="21"/>
                <w:highlight w:val="none"/>
                <w:vertAlign w:val="baseline"/>
                <w:lang w:eastAsia="zh-CN"/>
              </w:rPr>
              <w:t>）</w:t>
            </w:r>
            <w:r>
              <w:rPr>
                <w:rFonts w:hint="eastAsia" w:ascii="仿宋" w:hAnsi="仿宋" w:eastAsia="仿宋" w:cs="仿宋"/>
                <w:sz w:val="21"/>
                <w:szCs w:val="21"/>
                <w:highlight w:val="none"/>
                <w:vertAlign w:val="baseline"/>
                <w:lang w:val="en-US" w:eastAsia="zh-CN"/>
              </w:rPr>
              <w:t>图书打包下架</w:t>
            </w:r>
            <w:r>
              <w:rPr>
                <w:rFonts w:hint="eastAsia" w:ascii="仿宋" w:hAnsi="仿宋" w:eastAsia="仿宋" w:cs="仿宋"/>
                <w:sz w:val="21"/>
                <w:szCs w:val="21"/>
                <w:highlight w:val="none"/>
                <w:vertAlign w:val="baseline"/>
              </w:rPr>
              <w:t>等方案。</w:t>
            </w:r>
          </w:p>
          <w:p w14:paraId="51148CD4">
            <w:pPr>
              <w:pStyle w:val="18"/>
              <w:spacing w:line="240" w:lineRule="auto"/>
              <w:ind w:right="-31" w:rightChars="-15"/>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根据投标人提供内容进行评分，全部符合实际需求得 12分；每缺一个要素扣 2分；每个要素里每有一处内容缺陷扣1分，扣完为止。缺陷是指：存在凭空编造、没有具体说明、内容与项目无关、内容前后不一致、前后逻辑错误、逻辑漏洞、涉及的规范及标准错误、地点区域错误、内容缺失、套用其他项目方案、科学原理错误以及不可能实现的夸大情形等情况。</w:t>
            </w:r>
          </w:p>
        </w:tc>
      </w:tr>
      <w:tr w14:paraId="30CE4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9" w:hRule="atLeast"/>
          <w:jc w:val="center"/>
        </w:trPr>
        <w:tc>
          <w:tcPr>
            <w:tcW w:w="1074" w:type="dxa"/>
            <w:vMerge w:val="continue"/>
            <w:tcBorders>
              <w:right w:val="single" w:color="000000" w:sz="4" w:space="0"/>
            </w:tcBorders>
            <w:vAlign w:val="center"/>
          </w:tcPr>
          <w:p w14:paraId="10CB1BB8">
            <w:pPr>
              <w:pStyle w:val="18"/>
              <w:spacing w:line="240" w:lineRule="auto"/>
              <w:ind w:right="638" w:rightChars="304"/>
              <w:jc w:val="center"/>
              <w:rPr>
                <w:rFonts w:hint="eastAsia" w:ascii="仿宋" w:hAnsi="仿宋" w:eastAsia="仿宋" w:cs="仿宋"/>
                <w:sz w:val="21"/>
                <w:szCs w:val="21"/>
                <w:highlight w:val="none"/>
                <w:vertAlign w:val="baseline"/>
              </w:rPr>
            </w:pPr>
          </w:p>
        </w:tc>
        <w:tc>
          <w:tcPr>
            <w:tcW w:w="994" w:type="dxa"/>
            <w:tcBorders>
              <w:left w:val="single" w:color="000000" w:sz="4" w:space="0"/>
            </w:tcBorders>
            <w:vAlign w:val="center"/>
          </w:tcPr>
          <w:p w14:paraId="31168041">
            <w:pPr>
              <w:pStyle w:val="18"/>
              <w:spacing w:line="240" w:lineRule="auto"/>
              <w:ind w:right="31" w:rightChars="15"/>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供货能力</w:t>
            </w:r>
          </w:p>
        </w:tc>
        <w:tc>
          <w:tcPr>
            <w:tcW w:w="843" w:type="dxa"/>
            <w:vAlign w:val="center"/>
          </w:tcPr>
          <w:p w14:paraId="3EC58043">
            <w:pPr>
              <w:pStyle w:val="18"/>
              <w:spacing w:line="240" w:lineRule="auto"/>
              <w:ind w:right="-31" w:rightChars="-15"/>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6</w:t>
            </w:r>
          </w:p>
        </w:tc>
        <w:tc>
          <w:tcPr>
            <w:tcW w:w="5611" w:type="dxa"/>
            <w:vAlign w:val="top"/>
          </w:tcPr>
          <w:p w14:paraId="5A5E3D8F">
            <w:pPr>
              <w:pStyle w:val="18"/>
              <w:spacing w:line="240" w:lineRule="auto"/>
              <w:ind w:right="-31" w:rightChars="-15"/>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投标人与出版社合作40家以上，具有全品种正版图书供货能力的得6分；</w:t>
            </w:r>
          </w:p>
          <w:p w14:paraId="26F4AD28">
            <w:pPr>
              <w:pStyle w:val="18"/>
              <w:spacing w:line="240" w:lineRule="auto"/>
              <w:ind w:right="-31" w:rightChars="-15"/>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投标人与出版社合作30-39家（含30）以上，具有全品种正版图书供货能力的得4分；</w:t>
            </w:r>
          </w:p>
          <w:p w14:paraId="2DC0241D">
            <w:pPr>
              <w:pStyle w:val="18"/>
              <w:spacing w:line="240" w:lineRule="auto"/>
              <w:ind w:right="-31" w:rightChars="-15"/>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 xml:space="preserve">投标人与出版社合作20-29家（含20）以上，具有全品种正版图书供货能力的得2分； </w:t>
            </w:r>
          </w:p>
          <w:p w14:paraId="1AA49FB8">
            <w:pPr>
              <w:pStyle w:val="18"/>
              <w:spacing w:line="240" w:lineRule="auto"/>
              <w:ind w:right="-31" w:rightChars="-15"/>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19家以下的得1分。</w:t>
            </w:r>
          </w:p>
          <w:p w14:paraId="07F5CEC4">
            <w:pPr>
              <w:pStyle w:val="18"/>
              <w:spacing w:line="240" w:lineRule="auto"/>
              <w:ind w:right="-31" w:rightChars="-15"/>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注：须提供与出版机构签订的供货协议书或合作证明（复印件加盖公章），并放在投标文件中，未提供的不得分，出版社供货协议书或合作证明中必须标明出版社联系人及联系方式。</w:t>
            </w:r>
          </w:p>
        </w:tc>
      </w:tr>
      <w:tr w14:paraId="7BDE3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1074" w:type="dxa"/>
            <w:vMerge w:val="continue"/>
            <w:tcBorders>
              <w:right w:val="single" w:color="000000" w:sz="4" w:space="0"/>
            </w:tcBorders>
            <w:vAlign w:val="center"/>
          </w:tcPr>
          <w:p w14:paraId="3959AD2F">
            <w:pPr>
              <w:pStyle w:val="18"/>
              <w:spacing w:line="240" w:lineRule="auto"/>
              <w:ind w:right="638" w:rightChars="304"/>
              <w:jc w:val="center"/>
              <w:rPr>
                <w:rFonts w:hint="eastAsia" w:ascii="仿宋" w:hAnsi="仿宋" w:eastAsia="仿宋" w:cs="仿宋"/>
                <w:sz w:val="21"/>
                <w:szCs w:val="21"/>
                <w:highlight w:val="none"/>
                <w:vertAlign w:val="baseline"/>
              </w:rPr>
            </w:pPr>
          </w:p>
        </w:tc>
        <w:tc>
          <w:tcPr>
            <w:tcW w:w="994" w:type="dxa"/>
            <w:tcBorders>
              <w:left w:val="single" w:color="000000" w:sz="4" w:space="0"/>
            </w:tcBorders>
            <w:vAlign w:val="center"/>
          </w:tcPr>
          <w:p w14:paraId="4E996F14">
            <w:pPr>
              <w:pStyle w:val="18"/>
              <w:spacing w:line="240" w:lineRule="auto"/>
              <w:ind w:right="31" w:rightChars="15"/>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编目人员</w:t>
            </w:r>
          </w:p>
        </w:tc>
        <w:tc>
          <w:tcPr>
            <w:tcW w:w="843" w:type="dxa"/>
            <w:vAlign w:val="center"/>
          </w:tcPr>
          <w:p w14:paraId="4627CC8F">
            <w:pPr>
              <w:pStyle w:val="18"/>
              <w:spacing w:line="240" w:lineRule="auto"/>
              <w:ind w:right="-31" w:rightChars="-15"/>
              <w:jc w:val="center"/>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2</w:t>
            </w:r>
          </w:p>
        </w:tc>
        <w:tc>
          <w:tcPr>
            <w:tcW w:w="5611" w:type="dxa"/>
            <w:vAlign w:val="top"/>
          </w:tcPr>
          <w:p w14:paraId="1585F03F">
            <w:pPr>
              <w:pStyle w:val="18"/>
              <w:numPr>
                <w:ilvl w:val="0"/>
                <w:numId w:val="0"/>
              </w:numPr>
              <w:spacing w:line="240" w:lineRule="auto"/>
              <w:ind w:right="-31" w:rightChars="-15"/>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拟投入本项目的服务人员具有编目员资格证书的，每提供 1人得0.5分，最高得 2分。提供证书为结业证书、培训证书的不得分。（注：投标文件中需提供相关人员资格证书复印件或网页截图打印件，以及劳动合同加盖投标人公章，未按要求提供的不得分。）</w:t>
            </w:r>
          </w:p>
        </w:tc>
      </w:tr>
      <w:tr w14:paraId="4F0D1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5" w:hRule="atLeast"/>
          <w:jc w:val="center"/>
        </w:trPr>
        <w:tc>
          <w:tcPr>
            <w:tcW w:w="1074" w:type="dxa"/>
            <w:vMerge w:val="continue"/>
            <w:tcBorders>
              <w:right w:val="single" w:color="000000" w:sz="4" w:space="0"/>
            </w:tcBorders>
            <w:vAlign w:val="center"/>
          </w:tcPr>
          <w:p w14:paraId="572E17D2">
            <w:pPr>
              <w:pStyle w:val="18"/>
              <w:spacing w:line="240" w:lineRule="auto"/>
              <w:ind w:right="638" w:rightChars="304"/>
              <w:jc w:val="center"/>
              <w:rPr>
                <w:rFonts w:hint="eastAsia" w:ascii="仿宋" w:hAnsi="仿宋" w:eastAsia="仿宋" w:cs="仿宋"/>
                <w:sz w:val="21"/>
                <w:szCs w:val="21"/>
                <w:highlight w:val="none"/>
                <w:vertAlign w:val="baseline"/>
              </w:rPr>
            </w:pPr>
          </w:p>
        </w:tc>
        <w:tc>
          <w:tcPr>
            <w:tcW w:w="994" w:type="dxa"/>
            <w:tcBorders>
              <w:left w:val="single" w:color="000000" w:sz="4" w:space="0"/>
            </w:tcBorders>
            <w:vAlign w:val="center"/>
          </w:tcPr>
          <w:p w14:paraId="4DC8EAE1">
            <w:pPr>
              <w:pStyle w:val="18"/>
              <w:spacing w:line="240" w:lineRule="auto"/>
              <w:ind w:right="31" w:rightChars="15"/>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服务及配送保障</w:t>
            </w:r>
          </w:p>
        </w:tc>
        <w:tc>
          <w:tcPr>
            <w:tcW w:w="843" w:type="dxa"/>
            <w:vAlign w:val="center"/>
          </w:tcPr>
          <w:p w14:paraId="424862EA">
            <w:pPr>
              <w:pStyle w:val="18"/>
              <w:spacing w:line="240" w:lineRule="auto"/>
              <w:ind w:right="-31" w:rightChars="-15"/>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2</w:t>
            </w:r>
          </w:p>
        </w:tc>
        <w:tc>
          <w:tcPr>
            <w:tcW w:w="5611" w:type="dxa"/>
            <w:vAlign w:val="top"/>
          </w:tcPr>
          <w:p w14:paraId="2694B1CA">
            <w:pPr>
              <w:pStyle w:val="18"/>
              <w:spacing w:line="240" w:lineRule="auto"/>
              <w:ind w:right="-31" w:rightChars="-15"/>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为确保配送的及时性、安全性，需有一定的运输能力，能满足采购人图书馆图书的及时配送及后续服务，得2分；</w:t>
            </w:r>
          </w:p>
          <w:p w14:paraId="68EB730D">
            <w:pPr>
              <w:pStyle w:val="18"/>
              <w:spacing w:line="240" w:lineRule="auto"/>
              <w:ind w:right="-31" w:rightChars="-15"/>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注：投标文件中提供自有货车车辆，注册用户须和投标人名称或法人代表名称一致，投标文件中提供年审有效期内的车辆行驶证及机动车辆登记证书复印件加盖投标人公章；如投标人配备车辆为租用车辆，还需提供车辆租赁或使用权合同复印件加盖投标人公章；未按要求提供的不得分。车辆需为货车等运输车辆，否则不得分。</w:t>
            </w:r>
          </w:p>
        </w:tc>
      </w:tr>
      <w:tr w14:paraId="10255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5" w:hRule="atLeast"/>
          <w:jc w:val="center"/>
        </w:trPr>
        <w:tc>
          <w:tcPr>
            <w:tcW w:w="1074" w:type="dxa"/>
            <w:vMerge w:val="continue"/>
            <w:tcBorders>
              <w:right w:val="single" w:color="000000" w:sz="4" w:space="0"/>
            </w:tcBorders>
            <w:vAlign w:val="center"/>
          </w:tcPr>
          <w:p w14:paraId="3CEAB067">
            <w:pPr>
              <w:pStyle w:val="18"/>
              <w:spacing w:line="240" w:lineRule="auto"/>
              <w:ind w:right="638" w:rightChars="304"/>
              <w:jc w:val="center"/>
              <w:rPr>
                <w:rFonts w:hint="eastAsia" w:ascii="仿宋" w:hAnsi="仿宋" w:eastAsia="仿宋" w:cs="仿宋"/>
                <w:sz w:val="21"/>
                <w:szCs w:val="21"/>
                <w:highlight w:val="none"/>
                <w:vertAlign w:val="baseline"/>
              </w:rPr>
            </w:pPr>
          </w:p>
        </w:tc>
        <w:tc>
          <w:tcPr>
            <w:tcW w:w="994" w:type="dxa"/>
            <w:tcBorders>
              <w:left w:val="single" w:color="000000" w:sz="4" w:space="0"/>
            </w:tcBorders>
            <w:vAlign w:val="center"/>
          </w:tcPr>
          <w:p w14:paraId="4CA3B4F9">
            <w:pPr>
              <w:widowControl/>
              <w:jc w:val="center"/>
              <w:textAlignment w:val="center"/>
              <w:rPr>
                <w:rFonts w:hint="eastAsia" w:ascii="仿宋" w:hAnsi="仿宋" w:eastAsia="仿宋" w:cs="仿宋"/>
                <w:sz w:val="21"/>
                <w:szCs w:val="21"/>
                <w:highlight w:val="none"/>
                <w:vertAlign w:val="baseline"/>
              </w:rPr>
            </w:pPr>
            <w:r>
              <w:rPr>
                <w:rFonts w:hint="eastAsia" w:ascii="仿宋" w:hAnsi="仿宋" w:eastAsia="仿宋" w:cs="仿宋"/>
                <w:color w:val="000000"/>
                <w:szCs w:val="24"/>
                <w:highlight w:val="none"/>
                <w:lang w:bidi="ar"/>
              </w:rPr>
              <w:t>采购率达标情况</w:t>
            </w:r>
          </w:p>
        </w:tc>
        <w:tc>
          <w:tcPr>
            <w:tcW w:w="843" w:type="dxa"/>
            <w:vAlign w:val="center"/>
          </w:tcPr>
          <w:p w14:paraId="5C657C5C">
            <w:pPr>
              <w:widowControl/>
              <w:jc w:val="center"/>
              <w:textAlignment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color w:val="000000"/>
                <w:szCs w:val="24"/>
                <w:highlight w:val="none"/>
                <w:lang w:val="en-US" w:eastAsia="zh-CN" w:bidi="ar"/>
              </w:rPr>
              <w:t>7</w:t>
            </w:r>
          </w:p>
        </w:tc>
        <w:tc>
          <w:tcPr>
            <w:tcW w:w="5611" w:type="dxa"/>
            <w:vAlign w:val="center"/>
          </w:tcPr>
          <w:p w14:paraId="159AE803">
            <w:pPr>
              <w:widowControl/>
              <w:textAlignment w:val="center"/>
              <w:rPr>
                <w:rFonts w:hint="eastAsia" w:ascii="仿宋" w:hAnsi="仿宋" w:eastAsia="仿宋" w:cs="仿宋"/>
                <w:color w:val="000000"/>
                <w:szCs w:val="24"/>
                <w:highlight w:val="none"/>
                <w:lang w:bidi="ar"/>
              </w:rPr>
            </w:pPr>
            <w:r>
              <w:rPr>
                <w:rFonts w:hint="eastAsia" w:ascii="仿宋" w:hAnsi="仿宋" w:eastAsia="仿宋" w:cs="仿宋"/>
                <w:color w:val="000000"/>
                <w:szCs w:val="24"/>
                <w:highlight w:val="none"/>
                <w:lang w:bidi="ar"/>
              </w:rPr>
              <w:t>必须保证提供规定图书品种，供应商</w:t>
            </w:r>
            <w:r>
              <w:rPr>
                <w:rFonts w:hint="eastAsia" w:ascii="仿宋" w:hAnsi="仿宋" w:eastAsia="仿宋" w:cs="仿宋"/>
                <w:color w:val="000000"/>
                <w:szCs w:val="24"/>
                <w:highlight w:val="none"/>
                <w:lang w:val="en-US" w:eastAsia="zh-CN" w:bidi="ar"/>
              </w:rPr>
              <w:t>需提供承诺</w:t>
            </w:r>
            <w:r>
              <w:rPr>
                <w:rFonts w:hint="eastAsia" w:ascii="仿宋" w:hAnsi="仿宋" w:eastAsia="仿宋" w:cs="仿宋"/>
                <w:color w:val="000000"/>
                <w:szCs w:val="24"/>
                <w:highlight w:val="none"/>
                <w:lang w:bidi="ar"/>
              </w:rPr>
              <w:t>以及保证对这些图书的响应度要达到所中标段图书总采购量的80%以上得</w:t>
            </w:r>
            <w:r>
              <w:rPr>
                <w:rFonts w:hint="eastAsia" w:ascii="仿宋" w:hAnsi="仿宋" w:eastAsia="仿宋" w:cs="仿宋"/>
                <w:color w:val="000000"/>
                <w:szCs w:val="24"/>
                <w:highlight w:val="none"/>
                <w:lang w:val="en-US" w:eastAsia="zh-CN" w:bidi="ar"/>
              </w:rPr>
              <w:t>5</w:t>
            </w:r>
            <w:r>
              <w:rPr>
                <w:rFonts w:hint="eastAsia" w:ascii="仿宋" w:hAnsi="仿宋" w:eastAsia="仿宋" w:cs="仿宋"/>
                <w:color w:val="000000"/>
                <w:szCs w:val="24"/>
                <w:highlight w:val="none"/>
                <w:lang w:bidi="ar"/>
              </w:rPr>
              <w:t>分，达不到80%不得分，在此基础上每增加5%得</w:t>
            </w:r>
            <w:r>
              <w:rPr>
                <w:rFonts w:hint="eastAsia" w:ascii="仿宋" w:hAnsi="仿宋" w:eastAsia="仿宋" w:cs="仿宋"/>
                <w:color w:val="000000"/>
                <w:szCs w:val="24"/>
                <w:highlight w:val="none"/>
                <w:lang w:val="en-US" w:eastAsia="zh-CN" w:bidi="ar"/>
              </w:rPr>
              <w:t>0.5</w:t>
            </w:r>
            <w:r>
              <w:rPr>
                <w:rFonts w:hint="eastAsia" w:ascii="仿宋" w:hAnsi="仿宋" w:eastAsia="仿宋" w:cs="仿宋"/>
                <w:color w:val="000000"/>
                <w:szCs w:val="24"/>
                <w:highlight w:val="none"/>
                <w:lang w:bidi="ar"/>
              </w:rPr>
              <w:t>分，最高得</w:t>
            </w:r>
            <w:r>
              <w:rPr>
                <w:rFonts w:hint="eastAsia" w:ascii="仿宋" w:hAnsi="仿宋" w:eastAsia="仿宋" w:cs="仿宋"/>
                <w:color w:val="000000"/>
                <w:szCs w:val="24"/>
                <w:highlight w:val="none"/>
                <w:lang w:val="en-US" w:eastAsia="zh-CN" w:bidi="ar"/>
              </w:rPr>
              <w:t>7</w:t>
            </w:r>
            <w:r>
              <w:rPr>
                <w:rFonts w:hint="eastAsia" w:ascii="仿宋" w:hAnsi="仿宋" w:eastAsia="仿宋" w:cs="仿宋"/>
                <w:color w:val="000000"/>
                <w:szCs w:val="24"/>
                <w:highlight w:val="none"/>
                <w:lang w:bidi="ar"/>
              </w:rPr>
              <w:t>分。</w:t>
            </w:r>
          </w:p>
          <w:p w14:paraId="19C7CCF6">
            <w:pPr>
              <w:widowControl/>
              <w:textAlignment w:val="center"/>
              <w:rPr>
                <w:rFonts w:hint="default" w:ascii="仿宋" w:hAnsi="仿宋" w:eastAsia="仿宋" w:cs="仿宋"/>
                <w:sz w:val="21"/>
                <w:szCs w:val="21"/>
                <w:highlight w:val="none"/>
                <w:vertAlign w:val="baseline"/>
                <w:lang w:val="en-US" w:eastAsia="zh-CN"/>
              </w:rPr>
            </w:pPr>
            <w:r>
              <w:rPr>
                <w:rFonts w:hint="eastAsia" w:ascii="仿宋" w:hAnsi="仿宋" w:eastAsia="仿宋" w:cs="仿宋"/>
                <w:color w:val="000000"/>
                <w:szCs w:val="24"/>
                <w:highlight w:val="none"/>
                <w:lang w:val="en-US" w:eastAsia="zh-CN" w:bidi="ar"/>
              </w:rPr>
              <w:t>注：</w:t>
            </w:r>
            <w:r>
              <w:rPr>
                <w:rFonts w:hint="eastAsia" w:ascii="仿宋" w:hAnsi="仿宋" w:eastAsia="仿宋" w:cs="仿宋"/>
                <w:color w:val="000000"/>
                <w:szCs w:val="24"/>
                <w:highlight w:val="none"/>
                <w:lang w:bidi="ar"/>
              </w:rPr>
              <w:t>供应商</w:t>
            </w:r>
            <w:r>
              <w:rPr>
                <w:rFonts w:hint="eastAsia" w:ascii="仿宋" w:hAnsi="仿宋" w:eastAsia="仿宋" w:cs="仿宋"/>
                <w:color w:val="000000"/>
                <w:szCs w:val="24"/>
                <w:highlight w:val="none"/>
                <w:lang w:val="en-US" w:eastAsia="zh-CN" w:bidi="ar"/>
              </w:rPr>
              <w:t>需提供承诺函</w:t>
            </w:r>
            <w:r>
              <w:rPr>
                <w:rFonts w:hint="eastAsia" w:ascii="仿宋" w:hAnsi="仿宋" w:eastAsia="仿宋" w:cs="仿宋"/>
                <w:color w:val="000000"/>
                <w:szCs w:val="24"/>
                <w:highlight w:val="none"/>
                <w:lang w:bidi="ar"/>
              </w:rPr>
              <w:t>以及保证对这些图书的</w:t>
            </w:r>
            <w:bookmarkStart w:id="87" w:name="_GoBack"/>
            <w:bookmarkEnd w:id="87"/>
            <w:r>
              <w:rPr>
                <w:rFonts w:hint="eastAsia" w:ascii="仿宋" w:hAnsi="仿宋" w:eastAsia="仿宋" w:cs="仿宋"/>
                <w:color w:val="000000"/>
                <w:szCs w:val="24"/>
                <w:highlight w:val="none"/>
                <w:lang w:bidi="ar"/>
              </w:rPr>
              <w:t>响应度要达到所中标段图书总采购量的</w:t>
            </w:r>
            <w:r>
              <w:rPr>
                <w:rFonts w:hint="eastAsia" w:ascii="仿宋" w:hAnsi="仿宋" w:eastAsia="仿宋" w:cs="仿宋"/>
                <w:color w:val="000000"/>
                <w:szCs w:val="24"/>
                <w:highlight w:val="none"/>
                <w:lang w:val="en-US" w:eastAsia="zh-CN" w:bidi="ar"/>
              </w:rPr>
              <w:t>百分比。未提供不得分。</w:t>
            </w:r>
          </w:p>
        </w:tc>
      </w:tr>
      <w:tr w14:paraId="2CE1F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5" w:hRule="atLeast"/>
          <w:jc w:val="center"/>
        </w:trPr>
        <w:tc>
          <w:tcPr>
            <w:tcW w:w="1074" w:type="dxa"/>
            <w:vMerge w:val="continue"/>
            <w:tcBorders>
              <w:right w:val="single" w:color="000000" w:sz="4" w:space="0"/>
            </w:tcBorders>
            <w:vAlign w:val="center"/>
          </w:tcPr>
          <w:p w14:paraId="7867BDA9">
            <w:pPr>
              <w:pStyle w:val="18"/>
              <w:spacing w:line="240" w:lineRule="auto"/>
              <w:ind w:right="638" w:rightChars="304"/>
              <w:jc w:val="center"/>
              <w:rPr>
                <w:rFonts w:hint="eastAsia" w:ascii="仿宋" w:hAnsi="仿宋" w:eastAsia="仿宋" w:cs="仿宋"/>
                <w:sz w:val="21"/>
                <w:szCs w:val="21"/>
                <w:highlight w:val="none"/>
                <w:vertAlign w:val="baseline"/>
              </w:rPr>
            </w:pPr>
          </w:p>
        </w:tc>
        <w:tc>
          <w:tcPr>
            <w:tcW w:w="994" w:type="dxa"/>
            <w:tcBorders>
              <w:left w:val="single" w:color="000000" w:sz="4" w:space="0"/>
            </w:tcBorders>
            <w:vAlign w:val="center"/>
          </w:tcPr>
          <w:p w14:paraId="63F851EA">
            <w:pPr>
              <w:pStyle w:val="18"/>
              <w:spacing w:line="240" w:lineRule="auto"/>
              <w:ind w:right="31" w:rightChars="15"/>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售后服务</w:t>
            </w:r>
          </w:p>
        </w:tc>
        <w:tc>
          <w:tcPr>
            <w:tcW w:w="843" w:type="dxa"/>
            <w:vAlign w:val="center"/>
          </w:tcPr>
          <w:p w14:paraId="297FFEF4">
            <w:pPr>
              <w:pStyle w:val="18"/>
              <w:spacing w:line="240" w:lineRule="auto"/>
              <w:ind w:right="-31" w:rightChars="-15"/>
              <w:jc w:val="center"/>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16</w:t>
            </w:r>
          </w:p>
        </w:tc>
        <w:tc>
          <w:tcPr>
            <w:tcW w:w="5611" w:type="dxa"/>
            <w:vAlign w:val="top"/>
          </w:tcPr>
          <w:p w14:paraId="68BCD356">
            <w:pPr>
              <w:pStyle w:val="18"/>
              <w:numPr>
                <w:ilvl w:val="0"/>
                <w:numId w:val="12"/>
              </w:numPr>
              <w:spacing w:line="240" w:lineRule="auto"/>
              <w:ind w:right="-31" w:rightChars="-15"/>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投标人根据本项目特点，提供售后服务方案包括：1.查重；2.编目加工服务；3.售后服务人员安排；4.售后服务响应；5.出现问题后的处理及赔偿措施；6.退换货服务；7.售后服务保障措施等；每具有一项得2分，最多得14分。提供的方案中每有一处具有缺陷（缺陷是指：存在不适用项目实际情况的情形、凭空编造、方案中内容前后不一致、前后逻辑错误、涉及的规范及标准错误、地点区域错误、内容缺失、不符合项目实际情况等）的扣1分，扣完为止。</w:t>
            </w:r>
          </w:p>
          <w:p w14:paraId="0FF39F8E">
            <w:pPr>
              <w:pStyle w:val="18"/>
              <w:numPr>
                <w:ilvl w:val="0"/>
                <w:numId w:val="12"/>
              </w:numPr>
              <w:spacing w:line="240" w:lineRule="auto"/>
              <w:ind w:right="-31" w:rightChars="-15"/>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当项目遇到困难或问题时，投标人能够承诺在24小时内派人到现场帮助解决，得2分，否则不得分（承诺书必须法人签字并加盖投标单位公章）。</w:t>
            </w:r>
          </w:p>
        </w:tc>
      </w:tr>
    </w:tbl>
    <w:p w14:paraId="009D0AA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p>
    <w:p w14:paraId="59F56906">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委员会每位成员独立对每个有效投标人的投标文件进行评价、打分；然后汇总每个投标人的得分，计算得分平均值，以平均值由高到低进行排序，按排序顺序推荐中标候选人。分值计算保留小数点后二位，第三位四舍五入。</w:t>
      </w:r>
    </w:p>
    <w:p w14:paraId="57CED0A9">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落实中小企业政府采购政策的价格调整：</w:t>
      </w:r>
    </w:p>
    <w:p w14:paraId="7928B0F8">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于未预留份额专门面向中小企业采购的采购项目，以及预留份额项目中的非预留部分采购包，根据《关于进一步加大政府采购支持中小企业力度的通知》（财库〔2022〕19号）、《关于印发《政府采购促进中小企业发展管理办法》的通知》（财库〔2020〕46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或《残疾人福利性单位声明函》或省级以上监狱管理局、戒毒管理局（含新疆生产建设兵团）出具的属于监狱企业的证明文件的投标人，其投标报价扣除</w:t>
      </w:r>
      <w:r>
        <w:rPr>
          <w:rFonts w:hint="eastAsia" w:ascii="仿宋" w:hAnsi="仿宋" w:eastAsia="仿宋" w:cs="仿宋"/>
          <w:b w:val="0"/>
          <w:bCs w:val="0"/>
          <w:color w:val="auto"/>
          <w:sz w:val="24"/>
          <w:szCs w:val="24"/>
          <w:highlight w:val="none"/>
          <w:u w:val="single"/>
          <w:lang w:val="en-US" w:eastAsia="zh-CN"/>
        </w:rPr>
        <w:t xml:space="preserve"> 10 % </w:t>
      </w:r>
      <w:r>
        <w:rPr>
          <w:rFonts w:hint="eastAsia" w:ascii="仿宋" w:hAnsi="仿宋" w:eastAsia="仿宋" w:cs="仿宋"/>
          <w:b w:val="0"/>
          <w:bCs w:val="0"/>
          <w:color w:val="auto"/>
          <w:sz w:val="24"/>
          <w:szCs w:val="24"/>
          <w:highlight w:val="none"/>
          <w:lang w:val="en-US" w:eastAsia="zh-CN"/>
        </w:rPr>
        <w:t>后参与评审。对于同时属于小微企业、监狱企业或残疾人福利性单位的，不重复进行投标报价扣除。</w:t>
      </w:r>
    </w:p>
    <w:p w14:paraId="7236933E">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hint="eastAsia" w:ascii="仿宋" w:hAnsi="仿宋" w:eastAsia="仿宋" w:cs="仿宋"/>
          <w:b w:val="0"/>
          <w:bCs w:val="0"/>
          <w:color w:val="auto"/>
          <w:sz w:val="24"/>
          <w:szCs w:val="24"/>
          <w:highlight w:val="none"/>
          <w:u w:val="single"/>
          <w:lang w:val="en-US" w:eastAsia="zh-CN"/>
        </w:rPr>
        <w:t xml:space="preserve"> 30 %</w:t>
      </w:r>
      <w:r>
        <w:rPr>
          <w:rFonts w:hint="eastAsia" w:ascii="仿宋" w:hAnsi="仿宋" w:eastAsia="仿宋" w:cs="仿宋"/>
          <w:b w:val="0"/>
          <w:bCs w:val="0"/>
          <w:color w:val="auto"/>
          <w:sz w:val="24"/>
          <w:szCs w:val="24"/>
          <w:highlight w:val="none"/>
          <w:lang w:val="en-US" w:eastAsia="zh-CN"/>
        </w:rPr>
        <w:t>以上的联合体或者大中型企业的报价给予</w:t>
      </w:r>
      <w:r>
        <w:rPr>
          <w:rFonts w:hint="eastAsia" w:ascii="仿宋" w:hAnsi="仿宋" w:eastAsia="仿宋" w:cs="仿宋"/>
          <w:b w:val="0"/>
          <w:bCs w:val="0"/>
          <w:color w:val="auto"/>
          <w:sz w:val="24"/>
          <w:szCs w:val="24"/>
          <w:highlight w:val="none"/>
          <w:u w:val="single"/>
          <w:lang w:val="en-US" w:eastAsia="zh-CN"/>
        </w:rPr>
        <w:t xml:space="preserve"> 4% </w:t>
      </w:r>
      <w:r>
        <w:rPr>
          <w:rFonts w:hint="eastAsia" w:ascii="仿宋" w:hAnsi="仿宋" w:eastAsia="仿宋" w:cs="仿宋"/>
          <w:b w:val="0"/>
          <w:bCs w:val="0"/>
          <w:color w:val="auto"/>
          <w:sz w:val="24"/>
          <w:szCs w:val="24"/>
          <w:highlight w:val="none"/>
          <w:lang w:val="en-US" w:eastAsia="zh-CN"/>
        </w:rPr>
        <w:t>的扣除，用扣除后的价格参加评审。</w:t>
      </w:r>
    </w:p>
    <w:p w14:paraId="3A69E447">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组成联合体或者接受分包的小微企业与联合体内其他企业、分包企业之间存在直接控股、管理关系的，不享受价格扣除优惠政策。</w:t>
      </w:r>
    </w:p>
    <w:p w14:paraId="3DF7C291">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价格扣除比例对小型企业和微型企业同等对待，不作区分。</w:t>
      </w:r>
    </w:p>
    <w:p w14:paraId="73C38CE9">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中小企业参加政府采购活动，应当按照招标文件给定的格式出具《中小企业声明函》，否则不得享受相关中小企业扶持政策。</w:t>
      </w:r>
    </w:p>
    <w:p w14:paraId="10E699A8">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监狱企业提供了由省级以上监狱管理局、戒毒管理局（含新疆生产建设兵团）出具的属于监狱企业的证明文件的，视同小微企业。</w:t>
      </w:r>
    </w:p>
    <w:p w14:paraId="32A3416A">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残疾人福利性单位按招标文件要求提供了《残疾人福利性单位声明函》（见附件）的，视同小微企业。</w:t>
      </w:r>
    </w:p>
    <w:p w14:paraId="450699DF">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若投标人同时属于小型或微型企业、监狱企业、残疾人福利性单位中的两种及以上，将不重复享受小微企业价格扣减的优惠政策。</w:t>
      </w:r>
    </w:p>
    <w:p w14:paraId="276D7572">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single"/>
          <w:lang w:val="en-US" w:eastAsia="zh-CN"/>
        </w:rPr>
      </w:pPr>
      <w:r>
        <w:rPr>
          <w:rFonts w:hint="eastAsia" w:ascii="仿宋" w:hAnsi="仿宋" w:eastAsia="仿宋" w:cs="仿宋"/>
          <w:b w:val="0"/>
          <w:bCs w:val="0"/>
          <w:color w:val="auto"/>
          <w:sz w:val="24"/>
          <w:szCs w:val="24"/>
          <w:highlight w:val="none"/>
          <w:lang w:val="en-US" w:eastAsia="zh-CN"/>
        </w:rPr>
        <w:t>投标人所投产品如被列入财政部与国家主管部门颁发的节能产品目录或环境标志产品目录或无线局域网产品目录，应提供相关证明，在评标时予以优先采购，具体优惠措施为：</w:t>
      </w:r>
      <w:r>
        <w:rPr>
          <w:rFonts w:hint="eastAsia" w:ascii="仿宋" w:hAnsi="仿宋" w:eastAsia="仿宋" w:cs="仿宋"/>
          <w:b w:val="0"/>
          <w:bCs w:val="0"/>
          <w:color w:val="auto"/>
          <w:sz w:val="24"/>
          <w:szCs w:val="24"/>
          <w:highlight w:val="none"/>
          <w:u w:val="single"/>
          <w:lang w:val="en-US" w:eastAsia="zh-CN"/>
        </w:rPr>
        <w:t>综合得分相同时排名优先。</w:t>
      </w:r>
    </w:p>
    <w:p w14:paraId="739AA0D1">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single"/>
          <w:lang w:val="en-US" w:eastAsia="zh-CN"/>
        </w:rPr>
      </w:pPr>
      <w:r>
        <w:rPr>
          <w:rFonts w:hint="eastAsia" w:ascii="仿宋" w:hAnsi="仿宋" w:eastAsia="仿宋" w:cs="仿宋"/>
          <w:b w:val="0"/>
          <w:bCs w:val="0"/>
          <w:color w:val="auto"/>
          <w:sz w:val="24"/>
          <w:szCs w:val="24"/>
          <w:highlight w:val="none"/>
          <w:u w:val="none"/>
          <w:lang w:val="en-US" w:eastAsia="zh-CN"/>
        </w:rPr>
        <w:t>如采购人所采购产品为政府强制采购的节能产品，投标人所投产品的品牌及型号必须为清单中有效期内产品并提供证明文件，否则其投标将作为</w:t>
      </w:r>
      <w:r>
        <w:rPr>
          <w:rFonts w:hint="eastAsia" w:ascii="仿宋" w:hAnsi="仿宋" w:eastAsia="仿宋" w:cs="仿宋"/>
          <w:b/>
          <w:bCs/>
          <w:color w:val="auto"/>
          <w:sz w:val="24"/>
          <w:szCs w:val="24"/>
          <w:highlight w:val="none"/>
          <w:u w:val="none"/>
          <w:lang w:val="en-US" w:eastAsia="zh-CN"/>
        </w:rPr>
        <w:t>无效投标</w:t>
      </w:r>
      <w:r>
        <w:rPr>
          <w:rFonts w:hint="eastAsia" w:ascii="仿宋" w:hAnsi="仿宋" w:eastAsia="仿宋" w:cs="仿宋"/>
          <w:b w:val="0"/>
          <w:bCs w:val="0"/>
          <w:color w:val="auto"/>
          <w:sz w:val="24"/>
          <w:szCs w:val="24"/>
          <w:highlight w:val="none"/>
          <w:u w:val="none"/>
          <w:lang w:val="en-US" w:eastAsia="zh-CN"/>
        </w:rPr>
        <w:t>被拒绝。</w:t>
      </w:r>
    </w:p>
    <w:p w14:paraId="55772946">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投标人所投产品列入无线局域网产品清单，应提供相关证明，在评标时予以优先采购，具体优惠措施为：</w:t>
      </w:r>
      <w:r>
        <w:rPr>
          <w:rFonts w:hint="eastAsia" w:ascii="仿宋" w:hAnsi="仿宋" w:eastAsia="仿宋" w:cs="仿宋"/>
          <w:b w:val="0"/>
          <w:bCs w:val="0"/>
          <w:color w:val="auto"/>
          <w:sz w:val="24"/>
          <w:szCs w:val="24"/>
          <w:highlight w:val="none"/>
          <w:u w:val="single"/>
          <w:lang w:val="en-US" w:eastAsia="zh-CN"/>
        </w:rPr>
        <w:t>综合得分相同时排名优先 。</w:t>
      </w:r>
    </w:p>
    <w:p w14:paraId="67D010E1">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同品牌处理办法：</w:t>
      </w:r>
    </w:p>
    <w:p w14:paraId="43D88347">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如采用最低评标办法，则：</w:t>
      </w:r>
      <w:r>
        <w:rPr>
          <w:rFonts w:hint="eastAsia" w:ascii="仿宋" w:hAnsi="仿宋" w:eastAsia="仿宋" w:cs="仿宋"/>
          <w:b w:val="0"/>
          <w:bCs w:val="0"/>
          <w:color w:val="auto"/>
          <w:sz w:val="24"/>
          <w:szCs w:val="24"/>
          <w:highlight w:val="none"/>
          <w:u w:val="single"/>
          <w:lang w:val="en-US" w:eastAsia="zh-CN"/>
        </w:rPr>
        <w:t>提供相同品牌产品（单一产品或核心产品品牌相同）的不同投标人以其中通过资格审查、符合性审查且报价最低的参加评标；报价相同的，由采购人或者采购人委托评标委员会采取随机抽取方式确定，其他同品牌投标人不作为中标候选人。</w:t>
      </w:r>
    </w:p>
    <w:p w14:paraId="3AB67915">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如采用综合评标法，则：</w:t>
      </w:r>
      <w:r>
        <w:rPr>
          <w:rFonts w:hint="eastAsia" w:ascii="仿宋" w:hAnsi="仿宋" w:eastAsia="仿宋" w:cs="仿宋"/>
          <w:b w:val="0"/>
          <w:bCs w:val="0"/>
          <w:color w:val="auto"/>
          <w:sz w:val="24"/>
          <w:szCs w:val="24"/>
          <w:highlight w:val="none"/>
          <w:u w:val="single"/>
          <w:lang w:val="en-US" w:eastAsia="zh-CN"/>
        </w:rPr>
        <w:t>提供相同品牌产品（单一产品或核心产品品牌相同）且通过资格审查、符合性审查的不同投标人参加同一合同项下投标的，按一家投标人计算，评审后得分最高的同品牌投标人获得中标人推荐资格；评审得分相同的，以投标报价低的为中标候选人；评审得分且投标报价均相同的，以技术部分得分高者为中标候选人；若投标报价、技术部分均相同的，由评标委员会采取随机抽取方式确定，其他同品牌投标人不作为中标候选人。</w:t>
      </w:r>
    </w:p>
    <w:p w14:paraId="70318362">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如一个分包内包含多种产品的，采购人或采购代理机构将在</w:t>
      </w:r>
      <w:r>
        <w:rPr>
          <w:rFonts w:hint="eastAsia" w:ascii="仿宋" w:hAnsi="仿宋" w:eastAsia="仿宋" w:cs="仿宋"/>
          <w:b w:val="0"/>
          <w:bCs w:val="0"/>
          <w:color w:val="auto"/>
          <w:sz w:val="24"/>
          <w:szCs w:val="24"/>
          <w:highlight w:val="none"/>
          <w:u w:val="single"/>
          <w:lang w:val="en-US" w:eastAsia="zh-CN"/>
        </w:rPr>
        <w:t>投标人须知前附表</w:t>
      </w:r>
      <w:r>
        <w:rPr>
          <w:rFonts w:hint="eastAsia" w:ascii="仿宋" w:hAnsi="仿宋" w:eastAsia="仿宋" w:cs="仿宋"/>
          <w:b w:val="0"/>
          <w:bCs w:val="0"/>
          <w:color w:val="auto"/>
          <w:sz w:val="24"/>
          <w:szCs w:val="24"/>
          <w:highlight w:val="none"/>
          <w:u w:val="none"/>
          <w:lang w:val="en-US" w:eastAsia="zh-CN"/>
        </w:rPr>
        <w:t xml:space="preserve">中载明核心产品，多家投标人提供的所有核心产品品牌均相同的，按前两条规定处理。 </w:t>
      </w:r>
    </w:p>
    <w:p w14:paraId="1D166F5D">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确定中标候选人名单</w:t>
      </w:r>
    </w:p>
    <w:p w14:paraId="7614D004">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分分值计算保留小数点后两位，第三位四舍五入。</w:t>
      </w:r>
    </w:p>
    <w:p w14:paraId="58C1EB90">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采用最低评标价法的，评标结果按投标报价由低到高顺序排列。投标报价相同的并列。投标文件满足招标文件全部实质性要求且投标报价最低的投标人为排名第一的中标候选人。</w:t>
      </w:r>
    </w:p>
    <w:p w14:paraId="61BA8056">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评标委员会要对评分汇总情况进行复核，特别是对排名第一的、报价最低的、投标或响应文件被认定为无效的情形进行重点复核。</w:t>
      </w:r>
    </w:p>
    <w:p w14:paraId="2703B821">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评标委员会将根据各投标人的评标排序，依次推荐本项目（各采购包/标项）的中标候选人，起草并签署评标报告。本项目（各采购包/标项）评标委员会共（各）推荐</w:t>
      </w:r>
      <w:r>
        <w:rPr>
          <w:rFonts w:hint="eastAsia" w:ascii="仿宋" w:hAnsi="仿宋" w:eastAsia="仿宋" w:cs="仿宋"/>
          <w:b w:val="0"/>
          <w:bCs w:val="0"/>
          <w:color w:val="auto"/>
          <w:sz w:val="24"/>
          <w:szCs w:val="24"/>
          <w:highlight w:val="none"/>
          <w:u w:val="single"/>
          <w:lang w:val="en-US" w:eastAsia="zh-CN"/>
        </w:rPr>
        <w:t xml:space="preserve"> 1 </w:t>
      </w:r>
      <w:r>
        <w:rPr>
          <w:rFonts w:hint="eastAsia" w:ascii="仿宋" w:hAnsi="仿宋" w:eastAsia="仿宋" w:cs="仿宋"/>
          <w:b w:val="0"/>
          <w:bCs w:val="0"/>
          <w:color w:val="auto"/>
          <w:sz w:val="24"/>
          <w:szCs w:val="24"/>
          <w:highlight w:val="none"/>
          <w:u w:val="none"/>
          <w:lang w:val="en-US" w:eastAsia="zh-CN"/>
        </w:rPr>
        <w:t>名中标候选人。</w:t>
      </w:r>
    </w:p>
    <w:p w14:paraId="52FC82DF">
      <w:pPr>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br w:type="page"/>
      </w:r>
    </w:p>
    <w:p w14:paraId="391B4BC4">
      <w:pPr>
        <w:pStyle w:val="2"/>
        <w:numPr>
          <w:ilvl w:val="0"/>
          <w:numId w:val="1"/>
        </w:numPr>
        <w:bidi w:val="0"/>
        <w:jc w:val="center"/>
        <w:rPr>
          <w:rFonts w:hint="eastAsia" w:ascii="仿宋" w:hAnsi="仿宋" w:eastAsia="仿宋" w:cs="仿宋"/>
          <w:color w:val="auto"/>
          <w:sz w:val="32"/>
          <w:szCs w:val="32"/>
          <w:highlight w:val="none"/>
          <w:lang w:val="en-US" w:eastAsia="zh-CN"/>
        </w:rPr>
      </w:pPr>
      <w:bookmarkStart w:id="25" w:name="_Toc31337"/>
      <w:r>
        <w:rPr>
          <w:rFonts w:hint="eastAsia" w:ascii="仿宋" w:hAnsi="仿宋" w:eastAsia="仿宋" w:cs="仿宋"/>
          <w:color w:val="auto"/>
          <w:sz w:val="32"/>
          <w:szCs w:val="32"/>
          <w:highlight w:val="none"/>
          <w:lang w:val="en-US" w:eastAsia="zh-CN"/>
        </w:rPr>
        <w:t>投标文件格式</w:t>
      </w:r>
      <w:bookmarkEnd w:id="25"/>
    </w:p>
    <w:p w14:paraId="38C3802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u w:val="none"/>
          <w:lang w:val="en-US" w:eastAsia="zh-CN"/>
        </w:rPr>
      </w:pPr>
    </w:p>
    <w:p w14:paraId="1AC1493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color w:val="auto"/>
          <w:sz w:val="24"/>
          <w:szCs w:val="24"/>
          <w:highlight w:val="none"/>
          <w:u w:val="none"/>
          <w:lang w:val="en-US" w:eastAsia="zh-CN"/>
        </w:rPr>
      </w:pPr>
      <w:r>
        <w:rPr>
          <w:rFonts w:hint="eastAsia" w:ascii="仿宋" w:hAnsi="仿宋" w:eastAsia="仿宋" w:cs="仿宋"/>
          <w:b/>
          <w:bCs/>
          <w:color w:val="auto"/>
          <w:sz w:val="24"/>
          <w:szCs w:val="24"/>
          <w:highlight w:val="none"/>
          <w:u w:val="none"/>
          <w:lang w:val="en-US" w:eastAsia="zh-CN"/>
        </w:rPr>
        <w:t>投标人编制文件须知</w:t>
      </w:r>
    </w:p>
    <w:p w14:paraId="17559FD2">
      <w:pPr>
        <w:keepNext w:val="0"/>
        <w:keepLines w:val="0"/>
        <w:pageBreakBefore w:val="0"/>
        <w:widowControl w:val="0"/>
        <w:numPr>
          <w:ilvl w:val="0"/>
          <w:numId w:val="13"/>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为保证评标工作的顺利进行，各投标人需参照如下的格式，认真进行投标文件的编写工作。需建立详细的目录。</w:t>
      </w:r>
    </w:p>
    <w:p w14:paraId="401B497A">
      <w:pPr>
        <w:keepNext w:val="0"/>
        <w:keepLines w:val="0"/>
        <w:pageBreakBefore w:val="0"/>
        <w:widowControl w:val="0"/>
        <w:numPr>
          <w:ilvl w:val="0"/>
          <w:numId w:val="13"/>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各投标人提交文件中涉及商业机密的，应明确标明，采购人及最终用户将给予保密处理，否则视为公开资料。</w:t>
      </w:r>
    </w:p>
    <w:p w14:paraId="5E43C7B1">
      <w:pPr>
        <w:keepNext w:val="0"/>
        <w:keepLines w:val="0"/>
        <w:pageBreakBefore w:val="0"/>
        <w:widowControl w:val="0"/>
        <w:numPr>
          <w:ilvl w:val="0"/>
          <w:numId w:val="13"/>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全部声明和问题的回答及所附材料必须是真实的、准确的和完整的。</w:t>
      </w:r>
    </w:p>
    <w:p w14:paraId="2C730AFD">
      <w:pPr>
        <w:keepNext w:val="0"/>
        <w:keepLines w:val="0"/>
        <w:pageBreakBefore w:val="0"/>
        <w:widowControl w:val="0"/>
        <w:numPr>
          <w:ilvl w:val="0"/>
          <w:numId w:val="13"/>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本采购文件中所要求加盖的投标人公章是指与供应商名称全称相一致的“行政公章”，不得加盖其它“合同专用章、投标专用章、财务专用章”等非行政公章；“签字”是指供应商法定代表人（单位负责人）或授权委托人在采购文件规定处亲笔写上本人姓名（含电子签名）；“法定代表人（单位负责人）签章或印鉴”是指供应商法定代表人（单位负责人）在采购文件规定处加盖个人名章、手签章、印鉴等。</w:t>
      </w:r>
    </w:p>
    <w:p w14:paraId="562B443E">
      <w:pPr>
        <w:keepNext w:val="0"/>
        <w:keepLines w:val="0"/>
        <w:pageBreakBefore w:val="0"/>
        <w:widowControl w:val="0"/>
        <w:numPr>
          <w:ilvl w:val="0"/>
          <w:numId w:val="13"/>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“法定代表人（单位负责人）”指供应商营业执照或登记证书载明的“法定代表人”、“负责人”、“执行事务合伙人”、“投资人”等。</w:t>
      </w:r>
    </w:p>
    <w:p w14:paraId="1372BDE4">
      <w:pPr>
        <w:keepNext w:val="0"/>
        <w:keepLines w:val="0"/>
        <w:pageBreakBefore w:val="0"/>
        <w:widowControl w:val="0"/>
        <w:numPr>
          <w:ilvl w:val="0"/>
          <w:numId w:val="13"/>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以联合体参加的，除采购文件格式中要求外，采购文件要求的供应商盖章处应按加盖联合体协议中约定的联合体牵头人公章或所有联合体成员公章。</w:t>
      </w:r>
    </w:p>
    <w:p w14:paraId="5F7D83A1">
      <w:pPr>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br w:type="page"/>
      </w:r>
    </w:p>
    <w:p w14:paraId="0A39CCEF">
      <w:pPr>
        <w:keepNext w:val="0"/>
        <w:keepLines w:val="0"/>
        <w:widowControl/>
        <w:suppressLineNumbers w:val="0"/>
        <w:jc w:val="left"/>
        <w:rPr>
          <w:rFonts w:hint="eastAsia" w:ascii="仿宋" w:hAnsi="仿宋" w:eastAsia="仿宋" w:cs="仿宋"/>
          <w:b/>
          <w:bCs/>
          <w:color w:val="auto"/>
          <w:kern w:val="0"/>
          <w:sz w:val="24"/>
          <w:szCs w:val="24"/>
          <w:highlight w:val="none"/>
          <w:lang w:val="en-US" w:eastAsia="zh-CN" w:bidi="ar"/>
        </w:rPr>
      </w:pPr>
    </w:p>
    <w:p w14:paraId="7EC305AD">
      <w:pPr>
        <w:keepNext w:val="0"/>
        <w:keepLines w:val="0"/>
        <w:widowControl/>
        <w:suppressLineNumbers w:val="0"/>
        <w:jc w:val="left"/>
        <w:outlineLvl w:val="1"/>
        <w:rPr>
          <w:rFonts w:hint="eastAsia" w:ascii="仿宋" w:hAnsi="仿宋" w:eastAsia="仿宋" w:cs="仿宋"/>
          <w:b/>
          <w:bCs/>
          <w:color w:val="auto"/>
          <w:kern w:val="0"/>
          <w:sz w:val="24"/>
          <w:szCs w:val="24"/>
          <w:highlight w:val="none"/>
          <w:lang w:val="en-US" w:eastAsia="zh-CN" w:bidi="ar"/>
        </w:rPr>
      </w:pPr>
      <w:bookmarkStart w:id="26" w:name="_Toc10196"/>
      <w:r>
        <w:rPr>
          <w:rFonts w:hint="eastAsia" w:ascii="仿宋" w:hAnsi="仿宋" w:eastAsia="仿宋" w:cs="仿宋"/>
          <w:b/>
          <w:bCs/>
          <w:color w:val="auto"/>
          <w:kern w:val="0"/>
          <w:sz w:val="24"/>
          <w:szCs w:val="24"/>
          <w:highlight w:val="none"/>
          <w:lang w:val="en-US" w:eastAsia="zh-CN" w:bidi="ar"/>
        </w:rPr>
        <w:t>投标文件封面（参考格式）</w:t>
      </w:r>
      <w:bookmarkEnd w:id="26"/>
    </w:p>
    <w:p w14:paraId="5CE81555">
      <w:pPr>
        <w:keepNext w:val="0"/>
        <w:keepLines w:val="0"/>
        <w:widowControl/>
        <w:suppressLineNumbers w:val="0"/>
        <w:jc w:val="left"/>
        <w:rPr>
          <w:rFonts w:hint="eastAsia" w:ascii="仿宋" w:hAnsi="仿宋" w:eastAsia="仿宋" w:cs="仿宋"/>
          <w:b/>
          <w:bCs/>
          <w:color w:val="auto"/>
          <w:kern w:val="0"/>
          <w:sz w:val="84"/>
          <w:szCs w:val="84"/>
          <w:highlight w:val="none"/>
          <w:lang w:val="en-US" w:eastAsia="zh-CN" w:bidi="ar"/>
        </w:rPr>
      </w:pPr>
    </w:p>
    <w:p w14:paraId="17446802">
      <w:pPr>
        <w:keepNext w:val="0"/>
        <w:keepLines w:val="0"/>
        <w:widowControl/>
        <w:suppressLineNumbers w:val="0"/>
        <w:jc w:val="left"/>
        <w:rPr>
          <w:rFonts w:hint="eastAsia" w:ascii="仿宋" w:hAnsi="仿宋" w:eastAsia="仿宋" w:cs="仿宋"/>
          <w:b/>
          <w:bCs/>
          <w:color w:val="auto"/>
          <w:kern w:val="0"/>
          <w:sz w:val="84"/>
          <w:szCs w:val="84"/>
          <w:highlight w:val="none"/>
          <w:lang w:val="en-US" w:eastAsia="zh-CN" w:bidi="ar"/>
        </w:rPr>
      </w:pPr>
    </w:p>
    <w:p w14:paraId="482DE609">
      <w:pPr>
        <w:keepNext w:val="0"/>
        <w:keepLines w:val="0"/>
        <w:widowControl/>
        <w:suppressLineNumbers w:val="0"/>
        <w:jc w:val="center"/>
        <w:rPr>
          <w:rFonts w:hint="eastAsia" w:ascii="仿宋" w:hAnsi="仿宋" w:eastAsia="仿宋" w:cs="仿宋"/>
          <w:color w:val="auto"/>
          <w:highlight w:val="none"/>
        </w:rPr>
      </w:pPr>
      <w:r>
        <w:rPr>
          <w:rFonts w:hint="eastAsia" w:ascii="仿宋" w:hAnsi="仿宋" w:eastAsia="仿宋" w:cs="仿宋"/>
          <w:b/>
          <w:bCs/>
          <w:color w:val="auto"/>
          <w:kern w:val="0"/>
          <w:sz w:val="84"/>
          <w:szCs w:val="84"/>
          <w:highlight w:val="none"/>
          <w:lang w:val="en-US" w:eastAsia="zh-CN" w:bidi="ar"/>
        </w:rPr>
        <w:t>投标文件</w:t>
      </w:r>
    </w:p>
    <w:p w14:paraId="46C3F7CC">
      <w:pPr>
        <w:keepNext w:val="0"/>
        <w:keepLines w:val="0"/>
        <w:widowControl/>
        <w:suppressLineNumbers w:val="0"/>
        <w:jc w:val="left"/>
        <w:rPr>
          <w:rFonts w:hint="eastAsia" w:ascii="仿宋" w:hAnsi="仿宋" w:eastAsia="仿宋" w:cs="仿宋"/>
          <w:b/>
          <w:bCs/>
          <w:color w:val="auto"/>
          <w:kern w:val="0"/>
          <w:sz w:val="52"/>
          <w:szCs w:val="52"/>
          <w:highlight w:val="none"/>
          <w:lang w:val="en-US" w:eastAsia="zh-CN" w:bidi="ar"/>
        </w:rPr>
      </w:pPr>
    </w:p>
    <w:p w14:paraId="45783643">
      <w:pPr>
        <w:keepNext w:val="0"/>
        <w:keepLines w:val="0"/>
        <w:widowControl/>
        <w:suppressLineNumbers w:val="0"/>
        <w:jc w:val="left"/>
        <w:rPr>
          <w:rFonts w:hint="eastAsia" w:ascii="仿宋" w:hAnsi="仿宋" w:eastAsia="仿宋" w:cs="仿宋"/>
          <w:b/>
          <w:bCs/>
          <w:color w:val="auto"/>
          <w:kern w:val="0"/>
          <w:sz w:val="52"/>
          <w:szCs w:val="52"/>
          <w:highlight w:val="none"/>
          <w:lang w:val="en-US" w:eastAsia="zh-CN" w:bidi="ar"/>
        </w:rPr>
      </w:pPr>
    </w:p>
    <w:p w14:paraId="7184EC7B">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b/>
          <w:bCs/>
          <w:color w:val="auto"/>
          <w:kern w:val="0"/>
          <w:sz w:val="52"/>
          <w:szCs w:val="52"/>
          <w:highlight w:val="none"/>
          <w:lang w:val="en-US" w:eastAsia="zh-CN" w:bidi="ar"/>
        </w:rPr>
        <w:t xml:space="preserve"> </w:t>
      </w:r>
    </w:p>
    <w:p w14:paraId="02F83763">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44A7B3A0">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61802124">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6B21AD4A">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b/>
          <w:bCs/>
          <w:color w:val="auto"/>
          <w:kern w:val="0"/>
          <w:sz w:val="31"/>
          <w:szCs w:val="31"/>
          <w:highlight w:val="none"/>
          <w:lang w:val="en-US" w:eastAsia="zh-CN" w:bidi="ar"/>
        </w:rPr>
        <w:t xml:space="preserve">项目名称: </w:t>
      </w:r>
    </w:p>
    <w:p w14:paraId="48C81617">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b/>
          <w:bCs/>
          <w:color w:val="auto"/>
          <w:kern w:val="0"/>
          <w:sz w:val="31"/>
          <w:szCs w:val="31"/>
          <w:highlight w:val="none"/>
          <w:lang w:val="en-US" w:eastAsia="zh-CN" w:bidi="ar"/>
        </w:rPr>
        <w:t xml:space="preserve">项目编号/包号： </w:t>
      </w:r>
    </w:p>
    <w:p w14:paraId="7DC60B62">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42ECF2A8">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1B5A29FE">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78B7A4D4">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r>
        <w:rPr>
          <w:rFonts w:hint="eastAsia" w:ascii="仿宋" w:hAnsi="仿宋" w:eastAsia="仿宋" w:cs="仿宋"/>
          <w:b/>
          <w:bCs/>
          <w:color w:val="auto"/>
          <w:kern w:val="0"/>
          <w:sz w:val="31"/>
          <w:szCs w:val="31"/>
          <w:highlight w:val="none"/>
          <w:lang w:val="en-US" w:eastAsia="zh-CN" w:bidi="ar"/>
        </w:rPr>
        <w:t>投标人名称（盖公章）：</w:t>
      </w:r>
    </w:p>
    <w:p w14:paraId="4C85FE5B">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r>
        <w:rPr>
          <w:rFonts w:hint="eastAsia" w:ascii="仿宋" w:hAnsi="仿宋" w:eastAsia="仿宋" w:cs="仿宋"/>
          <w:b/>
          <w:bCs/>
          <w:color w:val="auto"/>
          <w:kern w:val="0"/>
          <w:sz w:val="31"/>
          <w:szCs w:val="31"/>
          <w:highlight w:val="none"/>
          <w:lang w:val="en-US" w:eastAsia="zh-CN" w:bidi="ar"/>
        </w:rPr>
        <w:t>法定代表人或其授权代表（签字或印鉴）：</w:t>
      </w:r>
    </w:p>
    <w:p w14:paraId="25E01771">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2A83F389">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2FD92AC0">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1   满足《中华人民共和国政府采购法》第二十二条规定及法律法规的其他规定 </w:t>
      </w:r>
    </w:p>
    <w:p w14:paraId="58EBE56B">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lang w:val="en-US" w:eastAsia="zh-CN" w:bidi="ar"/>
        </w:rPr>
      </w:pPr>
    </w:p>
    <w:p w14:paraId="47CB6269">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附件 1-1 法人或者其他组织的营业执照等证明文件或自然人的身份证明复印件;</w:t>
      </w:r>
    </w:p>
    <w:p w14:paraId="0A991E62">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kern w:val="0"/>
          <w:sz w:val="24"/>
          <w:szCs w:val="24"/>
          <w:highlight w:val="none"/>
          <w:lang w:val="en-US" w:eastAsia="zh-CN" w:bidi="ar"/>
        </w:rPr>
      </w:pPr>
    </w:p>
    <w:p w14:paraId="5D80B802">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kern w:val="0"/>
          <w:sz w:val="24"/>
          <w:szCs w:val="24"/>
          <w:highlight w:val="none"/>
          <w:lang w:val="en-US" w:eastAsia="zh-CN" w:bidi="ar"/>
        </w:rPr>
      </w:pPr>
    </w:p>
    <w:p w14:paraId="7931958E">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75C40F4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 xml:space="preserve">附件 </w:t>
      </w:r>
      <w:r>
        <w:rPr>
          <w:rFonts w:hint="eastAsia" w:ascii="仿宋" w:hAnsi="仿宋" w:eastAsia="仿宋" w:cs="仿宋"/>
          <w:color w:val="auto"/>
          <w:kern w:val="0"/>
          <w:sz w:val="24"/>
          <w:highlight w:val="none"/>
          <w:u w:val="none"/>
          <w:lang w:val="en-US" w:eastAsia="zh-CN" w:bidi="ar"/>
        </w:rPr>
        <w:t>1</w:t>
      </w:r>
      <w:r>
        <w:rPr>
          <w:rFonts w:hint="eastAsia" w:ascii="仿宋" w:hAnsi="仿宋" w:eastAsia="仿宋" w:cs="仿宋"/>
          <w:color w:val="auto"/>
          <w:kern w:val="0"/>
          <w:sz w:val="24"/>
          <w:highlight w:val="none"/>
          <w:u w:val="none"/>
          <w:lang w:bidi="ar"/>
        </w:rPr>
        <w:t>-</w:t>
      </w:r>
      <w:r>
        <w:rPr>
          <w:rFonts w:hint="eastAsia" w:ascii="仿宋" w:hAnsi="仿宋" w:eastAsia="仿宋" w:cs="仿宋"/>
          <w:color w:val="auto"/>
          <w:kern w:val="0"/>
          <w:sz w:val="24"/>
          <w:highlight w:val="none"/>
          <w:u w:val="none"/>
          <w:lang w:val="en-US" w:eastAsia="zh-CN" w:bidi="ar"/>
        </w:rPr>
        <w:t>2</w:t>
      </w:r>
      <w:r>
        <w:rPr>
          <w:rFonts w:hint="eastAsia" w:ascii="仿宋" w:hAnsi="仿宋" w:eastAsia="仿宋" w:cs="仿宋"/>
          <w:color w:val="auto"/>
          <w:kern w:val="0"/>
          <w:sz w:val="24"/>
          <w:highlight w:val="none"/>
          <w:u w:val="none"/>
          <w:lang w:bidi="ar"/>
        </w:rPr>
        <w:t xml:space="preserve"> 投标人具有良好的商业信誉和健全的财务会计制度的证明文件</w:t>
      </w:r>
    </w:p>
    <w:p w14:paraId="2A00290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说明：</w:t>
      </w:r>
    </w:p>
    <w:p w14:paraId="767E0A8B">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kern w:val="0"/>
          <w:sz w:val="24"/>
          <w:highlight w:val="none"/>
          <w:u w:val="none"/>
          <w:lang w:bidi="ar"/>
        </w:rPr>
      </w:pPr>
      <w:bookmarkStart w:id="27" w:name="_Toc16703"/>
      <w:r>
        <w:rPr>
          <w:rFonts w:hint="eastAsia" w:ascii="仿宋" w:hAnsi="仿宋" w:eastAsia="仿宋" w:cs="仿宋"/>
          <w:color w:val="auto"/>
          <w:kern w:val="0"/>
          <w:sz w:val="24"/>
          <w:highlight w:val="none"/>
          <w:u w:val="none"/>
          <w:lang w:bidi="ar"/>
        </w:rPr>
        <w:t>1、复印件并加盖本单位公章</w:t>
      </w:r>
      <w:bookmarkEnd w:id="27"/>
    </w:p>
    <w:p w14:paraId="7BC1D07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2、若提供的是复印件，采购人、采购代理机构保留审核原件的权利。</w:t>
      </w:r>
    </w:p>
    <w:p w14:paraId="7F08C23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p>
    <w:p w14:paraId="6307D03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br w:type="page"/>
      </w:r>
    </w:p>
    <w:p w14:paraId="5CB2159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附件</w:t>
      </w:r>
      <w:r>
        <w:rPr>
          <w:rFonts w:hint="eastAsia" w:ascii="仿宋" w:hAnsi="仿宋" w:eastAsia="仿宋" w:cs="仿宋"/>
          <w:color w:val="auto"/>
          <w:kern w:val="0"/>
          <w:sz w:val="24"/>
          <w:highlight w:val="none"/>
          <w:u w:val="none"/>
          <w:lang w:val="en-US" w:eastAsia="zh-CN" w:bidi="ar"/>
        </w:rPr>
        <w:t>1</w:t>
      </w:r>
      <w:r>
        <w:rPr>
          <w:rFonts w:hint="eastAsia" w:ascii="仿宋" w:hAnsi="仿宋" w:eastAsia="仿宋" w:cs="仿宋"/>
          <w:color w:val="auto"/>
          <w:kern w:val="0"/>
          <w:sz w:val="24"/>
          <w:highlight w:val="none"/>
          <w:u w:val="none"/>
          <w:lang w:bidi="ar"/>
        </w:rPr>
        <w:t>-</w:t>
      </w:r>
      <w:r>
        <w:rPr>
          <w:rFonts w:hint="eastAsia" w:ascii="仿宋" w:hAnsi="仿宋" w:eastAsia="仿宋" w:cs="仿宋"/>
          <w:color w:val="auto"/>
          <w:kern w:val="0"/>
          <w:sz w:val="24"/>
          <w:highlight w:val="none"/>
          <w:u w:val="none"/>
          <w:lang w:val="en-US" w:eastAsia="zh-CN" w:bidi="ar"/>
        </w:rPr>
        <w:t>3</w:t>
      </w:r>
      <w:r>
        <w:rPr>
          <w:rFonts w:hint="eastAsia" w:ascii="仿宋" w:hAnsi="仿宋" w:eastAsia="仿宋" w:cs="仿宋"/>
          <w:color w:val="auto"/>
          <w:kern w:val="0"/>
          <w:sz w:val="24"/>
          <w:highlight w:val="none"/>
          <w:u w:val="none"/>
          <w:lang w:bidi="ar"/>
        </w:rPr>
        <w:t xml:space="preserve"> </w:t>
      </w:r>
      <w:r>
        <w:rPr>
          <w:rFonts w:hint="eastAsia" w:ascii="仿宋" w:hAnsi="仿宋" w:eastAsia="仿宋" w:cs="仿宋"/>
          <w:color w:val="auto"/>
          <w:kern w:val="0"/>
          <w:sz w:val="24"/>
          <w:highlight w:val="none"/>
          <w:u w:val="none"/>
          <w:lang w:val="en-US" w:eastAsia="zh-CN" w:bidi="ar"/>
        </w:rPr>
        <w:t xml:space="preserve"> </w:t>
      </w:r>
      <w:r>
        <w:rPr>
          <w:rFonts w:hint="eastAsia" w:ascii="仿宋" w:hAnsi="仿宋" w:eastAsia="仿宋" w:cs="仿宋"/>
          <w:color w:val="auto"/>
          <w:kern w:val="0"/>
          <w:sz w:val="24"/>
          <w:highlight w:val="none"/>
          <w:u w:val="none"/>
          <w:lang w:bidi="ar"/>
        </w:rPr>
        <w:t>投标人缴纳税收的证明</w:t>
      </w:r>
    </w:p>
    <w:p w14:paraId="0405884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说明：</w:t>
      </w:r>
    </w:p>
    <w:p w14:paraId="1D39814C">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kern w:val="0"/>
          <w:sz w:val="24"/>
          <w:highlight w:val="none"/>
          <w:u w:val="none"/>
          <w:lang w:bidi="ar"/>
        </w:rPr>
      </w:pPr>
      <w:bookmarkStart w:id="28" w:name="_Toc7512"/>
      <w:r>
        <w:rPr>
          <w:rFonts w:hint="eastAsia" w:ascii="仿宋" w:hAnsi="仿宋" w:eastAsia="仿宋" w:cs="仿宋"/>
          <w:color w:val="auto"/>
          <w:kern w:val="0"/>
          <w:sz w:val="24"/>
          <w:highlight w:val="none"/>
          <w:u w:val="none"/>
          <w:lang w:bidi="ar"/>
        </w:rPr>
        <w:t>1、复印件并加盖本单位公章</w:t>
      </w:r>
      <w:bookmarkEnd w:id="28"/>
    </w:p>
    <w:p w14:paraId="05C4239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2、若提供的是复印件，采购人、采购代理机构保留审核原件的权利。</w:t>
      </w:r>
    </w:p>
    <w:p w14:paraId="51FB2C07">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kern w:val="0"/>
          <w:sz w:val="24"/>
          <w:highlight w:val="none"/>
          <w:u w:val="none"/>
          <w:lang w:bidi="ar"/>
        </w:rPr>
      </w:pPr>
      <w:bookmarkStart w:id="29" w:name="_Toc8376"/>
      <w:r>
        <w:rPr>
          <w:rFonts w:hint="eastAsia" w:ascii="仿宋" w:hAnsi="仿宋" w:eastAsia="仿宋" w:cs="仿宋"/>
          <w:color w:val="auto"/>
          <w:kern w:val="0"/>
          <w:sz w:val="24"/>
          <w:highlight w:val="none"/>
          <w:u w:val="none"/>
          <w:lang w:bidi="ar"/>
        </w:rPr>
        <w:br w:type="page"/>
      </w:r>
      <w:bookmarkEnd w:id="29"/>
    </w:p>
    <w:p w14:paraId="1835D6F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附件</w:t>
      </w:r>
      <w:r>
        <w:rPr>
          <w:rFonts w:hint="eastAsia" w:ascii="仿宋" w:hAnsi="仿宋" w:eastAsia="仿宋" w:cs="仿宋"/>
          <w:color w:val="auto"/>
          <w:kern w:val="0"/>
          <w:sz w:val="24"/>
          <w:highlight w:val="none"/>
          <w:u w:val="none"/>
          <w:lang w:val="en-US" w:eastAsia="zh-CN" w:bidi="ar"/>
        </w:rPr>
        <w:t>1</w:t>
      </w:r>
      <w:r>
        <w:rPr>
          <w:rFonts w:hint="eastAsia" w:ascii="仿宋" w:hAnsi="仿宋" w:eastAsia="仿宋" w:cs="仿宋"/>
          <w:color w:val="auto"/>
          <w:kern w:val="0"/>
          <w:sz w:val="24"/>
          <w:highlight w:val="none"/>
          <w:u w:val="none"/>
          <w:lang w:bidi="ar"/>
        </w:rPr>
        <w:t>-</w:t>
      </w:r>
      <w:r>
        <w:rPr>
          <w:rFonts w:hint="eastAsia" w:ascii="仿宋" w:hAnsi="仿宋" w:eastAsia="仿宋" w:cs="仿宋"/>
          <w:color w:val="auto"/>
          <w:kern w:val="0"/>
          <w:sz w:val="24"/>
          <w:highlight w:val="none"/>
          <w:u w:val="none"/>
          <w:lang w:val="en-US" w:eastAsia="zh-CN" w:bidi="ar"/>
        </w:rPr>
        <w:t>4</w:t>
      </w:r>
      <w:r>
        <w:rPr>
          <w:rFonts w:hint="eastAsia" w:ascii="仿宋" w:hAnsi="仿宋" w:eastAsia="仿宋" w:cs="仿宋"/>
          <w:color w:val="auto"/>
          <w:kern w:val="0"/>
          <w:sz w:val="24"/>
          <w:highlight w:val="none"/>
          <w:u w:val="none"/>
          <w:lang w:bidi="ar"/>
        </w:rPr>
        <w:t xml:space="preserve"> </w:t>
      </w:r>
      <w:r>
        <w:rPr>
          <w:rFonts w:hint="eastAsia" w:ascii="仿宋" w:hAnsi="仿宋" w:eastAsia="仿宋" w:cs="仿宋"/>
          <w:color w:val="auto"/>
          <w:kern w:val="0"/>
          <w:sz w:val="24"/>
          <w:highlight w:val="none"/>
          <w:u w:val="none"/>
          <w:lang w:val="en-US" w:eastAsia="zh-CN" w:bidi="ar"/>
        </w:rPr>
        <w:t xml:space="preserve"> </w:t>
      </w:r>
      <w:r>
        <w:rPr>
          <w:rFonts w:hint="eastAsia" w:ascii="仿宋" w:hAnsi="仿宋" w:eastAsia="仿宋" w:cs="仿宋"/>
          <w:color w:val="auto"/>
          <w:kern w:val="0"/>
          <w:sz w:val="24"/>
          <w:highlight w:val="none"/>
          <w:u w:val="none"/>
          <w:lang w:bidi="ar"/>
        </w:rPr>
        <w:t>投标人为职工缴纳社会保险的证明</w:t>
      </w:r>
    </w:p>
    <w:p w14:paraId="60D9A42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说明：</w:t>
      </w:r>
    </w:p>
    <w:p w14:paraId="16FF8F20">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kern w:val="0"/>
          <w:sz w:val="24"/>
          <w:highlight w:val="none"/>
          <w:u w:val="none"/>
          <w:lang w:bidi="ar"/>
        </w:rPr>
      </w:pPr>
      <w:bookmarkStart w:id="30" w:name="_Toc3006"/>
      <w:r>
        <w:rPr>
          <w:rFonts w:hint="eastAsia" w:ascii="仿宋" w:hAnsi="仿宋" w:eastAsia="仿宋" w:cs="仿宋"/>
          <w:color w:val="auto"/>
          <w:kern w:val="0"/>
          <w:sz w:val="24"/>
          <w:highlight w:val="none"/>
          <w:u w:val="none"/>
          <w:lang w:bidi="ar"/>
        </w:rPr>
        <w:t>1、复印件并加盖本单位公章</w:t>
      </w:r>
      <w:bookmarkEnd w:id="30"/>
    </w:p>
    <w:p w14:paraId="061480A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2、若提供的是复印件，采购人、采购代理机构保留审核原件的权利。</w:t>
      </w:r>
    </w:p>
    <w:p w14:paraId="599C52BC">
      <w:pPr>
        <w:rPr>
          <w:rFonts w:hint="eastAsia" w:ascii="仿宋" w:hAnsi="仿宋" w:eastAsia="仿宋" w:cs="仿宋"/>
          <w:color w:val="auto"/>
          <w:kern w:val="0"/>
          <w:sz w:val="24"/>
          <w:highlight w:val="none"/>
          <w:u w:val="none"/>
          <w:lang w:bidi="ar"/>
        </w:rPr>
      </w:pPr>
    </w:p>
    <w:p w14:paraId="72BEA939">
      <w:pPr>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br w:type="page"/>
      </w:r>
    </w:p>
    <w:p w14:paraId="3552438B">
      <w:pPr>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 xml:space="preserve">附件 </w:t>
      </w:r>
      <w:r>
        <w:rPr>
          <w:rFonts w:hint="eastAsia" w:ascii="仿宋" w:hAnsi="仿宋" w:eastAsia="仿宋" w:cs="仿宋"/>
          <w:color w:val="auto"/>
          <w:kern w:val="0"/>
          <w:sz w:val="24"/>
          <w:highlight w:val="none"/>
          <w:u w:val="none"/>
          <w:lang w:val="en-US" w:eastAsia="zh-CN" w:bidi="ar"/>
        </w:rPr>
        <w:t>1</w:t>
      </w:r>
      <w:r>
        <w:rPr>
          <w:rFonts w:hint="eastAsia" w:ascii="仿宋" w:hAnsi="仿宋" w:eastAsia="仿宋" w:cs="仿宋"/>
          <w:color w:val="auto"/>
          <w:kern w:val="0"/>
          <w:sz w:val="24"/>
          <w:highlight w:val="none"/>
          <w:u w:val="none"/>
          <w:lang w:bidi="ar"/>
        </w:rPr>
        <w:t>-</w:t>
      </w:r>
      <w:r>
        <w:rPr>
          <w:rFonts w:hint="eastAsia" w:ascii="仿宋" w:hAnsi="仿宋" w:eastAsia="仿宋" w:cs="仿宋"/>
          <w:color w:val="auto"/>
          <w:kern w:val="0"/>
          <w:sz w:val="24"/>
          <w:highlight w:val="none"/>
          <w:u w:val="none"/>
          <w:lang w:val="en-US" w:eastAsia="zh-CN" w:bidi="ar"/>
        </w:rPr>
        <w:t>5</w:t>
      </w:r>
      <w:r>
        <w:rPr>
          <w:rFonts w:hint="eastAsia" w:ascii="仿宋" w:hAnsi="仿宋" w:eastAsia="仿宋" w:cs="仿宋"/>
          <w:color w:val="auto"/>
          <w:kern w:val="0"/>
          <w:sz w:val="24"/>
          <w:highlight w:val="none"/>
          <w:u w:val="none"/>
          <w:lang w:bidi="ar"/>
        </w:rPr>
        <w:t xml:space="preserve"> 投标人资格声明书</w:t>
      </w:r>
    </w:p>
    <w:p w14:paraId="1774B08B">
      <w:pPr>
        <w:rPr>
          <w:rFonts w:hint="eastAsia" w:ascii="仿宋" w:hAnsi="仿宋" w:eastAsia="仿宋" w:cs="仿宋"/>
          <w:color w:val="auto"/>
          <w:kern w:val="0"/>
          <w:sz w:val="24"/>
          <w:highlight w:val="none"/>
          <w:u w:val="none"/>
          <w:lang w:bidi="ar"/>
        </w:rPr>
      </w:pPr>
    </w:p>
    <w:p w14:paraId="3C52AAB0">
      <w:pPr>
        <w:keepNext w:val="0"/>
        <w:keepLines w:val="0"/>
        <w:widowControl/>
        <w:suppressLineNumbers w:val="0"/>
        <w:jc w:val="center"/>
        <w:rPr>
          <w:rFonts w:hint="eastAsia" w:ascii="仿宋" w:hAnsi="仿宋" w:eastAsia="仿宋" w:cs="仿宋"/>
          <w:b w:val="0"/>
          <w:bCs w:val="0"/>
          <w:color w:val="auto"/>
          <w:sz w:val="32"/>
          <w:szCs w:val="32"/>
          <w:highlight w:val="none"/>
        </w:rPr>
      </w:pPr>
      <w:r>
        <w:rPr>
          <w:rFonts w:hint="eastAsia" w:ascii="仿宋" w:hAnsi="仿宋" w:eastAsia="仿宋" w:cs="仿宋"/>
          <w:b w:val="0"/>
          <w:bCs w:val="0"/>
          <w:color w:val="auto"/>
          <w:kern w:val="0"/>
          <w:sz w:val="32"/>
          <w:szCs w:val="32"/>
          <w:highlight w:val="none"/>
          <w:lang w:val="en-US" w:eastAsia="zh-CN" w:bidi="ar"/>
        </w:rPr>
        <w:t>投标人资格声明书</w:t>
      </w:r>
    </w:p>
    <w:p w14:paraId="69FC9435">
      <w:pPr>
        <w:keepNext w:val="0"/>
        <w:keepLines w:val="0"/>
        <w:widowControl/>
        <w:suppressLineNumbers w:val="0"/>
        <w:jc w:val="left"/>
        <w:rPr>
          <w:rFonts w:hint="eastAsia" w:ascii="仿宋" w:hAnsi="仿宋" w:eastAsia="仿宋" w:cs="仿宋"/>
          <w:color w:val="auto"/>
          <w:kern w:val="0"/>
          <w:sz w:val="24"/>
          <w:szCs w:val="24"/>
          <w:highlight w:val="none"/>
          <w:lang w:val="en-US" w:eastAsia="zh-CN" w:bidi="ar"/>
        </w:rPr>
      </w:pPr>
    </w:p>
    <w:p w14:paraId="2123D9D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致：</w:t>
      </w:r>
      <w:r>
        <w:rPr>
          <w:rFonts w:hint="eastAsia" w:ascii="仿宋" w:hAnsi="仿宋" w:eastAsia="仿宋" w:cs="仿宋"/>
          <w:color w:val="auto"/>
          <w:kern w:val="0"/>
          <w:sz w:val="24"/>
          <w:szCs w:val="24"/>
          <w:highlight w:val="none"/>
          <w:u w:val="single"/>
          <w:lang w:val="en-US" w:eastAsia="zh-CN" w:bidi="ar"/>
        </w:rPr>
        <w:t xml:space="preserve">采购人或采购代理机构 </w:t>
      </w:r>
    </w:p>
    <w:p w14:paraId="3E6A9AF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在参与本次项目投标中，我单位承诺： </w:t>
      </w:r>
    </w:p>
    <w:p w14:paraId="2140DBC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（一）具有良好的商业信誉和健全的财务会计制度； </w:t>
      </w:r>
    </w:p>
    <w:p w14:paraId="049B1EC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（二）具有履行合同所必需的设备和专业技术能力； </w:t>
      </w:r>
    </w:p>
    <w:p w14:paraId="016B174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（三）有依法缴纳税收和社会保障资金的良好记录； </w:t>
      </w:r>
    </w:p>
    <w:p w14:paraId="187A754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14:paraId="38B5959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（五）我单位不属于政府采购法律、行政法规规定的公益一类事业单位、或使用事业编制且由财政拨款保障的群团组织（仅适用于政府购买服务项目）； </w:t>
      </w:r>
    </w:p>
    <w:p w14:paraId="0B5CD3A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（六）我单位不存在为采购项目提供整体设计、规范编制或者项目管理、监理、检测等服务后，再参加该采购项目的其他采购活动的情形（单一来源采购项目除外）； </w:t>
      </w:r>
    </w:p>
    <w:p w14:paraId="296A800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（七）与我单位存在“单位负责人为同一人或者存在直接控股、管理关系”的其他法人单位信息如下（如有，不论其是否参加同一合同项下的政府采购活动均须填写）：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5"/>
        <w:gridCol w:w="3798"/>
        <w:gridCol w:w="3406"/>
      </w:tblGrid>
      <w:tr w14:paraId="58DDD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06FFFC15">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序号</w:t>
            </w:r>
          </w:p>
        </w:tc>
        <w:tc>
          <w:tcPr>
            <w:tcW w:w="3798" w:type="dxa"/>
            <w:vAlign w:val="center"/>
          </w:tcPr>
          <w:p w14:paraId="36081E7F">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单位名称</w:t>
            </w:r>
          </w:p>
        </w:tc>
        <w:tc>
          <w:tcPr>
            <w:tcW w:w="3406" w:type="dxa"/>
            <w:vAlign w:val="center"/>
          </w:tcPr>
          <w:p w14:paraId="7C179E79">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相互关系</w:t>
            </w:r>
          </w:p>
        </w:tc>
      </w:tr>
      <w:tr w14:paraId="612A3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22301408">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1</w:t>
            </w:r>
          </w:p>
        </w:tc>
        <w:tc>
          <w:tcPr>
            <w:tcW w:w="3798" w:type="dxa"/>
          </w:tcPr>
          <w:p w14:paraId="3BAFECFA">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c>
          <w:tcPr>
            <w:tcW w:w="3406" w:type="dxa"/>
          </w:tcPr>
          <w:p w14:paraId="682DAF9E">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r>
      <w:tr w14:paraId="1DA64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42C0A351">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2</w:t>
            </w:r>
          </w:p>
        </w:tc>
        <w:tc>
          <w:tcPr>
            <w:tcW w:w="3798" w:type="dxa"/>
          </w:tcPr>
          <w:p w14:paraId="3EC94D3D">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c>
          <w:tcPr>
            <w:tcW w:w="3406" w:type="dxa"/>
          </w:tcPr>
          <w:p w14:paraId="47279A1D">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r>
      <w:tr w14:paraId="598E6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315" w:type="dxa"/>
            <w:vAlign w:val="center"/>
          </w:tcPr>
          <w:p w14:paraId="5CB1F59D">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w:t>
            </w:r>
          </w:p>
        </w:tc>
        <w:tc>
          <w:tcPr>
            <w:tcW w:w="3798" w:type="dxa"/>
          </w:tcPr>
          <w:p w14:paraId="7E5A5478">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c>
          <w:tcPr>
            <w:tcW w:w="3406" w:type="dxa"/>
          </w:tcPr>
          <w:p w14:paraId="68909903">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r>
    </w:tbl>
    <w:p w14:paraId="52D29D0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上述声明真实有效，否则我方负全部责任。 </w:t>
      </w:r>
    </w:p>
    <w:p w14:paraId="720DE66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738114E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3F1E8AE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投标人名称：  </w:t>
      </w:r>
      <w:r>
        <w:rPr>
          <w:rFonts w:hint="eastAsia" w:ascii="仿宋" w:hAnsi="仿宋" w:eastAsia="仿宋" w:cs="仿宋"/>
          <w:i w:val="0"/>
          <w:iCs w:val="0"/>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u w:val="single"/>
          <w:lang w:val="en-US" w:eastAsia="zh-CN" w:bidi="ar"/>
        </w:rPr>
        <w:t>（加盖公章）</w:t>
      </w:r>
    </w:p>
    <w:p w14:paraId="454F9FE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法定代表人或其授权代理人：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u w:val="single"/>
          <w:lang w:val="en-US" w:eastAsia="zh-CN" w:bidi="ar"/>
        </w:rPr>
        <w:tab/>
      </w:r>
      <w:r>
        <w:rPr>
          <w:rFonts w:hint="eastAsia" w:ascii="仿宋" w:hAnsi="仿宋" w:eastAsia="仿宋" w:cs="仿宋"/>
          <w:color w:val="auto"/>
          <w:kern w:val="0"/>
          <w:sz w:val="24"/>
          <w:szCs w:val="24"/>
          <w:highlight w:val="none"/>
          <w:u w:val="single"/>
          <w:lang w:val="en-US" w:eastAsia="zh-CN" w:bidi="ar"/>
        </w:rPr>
        <w:t>（签字或印鉴）</w:t>
      </w:r>
      <w:r>
        <w:rPr>
          <w:rFonts w:hint="eastAsia" w:ascii="仿宋" w:hAnsi="仿宋" w:eastAsia="仿宋" w:cs="仿宋"/>
          <w:color w:val="auto"/>
          <w:kern w:val="0"/>
          <w:sz w:val="24"/>
          <w:szCs w:val="24"/>
          <w:highlight w:val="none"/>
          <w:lang w:val="en-US" w:eastAsia="zh-CN" w:bidi="ar"/>
        </w:rPr>
        <w:tab/>
      </w:r>
    </w:p>
    <w:p w14:paraId="15F39FF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日期：</w:t>
      </w:r>
      <w:r>
        <w:rPr>
          <w:rFonts w:hint="eastAsia" w:ascii="仿宋" w:hAnsi="仿宋" w:eastAsia="仿宋" w:cs="仿宋"/>
          <w:color w:val="auto"/>
          <w:kern w:val="0"/>
          <w:sz w:val="24"/>
          <w:szCs w:val="24"/>
          <w:highlight w:val="none"/>
          <w:u w:val="single"/>
          <w:lang w:val="en-US" w:eastAsia="zh-CN" w:bidi="ar"/>
        </w:rPr>
        <w:t xml:space="preserve">    年    月    日</w:t>
      </w:r>
    </w:p>
    <w:p w14:paraId="7C2C4C55">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p>
    <w:p w14:paraId="40EE43C3">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说明：（1）单位负责人为同一人或者存在直接控股、管理关系的不同供应商，不得参加同一合同项下的政府采购活动。</w:t>
      </w:r>
    </w:p>
    <w:p w14:paraId="134E339E">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（2）本条所指单位负责人为同一人指单位法定代表人或者法律、行政法规规定代表单位行使职权的主要负责人。</w:t>
      </w:r>
    </w:p>
    <w:p w14:paraId="7D16A8CA">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（3）本条所指控股关系指单位或股东的控股关系。控股股东指:</w:t>
      </w:r>
    </w:p>
    <w:p w14:paraId="3AFCF9A8">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a.出资额占有限责任公司资本总额百分之五十以上或者其持有的股份占股份有限公司股本总额百分之五十以上的股东；</w:t>
      </w:r>
    </w:p>
    <w:p w14:paraId="6F74F6F4">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b.出资额或者持有股份的比例不足百分之五十，但其出资额或者持有的股份所享有的表决权已足以对股东会、股东大会的决议产生重大影响的股东。</w:t>
      </w:r>
    </w:p>
    <w:p w14:paraId="6AD40E47">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（4）本条所指管理关系指不具有出资持股关系的其他单位之间存在的管理与被管理关系。</w:t>
      </w:r>
    </w:p>
    <w:p w14:paraId="22BF1345">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（5）本条所指的控股、管理关系仅限于直接控股、直接管理关系，不包括间接控股或管理关系。</w:t>
      </w:r>
    </w:p>
    <w:p w14:paraId="466BFA81">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（6）如无相关情况，请在相应栏填写“无”。</w:t>
      </w:r>
    </w:p>
    <w:p w14:paraId="7A6498C6">
      <w:pPr>
        <w:rPr>
          <w:rFonts w:hint="eastAsia" w:ascii="仿宋" w:hAnsi="仿宋" w:eastAsia="仿宋" w:cs="仿宋"/>
          <w:color w:val="auto"/>
          <w:kern w:val="0"/>
          <w:sz w:val="24"/>
          <w:szCs w:val="24"/>
          <w:highlight w:val="none"/>
          <w:lang w:val="en-US" w:eastAsia="zh-CN" w:bidi="ar"/>
        </w:rPr>
      </w:pPr>
    </w:p>
    <w:p w14:paraId="64BCC0FD">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62C2A85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31" w:name="_Toc32152"/>
      <w:r>
        <w:rPr>
          <w:rFonts w:hint="eastAsia" w:ascii="仿宋" w:hAnsi="仿宋" w:eastAsia="仿宋" w:cs="仿宋"/>
          <w:color w:val="auto"/>
          <w:kern w:val="0"/>
          <w:sz w:val="24"/>
          <w:szCs w:val="24"/>
          <w:highlight w:val="none"/>
          <w:lang w:val="en-US" w:eastAsia="zh-CN" w:bidi="ar"/>
        </w:rPr>
        <w:t>2 落实政府采购政策需满足的资格要求（如有）</w:t>
      </w:r>
      <w:bookmarkEnd w:id="31"/>
      <w:r>
        <w:rPr>
          <w:rFonts w:hint="eastAsia" w:ascii="仿宋" w:hAnsi="仿宋" w:eastAsia="仿宋" w:cs="仿宋"/>
          <w:color w:val="auto"/>
          <w:kern w:val="0"/>
          <w:sz w:val="24"/>
          <w:szCs w:val="24"/>
          <w:highlight w:val="none"/>
          <w:lang w:val="en-US" w:eastAsia="zh-CN" w:bidi="ar"/>
        </w:rPr>
        <w:t xml:space="preserve"> </w:t>
      </w:r>
    </w:p>
    <w:p w14:paraId="6CBD6DE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2-1 中小企业声明函 </w:t>
      </w:r>
    </w:p>
    <w:p w14:paraId="3573D96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说明： </w:t>
      </w:r>
    </w:p>
    <w:p w14:paraId="420E72A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（1）如本项目（包）不专门面向中小企业预留采购份额，资格证明文件部分无需提供《中小企业声明函》。 </w:t>
      </w:r>
    </w:p>
    <w:p w14:paraId="0221723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2）如本项目（包）专门面向中小/小微企业采购，须提供《中小企业声明函》或《残疾人福利性单位声明函》，或提供由省级以上监狱管理局、戒毒管理局（含新疆生产建设兵团）出具的属于监狱企业的证明文件。《中小企业声明函》或《残疾人福利性单位声明函》格式不得修改，否则不得享受相关中小企业扶持政策。供应商根据项目属性选择申明函格式。 </w:t>
      </w:r>
    </w:p>
    <w:p w14:paraId="17B231A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3）如本项目（包）预留部分采购项目预算专门面向中小企业采购，且要求获得采购合同的供应商将采购项目中的一定比例分包给一家或者多家中小企业的，投标文件中除须提供《中小企业声明函》或《残疾人福利性单位声明函》或由省</w:t>
      </w:r>
    </w:p>
    <w:p w14:paraId="709C934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级以上监狱管理局、戒毒管理局（含新疆生产建设兵团）出具的属于监狱企业</w:t>
      </w:r>
    </w:p>
    <w:p w14:paraId="3D3F2D2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的证明文件，还须同时提供《拟分包情况说明》及《分包意向协议》，且建议</w:t>
      </w:r>
    </w:p>
    <w:p w14:paraId="74D4BBD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 xml:space="preserve">在资格证明文件部分提供。 </w:t>
      </w:r>
    </w:p>
    <w:p w14:paraId="2E851B0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（4）如本项目（包）预留部分采购项目预算专门面向中小企业采购，且要求供应商 以联合体形式参加采购活动，投标文件中除须提供《中小企业声明函》或《残疾人福利性单位声明函》或由省级以上监狱管理局、戒毒管理局（含新疆生产 建设兵团）出具的属于监狱企业的证明文件，还须同时提供《联合协议》。</w:t>
      </w:r>
    </w:p>
    <w:p w14:paraId="517DE78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（5）中小企业声明函填写注意事项 </w:t>
      </w:r>
    </w:p>
    <w:p w14:paraId="19E15AE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1）中小企业参加政府采购活动，应当出具此格式文件。《中小企业声明函》由参加政府采购活动的投标人出具。联合体投标的，《中小企业声明函》由牵头人出具。 </w:t>
      </w:r>
    </w:p>
    <w:p w14:paraId="2310D9E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2）对于联合体中由中小企业承担的部分，或者分包给中小企业的部分，必须全</w:t>
      </w:r>
    </w:p>
    <w:p w14:paraId="72453CA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部由中小企业制造、承建或者承接。供应商应当在声明函“标的名称”部分标明</w:t>
      </w:r>
    </w:p>
    <w:p w14:paraId="0765EC7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联合体中中小企业承担的具体内容或者中小企业的具体分包内容。 </w:t>
      </w:r>
    </w:p>
    <w:p w14:paraId="5F36879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3）对于多标的的采购项目，供应商应充分、准确地了解所投产品制造企业、提供服务的承接企业、工程承接企业信息。对相关情况了解不清楚的，不建议填报本声明函。 </w:t>
      </w:r>
    </w:p>
    <w:p w14:paraId="0D43923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5）温馨提示：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本项目中小企业划分标准所属行业详见第二章《供应商须知前附表》，如在该程序中未找到本采购文件规定的中小企业划分标准所属行业，则按照《关于印发中小企业划型标准规定的通知（工信部联企业﹝2011﹞300 号）》及本采购文件规定的中小企业划分标准所属行业执行。</w:t>
      </w:r>
    </w:p>
    <w:p w14:paraId="36FF8655">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5FBC380D">
      <w:pPr>
        <w:pStyle w:val="2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仿宋" w:hAnsi="仿宋" w:eastAsia="仿宋" w:cs="仿宋"/>
          <w:i w:val="0"/>
          <w:iCs w:val="0"/>
          <w:caps w:val="0"/>
          <w:color w:val="auto"/>
          <w:spacing w:val="0"/>
          <w:sz w:val="32"/>
          <w:szCs w:val="32"/>
          <w:highlight w:val="none"/>
          <w:lang w:val="en-US" w:eastAsia="zh-CN"/>
        </w:rPr>
      </w:pPr>
      <w:r>
        <w:rPr>
          <w:rStyle w:val="30"/>
          <w:rFonts w:hint="eastAsia" w:ascii="仿宋" w:hAnsi="仿宋" w:eastAsia="仿宋" w:cs="仿宋"/>
          <w:i w:val="0"/>
          <w:iCs w:val="0"/>
          <w:caps w:val="0"/>
          <w:color w:val="auto"/>
          <w:spacing w:val="0"/>
          <w:sz w:val="32"/>
          <w:szCs w:val="32"/>
          <w:highlight w:val="none"/>
        </w:rPr>
        <w:t>中小企业声明函</w:t>
      </w:r>
      <w:r>
        <w:rPr>
          <w:rStyle w:val="30"/>
          <w:rFonts w:hint="eastAsia" w:ascii="仿宋" w:hAnsi="仿宋" w:eastAsia="仿宋" w:cs="仿宋"/>
          <w:i w:val="0"/>
          <w:iCs w:val="0"/>
          <w:caps w:val="0"/>
          <w:color w:val="auto"/>
          <w:spacing w:val="0"/>
          <w:sz w:val="32"/>
          <w:szCs w:val="32"/>
          <w:highlight w:val="none"/>
          <w:lang w:eastAsia="zh-CN"/>
        </w:rPr>
        <w:t>（</w:t>
      </w:r>
      <w:r>
        <w:rPr>
          <w:rStyle w:val="30"/>
          <w:rFonts w:hint="eastAsia" w:ascii="仿宋" w:hAnsi="仿宋" w:eastAsia="仿宋" w:cs="仿宋"/>
          <w:i w:val="0"/>
          <w:iCs w:val="0"/>
          <w:caps w:val="0"/>
          <w:color w:val="auto"/>
          <w:spacing w:val="0"/>
          <w:sz w:val="32"/>
          <w:szCs w:val="32"/>
          <w:highlight w:val="none"/>
        </w:rPr>
        <w:t>货物</w:t>
      </w:r>
      <w:r>
        <w:rPr>
          <w:rStyle w:val="30"/>
          <w:rFonts w:hint="eastAsia" w:ascii="仿宋" w:hAnsi="仿宋" w:eastAsia="仿宋" w:cs="仿宋"/>
          <w:i w:val="0"/>
          <w:iCs w:val="0"/>
          <w:caps w:val="0"/>
          <w:color w:val="auto"/>
          <w:spacing w:val="0"/>
          <w:sz w:val="32"/>
          <w:szCs w:val="32"/>
          <w:highlight w:val="none"/>
          <w:lang w:eastAsia="zh-CN"/>
        </w:rPr>
        <w:t>）</w:t>
      </w:r>
    </w:p>
    <w:p w14:paraId="2CCA27A4">
      <w:pPr>
        <w:pStyle w:val="2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7"/>
          <w:szCs w:val="27"/>
          <w:highlight w:val="none"/>
        </w:rPr>
      </w:pPr>
      <w:r>
        <w:rPr>
          <w:rFonts w:hint="eastAsia" w:ascii="仿宋" w:hAnsi="仿宋" w:eastAsia="仿宋" w:cs="仿宋"/>
          <w:i w:val="0"/>
          <w:iCs w:val="0"/>
          <w:caps w:val="0"/>
          <w:color w:val="auto"/>
          <w:spacing w:val="0"/>
          <w:sz w:val="27"/>
          <w:szCs w:val="27"/>
          <w:highlight w:val="none"/>
        </w:rPr>
        <w:t> </w:t>
      </w:r>
    </w:p>
    <w:p w14:paraId="33616276">
      <w:pPr>
        <w:pStyle w:val="2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720" w:firstLineChars="30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本公司（联合体）郑重声明，根据《政府采购促进中小企业发展管理办法》（财库〔2020〕[2020]46号）的规定，本公司（联合体）参加</w:t>
      </w:r>
      <w:r>
        <w:rPr>
          <w:rFonts w:hint="eastAsia" w:ascii="仿宋" w:hAnsi="仿宋" w:eastAsia="仿宋" w:cs="仿宋"/>
          <w:i/>
          <w:iCs/>
          <w:caps w:val="0"/>
          <w:color w:val="auto"/>
          <w:spacing w:val="0"/>
          <w:sz w:val="24"/>
          <w:szCs w:val="24"/>
          <w:highlight w:val="none"/>
          <w:u w:val="single"/>
        </w:rPr>
        <w:t>（单位名称）</w:t>
      </w:r>
      <w:r>
        <w:rPr>
          <w:rFonts w:hint="eastAsia" w:ascii="仿宋" w:hAnsi="仿宋" w:eastAsia="仿宋" w:cs="仿宋"/>
          <w:i w:val="0"/>
          <w:iCs w:val="0"/>
          <w:caps w:val="0"/>
          <w:color w:val="auto"/>
          <w:spacing w:val="0"/>
          <w:sz w:val="24"/>
          <w:szCs w:val="24"/>
          <w:highlight w:val="none"/>
        </w:rPr>
        <w:t>的</w:t>
      </w:r>
      <w:r>
        <w:rPr>
          <w:rFonts w:hint="eastAsia" w:ascii="仿宋" w:hAnsi="仿宋" w:eastAsia="仿宋" w:cs="仿宋"/>
          <w:i/>
          <w:iCs/>
          <w:caps w:val="0"/>
          <w:color w:val="auto"/>
          <w:spacing w:val="0"/>
          <w:sz w:val="24"/>
          <w:szCs w:val="24"/>
          <w:highlight w:val="none"/>
          <w:u w:val="single"/>
        </w:rPr>
        <w:t>（项目名称）</w:t>
      </w:r>
      <w:r>
        <w:rPr>
          <w:rFonts w:hint="eastAsia" w:ascii="仿宋" w:hAnsi="仿宋" w:eastAsia="仿宋" w:cs="仿宋"/>
          <w:i w:val="0"/>
          <w:iCs w:val="0"/>
          <w:caps w:val="0"/>
          <w:color w:val="auto"/>
          <w:spacing w:val="0"/>
          <w:sz w:val="24"/>
          <w:szCs w:val="24"/>
          <w:highlight w:val="none"/>
        </w:rPr>
        <w:t>采购活动，提供的货物全部由符合政策要求的中小企业制造。相关企业（含联合体中的中小企业、签订分包意向协议的中小企业）的具体情况如下：</w:t>
      </w:r>
    </w:p>
    <w:p w14:paraId="6F40CDF0">
      <w:pPr>
        <w:pStyle w:val="2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1.</w:t>
      </w:r>
      <w:r>
        <w:rPr>
          <w:rFonts w:hint="eastAsia" w:ascii="仿宋" w:hAnsi="仿宋" w:eastAsia="仿宋" w:cs="仿宋"/>
          <w:i/>
          <w:iCs/>
          <w:caps w:val="0"/>
          <w:color w:val="auto"/>
          <w:spacing w:val="0"/>
          <w:sz w:val="24"/>
          <w:szCs w:val="24"/>
          <w:highlight w:val="none"/>
          <w:u w:val="single"/>
        </w:rPr>
        <w:t>（标的名称）</w:t>
      </w:r>
      <w:r>
        <w:rPr>
          <w:rFonts w:hint="eastAsia" w:ascii="仿宋" w:hAnsi="仿宋" w:eastAsia="仿宋" w:cs="仿宋"/>
          <w:i w:val="0"/>
          <w:iCs w:val="0"/>
          <w:caps w:val="0"/>
          <w:color w:val="auto"/>
          <w:spacing w:val="0"/>
          <w:sz w:val="24"/>
          <w:szCs w:val="24"/>
          <w:highlight w:val="none"/>
        </w:rPr>
        <w:t>，属于</w:t>
      </w:r>
      <w:r>
        <w:rPr>
          <w:rFonts w:hint="eastAsia" w:ascii="仿宋" w:hAnsi="仿宋" w:eastAsia="仿宋" w:cs="仿宋"/>
          <w:i/>
          <w:iCs/>
          <w:caps w:val="0"/>
          <w:color w:val="auto"/>
          <w:spacing w:val="0"/>
          <w:sz w:val="24"/>
          <w:szCs w:val="24"/>
          <w:highlight w:val="none"/>
          <w:u w:val="single"/>
        </w:rPr>
        <w:t>（采购文件中明确的所属行业）</w:t>
      </w:r>
      <w:r>
        <w:rPr>
          <w:rFonts w:hint="eastAsia" w:ascii="仿宋" w:hAnsi="仿宋" w:eastAsia="仿宋" w:cs="仿宋"/>
          <w:i w:val="0"/>
          <w:iCs w:val="0"/>
          <w:caps w:val="0"/>
          <w:color w:val="auto"/>
          <w:spacing w:val="0"/>
          <w:sz w:val="24"/>
          <w:szCs w:val="24"/>
          <w:highlight w:val="none"/>
        </w:rPr>
        <w:t>；制造商为</w:t>
      </w:r>
      <w:r>
        <w:rPr>
          <w:rFonts w:hint="eastAsia" w:ascii="仿宋" w:hAnsi="仿宋" w:eastAsia="仿宋" w:cs="仿宋"/>
          <w:i/>
          <w:iCs/>
          <w:caps w:val="0"/>
          <w:color w:val="auto"/>
          <w:spacing w:val="0"/>
          <w:sz w:val="24"/>
          <w:szCs w:val="24"/>
          <w:highlight w:val="none"/>
          <w:u w:val="single"/>
        </w:rPr>
        <w:t>（企业名称）</w:t>
      </w:r>
      <w:r>
        <w:rPr>
          <w:rFonts w:hint="eastAsia" w:ascii="仿宋" w:hAnsi="仿宋" w:eastAsia="仿宋" w:cs="仿宋"/>
          <w:i w:val="0"/>
          <w:iCs w:val="0"/>
          <w:caps w:val="0"/>
          <w:color w:val="auto"/>
          <w:spacing w:val="0"/>
          <w:sz w:val="24"/>
          <w:szCs w:val="24"/>
          <w:highlight w:val="none"/>
        </w:rPr>
        <w:t>，从业人员</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人，营业收入为</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 万元，资产总额为</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 万元，属于</w:t>
      </w:r>
      <w:r>
        <w:rPr>
          <w:rFonts w:hint="eastAsia" w:ascii="仿宋" w:hAnsi="仿宋" w:eastAsia="仿宋" w:cs="仿宋"/>
          <w:i/>
          <w:iCs/>
          <w:caps w:val="0"/>
          <w:color w:val="auto"/>
          <w:spacing w:val="0"/>
          <w:sz w:val="24"/>
          <w:szCs w:val="24"/>
          <w:highlight w:val="none"/>
          <w:u w:val="single"/>
        </w:rPr>
        <w:t>（中型企业、小型企业、微型企业）</w:t>
      </w:r>
      <w:r>
        <w:rPr>
          <w:rFonts w:hint="eastAsia" w:ascii="仿宋" w:hAnsi="仿宋" w:eastAsia="仿宋" w:cs="仿宋"/>
          <w:i w:val="0"/>
          <w:iCs w:val="0"/>
          <w:caps w:val="0"/>
          <w:color w:val="auto"/>
          <w:spacing w:val="0"/>
          <w:sz w:val="24"/>
          <w:szCs w:val="24"/>
          <w:highlight w:val="none"/>
        </w:rPr>
        <w:t>；</w:t>
      </w:r>
    </w:p>
    <w:p w14:paraId="74A895BA">
      <w:pPr>
        <w:pStyle w:val="2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2.</w:t>
      </w:r>
      <w:r>
        <w:rPr>
          <w:rFonts w:hint="eastAsia" w:ascii="仿宋" w:hAnsi="仿宋" w:eastAsia="仿宋" w:cs="仿宋"/>
          <w:i/>
          <w:iCs/>
          <w:caps w:val="0"/>
          <w:color w:val="auto"/>
          <w:spacing w:val="0"/>
          <w:sz w:val="24"/>
          <w:szCs w:val="24"/>
          <w:highlight w:val="none"/>
          <w:u w:val="single"/>
        </w:rPr>
        <w:t>（标的名称）</w:t>
      </w:r>
      <w:r>
        <w:rPr>
          <w:rFonts w:hint="eastAsia" w:ascii="仿宋" w:hAnsi="仿宋" w:eastAsia="仿宋" w:cs="仿宋"/>
          <w:i w:val="0"/>
          <w:iCs w:val="0"/>
          <w:caps w:val="0"/>
          <w:color w:val="auto"/>
          <w:spacing w:val="0"/>
          <w:sz w:val="24"/>
          <w:szCs w:val="24"/>
          <w:highlight w:val="none"/>
        </w:rPr>
        <w:t>，属于</w:t>
      </w:r>
      <w:r>
        <w:rPr>
          <w:rFonts w:hint="eastAsia" w:ascii="仿宋" w:hAnsi="仿宋" w:eastAsia="仿宋" w:cs="仿宋"/>
          <w:i/>
          <w:iCs/>
          <w:caps w:val="0"/>
          <w:color w:val="auto"/>
          <w:spacing w:val="0"/>
          <w:sz w:val="24"/>
          <w:szCs w:val="24"/>
          <w:highlight w:val="none"/>
          <w:u w:val="single"/>
        </w:rPr>
        <w:t>（采购文件中明确的所属行业）</w:t>
      </w:r>
      <w:r>
        <w:rPr>
          <w:rFonts w:hint="eastAsia" w:ascii="仿宋" w:hAnsi="仿宋" w:eastAsia="仿宋" w:cs="仿宋"/>
          <w:i w:val="0"/>
          <w:iCs w:val="0"/>
          <w:caps w:val="0"/>
          <w:color w:val="auto"/>
          <w:spacing w:val="0"/>
          <w:sz w:val="24"/>
          <w:szCs w:val="24"/>
          <w:highlight w:val="none"/>
        </w:rPr>
        <w:t>；制造商为</w:t>
      </w:r>
      <w:r>
        <w:rPr>
          <w:rFonts w:hint="eastAsia" w:ascii="仿宋" w:hAnsi="仿宋" w:eastAsia="仿宋" w:cs="仿宋"/>
          <w:i/>
          <w:iCs/>
          <w:caps w:val="0"/>
          <w:color w:val="auto"/>
          <w:spacing w:val="0"/>
          <w:sz w:val="24"/>
          <w:szCs w:val="24"/>
          <w:highlight w:val="none"/>
          <w:u w:val="single"/>
        </w:rPr>
        <w:t>（企业名称）</w:t>
      </w:r>
      <w:r>
        <w:rPr>
          <w:rFonts w:hint="eastAsia" w:ascii="仿宋" w:hAnsi="仿宋" w:eastAsia="仿宋" w:cs="仿宋"/>
          <w:i w:val="0"/>
          <w:iCs w:val="0"/>
          <w:caps w:val="0"/>
          <w:color w:val="auto"/>
          <w:spacing w:val="0"/>
          <w:sz w:val="24"/>
          <w:szCs w:val="24"/>
          <w:highlight w:val="none"/>
        </w:rPr>
        <w:t>，从业人员</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人，营业收入为</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 万元，资产总额为</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 万元，属于</w:t>
      </w:r>
      <w:r>
        <w:rPr>
          <w:rFonts w:hint="eastAsia" w:ascii="仿宋" w:hAnsi="仿宋" w:eastAsia="仿宋" w:cs="仿宋"/>
          <w:i/>
          <w:iCs/>
          <w:caps w:val="0"/>
          <w:color w:val="auto"/>
          <w:spacing w:val="0"/>
          <w:sz w:val="24"/>
          <w:szCs w:val="24"/>
          <w:highlight w:val="none"/>
          <w:u w:val="single"/>
        </w:rPr>
        <w:t>（中型企业、小型企业、微型企业）</w:t>
      </w:r>
      <w:r>
        <w:rPr>
          <w:rFonts w:hint="eastAsia" w:ascii="仿宋" w:hAnsi="仿宋" w:eastAsia="仿宋" w:cs="仿宋"/>
          <w:i w:val="0"/>
          <w:iCs w:val="0"/>
          <w:caps w:val="0"/>
          <w:color w:val="auto"/>
          <w:spacing w:val="0"/>
          <w:sz w:val="24"/>
          <w:szCs w:val="24"/>
          <w:highlight w:val="none"/>
        </w:rPr>
        <w:t>；</w:t>
      </w:r>
    </w:p>
    <w:p w14:paraId="028EBDAC">
      <w:pPr>
        <w:pStyle w:val="2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w:t>
      </w:r>
    </w:p>
    <w:p w14:paraId="71B2CD1E">
      <w:pPr>
        <w:pStyle w:val="2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以上企业，不属于大企业的分支机构，不存在控股股东为大企业的情形，也不存在与大企业的负责人为同一人的情形。</w:t>
      </w:r>
    </w:p>
    <w:p w14:paraId="7C8D4A97">
      <w:pPr>
        <w:pStyle w:val="2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本企业对上述声明内容的真实性负责。如有虚假，将依法承担相应责任。</w:t>
      </w:r>
    </w:p>
    <w:p w14:paraId="4C745309">
      <w:pPr>
        <w:pStyle w:val="2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 </w:t>
      </w:r>
    </w:p>
    <w:p w14:paraId="6ADC7A89">
      <w:pPr>
        <w:pStyle w:val="2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仿宋" w:hAnsi="仿宋" w:eastAsia="仿宋" w:cs="仿宋"/>
          <w:i w:val="0"/>
          <w:iCs w:val="0"/>
          <w:caps w:val="0"/>
          <w:color w:val="auto"/>
          <w:spacing w:val="0"/>
          <w:sz w:val="24"/>
          <w:szCs w:val="24"/>
          <w:highlight w:val="none"/>
          <w:u w:val="single"/>
          <w:lang w:val="en-US" w:eastAsia="zh-CN"/>
        </w:rPr>
      </w:pPr>
      <w:r>
        <w:rPr>
          <w:rFonts w:hint="eastAsia" w:ascii="仿宋" w:hAnsi="仿宋" w:eastAsia="仿宋" w:cs="仿宋"/>
          <w:i w:val="0"/>
          <w:iCs w:val="0"/>
          <w:caps w:val="0"/>
          <w:color w:val="auto"/>
          <w:spacing w:val="0"/>
          <w:sz w:val="24"/>
          <w:szCs w:val="24"/>
          <w:highlight w:val="none"/>
          <w:lang w:val="en-US" w:eastAsia="zh-CN"/>
        </w:rPr>
        <w:t xml:space="preserve">           </w:t>
      </w:r>
      <w:r>
        <w:rPr>
          <w:rFonts w:hint="eastAsia" w:ascii="仿宋" w:hAnsi="仿宋" w:eastAsia="仿宋" w:cs="仿宋"/>
          <w:i w:val="0"/>
          <w:iCs w:val="0"/>
          <w:caps w:val="0"/>
          <w:color w:val="auto"/>
          <w:spacing w:val="0"/>
          <w:sz w:val="24"/>
          <w:szCs w:val="24"/>
          <w:highlight w:val="none"/>
        </w:rPr>
        <w:t>企业名称（盖章）：</w:t>
      </w:r>
      <w:r>
        <w:rPr>
          <w:rFonts w:hint="eastAsia" w:ascii="仿宋" w:hAnsi="仿宋" w:eastAsia="仿宋" w:cs="仿宋"/>
          <w:i w:val="0"/>
          <w:iCs w:val="0"/>
          <w:caps w:val="0"/>
          <w:color w:val="auto"/>
          <w:spacing w:val="0"/>
          <w:sz w:val="24"/>
          <w:szCs w:val="24"/>
          <w:highlight w:val="none"/>
          <w:u w:val="single"/>
          <w:lang w:val="en-US" w:eastAsia="zh-CN"/>
        </w:rPr>
        <w:t xml:space="preserve">          </w:t>
      </w:r>
    </w:p>
    <w:p w14:paraId="549D3CBF">
      <w:pPr>
        <w:pStyle w:val="2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5520" w:firstLineChars="2300"/>
        <w:jc w:val="both"/>
        <w:textAlignment w:val="auto"/>
        <w:rPr>
          <w:rFonts w:hint="eastAsia" w:ascii="仿宋" w:hAnsi="仿宋" w:eastAsia="仿宋" w:cs="仿宋"/>
          <w:i w:val="0"/>
          <w:iCs w:val="0"/>
          <w:caps w:val="0"/>
          <w:color w:val="auto"/>
          <w:spacing w:val="0"/>
          <w:sz w:val="27"/>
          <w:szCs w:val="27"/>
          <w:highlight w:val="none"/>
          <w:u w:val="single"/>
          <w:lang w:val="en-US" w:eastAsia="zh-CN"/>
        </w:rPr>
      </w:pPr>
      <w:r>
        <w:rPr>
          <w:rFonts w:hint="eastAsia" w:ascii="仿宋" w:hAnsi="仿宋" w:eastAsia="仿宋" w:cs="仿宋"/>
          <w:i w:val="0"/>
          <w:iCs w:val="0"/>
          <w:caps w:val="0"/>
          <w:color w:val="auto"/>
          <w:spacing w:val="0"/>
          <w:sz w:val="24"/>
          <w:szCs w:val="24"/>
          <w:highlight w:val="none"/>
        </w:rPr>
        <w:t>日期：</w:t>
      </w:r>
      <w:r>
        <w:rPr>
          <w:rFonts w:hint="eastAsia" w:ascii="仿宋" w:hAnsi="仿宋" w:eastAsia="仿宋" w:cs="仿宋"/>
          <w:i w:val="0"/>
          <w:iCs w:val="0"/>
          <w:caps w:val="0"/>
          <w:color w:val="auto"/>
          <w:spacing w:val="0"/>
          <w:sz w:val="24"/>
          <w:szCs w:val="24"/>
          <w:highlight w:val="none"/>
          <w:u w:val="single"/>
          <w:lang w:val="en-US" w:eastAsia="zh-CN"/>
        </w:rPr>
        <w:t xml:space="preserve">         </w:t>
      </w:r>
    </w:p>
    <w:p w14:paraId="612D56D4">
      <w:pPr>
        <w:rPr>
          <w:rFonts w:hint="eastAsia" w:ascii="仿宋" w:hAnsi="仿宋" w:eastAsia="仿宋" w:cs="仿宋"/>
          <w:b w:val="0"/>
          <w:bCs w:val="0"/>
          <w:color w:val="auto"/>
          <w:kern w:val="0"/>
          <w:sz w:val="21"/>
          <w:szCs w:val="21"/>
          <w:highlight w:val="none"/>
          <w:lang w:val="en-US" w:eastAsia="zh-CN" w:bidi="ar"/>
        </w:rPr>
      </w:pPr>
    </w:p>
    <w:p w14:paraId="4A006AEF">
      <w:pPr>
        <w:rPr>
          <w:rFonts w:hint="eastAsia" w:ascii="仿宋" w:hAnsi="仿宋" w:eastAsia="仿宋" w:cs="仿宋"/>
          <w:b w:val="0"/>
          <w:bCs w:val="0"/>
          <w:color w:val="auto"/>
          <w:kern w:val="0"/>
          <w:sz w:val="21"/>
          <w:szCs w:val="21"/>
          <w:highlight w:val="none"/>
          <w:lang w:val="en-US" w:eastAsia="zh-CN" w:bidi="ar"/>
        </w:rPr>
      </w:pPr>
    </w:p>
    <w:p w14:paraId="0E47C947">
      <w:pPr>
        <w:rPr>
          <w:rFonts w:hint="eastAsia" w:ascii="仿宋" w:hAnsi="仿宋" w:eastAsia="仿宋" w:cs="仿宋"/>
          <w:b w:val="0"/>
          <w:bCs w:val="0"/>
          <w:color w:val="auto"/>
          <w:kern w:val="0"/>
          <w:sz w:val="21"/>
          <w:szCs w:val="21"/>
          <w:highlight w:val="none"/>
          <w:lang w:val="en-US" w:eastAsia="zh-CN" w:bidi="ar"/>
        </w:rPr>
      </w:pPr>
    </w:p>
    <w:p w14:paraId="0FF582D0">
      <w:pPr>
        <w:rPr>
          <w:rFonts w:hint="eastAsia" w:ascii="仿宋" w:hAnsi="仿宋" w:eastAsia="仿宋" w:cs="仿宋"/>
          <w:b w:val="0"/>
          <w:bCs w:val="0"/>
          <w:color w:val="auto"/>
          <w:kern w:val="0"/>
          <w:sz w:val="21"/>
          <w:szCs w:val="21"/>
          <w:highlight w:val="none"/>
          <w:lang w:val="en-US" w:eastAsia="zh-CN" w:bidi="ar"/>
        </w:rPr>
      </w:pPr>
    </w:p>
    <w:p w14:paraId="417F5F9B">
      <w:pPr>
        <w:rPr>
          <w:rFonts w:hint="eastAsia" w:ascii="仿宋" w:hAnsi="仿宋" w:eastAsia="仿宋" w:cs="仿宋"/>
          <w:b w:val="0"/>
          <w:bCs w:val="0"/>
          <w:color w:val="auto"/>
          <w:kern w:val="0"/>
          <w:sz w:val="21"/>
          <w:szCs w:val="21"/>
          <w:highlight w:val="none"/>
          <w:lang w:val="en-US" w:eastAsia="zh-CN" w:bidi="ar"/>
        </w:rPr>
      </w:pPr>
    </w:p>
    <w:p w14:paraId="0C9115A0">
      <w:pPr>
        <w:rPr>
          <w:rFonts w:hint="eastAsia" w:ascii="仿宋" w:hAnsi="仿宋" w:eastAsia="仿宋" w:cs="仿宋"/>
          <w:b w:val="0"/>
          <w:bCs w:val="0"/>
          <w:color w:val="auto"/>
          <w:kern w:val="0"/>
          <w:sz w:val="21"/>
          <w:szCs w:val="21"/>
          <w:highlight w:val="none"/>
          <w:lang w:val="en-US" w:eastAsia="zh-CN" w:bidi="ar"/>
        </w:rPr>
      </w:pPr>
    </w:p>
    <w:p w14:paraId="09E392A8">
      <w:pPr>
        <w:rPr>
          <w:rFonts w:hint="eastAsia" w:ascii="仿宋" w:hAnsi="仿宋" w:eastAsia="仿宋" w:cs="仿宋"/>
          <w:b w:val="0"/>
          <w:bCs w:val="0"/>
          <w:color w:val="auto"/>
          <w:kern w:val="0"/>
          <w:sz w:val="21"/>
          <w:szCs w:val="21"/>
          <w:highlight w:val="none"/>
          <w:lang w:val="en-US" w:eastAsia="zh-CN" w:bidi="ar"/>
        </w:rPr>
      </w:pPr>
    </w:p>
    <w:p w14:paraId="772A4375">
      <w:pPr>
        <w:rPr>
          <w:rFonts w:hint="eastAsia" w:ascii="仿宋" w:hAnsi="仿宋" w:eastAsia="仿宋" w:cs="仿宋"/>
          <w:b w:val="0"/>
          <w:bCs w:val="0"/>
          <w:color w:val="auto"/>
          <w:kern w:val="0"/>
          <w:sz w:val="21"/>
          <w:szCs w:val="21"/>
          <w:highlight w:val="none"/>
          <w:lang w:val="en-US" w:eastAsia="zh-CN" w:bidi="ar"/>
        </w:rPr>
      </w:pPr>
      <w:r>
        <w:rPr>
          <w:rFonts w:hint="eastAsia" w:ascii="仿宋" w:hAnsi="仿宋" w:eastAsia="仿宋" w:cs="仿宋"/>
          <w:b w:val="0"/>
          <w:bCs w:val="0"/>
          <w:color w:val="auto"/>
          <w:kern w:val="0"/>
          <w:sz w:val="21"/>
          <w:szCs w:val="21"/>
          <w:highlight w:val="none"/>
          <w:lang w:val="en-US" w:eastAsia="zh-CN" w:bidi="ar"/>
        </w:rPr>
        <w:t>从业人员、营业收入、资产总额填报上一年度数据，无上一年度数据的新成立企业可不填报。</w:t>
      </w:r>
    </w:p>
    <w:p w14:paraId="4466D192">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2694392C">
      <w:pPr>
        <w:keepNext w:val="0"/>
        <w:keepLines w:val="0"/>
        <w:widowControl/>
        <w:suppressLineNumbers w:val="0"/>
        <w:jc w:val="center"/>
        <w:rPr>
          <w:rFonts w:hint="eastAsia" w:ascii="仿宋" w:hAnsi="仿宋" w:eastAsia="仿宋" w:cs="仿宋"/>
          <w:b/>
          <w:bCs/>
          <w:color w:val="auto"/>
          <w:kern w:val="0"/>
          <w:sz w:val="32"/>
          <w:szCs w:val="32"/>
          <w:highlight w:val="none"/>
          <w:lang w:val="en-US" w:eastAsia="zh-CN" w:bidi="ar"/>
        </w:rPr>
      </w:pPr>
      <w:r>
        <w:rPr>
          <w:rFonts w:hint="eastAsia" w:ascii="仿宋" w:hAnsi="仿宋" w:eastAsia="仿宋" w:cs="仿宋"/>
          <w:b/>
          <w:bCs/>
          <w:color w:val="auto"/>
          <w:kern w:val="0"/>
          <w:sz w:val="32"/>
          <w:szCs w:val="32"/>
          <w:highlight w:val="none"/>
          <w:lang w:val="en-US" w:eastAsia="zh-CN" w:bidi="ar"/>
        </w:rPr>
        <w:t>残疾人福利性单位声明函格式</w:t>
      </w:r>
    </w:p>
    <w:p w14:paraId="4E47AD27">
      <w:pPr>
        <w:keepNext w:val="0"/>
        <w:keepLines w:val="0"/>
        <w:widowControl/>
        <w:suppressLineNumbers w:val="0"/>
        <w:jc w:val="center"/>
        <w:rPr>
          <w:rFonts w:hint="eastAsia" w:ascii="仿宋" w:hAnsi="仿宋" w:eastAsia="仿宋" w:cs="仿宋"/>
          <w:b/>
          <w:bCs/>
          <w:color w:val="auto"/>
          <w:kern w:val="0"/>
          <w:sz w:val="32"/>
          <w:szCs w:val="32"/>
          <w:highlight w:val="none"/>
          <w:lang w:val="en-US" w:eastAsia="zh-CN" w:bidi="ar"/>
        </w:rPr>
      </w:pPr>
    </w:p>
    <w:p w14:paraId="4FED521D">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本单位郑重声明，根据《财政部民政部中国残疾人联合会关于促进残疾人就业政府采购政策的通知》（财库〔2017〕 141 号）的规定，本单位</w:t>
      </w:r>
      <w:r>
        <w:rPr>
          <w:rFonts w:hint="eastAsia" w:ascii="仿宋" w:hAnsi="仿宋" w:eastAsia="仿宋" w:cs="仿宋"/>
          <w:b/>
          <w:bCs/>
          <w:color w:val="auto"/>
          <w:kern w:val="0"/>
          <w:sz w:val="24"/>
          <w:szCs w:val="24"/>
          <w:highlight w:val="none"/>
          <w:lang w:val="en-US" w:eastAsia="zh-CN" w:bidi="ar"/>
        </w:rPr>
        <w:t>（请进行勾选）</w:t>
      </w:r>
      <w:r>
        <w:rPr>
          <w:rFonts w:hint="eastAsia" w:ascii="仿宋" w:hAnsi="仿宋" w:eastAsia="仿宋" w:cs="仿宋"/>
          <w:color w:val="auto"/>
          <w:kern w:val="0"/>
          <w:sz w:val="24"/>
          <w:szCs w:val="24"/>
          <w:highlight w:val="none"/>
          <w:lang w:val="en-US" w:eastAsia="zh-CN" w:bidi="ar"/>
        </w:rPr>
        <w:t xml:space="preserve">： </w:t>
      </w:r>
    </w:p>
    <w:p w14:paraId="298B0B97">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lang w:val="en-US" w:eastAsia="zh-CN" w:bidi="ar"/>
        </w:rPr>
        <w:t xml:space="preserve">□不属于符合条件的残疾人福利性单位。 </w:t>
      </w:r>
    </w:p>
    <w:p w14:paraId="2D40B0E1">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lang w:val="en-US" w:eastAsia="zh-CN" w:bidi="ar"/>
        </w:rPr>
        <w:t>□属于符合条件的残疾人福利性单位，</w:t>
      </w:r>
      <w:r>
        <w:rPr>
          <w:rFonts w:hint="eastAsia" w:ascii="仿宋" w:hAnsi="仿宋" w:eastAsia="仿宋" w:cs="仿宋"/>
          <w:color w:val="auto"/>
          <w:kern w:val="0"/>
          <w:sz w:val="24"/>
          <w:szCs w:val="24"/>
          <w:highlight w:val="none"/>
          <w:lang w:val="en-US" w:eastAsia="zh-CN" w:bidi="ar"/>
        </w:rPr>
        <w:t>且本单位参加</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单位的</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项目采购活动提供本单位制造的货物（由本单位承担工程/提供服务），或者提供其他残疾人福利性单位制造的货物（不包括使用非残疾人福利性单位注册商标的货物）。 </w:t>
      </w:r>
    </w:p>
    <w:p w14:paraId="35B76A69">
      <w:pPr>
        <w:keepNext w:val="0"/>
        <w:keepLines w:val="0"/>
        <w:pageBreakBefore w:val="0"/>
        <w:widowControl/>
        <w:suppressLineNumbers w:val="0"/>
        <w:kinsoku/>
        <w:wordWrap/>
        <w:overflowPunct/>
        <w:topLinePunct w:val="0"/>
        <w:autoSpaceDE/>
        <w:autoSpaceDN/>
        <w:bidi w:val="0"/>
        <w:adjustRightInd/>
        <w:snapToGrid/>
        <w:spacing w:line="500" w:lineRule="exact"/>
        <w:ind w:firstLine="723" w:firstLineChars="300"/>
        <w:jc w:val="left"/>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lang w:val="en-US" w:eastAsia="zh-CN" w:bidi="ar"/>
        </w:rPr>
        <w:t xml:space="preserve">本单位对上述声明的真实性负责。如有虚假，将依法承担相应责任。 </w:t>
      </w:r>
    </w:p>
    <w:p w14:paraId="57ACA7B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574A89F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53921B5B">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             单位名称（盖章）：</w:t>
      </w:r>
    </w:p>
    <w:p w14:paraId="3D7220F5">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                         日期：</w:t>
      </w:r>
    </w:p>
    <w:p w14:paraId="40C64D90">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4664074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2-2 拟分包情况说明及分包意向协议 （本项目不适用）</w:t>
      </w:r>
    </w:p>
    <w:p w14:paraId="171620C4">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p>
    <w:p w14:paraId="3D3F767D">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r>
        <w:rPr>
          <w:rFonts w:hint="eastAsia" w:ascii="仿宋" w:hAnsi="仿宋" w:eastAsia="仿宋" w:cs="仿宋"/>
          <w:b/>
          <w:bCs/>
          <w:color w:val="auto"/>
          <w:kern w:val="0"/>
          <w:sz w:val="32"/>
          <w:szCs w:val="32"/>
          <w:highlight w:val="none"/>
          <w:lang w:val="en-US" w:eastAsia="zh-CN" w:bidi="ar"/>
        </w:rPr>
        <w:t>拟分包情况说明</w:t>
      </w:r>
    </w:p>
    <w:p w14:paraId="6CE0C372">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p>
    <w:p w14:paraId="38C6C8F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致：</w:t>
      </w:r>
      <w:r>
        <w:rPr>
          <w:rFonts w:hint="eastAsia" w:ascii="仿宋" w:hAnsi="仿宋" w:eastAsia="仿宋" w:cs="仿宋"/>
          <w:color w:val="auto"/>
          <w:kern w:val="0"/>
          <w:sz w:val="24"/>
          <w:szCs w:val="24"/>
          <w:highlight w:val="none"/>
          <w:u w:val="single"/>
          <w:lang w:val="en-US" w:eastAsia="zh-CN" w:bidi="ar"/>
        </w:rPr>
        <w:t>（采购人或采购代理机构）</w:t>
      </w:r>
      <w:r>
        <w:rPr>
          <w:rFonts w:hint="eastAsia" w:ascii="仿宋" w:hAnsi="仿宋" w:eastAsia="仿宋" w:cs="仿宋"/>
          <w:color w:val="auto"/>
          <w:kern w:val="0"/>
          <w:sz w:val="24"/>
          <w:szCs w:val="24"/>
          <w:highlight w:val="none"/>
          <w:lang w:val="en-US" w:eastAsia="zh-CN" w:bidi="ar"/>
        </w:rPr>
        <w:t xml:space="preserve"> </w:t>
      </w:r>
    </w:p>
    <w:p w14:paraId="36EE8DD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我单位参加贵单位组织采购的项目编号为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的</w:t>
      </w:r>
      <w:r>
        <w:rPr>
          <w:rFonts w:hint="eastAsia" w:ascii="仿宋" w:hAnsi="仿宋" w:eastAsia="仿宋" w:cs="仿宋"/>
          <w:color w:val="auto"/>
          <w:kern w:val="0"/>
          <w:sz w:val="24"/>
          <w:szCs w:val="24"/>
          <w:highlight w:val="none"/>
          <w:u w:val="single"/>
          <w:lang w:val="en-US" w:eastAsia="zh-CN" w:bidi="ar"/>
        </w:rPr>
        <w:t xml:space="preserve"> （填写采购项目名称）  </w:t>
      </w:r>
      <w:r>
        <w:rPr>
          <w:rFonts w:hint="eastAsia" w:ascii="仿宋" w:hAnsi="仿宋" w:eastAsia="仿宋" w:cs="仿宋"/>
          <w:color w:val="auto"/>
          <w:kern w:val="0"/>
          <w:sz w:val="24"/>
          <w:szCs w:val="24"/>
          <w:highlight w:val="none"/>
          <w:lang w:val="en-US" w:eastAsia="zh-CN" w:bidi="ar"/>
        </w:rPr>
        <w:t>项目中</w:t>
      </w:r>
      <w:r>
        <w:rPr>
          <w:rFonts w:hint="eastAsia" w:ascii="仿宋" w:hAnsi="仿宋" w:eastAsia="仿宋" w:cs="仿宋"/>
          <w:color w:val="auto"/>
          <w:kern w:val="0"/>
          <w:sz w:val="24"/>
          <w:szCs w:val="24"/>
          <w:highlight w:val="none"/>
          <w:u w:val="single"/>
          <w:lang w:val="en-US" w:eastAsia="zh-CN" w:bidi="ar"/>
        </w:rPr>
        <w:t xml:space="preserve"> （填写包号） </w:t>
      </w:r>
      <w:r>
        <w:rPr>
          <w:rFonts w:hint="eastAsia" w:ascii="仿宋" w:hAnsi="仿宋" w:eastAsia="仿宋" w:cs="仿宋"/>
          <w:color w:val="auto"/>
          <w:kern w:val="0"/>
          <w:sz w:val="24"/>
          <w:szCs w:val="24"/>
          <w:highlight w:val="none"/>
          <w:lang w:val="en-US" w:eastAsia="zh-CN" w:bidi="ar"/>
        </w:rPr>
        <w:t xml:space="preserve">包的投标。拟签订分包合同的单位情况如下表所示，我单 </w:t>
      </w:r>
    </w:p>
    <w:p w14:paraId="561038A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位承诺一旦在该项目中获得采购合同将按下表所列情况进行分包，同时承诺分包承担主体不再次分包。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3"/>
        <w:gridCol w:w="1323"/>
        <w:gridCol w:w="1338"/>
        <w:gridCol w:w="1123"/>
        <w:gridCol w:w="1154"/>
        <w:gridCol w:w="1439"/>
        <w:gridCol w:w="1422"/>
      </w:tblGrid>
      <w:tr w14:paraId="0C502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14:paraId="441965B2">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b w:val="0"/>
                <w:bCs w:val="0"/>
                <w:color w:val="auto"/>
                <w:kern w:val="0"/>
                <w:sz w:val="21"/>
                <w:szCs w:val="21"/>
                <w:highlight w:val="none"/>
                <w:vertAlign w:val="baseline"/>
                <w:lang w:val="en-US" w:eastAsia="zh-CN" w:bidi="ar"/>
              </w:rPr>
              <w:t>序号</w:t>
            </w:r>
          </w:p>
        </w:tc>
        <w:tc>
          <w:tcPr>
            <w:tcW w:w="1323" w:type="dxa"/>
            <w:vAlign w:val="center"/>
          </w:tcPr>
          <w:p w14:paraId="0801AB33">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b w:val="0"/>
                <w:bCs w:val="0"/>
                <w:color w:val="auto"/>
                <w:kern w:val="0"/>
                <w:sz w:val="21"/>
                <w:szCs w:val="21"/>
                <w:highlight w:val="none"/>
                <w:vertAlign w:val="baseline"/>
                <w:lang w:val="en-US" w:eastAsia="zh-CN" w:bidi="ar"/>
              </w:rPr>
              <w:t>分包承担</w:t>
            </w:r>
          </w:p>
          <w:p w14:paraId="46ADE6F1">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b w:val="0"/>
                <w:bCs w:val="0"/>
                <w:color w:val="auto"/>
                <w:kern w:val="0"/>
                <w:sz w:val="21"/>
                <w:szCs w:val="21"/>
                <w:highlight w:val="none"/>
                <w:vertAlign w:val="baseline"/>
                <w:lang w:val="en-US" w:eastAsia="zh-CN" w:bidi="ar"/>
              </w:rPr>
              <w:t>主体名称</w:t>
            </w:r>
          </w:p>
        </w:tc>
        <w:tc>
          <w:tcPr>
            <w:tcW w:w="1338" w:type="dxa"/>
            <w:vAlign w:val="center"/>
          </w:tcPr>
          <w:p w14:paraId="42C8DCC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分包承担</w:t>
            </w:r>
          </w:p>
          <w:p w14:paraId="1B1131E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主体类型</w:t>
            </w:r>
          </w:p>
          <w:p w14:paraId="496BA43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（勾选）</w:t>
            </w:r>
          </w:p>
        </w:tc>
        <w:tc>
          <w:tcPr>
            <w:tcW w:w="1123" w:type="dxa"/>
            <w:vAlign w:val="center"/>
          </w:tcPr>
          <w:p w14:paraId="0BA6256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b w:val="0"/>
                <w:bCs w:val="0"/>
                <w:color w:val="auto"/>
                <w:kern w:val="0"/>
                <w:sz w:val="21"/>
                <w:szCs w:val="21"/>
                <w:highlight w:val="none"/>
                <w:vertAlign w:val="baseline"/>
                <w:lang w:val="en-US" w:eastAsia="zh-CN" w:bidi="ar"/>
              </w:rPr>
              <w:t>资质等级</w:t>
            </w:r>
          </w:p>
        </w:tc>
        <w:tc>
          <w:tcPr>
            <w:tcW w:w="1154" w:type="dxa"/>
            <w:vAlign w:val="center"/>
          </w:tcPr>
          <w:p w14:paraId="25EE7BE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拟分包</w:t>
            </w:r>
          </w:p>
          <w:p w14:paraId="182E8C9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合同内容</w:t>
            </w:r>
          </w:p>
        </w:tc>
        <w:tc>
          <w:tcPr>
            <w:tcW w:w="1439" w:type="dxa"/>
            <w:vAlign w:val="center"/>
          </w:tcPr>
          <w:p w14:paraId="5899FE8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拟分包</w:t>
            </w:r>
          </w:p>
          <w:p w14:paraId="3E5D5DD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合同金额</w:t>
            </w:r>
          </w:p>
          <w:p w14:paraId="5B4A55C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（人民币元）</w:t>
            </w:r>
          </w:p>
        </w:tc>
        <w:tc>
          <w:tcPr>
            <w:tcW w:w="1422" w:type="dxa"/>
            <w:vAlign w:val="center"/>
          </w:tcPr>
          <w:p w14:paraId="11FEDB90">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占该采购包</w:t>
            </w:r>
            <w:r>
              <w:rPr>
                <w:rFonts w:hint="eastAsia" w:ascii="仿宋" w:hAnsi="仿宋" w:eastAsia="仿宋" w:cs="仿宋"/>
                <w:b/>
                <w:bCs/>
                <w:color w:val="auto"/>
                <w:kern w:val="0"/>
                <w:sz w:val="21"/>
                <w:szCs w:val="21"/>
                <w:highlight w:val="none"/>
                <w:lang w:val="en-US" w:eastAsia="zh-CN" w:bidi="ar"/>
              </w:rPr>
              <w:t>预算金额的</w:t>
            </w:r>
            <w:r>
              <w:rPr>
                <w:rFonts w:hint="eastAsia" w:ascii="仿宋" w:hAnsi="仿宋" w:eastAsia="仿宋" w:cs="仿宋"/>
                <w:color w:val="auto"/>
                <w:kern w:val="0"/>
                <w:sz w:val="21"/>
                <w:szCs w:val="21"/>
                <w:highlight w:val="none"/>
                <w:lang w:val="en-US" w:eastAsia="zh-CN" w:bidi="ar"/>
              </w:rPr>
              <w:t>比例（%）</w:t>
            </w:r>
          </w:p>
        </w:tc>
      </w:tr>
      <w:tr w14:paraId="7329D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14:paraId="33E1ED98">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r>
              <w:rPr>
                <w:rFonts w:hint="eastAsia" w:ascii="仿宋" w:hAnsi="仿宋" w:eastAsia="仿宋" w:cs="仿宋"/>
                <w:b w:val="0"/>
                <w:bCs w:val="0"/>
                <w:color w:val="auto"/>
                <w:kern w:val="0"/>
                <w:sz w:val="24"/>
                <w:szCs w:val="24"/>
                <w:highlight w:val="none"/>
                <w:vertAlign w:val="baseline"/>
                <w:lang w:val="en-US" w:eastAsia="zh-CN" w:bidi="ar"/>
              </w:rPr>
              <w:t>1</w:t>
            </w:r>
          </w:p>
        </w:tc>
        <w:tc>
          <w:tcPr>
            <w:tcW w:w="1323" w:type="dxa"/>
            <w:vAlign w:val="center"/>
          </w:tcPr>
          <w:p w14:paraId="0A7AD690">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338" w:type="dxa"/>
            <w:vAlign w:val="center"/>
          </w:tcPr>
          <w:p w14:paraId="46745BE4">
            <w:pPr>
              <w:keepNext w:val="0"/>
              <w:keepLines w:val="0"/>
              <w:widowControl/>
              <w:suppressLineNumbers w:val="0"/>
              <w:jc w:val="center"/>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□中型企业</w:t>
            </w:r>
          </w:p>
          <w:p w14:paraId="09381B3B">
            <w:pPr>
              <w:keepNext w:val="0"/>
              <w:keepLines w:val="0"/>
              <w:widowControl/>
              <w:suppressLineNumbers w:val="0"/>
              <w:jc w:val="center"/>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□小微企业</w:t>
            </w:r>
          </w:p>
        </w:tc>
        <w:tc>
          <w:tcPr>
            <w:tcW w:w="1123" w:type="dxa"/>
            <w:vAlign w:val="center"/>
          </w:tcPr>
          <w:p w14:paraId="0E082312">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154" w:type="dxa"/>
            <w:vAlign w:val="center"/>
          </w:tcPr>
          <w:p w14:paraId="41B08310">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39" w:type="dxa"/>
            <w:vAlign w:val="center"/>
          </w:tcPr>
          <w:p w14:paraId="0F6B4516">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22" w:type="dxa"/>
            <w:vAlign w:val="center"/>
          </w:tcPr>
          <w:p w14:paraId="15F6C036">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r>
      <w:tr w14:paraId="5AA47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14:paraId="06749EEC">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r>
              <w:rPr>
                <w:rFonts w:hint="eastAsia" w:ascii="仿宋" w:hAnsi="仿宋" w:eastAsia="仿宋" w:cs="仿宋"/>
                <w:b w:val="0"/>
                <w:bCs w:val="0"/>
                <w:color w:val="auto"/>
                <w:kern w:val="0"/>
                <w:sz w:val="24"/>
                <w:szCs w:val="24"/>
                <w:highlight w:val="none"/>
                <w:vertAlign w:val="baseline"/>
                <w:lang w:val="en-US" w:eastAsia="zh-CN" w:bidi="ar"/>
              </w:rPr>
              <w:t>2</w:t>
            </w:r>
          </w:p>
        </w:tc>
        <w:tc>
          <w:tcPr>
            <w:tcW w:w="1323" w:type="dxa"/>
            <w:vAlign w:val="center"/>
          </w:tcPr>
          <w:p w14:paraId="6533ED24">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338" w:type="dxa"/>
            <w:vAlign w:val="center"/>
          </w:tcPr>
          <w:p w14:paraId="36EF3FCB">
            <w:pPr>
              <w:keepNext w:val="0"/>
              <w:keepLines w:val="0"/>
              <w:widowControl/>
              <w:suppressLineNumbers w:val="0"/>
              <w:jc w:val="center"/>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□中型企业</w:t>
            </w:r>
          </w:p>
          <w:p w14:paraId="0D3EAA2E">
            <w:pPr>
              <w:keepNext w:val="0"/>
              <w:keepLines w:val="0"/>
              <w:widowControl/>
              <w:suppressLineNumbers w:val="0"/>
              <w:jc w:val="center"/>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□小微企业</w:t>
            </w:r>
          </w:p>
        </w:tc>
        <w:tc>
          <w:tcPr>
            <w:tcW w:w="1123" w:type="dxa"/>
            <w:vAlign w:val="center"/>
          </w:tcPr>
          <w:p w14:paraId="396CA67F">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154" w:type="dxa"/>
            <w:vAlign w:val="center"/>
          </w:tcPr>
          <w:p w14:paraId="7527124E">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39" w:type="dxa"/>
            <w:vAlign w:val="center"/>
          </w:tcPr>
          <w:p w14:paraId="176A0C74">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22" w:type="dxa"/>
            <w:vAlign w:val="center"/>
          </w:tcPr>
          <w:p w14:paraId="2509A372">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r>
      <w:tr w14:paraId="41220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14:paraId="6665AAF6">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r>
              <w:rPr>
                <w:rFonts w:hint="eastAsia" w:ascii="仿宋" w:hAnsi="仿宋" w:eastAsia="仿宋" w:cs="仿宋"/>
                <w:b w:val="0"/>
                <w:bCs w:val="0"/>
                <w:color w:val="auto"/>
                <w:kern w:val="0"/>
                <w:sz w:val="24"/>
                <w:szCs w:val="24"/>
                <w:highlight w:val="none"/>
                <w:vertAlign w:val="baseline"/>
                <w:lang w:val="en-US" w:eastAsia="zh-CN" w:bidi="ar"/>
              </w:rPr>
              <w:t>...</w:t>
            </w:r>
          </w:p>
        </w:tc>
        <w:tc>
          <w:tcPr>
            <w:tcW w:w="1323" w:type="dxa"/>
            <w:vAlign w:val="center"/>
          </w:tcPr>
          <w:p w14:paraId="37269731">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338" w:type="dxa"/>
            <w:vAlign w:val="center"/>
          </w:tcPr>
          <w:p w14:paraId="5ADA4DDA">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123" w:type="dxa"/>
            <w:vAlign w:val="center"/>
          </w:tcPr>
          <w:p w14:paraId="34D9884D">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154" w:type="dxa"/>
            <w:vAlign w:val="center"/>
          </w:tcPr>
          <w:p w14:paraId="7099585B">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39" w:type="dxa"/>
            <w:vAlign w:val="center"/>
          </w:tcPr>
          <w:p w14:paraId="3AC0ED42">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22" w:type="dxa"/>
            <w:vAlign w:val="center"/>
          </w:tcPr>
          <w:p w14:paraId="2204C631">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r>
      <w:tr w14:paraId="3807B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61" w:type="dxa"/>
            <w:gridSpan w:val="5"/>
            <w:vAlign w:val="center"/>
          </w:tcPr>
          <w:p w14:paraId="1841576E">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r>
              <w:rPr>
                <w:rFonts w:hint="eastAsia" w:ascii="仿宋" w:hAnsi="仿宋" w:eastAsia="仿宋" w:cs="仿宋"/>
                <w:b w:val="0"/>
                <w:bCs w:val="0"/>
                <w:color w:val="auto"/>
                <w:kern w:val="0"/>
                <w:sz w:val="24"/>
                <w:szCs w:val="24"/>
                <w:highlight w:val="none"/>
                <w:vertAlign w:val="baseline"/>
                <w:lang w:val="en-US" w:eastAsia="zh-CN" w:bidi="ar"/>
              </w:rPr>
              <w:t>合计</w:t>
            </w:r>
          </w:p>
        </w:tc>
        <w:tc>
          <w:tcPr>
            <w:tcW w:w="1439" w:type="dxa"/>
            <w:vAlign w:val="center"/>
          </w:tcPr>
          <w:p w14:paraId="27F4BB47">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22" w:type="dxa"/>
            <w:vAlign w:val="center"/>
          </w:tcPr>
          <w:p w14:paraId="2A20A497">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r>
    </w:tbl>
    <w:p w14:paraId="55C2292B">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lang w:val="en-US" w:eastAsia="zh-CN" w:bidi="ar"/>
        </w:rPr>
      </w:pPr>
    </w:p>
    <w:p w14:paraId="694B1BC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u w:val="single"/>
          <w:lang w:val="en-US"/>
        </w:rPr>
      </w:pPr>
      <w:r>
        <w:rPr>
          <w:rFonts w:hint="eastAsia" w:ascii="仿宋" w:hAnsi="仿宋" w:eastAsia="仿宋" w:cs="仿宋"/>
          <w:color w:val="auto"/>
          <w:kern w:val="0"/>
          <w:sz w:val="24"/>
          <w:szCs w:val="24"/>
          <w:highlight w:val="none"/>
          <w:lang w:val="en-US" w:eastAsia="zh-CN" w:bidi="ar"/>
        </w:rPr>
        <w:t>投标人名称（加盖公章）：</w:t>
      </w:r>
      <w:r>
        <w:rPr>
          <w:rFonts w:hint="eastAsia" w:ascii="仿宋" w:hAnsi="仿宋" w:eastAsia="仿宋" w:cs="仿宋"/>
          <w:color w:val="auto"/>
          <w:kern w:val="0"/>
          <w:sz w:val="24"/>
          <w:szCs w:val="24"/>
          <w:highlight w:val="none"/>
          <w:u w:val="single"/>
          <w:lang w:val="en-US" w:eastAsia="zh-CN" w:bidi="ar"/>
        </w:rPr>
        <w:t xml:space="preserve">               </w:t>
      </w:r>
    </w:p>
    <w:p w14:paraId="293C0E6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日期：</w:t>
      </w:r>
      <w:r>
        <w:rPr>
          <w:rFonts w:hint="eastAsia" w:ascii="仿宋" w:hAnsi="仿宋" w:eastAsia="仿宋" w:cs="仿宋"/>
          <w:color w:val="auto"/>
          <w:kern w:val="0"/>
          <w:sz w:val="24"/>
          <w:szCs w:val="24"/>
          <w:highlight w:val="none"/>
          <w:u w:val="single"/>
          <w:lang w:val="en-US" w:eastAsia="zh-CN" w:bidi="ar"/>
        </w:rPr>
        <w:t xml:space="preserve">      年     月    日</w:t>
      </w:r>
      <w:r>
        <w:rPr>
          <w:rFonts w:hint="eastAsia" w:ascii="仿宋" w:hAnsi="仿宋" w:eastAsia="仿宋" w:cs="仿宋"/>
          <w:color w:val="auto"/>
          <w:kern w:val="0"/>
          <w:sz w:val="24"/>
          <w:szCs w:val="24"/>
          <w:highlight w:val="none"/>
          <w:lang w:val="en-US" w:eastAsia="zh-CN" w:bidi="ar"/>
        </w:rPr>
        <w:t xml:space="preserve"> </w:t>
      </w:r>
    </w:p>
    <w:p w14:paraId="1B0C45B8">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059CA81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说明： </w:t>
      </w:r>
    </w:p>
    <w:p w14:paraId="6DB0EA76">
      <w:pPr>
        <w:keepNext w:val="0"/>
        <w:keepLines w:val="0"/>
        <w:pageBreakBefore w:val="0"/>
        <w:widowControl/>
        <w:numPr>
          <w:ilvl w:val="0"/>
          <w:numId w:val="14"/>
        </w:numPr>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本表仅在投标人“为落实政府采购政策”而向中小企业分包时填写。</w:t>
      </w:r>
    </w:p>
    <w:p w14:paraId="5ACCD204">
      <w:pPr>
        <w:keepNext w:val="0"/>
        <w:keepLines w:val="0"/>
        <w:pageBreakBefore w:val="0"/>
        <w:widowControl/>
        <w:numPr>
          <w:ilvl w:val="0"/>
          <w:numId w:val="14"/>
        </w:numPr>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如本招标文件《投标人须知资料表》载明本项目分包承担主体应具备的相应资质条件，则投标人须在本表中列明分包承担主体的资质等级，并后附资质证书复印件加盖投标人公章，否则</w:t>
      </w:r>
      <w:r>
        <w:rPr>
          <w:rFonts w:hint="eastAsia" w:ascii="仿宋" w:hAnsi="仿宋" w:eastAsia="仿宋" w:cs="仿宋"/>
          <w:b/>
          <w:bCs/>
          <w:color w:val="auto"/>
          <w:kern w:val="0"/>
          <w:sz w:val="24"/>
          <w:szCs w:val="24"/>
          <w:highlight w:val="none"/>
          <w:lang w:val="en-US" w:eastAsia="zh-CN" w:bidi="ar"/>
        </w:rPr>
        <w:t>投标无效</w:t>
      </w:r>
      <w:r>
        <w:rPr>
          <w:rFonts w:hint="eastAsia" w:ascii="仿宋" w:hAnsi="仿宋" w:eastAsia="仿宋" w:cs="仿宋"/>
          <w:color w:val="auto"/>
          <w:kern w:val="0"/>
          <w:sz w:val="24"/>
          <w:szCs w:val="24"/>
          <w:highlight w:val="none"/>
          <w:lang w:val="en-US" w:eastAsia="zh-CN" w:bidi="ar"/>
        </w:rPr>
        <w:t xml:space="preserve">。 </w:t>
      </w:r>
    </w:p>
    <w:p w14:paraId="52EFC90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（3）投标人与上述拟分包承担主体签署的《分包意向协议》后附。</w:t>
      </w:r>
    </w:p>
    <w:p w14:paraId="75F3FC6D">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408F3B30">
      <w:pPr>
        <w:keepNext w:val="0"/>
        <w:keepLines w:val="0"/>
        <w:widowControl/>
        <w:suppressLineNumbers w:val="0"/>
        <w:jc w:val="lef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kern w:val="0"/>
          <w:sz w:val="24"/>
          <w:szCs w:val="24"/>
          <w:highlight w:val="none"/>
          <w:lang w:val="en-US" w:eastAsia="zh-CN" w:bidi="ar"/>
        </w:rPr>
        <w:t xml:space="preserve">附：分包意向协议（参考格式） </w:t>
      </w:r>
    </w:p>
    <w:p w14:paraId="16ECFDBD">
      <w:pPr>
        <w:keepNext w:val="0"/>
        <w:keepLines w:val="0"/>
        <w:widowControl/>
        <w:suppressLineNumbers w:val="0"/>
        <w:jc w:val="left"/>
        <w:rPr>
          <w:rFonts w:hint="eastAsia" w:ascii="仿宋" w:hAnsi="仿宋" w:eastAsia="仿宋" w:cs="仿宋"/>
          <w:color w:val="auto"/>
          <w:kern w:val="0"/>
          <w:sz w:val="24"/>
          <w:szCs w:val="24"/>
          <w:highlight w:val="none"/>
          <w:lang w:val="en-US" w:eastAsia="zh-CN" w:bidi="ar"/>
        </w:rPr>
      </w:pPr>
    </w:p>
    <w:p w14:paraId="0E45EA64">
      <w:pPr>
        <w:keepNext w:val="0"/>
        <w:keepLines w:val="0"/>
        <w:widowControl/>
        <w:suppressLineNumbers w:val="0"/>
        <w:jc w:val="left"/>
        <w:rPr>
          <w:rFonts w:hint="eastAsia" w:ascii="仿宋" w:hAnsi="仿宋" w:eastAsia="仿宋" w:cs="仿宋"/>
          <w:color w:val="auto"/>
          <w:kern w:val="0"/>
          <w:sz w:val="24"/>
          <w:szCs w:val="24"/>
          <w:highlight w:val="none"/>
          <w:lang w:val="en-US" w:eastAsia="zh-CN" w:bidi="ar"/>
        </w:rPr>
      </w:pPr>
    </w:p>
    <w:p w14:paraId="44EC966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u w:val="single"/>
          <w:lang w:val="en-US" w:eastAsia="zh-CN" w:bidi="ar"/>
        </w:rPr>
      </w:pPr>
      <w:r>
        <w:rPr>
          <w:rFonts w:hint="eastAsia" w:ascii="仿宋" w:hAnsi="仿宋" w:eastAsia="仿宋" w:cs="仿宋"/>
          <w:color w:val="auto"/>
          <w:kern w:val="0"/>
          <w:sz w:val="24"/>
          <w:szCs w:val="24"/>
          <w:highlight w:val="none"/>
          <w:lang w:val="en-US" w:eastAsia="zh-CN" w:bidi="ar"/>
        </w:rPr>
        <w:t>甲方（投标人）：</w:t>
      </w:r>
      <w:r>
        <w:rPr>
          <w:rFonts w:hint="eastAsia" w:ascii="仿宋" w:hAnsi="仿宋" w:eastAsia="仿宋" w:cs="仿宋"/>
          <w:color w:val="auto"/>
          <w:kern w:val="0"/>
          <w:sz w:val="24"/>
          <w:szCs w:val="24"/>
          <w:highlight w:val="none"/>
          <w:u w:val="single"/>
          <w:lang w:val="en-US" w:eastAsia="zh-CN" w:bidi="ar"/>
        </w:rPr>
        <w:t xml:space="preserve">                 </w:t>
      </w:r>
    </w:p>
    <w:p w14:paraId="78E3547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乙方（拟分包单位）：</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21BD4A3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甲方承诺，一旦在</w:t>
      </w:r>
      <w:r>
        <w:rPr>
          <w:rFonts w:hint="eastAsia" w:ascii="仿宋" w:hAnsi="仿宋" w:eastAsia="仿宋" w:cs="仿宋"/>
          <w:color w:val="auto"/>
          <w:kern w:val="0"/>
          <w:sz w:val="24"/>
          <w:szCs w:val="24"/>
          <w:highlight w:val="none"/>
          <w:u w:val="single"/>
          <w:lang w:val="en-US" w:eastAsia="zh-CN" w:bidi="ar"/>
        </w:rPr>
        <w:t xml:space="preserve">（采购项目名称）（项目编号/包号为：     </w:t>
      </w:r>
      <w:r>
        <w:rPr>
          <w:rFonts w:hint="eastAsia" w:ascii="仿宋" w:hAnsi="仿宋" w:eastAsia="仿宋" w:cs="仿宋"/>
          <w:color w:val="auto"/>
          <w:kern w:val="0"/>
          <w:sz w:val="24"/>
          <w:szCs w:val="24"/>
          <w:highlight w:val="none"/>
          <w:lang w:val="en-US" w:eastAsia="zh-CN" w:bidi="ar"/>
        </w:rPr>
        <w:t xml:space="preserve">）招标采购项目中获得采购合同，将按照下述约定将合同项下部分内容分包给乙方： </w:t>
      </w:r>
    </w:p>
    <w:p w14:paraId="37CA1B8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32" w:name="_Toc22054"/>
      <w:r>
        <w:rPr>
          <w:rFonts w:hint="eastAsia" w:ascii="仿宋" w:hAnsi="仿宋" w:eastAsia="仿宋" w:cs="仿宋"/>
          <w:color w:val="auto"/>
          <w:kern w:val="0"/>
          <w:sz w:val="24"/>
          <w:szCs w:val="24"/>
          <w:highlight w:val="none"/>
          <w:lang w:val="en-US" w:eastAsia="zh-CN" w:bidi="ar"/>
        </w:rPr>
        <w:t>1.分包内容：</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w:t>
      </w:r>
      <w:bookmarkEnd w:id="32"/>
      <w:r>
        <w:rPr>
          <w:rFonts w:hint="eastAsia" w:ascii="仿宋" w:hAnsi="仿宋" w:eastAsia="仿宋" w:cs="仿宋"/>
          <w:color w:val="auto"/>
          <w:kern w:val="0"/>
          <w:sz w:val="24"/>
          <w:szCs w:val="24"/>
          <w:highlight w:val="none"/>
          <w:lang w:val="en-US" w:eastAsia="zh-CN" w:bidi="ar"/>
        </w:rPr>
        <w:t xml:space="preserve"> </w:t>
      </w:r>
    </w:p>
    <w:p w14:paraId="02B224A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2.分包金额：</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，该金额占该采购包预算总金额的比例为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2687F92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乙方承诺将在上述情况下与甲方签订分包合同。 </w:t>
      </w:r>
    </w:p>
    <w:p w14:paraId="5B2D6E8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本协议自各方盖章之日起生效，如甲方未在该项目（采购包）中标，本协议自动终止。 </w:t>
      </w:r>
    </w:p>
    <w:p w14:paraId="622C5C6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79A5D09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甲方（盖章）：</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乙方（盖章）：</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422CF56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日期： </w:t>
      </w:r>
      <w:r>
        <w:rPr>
          <w:rFonts w:hint="eastAsia" w:ascii="仿宋" w:hAnsi="仿宋" w:eastAsia="仿宋" w:cs="仿宋"/>
          <w:color w:val="auto"/>
          <w:kern w:val="0"/>
          <w:sz w:val="24"/>
          <w:szCs w:val="24"/>
          <w:highlight w:val="none"/>
          <w:u w:val="single"/>
          <w:lang w:val="en-US" w:eastAsia="zh-CN" w:bidi="ar"/>
        </w:rPr>
        <w:t xml:space="preserve">    年    月    日</w:t>
      </w:r>
      <w:r>
        <w:rPr>
          <w:rFonts w:hint="eastAsia" w:ascii="仿宋" w:hAnsi="仿宋" w:eastAsia="仿宋" w:cs="仿宋"/>
          <w:color w:val="auto"/>
          <w:kern w:val="0"/>
          <w:sz w:val="24"/>
          <w:szCs w:val="24"/>
          <w:highlight w:val="none"/>
          <w:lang w:val="en-US" w:eastAsia="zh-CN" w:bidi="ar"/>
        </w:rPr>
        <w:t xml:space="preserve"> </w:t>
      </w:r>
    </w:p>
    <w:p w14:paraId="7893580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54DCB19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说明：本协议仅在投标人“为落实政府采购政策”而向中小企业分包时必须提供，否则投标无效；且投标人须与所有拟分包单位分别签订《分包意向协议》，每单位签订一份，并在投标文件中提交全部协议原件的电子件，否则投标无效。</w:t>
      </w:r>
    </w:p>
    <w:p w14:paraId="154CFEDD">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04493102">
      <w:pPr>
        <w:keepNext w:val="0"/>
        <w:keepLines w:val="0"/>
        <w:widowControl/>
        <w:suppressLineNumbers w:val="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2-3 其它落实政府采购政策的资格要求（如有）</w:t>
      </w:r>
    </w:p>
    <w:p w14:paraId="40EFB11C">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3D1A38F9">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2D811BCD">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08C7ABBE">
      <w:pPr>
        <w:keepNext w:val="0"/>
        <w:keepLines w:val="0"/>
        <w:widowControl/>
        <w:suppressLineNumbers w:val="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3  本项目的特定资格要求 </w:t>
      </w:r>
    </w:p>
    <w:p w14:paraId="526A063D">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251D5B01">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556F7D39">
      <w:pPr>
        <w:keepNext w:val="0"/>
        <w:keepLines w:val="0"/>
        <w:widowControl/>
        <w:suppressLineNumbers w:val="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4  投标保证金凭证/交款单据电子件</w:t>
      </w:r>
    </w:p>
    <w:p w14:paraId="2C805302">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07BDC2D6">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79A6E4BB">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3F800E7E">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13C4D926">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5  投标书 </w:t>
      </w:r>
    </w:p>
    <w:p w14:paraId="18B5706F">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p>
    <w:p w14:paraId="4B12DA6D">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b/>
          <w:bCs/>
          <w:color w:val="auto"/>
          <w:kern w:val="0"/>
          <w:sz w:val="32"/>
          <w:szCs w:val="32"/>
          <w:highlight w:val="none"/>
          <w:lang w:val="en-US" w:eastAsia="zh-CN" w:bidi="ar"/>
        </w:rPr>
        <w:t>投标书</w:t>
      </w:r>
    </w:p>
    <w:p w14:paraId="4E002FF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76050C8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致：</w:t>
      </w:r>
      <w:r>
        <w:rPr>
          <w:rFonts w:hint="eastAsia" w:ascii="仿宋" w:hAnsi="仿宋" w:eastAsia="仿宋" w:cs="仿宋"/>
          <w:color w:val="auto"/>
          <w:kern w:val="0"/>
          <w:sz w:val="24"/>
          <w:szCs w:val="24"/>
          <w:highlight w:val="none"/>
          <w:u w:val="single"/>
          <w:lang w:val="en-US" w:eastAsia="zh-CN" w:bidi="ar"/>
        </w:rPr>
        <w:t>（采购人或采购代理机构）</w:t>
      </w:r>
      <w:r>
        <w:rPr>
          <w:rFonts w:hint="eastAsia" w:ascii="仿宋" w:hAnsi="仿宋" w:eastAsia="仿宋" w:cs="仿宋"/>
          <w:color w:val="auto"/>
          <w:kern w:val="0"/>
          <w:sz w:val="24"/>
          <w:szCs w:val="24"/>
          <w:highlight w:val="none"/>
          <w:lang w:val="en-US" w:eastAsia="zh-CN" w:bidi="ar"/>
        </w:rPr>
        <w:t xml:space="preserve"> </w:t>
      </w:r>
    </w:p>
    <w:p w14:paraId="646B0AD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我方参加你方就</w:t>
      </w:r>
      <w:r>
        <w:rPr>
          <w:rFonts w:hint="eastAsia" w:ascii="仿宋" w:hAnsi="仿宋" w:eastAsia="仿宋" w:cs="仿宋"/>
          <w:color w:val="auto"/>
          <w:kern w:val="0"/>
          <w:sz w:val="24"/>
          <w:szCs w:val="24"/>
          <w:highlight w:val="none"/>
          <w:u w:val="single"/>
          <w:lang w:val="en-US" w:eastAsia="zh-CN" w:bidi="ar"/>
        </w:rPr>
        <w:t>（项目名称，项目编号/包号）</w:t>
      </w:r>
      <w:r>
        <w:rPr>
          <w:rFonts w:hint="eastAsia" w:ascii="仿宋" w:hAnsi="仿宋" w:eastAsia="仿宋" w:cs="仿宋"/>
          <w:color w:val="auto"/>
          <w:kern w:val="0"/>
          <w:sz w:val="24"/>
          <w:szCs w:val="24"/>
          <w:highlight w:val="none"/>
          <w:lang w:val="en-US" w:eastAsia="zh-CN" w:bidi="ar"/>
        </w:rPr>
        <w:t xml:space="preserve">组织的招标活动，并对 </w:t>
      </w:r>
    </w:p>
    <w:p w14:paraId="2A29DB9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此项目进行投标。 </w:t>
      </w:r>
    </w:p>
    <w:p w14:paraId="2B46F32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33" w:name="_Toc30504"/>
      <w:r>
        <w:rPr>
          <w:rFonts w:hint="eastAsia" w:ascii="仿宋" w:hAnsi="仿宋" w:eastAsia="仿宋" w:cs="仿宋"/>
          <w:color w:val="auto"/>
          <w:kern w:val="0"/>
          <w:sz w:val="24"/>
          <w:szCs w:val="24"/>
          <w:highlight w:val="none"/>
          <w:lang w:val="en-US" w:eastAsia="zh-CN" w:bidi="ar"/>
        </w:rPr>
        <w:t>1. 我方已详细审查全部招标文件，自愿参与投标并承诺如下：</w:t>
      </w:r>
      <w:bookmarkEnd w:id="33"/>
      <w:r>
        <w:rPr>
          <w:rFonts w:hint="eastAsia" w:ascii="仿宋" w:hAnsi="仿宋" w:eastAsia="仿宋" w:cs="仿宋"/>
          <w:color w:val="auto"/>
          <w:kern w:val="0"/>
          <w:sz w:val="24"/>
          <w:szCs w:val="24"/>
          <w:highlight w:val="none"/>
          <w:lang w:val="en-US" w:eastAsia="zh-CN" w:bidi="ar"/>
        </w:rPr>
        <w:t xml:space="preserve"> </w:t>
      </w:r>
    </w:p>
    <w:p w14:paraId="455A12C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（1）本投标有效期为自提交投标文件的截止之日起</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个日历日。 </w:t>
      </w:r>
    </w:p>
    <w:p w14:paraId="4D36715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（2）除合同条款及采购需求偏离表列出的偏离外，我方响应招标文件的全部要求。 </w:t>
      </w:r>
    </w:p>
    <w:p w14:paraId="7064A28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（3）我方已提供的全部文件资料是真实、准确的，并对此承担一切法律后果。 </w:t>
      </w:r>
    </w:p>
    <w:p w14:paraId="6AFC6CE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（4）如我方中标，我方将在法律规定的期限内与你方签订合同，按照招标文件要求提交履约保证金，并在合同约定的期限内完成合同规定的全部义务。 </w:t>
      </w:r>
    </w:p>
    <w:p w14:paraId="3DE8A3C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34" w:name="_Toc24785"/>
      <w:r>
        <w:rPr>
          <w:rFonts w:hint="eastAsia" w:ascii="仿宋" w:hAnsi="仿宋" w:eastAsia="仿宋" w:cs="仿宋"/>
          <w:color w:val="auto"/>
          <w:kern w:val="0"/>
          <w:sz w:val="24"/>
          <w:szCs w:val="24"/>
          <w:highlight w:val="none"/>
          <w:lang w:val="en-US" w:eastAsia="zh-CN" w:bidi="ar"/>
        </w:rPr>
        <w:t>2. 其他补充条款（如有）：</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w:t>
      </w:r>
      <w:bookmarkEnd w:id="34"/>
      <w:r>
        <w:rPr>
          <w:rFonts w:hint="eastAsia" w:ascii="仿宋" w:hAnsi="仿宋" w:eastAsia="仿宋" w:cs="仿宋"/>
          <w:color w:val="auto"/>
          <w:kern w:val="0"/>
          <w:sz w:val="24"/>
          <w:szCs w:val="24"/>
          <w:highlight w:val="none"/>
          <w:lang w:val="en-US" w:eastAsia="zh-CN" w:bidi="ar"/>
        </w:rPr>
        <w:t xml:space="preserve"> </w:t>
      </w:r>
    </w:p>
    <w:p w14:paraId="32A1E39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与本投标有关的一切正式往来信函请寄： </w:t>
      </w:r>
    </w:p>
    <w:p w14:paraId="4001AFE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地址</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传真</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3093F5A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电话</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电子函件</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0D4994D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投标人名称（加盖公章） </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5275673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日期：</w:t>
      </w:r>
      <w:r>
        <w:rPr>
          <w:rFonts w:hint="eastAsia" w:ascii="仿宋" w:hAnsi="仿宋" w:eastAsia="仿宋" w:cs="仿宋"/>
          <w:color w:val="auto"/>
          <w:kern w:val="0"/>
          <w:sz w:val="24"/>
          <w:szCs w:val="24"/>
          <w:highlight w:val="none"/>
          <w:u w:val="single"/>
          <w:lang w:val="en-US" w:eastAsia="zh-CN" w:bidi="ar"/>
        </w:rPr>
        <w:t xml:space="preserve">     年     月    日</w:t>
      </w:r>
    </w:p>
    <w:p w14:paraId="372AE75C">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4F6FC76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35" w:name="_Toc6076"/>
      <w:r>
        <w:rPr>
          <w:rFonts w:hint="eastAsia" w:ascii="仿宋" w:hAnsi="仿宋" w:eastAsia="仿宋" w:cs="仿宋"/>
          <w:color w:val="auto"/>
          <w:kern w:val="0"/>
          <w:sz w:val="24"/>
          <w:szCs w:val="24"/>
          <w:highlight w:val="none"/>
          <w:lang w:val="en-US" w:eastAsia="zh-CN" w:bidi="ar"/>
        </w:rPr>
        <w:t>6  授权委托书</w:t>
      </w:r>
      <w:bookmarkEnd w:id="35"/>
      <w:r>
        <w:rPr>
          <w:rFonts w:hint="eastAsia" w:ascii="仿宋" w:hAnsi="仿宋" w:eastAsia="仿宋" w:cs="仿宋"/>
          <w:color w:val="auto"/>
          <w:kern w:val="0"/>
          <w:sz w:val="24"/>
          <w:szCs w:val="24"/>
          <w:highlight w:val="none"/>
          <w:lang w:val="en-US" w:eastAsia="zh-CN" w:bidi="ar"/>
        </w:rPr>
        <w:t xml:space="preserve"> </w:t>
      </w:r>
    </w:p>
    <w:p w14:paraId="00D7A1C1">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kern w:val="0"/>
          <w:sz w:val="32"/>
          <w:szCs w:val="32"/>
          <w:highlight w:val="none"/>
          <w:lang w:val="en-US" w:eastAsia="zh-CN" w:bidi="ar"/>
        </w:rPr>
      </w:pPr>
    </w:p>
    <w:p w14:paraId="298633F8">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r>
        <w:rPr>
          <w:rFonts w:hint="eastAsia" w:ascii="仿宋" w:hAnsi="仿宋" w:eastAsia="仿宋" w:cs="仿宋"/>
          <w:b/>
          <w:bCs/>
          <w:color w:val="auto"/>
          <w:kern w:val="0"/>
          <w:sz w:val="32"/>
          <w:szCs w:val="32"/>
          <w:highlight w:val="none"/>
          <w:lang w:val="en-US" w:eastAsia="zh-CN" w:bidi="ar"/>
        </w:rPr>
        <w:t>授权委托书</w:t>
      </w:r>
    </w:p>
    <w:p w14:paraId="0CA0283D">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p>
    <w:p w14:paraId="58AEC6BE">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本人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（姓名）系</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（投标人名称）的法定代表人（单位负责人），现委托</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（姓名）为我方代理人。代理人根据授权，以我方名义签署、澄清确认、递交、撤回、修改</w:t>
      </w:r>
      <w:r>
        <w:rPr>
          <w:rFonts w:hint="eastAsia" w:ascii="仿宋" w:hAnsi="仿宋" w:eastAsia="仿宋" w:cs="仿宋"/>
          <w:color w:val="auto"/>
          <w:kern w:val="0"/>
          <w:sz w:val="24"/>
          <w:szCs w:val="24"/>
          <w:highlight w:val="none"/>
          <w:u w:val="single"/>
          <w:lang w:val="en-US" w:eastAsia="zh-CN" w:bidi="ar"/>
        </w:rPr>
        <w:t xml:space="preserve">           （项目名称）</w:t>
      </w:r>
      <w:r>
        <w:rPr>
          <w:rFonts w:hint="eastAsia" w:ascii="仿宋" w:hAnsi="仿宋" w:eastAsia="仿宋" w:cs="仿宋"/>
          <w:color w:val="auto"/>
          <w:kern w:val="0"/>
          <w:sz w:val="24"/>
          <w:szCs w:val="24"/>
          <w:highlight w:val="none"/>
          <w:lang w:val="en-US" w:eastAsia="zh-CN" w:bidi="ar"/>
        </w:rPr>
        <w:t xml:space="preserve">投标文件和处理有关事宜，其法律后果由我方承担。 </w:t>
      </w:r>
    </w:p>
    <w:p w14:paraId="3417F084">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委托期限：自本授权委托书签署之日起至响应有效期届满之日止。 </w:t>
      </w:r>
    </w:p>
    <w:p w14:paraId="579C5C53">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代理人无转委托权。 </w:t>
      </w:r>
    </w:p>
    <w:p w14:paraId="23DC3E6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4B29669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投标人名称（加盖公章）：</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35B26D3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法定代表人（单位负责人）（签字或印鉴）：</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533BF62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委托代理人（签字或印鉴）：</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08091E6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日期：</w:t>
      </w:r>
      <w:r>
        <w:rPr>
          <w:rFonts w:hint="eastAsia" w:ascii="仿宋" w:hAnsi="仿宋" w:eastAsia="仿宋" w:cs="仿宋"/>
          <w:color w:val="auto"/>
          <w:kern w:val="0"/>
          <w:sz w:val="24"/>
          <w:szCs w:val="24"/>
          <w:highlight w:val="none"/>
          <w:u w:val="single"/>
          <w:lang w:val="en-US" w:eastAsia="zh-CN" w:bidi="ar"/>
        </w:rPr>
        <w:t xml:space="preserve">   年    月    日</w:t>
      </w:r>
      <w:r>
        <w:rPr>
          <w:rFonts w:hint="eastAsia" w:ascii="仿宋" w:hAnsi="仿宋" w:eastAsia="仿宋" w:cs="仿宋"/>
          <w:color w:val="auto"/>
          <w:kern w:val="0"/>
          <w:sz w:val="24"/>
          <w:szCs w:val="24"/>
          <w:highlight w:val="none"/>
          <w:lang w:val="en-US" w:eastAsia="zh-CN" w:bidi="ar"/>
        </w:rPr>
        <w:t xml:space="preserve"> </w:t>
      </w:r>
    </w:p>
    <w:p w14:paraId="2989C71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4029E85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法定代表人（单位负责人）有效期内的身份证</w:t>
      </w:r>
      <w:r>
        <w:rPr>
          <w:rFonts w:hint="eastAsia" w:ascii="仿宋" w:hAnsi="仿宋" w:eastAsia="仿宋" w:cs="仿宋"/>
          <w:b/>
          <w:bCs/>
          <w:color w:val="auto"/>
          <w:kern w:val="0"/>
          <w:sz w:val="24"/>
          <w:szCs w:val="24"/>
          <w:highlight w:val="none"/>
          <w:lang w:val="en-US" w:eastAsia="zh-CN" w:bidi="ar"/>
        </w:rPr>
        <w:t>正反面</w:t>
      </w:r>
      <w:r>
        <w:rPr>
          <w:rFonts w:hint="eastAsia" w:ascii="仿宋" w:hAnsi="仿宋" w:eastAsia="仿宋" w:cs="仿宋"/>
          <w:color w:val="auto"/>
          <w:kern w:val="0"/>
          <w:sz w:val="24"/>
          <w:szCs w:val="24"/>
          <w:highlight w:val="none"/>
          <w:lang w:val="en-US" w:eastAsia="zh-CN" w:bidi="ar"/>
        </w:rPr>
        <w:t xml:space="preserve">复印件：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06C33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7" w:hRule="atLeast"/>
        </w:trPr>
        <w:tc>
          <w:tcPr>
            <w:tcW w:w="4261" w:type="dxa"/>
          </w:tcPr>
          <w:p w14:paraId="181D970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vertAlign w:val="baseline"/>
                <w:lang w:val="en-US" w:eastAsia="zh-CN" w:bidi="ar"/>
              </w:rPr>
            </w:pPr>
          </w:p>
        </w:tc>
        <w:tc>
          <w:tcPr>
            <w:tcW w:w="4261" w:type="dxa"/>
          </w:tcPr>
          <w:p w14:paraId="4460E2E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vertAlign w:val="baseline"/>
                <w:lang w:val="en-US" w:eastAsia="zh-CN" w:bidi="ar"/>
              </w:rPr>
            </w:pPr>
          </w:p>
        </w:tc>
      </w:tr>
    </w:tbl>
    <w:p w14:paraId="7C162FE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委托代理人有效期内的身份证</w:t>
      </w:r>
      <w:r>
        <w:rPr>
          <w:rFonts w:hint="eastAsia" w:ascii="仿宋" w:hAnsi="仿宋" w:eastAsia="仿宋" w:cs="仿宋"/>
          <w:b/>
          <w:bCs/>
          <w:color w:val="auto"/>
          <w:kern w:val="0"/>
          <w:sz w:val="24"/>
          <w:szCs w:val="24"/>
          <w:highlight w:val="none"/>
          <w:lang w:val="en-US" w:eastAsia="zh-CN" w:bidi="ar"/>
        </w:rPr>
        <w:t>正反面</w:t>
      </w:r>
      <w:r>
        <w:rPr>
          <w:rFonts w:hint="eastAsia" w:ascii="仿宋" w:hAnsi="仿宋" w:eastAsia="仿宋" w:cs="仿宋"/>
          <w:color w:val="auto"/>
          <w:kern w:val="0"/>
          <w:sz w:val="24"/>
          <w:szCs w:val="24"/>
          <w:highlight w:val="none"/>
          <w:lang w:val="en-US" w:eastAsia="zh-CN" w:bidi="ar"/>
        </w:rPr>
        <w:t xml:space="preserve">复印件：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4BECF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3" w:hRule="atLeast"/>
        </w:trPr>
        <w:tc>
          <w:tcPr>
            <w:tcW w:w="4261" w:type="dxa"/>
          </w:tcPr>
          <w:p w14:paraId="71F264F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vertAlign w:val="baseline"/>
                <w:lang w:val="en-US" w:eastAsia="zh-CN" w:bidi="ar"/>
              </w:rPr>
            </w:pPr>
          </w:p>
        </w:tc>
        <w:tc>
          <w:tcPr>
            <w:tcW w:w="4261" w:type="dxa"/>
          </w:tcPr>
          <w:p w14:paraId="764A0FF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vertAlign w:val="baseline"/>
                <w:lang w:val="en-US" w:eastAsia="zh-CN" w:bidi="ar"/>
              </w:rPr>
            </w:pPr>
          </w:p>
        </w:tc>
      </w:tr>
    </w:tbl>
    <w:p w14:paraId="33647CE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说明：1.若供应商为事业单位或其他组织或分支机构（仅当招标文件注明允许分支机构投标的），则法定代表人（单位负责人）处的签署人可为单位负责人。 </w:t>
      </w:r>
    </w:p>
    <w:p w14:paraId="790A75D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2.若投标文件中签字之处均为法定代表人（单位负责人）本人签署，则可不提供本《授权委托书》，但须提供《法定代表人（单位负责人）身份证明》。 </w:t>
      </w:r>
    </w:p>
    <w:p w14:paraId="4C9F02E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36" w:name="_Toc18807"/>
      <w:r>
        <w:rPr>
          <w:rFonts w:hint="eastAsia" w:ascii="仿宋" w:hAnsi="仿宋" w:eastAsia="仿宋" w:cs="仿宋"/>
          <w:color w:val="auto"/>
          <w:kern w:val="0"/>
          <w:sz w:val="24"/>
          <w:szCs w:val="24"/>
          <w:highlight w:val="none"/>
          <w:lang w:val="en-US" w:eastAsia="zh-CN" w:bidi="ar"/>
        </w:rPr>
        <w:t>3.供应商为自然人的情形，可不提供本《授权委托书》。</w:t>
      </w:r>
      <w:bookmarkEnd w:id="36"/>
    </w:p>
    <w:p w14:paraId="608E305A">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2CE09FCA">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b/>
          <w:bCs/>
          <w:color w:val="auto"/>
          <w:kern w:val="0"/>
          <w:sz w:val="32"/>
          <w:szCs w:val="32"/>
          <w:highlight w:val="none"/>
          <w:lang w:val="en-US" w:eastAsia="zh-CN" w:bidi="ar"/>
        </w:rPr>
        <w:t>附：法定代表人（单位负责人）身份证明</w:t>
      </w:r>
    </w:p>
    <w:p w14:paraId="62EB7ED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2C23B6E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致：</w:t>
      </w:r>
      <w:r>
        <w:rPr>
          <w:rFonts w:hint="eastAsia" w:ascii="仿宋" w:hAnsi="仿宋" w:eastAsia="仿宋" w:cs="仿宋"/>
          <w:color w:val="auto"/>
          <w:kern w:val="0"/>
          <w:sz w:val="24"/>
          <w:szCs w:val="24"/>
          <w:highlight w:val="none"/>
          <w:u w:val="single"/>
          <w:lang w:val="en-US" w:eastAsia="zh-CN" w:bidi="ar"/>
        </w:rPr>
        <w:t xml:space="preserve">（采购人或采购代理机构） </w:t>
      </w:r>
    </w:p>
    <w:p w14:paraId="4B015676">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兹证明， </w:t>
      </w:r>
    </w:p>
    <w:p w14:paraId="7E723478">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kern w:val="0"/>
          <w:sz w:val="24"/>
          <w:szCs w:val="24"/>
          <w:highlight w:val="none"/>
          <w:u w:val="single"/>
          <w:lang w:val="en-US" w:eastAsia="zh-CN" w:bidi="ar"/>
        </w:rPr>
      </w:pPr>
      <w:r>
        <w:rPr>
          <w:rFonts w:hint="eastAsia" w:ascii="仿宋" w:hAnsi="仿宋" w:eastAsia="仿宋" w:cs="仿宋"/>
          <w:color w:val="auto"/>
          <w:kern w:val="0"/>
          <w:sz w:val="24"/>
          <w:szCs w:val="24"/>
          <w:highlight w:val="none"/>
          <w:lang w:val="en-US" w:eastAsia="zh-CN" w:bidi="ar"/>
        </w:rPr>
        <w:t>姓名：</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性别：</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年龄：</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职务：</w:t>
      </w:r>
      <w:r>
        <w:rPr>
          <w:rFonts w:hint="eastAsia" w:ascii="仿宋" w:hAnsi="仿宋" w:eastAsia="仿宋" w:cs="仿宋"/>
          <w:color w:val="auto"/>
          <w:kern w:val="0"/>
          <w:sz w:val="24"/>
          <w:szCs w:val="24"/>
          <w:highlight w:val="none"/>
          <w:u w:val="single"/>
          <w:lang w:val="en-US" w:eastAsia="zh-CN" w:bidi="ar"/>
        </w:rPr>
        <w:t xml:space="preserve">     </w:t>
      </w:r>
    </w:p>
    <w:p w14:paraId="1BB0B0D2">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系</w:t>
      </w:r>
      <w:r>
        <w:rPr>
          <w:rFonts w:hint="eastAsia" w:ascii="仿宋" w:hAnsi="仿宋" w:eastAsia="仿宋" w:cs="仿宋"/>
          <w:color w:val="auto"/>
          <w:kern w:val="0"/>
          <w:sz w:val="24"/>
          <w:szCs w:val="24"/>
          <w:highlight w:val="none"/>
          <w:u w:val="single"/>
          <w:lang w:val="en-US" w:eastAsia="zh-CN" w:bidi="ar"/>
        </w:rPr>
        <w:t xml:space="preserve">       （投标人名称）</w:t>
      </w:r>
      <w:r>
        <w:rPr>
          <w:rFonts w:hint="eastAsia" w:ascii="仿宋" w:hAnsi="仿宋" w:eastAsia="仿宋" w:cs="仿宋"/>
          <w:color w:val="auto"/>
          <w:kern w:val="0"/>
          <w:sz w:val="24"/>
          <w:szCs w:val="24"/>
          <w:highlight w:val="none"/>
          <w:lang w:val="en-US" w:eastAsia="zh-CN" w:bidi="ar"/>
        </w:rPr>
        <w:t xml:space="preserve">的法定代表人（单位负责人）。 </w:t>
      </w:r>
    </w:p>
    <w:p w14:paraId="2397078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7852C9B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3D1348E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附：法定代表人（单位负责人）有效期内的身份证</w:t>
      </w:r>
      <w:r>
        <w:rPr>
          <w:rFonts w:hint="eastAsia" w:ascii="仿宋" w:hAnsi="仿宋" w:eastAsia="仿宋" w:cs="仿宋"/>
          <w:b/>
          <w:bCs/>
          <w:color w:val="auto"/>
          <w:kern w:val="0"/>
          <w:sz w:val="24"/>
          <w:szCs w:val="24"/>
          <w:highlight w:val="none"/>
          <w:lang w:val="en-US" w:eastAsia="zh-CN" w:bidi="ar"/>
        </w:rPr>
        <w:t>正反面</w:t>
      </w:r>
      <w:r>
        <w:rPr>
          <w:rFonts w:hint="eastAsia" w:ascii="仿宋" w:hAnsi="仿宋" w:eastAsia="仿宋" w:cs="仿宋"/>
          <w:color w:val="auto"/>
          <w:kern w:val="0"/>
          <w:sz w:val="24"/>
          <w:szCs w:val="24"/>
          <w:highlight w:val="none"/>
          <w:lang w:val="en-US" w:eastAsia="zh-CN" w:bidi="ar"/>
        </w:rPr>
        <w:t xml:space="preserve">复印件。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0CB83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4261" w:type="dxa"/>
          </w:tcPr>
          <w:p w14:paraId="0C70743A">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4261" w:type="dxa"/>
          </w:tcPr>
          <w:p w14:paraId="5BE61461">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vertAlign w:val="baseline"/>
                <w:lang w:val="en-US" w:eastAsia="zh-CN" w:bidi="ar"/>
              </w:rPr>
            </w:pPr>
          </w:p>
        </w:tc>
      </w:tr>
    </w:tbl>
    <w:p w14:paraId="75D56E39">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lang w:val="en-US" w:eastAsia="zh-CN" w:bidi="ar"/>
        </w:rPr>
      </w:pPr>
    </w:p>
    <w:p w14:paraId="24E6D32D">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lang w:val="en-US" w:eastAsia="zh-CN" w:bidi="ar"/>
        </w:rPr>
      </w:pPr>
    </w:p>
    <w:p w14:paraId="2BECEDC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投标人名称（加盖公章）：</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36A90C3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法定代表人（单位负责人）（签字或印鉴）：</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5CF58D1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日期：</w:t>
      </w:r>
      <w:r>
        <w:rPr>
          <w:rFonts w:hint="eastAsia" w:ascii="仿宋" w:hAnsi="仿宋" w:eastAsia="仿宋" w:cs="仿宋"/>
          <w:color w:val="auto"/>
          <w:kern w:val="0"/>
          <w:sz w:val="24"/>
          <w:szCs w:val="24"/>
          <w:highlight w:val="none"/>
          <w:u w:val="single"/>
          <w:lang w:val="en-US" w:eastAsia="zh-CN" w:bidi="ar"/>
        </w:rPr>
        <w:t xml:space="preserve">    年    月    日</w:t>
      </w:r>
    </w:p>
    <w:p w14:paraId="545F69C6">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lang w:val="en-US" w:eastAsia="zh-CN" w:bidi="ar"/>
        </w:rPr>
      </w:pPr>
    </w:p>
    <w:p w14:paraId="1E482BE0">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1906D9FC">
      <w:pPr>
        <w:outlineLvl w:val="1"/>
        <w:rPr>
          <w:rFonts w:hint="eastAsia" w:ascii="仿宋" w:hAnsi="仿宋" w:eastAsia="仿宋" w:cs="仿宋"/>
          <w:color w:val="auto"/>
          <w:sz w:val="24"/>
          <w:szCs w:val="24"/>
          <w:highlight w:val="none"/>
          <w:lang w:val="en-US" w:eastAsia="zh-CN"/>
        </w:rPr>
      </w:pPr>
      <w:bookmarkStart w:id="37" w:name="_Toc23107"/>
      <w:r>
        <w:rPr>
          <w:rFonts w:hint="eastAsia" w:ascii="仿宋" w:hAnsi="仿宋" w:eastAsia="仿宋" w:cs="仿宋"/>
          <w:color w:val="auto"/>
          <w:sz w:val="24"/>
          <w:szCs w:val="24"/>
          <w:highlight w:val="none"/>
          <w:lang w:val="en-US" w:eastAsia="zh-CN"/>
        </w:rPr>
        <w:t>7  开标一览表</w:t>
      </w:r>
      <w:bookmarkEnd w:id="37"/>
    </w:p>
    <w:p w14:paraId="2FEA19E4">
      <w:pPr>
        <w:rPr>
          <w:rFonts w:hint="eastAsia" w:ascii="仿宋" w:hAnsi="仿宋" w:eastAsia="仿宋" w:cs="仿宋"/>
          <w:color w:val="auto"/>
          <w:highlight w:val="none"/>
          <w:lang w:val="en-US" w:eastAsia="zh-CN"/>
        </w:rPr>
      </w:pPr>
    </w:p>
    <w:p w14:paraId="49916E0B">
      <w:pPr>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开标一览表</w:t>
      </w:r>
    </w:p>
    <w:p w14:paraId="79F1863E">
      <w:pPr>
        <w:rPr>
          <w:rFonts w:hint="eastAsia" w:ascii="仿宋" w:hAnsi="仿宋" w:eastAsia="仿宋" w:cs="仿宋"/>
          <w:color w:val="auto"/>
          <w:highlight w:val="none"/>
          <w:lang w:val="en-US" w:eastAsia="zh-CN"/>
        </w:rPr>
      </w:pPr>
    </w:p>
    <w:p w14:paraId="5DF7A22A">
      <w:pPr>
        <w:rPr>
          <w:rFonts w:hint="eastAsia" w:ascii="仿宋" w:hAnsi="仿宋" w:eastAsia="仿宋" w:cs="仿宋"/>
          <w:color w:val="auto"/>
          <w:highlight w:val="none"/>
          <w:lang w:val="en-US" w:eastAsia="zh-CN"/>
        </w:rPr>
      </w:pPr>
    </w:p>
    <w:p w14:paraId="612A4F96">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项目编号/包号：</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lang w:val="en-US" w:eastAsia="zh-CN"/>
        </w:rPr>
        <w:t xml:space="preserve"> 项目名称：</w:t>
      </w:r>
      <w:r>
        <w:rPr>
          <w:rFonts w:hint="eastAsia" w:ascii="仿宋" w:hAnsi="仿宋" w:eastAsia="仿宋" w:cs="仿宋"/>
          <w:color w:val="auto"/>
          <w:highlight w:val="none"/>
          <w:u w:val="single"/>
          <w:lang w:val="en-US" w:eastAsia="zh-CN"/>
        </w:rPr>
        <w:t xml:space="preserve">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6"/>
        <w:gridCol w:w="1848"/>
        <w:gridCol w:w="2202"/>
        <w:gridCol w:w="1834"/>
        <w:gridCol w:w="2018"/>
      </w:tblGrid>
      <w:tr w14:paraId="1868F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56" w:hRule="atLeast"/>
        </w:trPr>
        <w:tc>
          <w:tcPr>
            <w:tcW w:w="616" w:type="dxa"/>
            <w:vAlign w:val="center"/>
          </w:tcPr>
          <w:p w14:paraId="17AD7DF2">
            <w:pPr>
              <w:pStyle w:val="26"/>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序号</w:t>
            </w:r>
          </w:p>
        </w:tc>
        <w:tc>
          <w:tcPr>
            <w:tcW w:w="1848" w:type="dxa"/>
            <w:vAlign w:val="center"/>
          </w:tcPr>
          <w:p w14:paraId="52FFB686">
            <w:pPr>
              <w:pStyle w:val="26"/>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投标人名称</w:t>
            </w:r>
          </w:p>
        </w:tc>
        <w:tc>
          <w:tcPr>
            <w:tcW w:w="2202" w:type="dxa"/>
            <w:vAlign w:val="center"/>
          </w:tcPr>
          <w:p w14:paraId="231D5E51">
            <w:pPr>
              <w:pStyle w:val="2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报价：</w:t>
            </w:r>
          </w:p>
          <w:p w14:paraId="1455930E">
            <w:pPr>
              <w:pStyle w:val="2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图书码洋的折扣率（%）</w:t>
            </w:r>
          </w:p>
        </w:tc>
        <w:tc>
          <w:tcPr>
            <w:tcW w:w="1834" w:type="dxa"/>
            <w:vAlign w:val="center"/>
          </w:tcPr>
          <w:p w14:paraId="7770D541">
            <w:pPr>
              <w:pStyle w:val="26"/>
              <w:ind w:left="0" w:leftChars="0" w:firstLine="0" w:firstLineChars="0"/>
              <w:jc w:val="center"/>
              <w:rPr>
                <w:rFonts w:hint="default"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合同履约期限</w:t>
            </w:r>
          </w:p>
        </w:tc>
        <w:tc>
          <w:tcPr>
            <w:tcW w:w="2018" w:type="dxa"/>
            <w:vAlign w:val="center"/>
          </w:tcPr>
          <w:p w14:paraId="207EA4A5">
            <w:pPr>
              <w:pStyle w:val="26"/>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交货地点</w:t>
            </w:r>
          </w:p>
        </w:tc>
      </w:tr>
      <w:tr w14:paraId="5F9F5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616" w:type="dxa"/>
            <w:vAlign w:val="center"/>
          </w:tcPr>
          <w:p w14:paraId="6FD55C20">
            <w:pPr>
              <w:pStyle w:val="26"/>
              <w:jc w:val="center"/>
              <w:rPr>
                <w:rFonts w:hint="eastAsia" w:ascii="仿宋" w:hAnsi="仿宋" w:eastAsia="仿宋" w:cs="仿宋"/>
                <w:color w:val="auto"/>
                <w:highlight w:val="none"/>
                <w:vertAlign w:val="baseline"/>
                <w:lang w:val="en-US" w:eastAsia="zh-CN"/>
              </w:rPr>
            </w:pPr>
          </w:p>
        </w:tc>
        <w:tc>
          <w:tcPr>
            <w:tcW w:w="1848" w:type="dxa"/>
            <w:vAlign w:val="center"/>
          </w:tcPr>
          <w:p w14:paraId="70C31D3A">
            <w:pPr>
              <w:pStyle w:val="26"/>
              <w:jc w:val="center"/>
              <w:rPr>
                <w:rFonts w:hint="eastAsia" w:ascii="仿宋" w:hAnsi="仿宋" w:eastAsia="仿宋" w:cs="仿宋"/>
                <w:color w:val="auto"/>
                <w:highlight w:val="none"/>
                <w:vertAlign w:val="baseline"/>
                <w:lang w:val="en-US" w:eastAsia="zh-CN"/>
              </w:rPr>
            </w:pPr>
          </w:p>
        </w:tc>
        <w:tc>
          <w:tcPr>
            <w:tcW w:w="2202" w:type="dxa"/>
            <w:vAlign w:val="center"/>
          </w:tcPr>
          <w:p w14:paraId="1ECD87D2">
            <w:pPr>
              <w:pStyle w:val="26"/>
              <w:jc w:val="both"/>
              <w:rPr>
                <w:rFonts w:hint="eastAsia" w:ascii="仿宋" w:hAnsi="仿宋" w:eastAsia="仿宋" w:cs="仿宋"/>
                <w:color w:val="auto"/>
                <w:highlight w:val="none"/>
                <w:vertAlign w:val="baseline"/>
                <w:lang w:val="en-US" w:eastAsia="zh-CN"/>
              </w:rPr>
            </w:pPr>
          </w:p>
        </w:tc>
        <w:tc>
          <w:tcPr>
            <w:tcW w:w="1834" w:type="dxa"/>
            <w:vAlign w:val="center"/>
          </w:tcPr>
          <w:p w14:paraId="739EC2CF">
            <w:pPr>
              <w:pStyle w:val="26"/>
              <w:jc w:val="both"/>
              <w:rPr>
                <w:rFonts w:hint="eastAsia" w:ascii="仿宋" w:hAnsi="仿宋" w:eastAsia="仿宋" w:cs="仿宋"/>
                <w:color w:val="auto"/>
                <w:highlight w:val="none"/>
                <w:vertAlign w:val="baseline"/>
                <w:lang w:val="en-US" w:eastAsia="zh-CN"/>
              </w:rPr>
            </w:pPr>
          </w:p>
        </w:tc>
        <w:tc>
          <w:tcPr>
            <w:tcW w:w="2018" w:type="dxa"/>
            <w:vAlign w:val="center"/>
          </w:tcPr>
          <w:p w14:paraId="19B3E0CB">
            <w:pPr>
              <w:pStyle w:val="26"/>
              <w:jc w:val="both"/>
              <w:rPr>
                <w:rFonts w:hint="eastAsia" w:ascii="仿宋" w:hAnsi="仿宋" w:eastAsia="仿宋" w:cs="仿宋"/>
                <w:color w:val="auto"/>
                <w:highlight w:val="none"/>
                <w:vertAlign w:val="baseline"/>
                <w:lang w:val="en-US" w:eastAsia="zh-CN"/>
              </w:rPr>
            </w:pPr>
          </w:p>
        </w:tc>
      </w:tr>
    </w:tbl>
    <w:p w14:paraId="43DE9EF4">
      <w:pPr>
        <w:pStyle w:val="26"/>
        <w:ind w:left="0" w:leftChars="0" w:firstLine="0" w:firstLineChars="0"/>
        <w:rPr>
          <w:rFonts w:hint="eastAsia" w:ascii="仿宋" w:hAnsi="仿宋" w:eastAsia="仿宋" w:cs="仿宋"/>
          <w:color w:val="auto"/>
          <w:highlight w:val="none"/>
          <w:lang w:val="en-US" w:eastAsia="zh-CN"/>
        </w:rPr>
      </w:pPr>
    </w:p>
    <w:p w14:paraId="7243FDD0">
      <w:pPr>
        <w:pStyle w:val="25"/>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注：1.报价方式：报价一律用百分比报折扣率（有效报价区间为0%≤所报折扣率＜100%），图书码洋的折扣率须为“90%”、“95% ”等形式的折扣；如为“九折”、“九五折”、“优惠 10%”、 “优惠 5%”等形式的折扣，将被视为无效投标；图书码洋的折扣率=结算实洋/码洋。</w:t>
      </w:r>
    </w:p>
    <w:p w14:paraId="1835BBD3">
      <w:pPr>
        <w:pStyle w:val="25"/>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2、图书结算价格=图书码洋价×中标折扣率。</w:t>
      </w:r>
    </w:p>
    <w:p w14:paraId="00D91742">
      <w:pPr>
        <w:pStyle w:val="25"/>
        <w:rPr>
          <w:rFonts w:hint="eastAsia" w:ascii="仿宋" w:hAnsi="仿宋" w:eastAsia="仿宋" w:cs="仿宋"/>
          <w:color w:val="auto"/>
          <w:highlight w:val="none"/>
          <w:lang w:val="en-US" w:eastAsia="zh-CN"/>
        </w:rPr>
      </w:pPr>
    </w:p>
    <w:p w14:paraId="045A1BCC">
      <w:pPr>
        <w:pStyle w:val="25"/>
        <w:rPr>
          <w:rFonts w:hint="eastAsia" w:ascii="仿宋" w:hAnsi="仿宋" w:eastAsia="仿宋" w:cs="仿宋"/>
          <w:color w:val="auto"/>
          <w:highlight w:val="none"/>
          <w:lang w:val="en-US" w:eastAsia="zh-CN"/>
        </w:rPr>
      </w:pPr>
    </w:p>
    <w:p w14:paraId="422A569C">
      <w:pPr>
        <w:pStyle w:val="2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投标人名称（加盖公章）：</w:t>
      </w:r>
      <w:r>
        <w:rPr>
          <w:rFonts w:hint="eastAsia" w:ascii="仿宋" w:hAnsi="仿宋" w:eastAsia="仿宋" w:cs="仿宋"/>
          <w:color w:val="auto"/>
          <w:sz w:val="24"/>
          <w:szCs w:val="24"/>
          <w:highlight w:val="none"/>
          <w:u w:val="single"/>
          <w:lang w:val="en-US" w:eastAsia="zh-CN"/>
        </w:rPr>
        <w:t xml:space="preserve">             </w:t>
      </w:r>
    </w:p>
    <w:p w14:paraId="0C809AC7">
      <w:pPr>
        <w:pStyle w:val="2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日期：</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年</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月</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日</w:t>
      </w:r>
    </w:p>
    <w:p w14:paraId="7E855277">
      <w:pPr>
        <w:pStyle w:val="22"/>
        <w:rPr>
          <w:rFonts w:hint="eastAsia" w:ascii="仿宋" w:hAnsi="仿宋" w:eastAsia="仿宋" w:cs="仿宋"/>
          <w:color w:val="auto"/>
          <w:highlight w:val="none"/>
          <w:lang w:val="en-US" w:eastAsia="zh-CN"/>
        </w:rPr>
      </w:pPr>
    </w:p>
    <w:p w14:paraId="035EC843">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highlight w:val="none"/>
          <w:lang w:val="en-US" w:eastAsia="zh-CN"/>
        </w:rPr>
        <w:br w:type="page"/>
      </w:r>
    </w:p>
    <w:p w14:paraId="682668D1">
      <w:pPr>
        <w:pStyle w:val="22"/>
        <w:ind w:left="0" w:leftChars="0" w:firstLine="0" w:firstLineChars="0"/>
        <w:jc w:val="left"/>
        <w:outlineLvl w:val="1"/>
        <w:rPr>
          <w:rFonts w:hint="eastAsia" w:ascii="仿宋" w:hAnsi="仿宋" w:eastAsia="仿宋" w:cs="仿宋"/>
          <w:color w:val="auto"/>
          <w:sz w:val="24"/>
          <w:szCs w:val="24"/>
          <w:highlight w:val="none"/>
          <w:lang w:val="en-US" w:eastAsia="zh-CN"/>
        </w:rPr>
      </w:pPr>
      <w:bookmarkStart w:id="38" w:name="_Toc6119"/>
      <w:r>
        <w:rPr>
          <w:rFonts w:hint="eastAsia" w:ascii="仿宋" w:hAnsi="仿宋" w:eastAsia="仿宋" w:cs="仿宋"/>
          <w:color w:val="auto"/>
          <w:sz w:val="24"/>
          <w:szCs w:val="24"/>
          <w:highlight w:val="none"/>
          <w:lang w:val="en-US" w:eastAsia="zh-CN"/>
        </w:rPr>
        <w:t>8  合同条款偏离表</w:t>
      </w:r>
      <w:bookmarkEnd w:id="38"/>
    </w:p>
    <w:p w14:paraId="0B92D9FB">
      <w:pPr>
        <w:pStyle w:val="22"/>
        <w:ind w:left="0" w:leftChars="0" w:firstLine="0" w:firstLineChars="0"/>
        <w:jc w:val="center"/>
        <w:rPr>
          <w:rFonts w:hint="eastAsia" w:ascii="仿宋" w:hAnsi="仿宋" w:eastAsia="仿宋" w:cs="仿宋"/>
          <w:color w:val="auto"/>
          <w:sz w:val="32"/>
          <w:szCs w:val="32"/>
          <w:highlight w:val="none"/>
          <w:lang w:val="en-US" w:eastAsia="zh-CN"/>
        </w:rPr>
      </w:pPr>
    </w:p>
    <w:p w14:paraId="5A50681B">
      <w:pPr>
        <w:jc w:val="center"/>
        <w:rPr>
          <w:rFonts w:hint="eastAsia" w:ascii="仿宋" w:hAnsi="仿宋" w:eastAsia="仿宋" w:cs="仿宋"/>
          <w:b/>
          <w:bCs/>
          <w:i w:val="0"/>
          <w:iCs w:val="0"/>
          <w:color w:val="auto"/>
          <w:sz w:val="32"/>
          <w:szCs w:val="32"/>
          <w:highlight w:val="none"/>
          <w:lang w:val="en-US" w:eastAsia="zh-CN"/>
        </w:rPr>
      </w:pPr>
      <w:r>
        <w:rPr>
          <w:rFonts w:hint="eastAsia" w:ascii="仿宋" w:hAnsi="仿宋" w:eastAsia="仿宋" w:cs="仿宋"/>
          <w:b/>
          <w:bCs/>
          <w:i w:val="0"/>
          <w:iCs w:val="0"/>
          <w:color w:val="auto"/>
          <w:sz w:val="32"/>
          <w:szCs w:val="32"/>
          <w:highlight w:val="none"/>
          <w:lang w:val="en-US" w:eastAsia="zh-CN"/>
        </w:rPr>
        <w:t>合同条款偏离表</w:t>
      </w:r>
    </w:p>
    <w:p w14:paraId="267FB682">
      <w:pPr>
        <w:pStyle w:val="26"/>
        <w:ind w:left="0" w:leftChars="0" w:firstLine="0" w:firstLineChars="0"/>
        <w:rPr>
          <w:rFonts w:hint="eastAsia" w:ascii="仿宋" w:hAnsi="仿宋" w:eastAsia="仿宋" w:cs="仿宋"/>
          <w:color w:val="auto"/>
          <w:highlight w:val="none"/>
          <w:lang w:val="en-US" w:eastAsia="zh-CN"/>
        </w:rPr>
      </w:pPr>
    </w:p>
    <w:p w14:paraId="6E430AE3">
      <w:pPr>
        <w:pStyle w:val="22"/>
        <w:ind w:left="0" w:leftChars="0" w:firstLine="0" w:firstLineChars="0"/>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项目编号/包号：</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lang w:val="en-US" w:eastAsia="zh-CN"/>
        </w:rPr>
        <w:t xml:space="preserve">            项目名称：</w:t>
      </w:r>
      <w:r>
        <w:rPr>
          <w:rFonts w:hint="eastAsia" w:ascii="仿宋" w:hAnsi="仿宋" w:eastAsia="仿宋" w:cs="仿宋"/>
          <w:color w:val="auto"/>
          <w:highlight w:val="none"/>
          <w:u w:val="single"/>
          <w:lang w:val="en-US" w:eastAsia="zh-CN"/>
        </w:rPr>
        <w:t xml:space="preserve">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
        <w:gridCol w:w="1421"/>
        <w:gridCol w:w="1901"/>
        <w:gridCol w:w="1753"/>
        <w:gridCol w:w="1561"/>
        <w:gridCol w:w="1052"/>
      </w:tblGrid>
      <w:tr w14:paraId="5B871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522" w:type="dxa"/>
            <w:gridSpan w:val="6"/>
          </w:tcPr>
          <w:p w14:paraId="07704141">
            <w:pPr>
              <w:spacing w:line="360" w:lineRule="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对本项目合同条款的偏离情况（请进行勾选）：</w:t>
            </w:r>
          </w:p>
          <w:p w14:paraId="2799FE76">
            <w:pPr>
              <w:spacing w:line="360" w:lineRule="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w:t>
            </w:r>
            <w:r>
              <w:rPr>
                <w:rFonts w:hint="eastAsia" w:ascii="仿宋" w:hAnsi="仿宋" w:eastAsia="仿宋" w:cs="仿宋"/>
                <w:b/>
                <w:bCs/>
                <w:color w:val="auto"/>
                <w:sz w:val="24"/>
                <w:szCs w:val="24"/>
                <w:highlight w:val="none"/>
                <w:vertAlign w:val="baseline"/>
                <w:lang w:val="en-US" w:eastAsia="zh-CN"/>
              </w:rPr>
              <w:t>无偏离</w:t>
            </w:r>
            <w:r>
              <w:rPr>
                <w:rFonts w:hint="eastAsia" w:ascii="仿宋" w:hAnsi="仿宋" w:eastAsia="仿宋" w:cs="仿宋"/>
                <w:color w:val="auto"/>
                <w:sz w:val="24"/>
                <w:szCs w:val="24"/>
                <w:highlight w:val="none"/>
                <w:vertAlign w:val="baseline"/>
                <w:lang w:val="en-US" w:eastAsia="zh-CN"/>
              </w:rPr>
              <w:t>（如无偏离，仅选择无偏离即可；无偏离即为对合同条款中的所有要求，均视作供应商已对之理解和响应。）</w:t>
            </w:r>
          </w:p>
          <w:p w14:paraId="4DC3BBF6">
            <w:pPr>
              <w:spacing w:line="360" w:lineRule="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w:t>
            </w:r>
            <w:r>
              <w:rPr>
                <w:rFonts w:hint="eastAsia" w:ascii="仿宋" w:hAnsi="仿宋" w:eastAsia="仿宋" w:cs="仿宋"/>
                <w:b/>
                <w:bCs/>
                <w:color w:val="auto"/>
                <w:sz w:val="24"/>
                <w:szCs w:val="24"/>
                <w:highlight w:val="none"/>
                <w:vertAlign w:val="baseline"/>
                <w:lang w:val="en-US" w:eastAsia="zh-CN"/>
              </w:rPr>
              <w:t>有偏离</w:t>
            </w:r>
            <w:r>
              <w:rPr>
                <w:rFonts w:hint="eastAsia" w:ascii="仿宋" w:hAnsi="仿宋" w:eastAsia="仿宋" w:cs="仿宋"/>
                <w:color w:val="auto"/>
                <w:sz w:val="24"/>
                <w:szCs w:val="24"/>
                <w:highlight w:val="none"/>
                <w:vertAlign w:val="baseline"/>
                <w:lang w:val="en-US" w:eastAsia="zh-CN"/>
              </w:rPr>
              <w:t>（如有偏离，则应在本表中对偏离项逐一列明，否则投标无效；对合同条款中的所有要求，除本表列明的偏离外，均视作供应商已对之理解和响应。）</w:t>
            </w:r>
          </w:p>
        </w:tc>
      </w:tr>
      <w:tr w14:paraId="37990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4D8F6D00">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序号</w:t>
            </w:r>
          </w:p>
        </w:tc>
        <w:tc>
          <w:tcPr>
            <w:tcW w:w="1421" w:type="dxa"/>
            <w:vAlign w:val="center"/>
          </w:tcPr>
          <w:p w14:paraId="688F304B">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招标文件</w:t>
            </w:r>
          </w:p>
          <w:p w14:paraId="199DA066">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条目号</w:t>
            </w:r>
          </w:p>
          <w:p w14:paraId="0B4DA80E">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（页码）</w:t>
            </w:r>
          </w:p>
        </w:tc>
        <w:tc>
          <w:tcPr>
            <w:tcW w:w="1901" w:type="dxa"/>
            <w:vAlign w:val="center"/>
          </w:tcPr>
          <w:p w14:paraId="20488680">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招标文件要求</w:t>
            </w:r>
          </w:p>
        </w:tc>
        <w:tc>
          <w:tcPr>
            <w:tcW w:w="1753" w:type="dxa"/>
            <w:vAlign w:val="center"/>
          </w:tcPr>
          <w:p w14:paraId="2860DC10">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投标文件内容</w:t>
            </w:r>
          </w:p>
        </w:tc>
        <w:tc>
          <w:tcPr>
            <w:tcW w:w="1561" w:type="dxa"/>
            <w:vAlign w:val="center"/>
          </w:tcPr>
          <w:p w14:paraId="02F730F8">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偏离情况</w:t>
            </w:r>
          </w:p>
        </w:tc>
        <w:tc>
          <w:tcPr>
            <w:tcW w:w="1052" w:type="dxa"/>
            <w:vAlign w:val="center"/>
          </w:tcPr>
          <w:p w14:paraId="3EF63D97">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说明</w:t>
            </w:r>
          </w:p>
        </w:tc>
      </w:tr>
      <w:tr w14:paraId="6AB0C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834" w:type="dxa"/>
          </w:tcPr>
          <w:p w14:paraId="799828B4">
            <w:pPr>
              <w:rPr>
                <w:rFonts w:hint="eastAsia" w:ascii="仿宋" w:hAnsi="仿宋" w:eastAsia="仿宋" w:cs="仿宋"/>
                <w:color w:val="auto"/>
                <w:sz w:val="24"/>
                <w:szCs w:val="24"/>
                <w:highlight w:val="none"/>
                <w:vertAlign w:val="baseline"/>
                <w:lang w:val="en-US" w:eastAsia="zh-CN"/>
              </w:rPr>
            </w:pPr>
          </w:p>
        </w:tc>
        <w:tc>
          <w:tcPr>
            <w:tcW w:w="1421" w:type="dxa"/>
          </w:tcPr>
          <w:p w14:paraId="497D42C3">
            <w:pPr>
              <w:rPr>
                <w:rFonts w:hint="eastAsia" w:ascii="仿宋" w:hAnsi="仿宋" w:eastAsia="仿宋" w:cs="仿宋"/>
                <w:color w:val="auto"/>
                <w:sz w:val="24"/>
                <w:szCs w:val="24"/>
                <w:highlight w:val="none"/>
                <w:vertAlign w:val="baseline"/>
                <w:lang w:val="en-US" w:eastAsia="zh-CN"/>
              </w:rPr>
            </w:pPr>
          </w:p>
        </w:tc>
        <w:tc>
          <w:tcPr>
            <w:tcW w:w="1901" w:type="dxa"/>
          </w:tcPr>
          <w:p w14:paraId="4956F1FB">
            <w:pPr>
              <w:rPr>
                <w:rFonts w:hint="eastAsia" w:ascii="仿宋" w:hAnsi="仿宋" w:eastAsia="仿宋" w:cs="仿宋"/>
                <w:color w:val="auto"/>
                <w:sz w:val="24"/>
                <w:szCs w:val="24"/>
                <w:highlight w:val="none"/>
                <w:vertAlign w:val="baseline"/>
                <w:lang w:val="en-US" w:eastAsia="zh-CN"/>
              </w:rPr>
            </w:pPr>
          </w:p>
        </w:tc>
        <w:tc>
          <w:tcPr>
            <w:tcW w:w="1753" w:type="dxa"/>
          </w:tcPr>
          <w:p w14:paraId="2D980C44">
            <w:pPr>
              <w:rPr>
                <w:rFonts w:hint="eastAsia" w:ascii="仿宋" w:hAnsi="仿宋" w:eastAsia="仿宋" w:cs="仿宋"/>
                <w:color w:val="auto"/>
                <w:sz w:val="24"/>
                <w:szCs w:val="24"/>
                <w:highlight w:val="none"/>
                <w:vertAlign w:val="baseline"/>
                <w:lang w:val="en-US" w:eastAsia="zh-CN"/>
              </w:rPr>
            </w:pPr>
          </w:p>
        </w:tc>
        <w:tc>
          <w:tcPr>
            <w:tcW w:w="1561" w:type="dxa"/>
          </w:tcPr>
          <w:p w14:paraId="75BD61C2">
            <w:pPr>
              <w:rPr>
                <w:rFonts w:hint="eastAsia" w:ascii="仿宋" w:hAnsi="仿宋" w:eastAsia="仿宋" w:cs="仿宋"/>
                <w:color w:val="auto"/>
                <w:sz w:val="24"/>
                <w:szCs w:val="24"/>
                <w:highlight w:val="none"/>
                <w:vertAlign w:val="baseline"/>
                <w:lang w:val="en-US" w:eastAsia="zh-CN"/>
              </w:rPr>
            </w:pPr>
          </w:p>
        </w:tc>
        <w:tc>
          <w:tcPr>
            <w:tcW w:w="1052" w:type="dxa"/>
          </w:tcPr>
          <w:p w14:paraId="437108DC">
            <w:pPr>
              <w:rPr>
                <w:rFonts w:hint="eastAsia" w:ascii="仿宋" w:hAnsi="仿宋" w:eastAsia="仿宋" w:cs="仿宋"/>
                <w:color w:val="auto"/>
                <w:sz w:val="24"/>
                <w:szCs w:val="24"/>
                <w:highlight w:val="none"/>
                <w:vertAlign w:val="baseline"/>
                <w:lang w:val="en-US" w:eastAsia="zh-CN"/>
              </w:rPr>
            </w:pPr>
          </w:p>
        </w:tc>
      </w:tr>
      <w:tr w14:paraId="10E89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34" w:type="dxa"/>
          </w:tcPr>
          <w:p w14:paraId="0E17E1DE">
            <w:pPr>
              <w:rPr>
                <w:rFonts w:hint="eastAsia" w:ascii="仿宋" w:hAnsi="仿宋" w:eastAsia="仿宋" w:cs="仿宋"/>
                <w:color w:val="auto"/>
                <w:sz w:val="24"/>
                <w:szCs w:val="24"/>
                <w:highlight w:val="none"/>
                <w:vertAlign w:val="baseline"/>
                <w:lang w:val="en-US" w:eastAsia="zh-CN"/>
              </w:rPr>
            </w:pPr>
          </w:p>
        </w:tc>
        <w:tc>
          <w:tcPr>
            <w:tcW w:w="1421" w:type="dxa"/>
          </w:tcPr>
          <w:p w14:paraId="69D7BC1E">
            <w:pPr>
              <w:rPr>
                <w:rFonts w:hint="eastAsia" w:ascii="仿宋" w:hAnsi="仿宋" w:eastAsia="仿宋" w:cs="仿宋"/>
                <w:color w:val="auto"/>
                <w:sz w:val="24"/>
                <w:szCs w:val="24"/>
                <w:highlight w:val="none"/>
                <w:vertAlign w:val="baseline"/>
                <w:lang w:val="en-US" w:eastAsia="zh-CN"/>
              </w:rPr>
            </w:pPr>
          </w:p>
        </w:tc>
        <w:tc>
          <w:tcPr>
            <w:tcW w:w="1901" w:type="dxa"/>
          </w:tcPr>
          <w:p w14:paraId="649CC075">
            <w:pPr>
              <w:rPr>
                <w:rFonts w:hint="eastAsia" w:ascii="仿宋" w:hAnsi="仿宋" w:eastAsia="仿宋" w:cs="仿宋"/>
                <w:color w:val="auto"/>
                <w:sz w:val="24"/>
                <w:szCs w:val="24"/>
                <w:highlight w:val="none"/>
                <w:vertAlign w:val="baseline"/>
                <w:lang w:val="en-US" w:eastAsia="zh-CN"/>
              </w:rPr>
            </w:pPr>
          </w:p>
        </w:tc>
        <w:tc>
          <w:tcPr>
            <w:tcW w:w="1753" w:type="dxa"/>
          </w:tcPr>
          <w:p w14:paraId="4DEB6F47">
            <w:pPr>
              <w:rPr>
                <w:rFonts w:hint="eastAsia" w:ascii="仿宋" w:hAnsi="仿宋" w:eastAsia="仿宋" w:cs="仿宋"/>
                <w:color w:val="auto"/>
                <w:sz w:val="24"/>
                <w:szCs w:val="24"/>
                <w:highlight w:val="none"/>
                <w:vertAlign w:val="baseline"/>
                <w:lang w:val="en-US" w:eastAsia="zh-CN"/>
              </w:rPr>
            </w:pPr>
          </w:p>
        </w:tc>
        <w:tc>
          <w:tcPr>
            <w:tcW w:w="1561" w:type="dxa"/>
          </w:tcPr>
          <w:p w14:paraId="58FAA4FC">
            <w:pPr>
              <w:rPr>
                <w:rFonts w:hint="eastAsia" w:ascii="仿宋" w:hAnsi="仿宋" w:eastAsia="仿宋" w:cs="仿宋"/>
                <w:color w:val="auto"/>
                <w:sz w:val="24"/>
                <w:szCs w:val="24"/>
                <w:highlight w:val="none"/>
                <w:vertAlign w:val="baseline"/>
                <w:lang w:val="en-US" w:eastAsia="zh-CN"/>
              </w:rPr>
            </w:pPr>
          </w:p>
        </w:tc>
        <w:tc>
          <w:tcPr>
            <w:tcW w:w="1052" w:type="dxa"/>
          </w:tcPr>
          <w:p w14:paraId="15632CC6">
            <w:pPr>
              <w:rPr>
                <w:rFonts w:hint="eastAsia" w:ascii="仿宋" w:hAnsi="仿宋" w:eastAsia="仿宋" w:cs="仿宋"/>
                <w:color w:val="auto"/>
                <w:sz w:val="24"/>
                <w:szCs w:val="24"/>
                <w:highlight w:val="none"/>
                <w:vertAlign w:val="baseline"/>
                <w:lang w:val="en-US" w:eastAsia="zh-CN"/>
              </w:rPr>
            </w:pPr>
          </w:p>
        </w:tc>
      </w:tr>
      <w:tr w14:paraId="5F928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34" w:type="dxa"/>
          </w:tcPr>
          <w:p w14:paraId="17B9B778">
            <w:pPr>
              <w:rPr>
                <w:rFonts w:hint="eastAsia" w:ascii="仿宋" w:hAnsi="仿宋" w:eastAsia="仿宋" w:cs="仿宋"/>
                <w:color w:val="auto"/>
                <w:sz w:val="24"/>
                <w:szCs w:val="24"/>
                <w:highlight w:val="none"/>
                <w:vertAlign w:val="baseline"/>
                <w:lang w:val="en-US" w:eastAsia="zh-CN"/>
              </w:rPr>
            </w:pPr>
          </w:p>
        </w:tc>
        <w:tc>
          <w:tcPr>
            <w:tcW w:w="1421" w:type="dxa"/>
          </w:tcPr>
          <w:p w14:paraId="752168F0">
            <w:pPr>
              <w:rPr>
                <w:rFonts w:hint="eastAsia" w:ascii="仿宋" w:hAnsi="仿宋" w:eastAsia="仿宋" w:cs="仿宋"/>
                <w:color w:val="auto"/>
                <w:sz w:val="24"/>
                <w:szCs w:val="24"/>
                <w:highlight w:val="none"/>
                <w:vertAlign w:val="baseline"/>
                <w:lang w:val="en-US" w:eastAsia="zh-CN"/>
              </w:rPr>
            </w:pPr>
          </w:p>
        </w:tc>
        <w:tc>
          <w:tcPr>
            <w:tcW w:w="1901" w:type="dxa"/>
          </w:tcPr>
          <w:p w14:paraId="18525531">
            <w:pPr>
              <w:rPr>
                <w:rFonts w:hint="eastAsia" w:ascii="仿宋" w:hAnsi="仿宋" w:eastAsia="仿宋" w:cs="仿宋"/>
                <w:color w:val="auto"/>
                <w:sz w:val="24"/>
                <w:szCs w:val="24"/>
                <w:highlight w:val="none"/>
                <w:vertAlign w:val="baseline"/>
                <w:lang w:val="en-US" w:eastAsia="zh-CN"/>
              </w:rPr>
            </w:pPr>
          </w:p>
        </w:tc>
        <w:tc>
          <w:tcPr>
            <w:tcW w:w="1753" w:type="dxa"/>
          </w:tcPr>
          <w:p w14:paraId="438382A7">
            <w:pPr>
              <w:rPr>
                <w:rFonts w:hint="eastAsia" w:ascii="仿宋" w:hAnsi="仿宋" w:eastAsia="仿宋" w:cs="仿宋"/>
                <w:color w:val="auto"/>
                <w:sz w:val="24"/>
                <w:szCs w:val="24"/>
                <w:highlight w:val="none"/>
                <w:vertAlign w:val="baseline"/>
                <w:lang w:val="en-US" w:eastAsia="zh-CN"/>
              </w:rPr>
            </w:pPr>
          </w:p>
        </w:tc>
        <w:tc>
          <w:tcPr>
            <w:tcW w:w="1561" w:type="dxa"/>
          </w:tcPr>
          <w:p w14:paraId="3D142C67">
            <w:pPr>
              <w:rPr>
                <w:rFonts w:hint="eastAsia" w:ascii="仿宋" w:hAnsi="仿宋" w:eastAsia="仿宋" w:cs="仿宋"/>
                <w:color w:val="auto"/>
                <w:sz w:val="24"/>
                <w:szCs w:val="24"/>
                <w:highlight w:val="none"/>
                <w:vertAlign w:val="baseline"/>
                <w:lang w:val="en-US" w:eastAsia="zh-CN"/>
              </w:rPr>
            </w:pPr>
          </w:p>
        </w:tc>
        <w:tc>
          <w:tcPr>
            <w:tcW w:w="1052" w:type="dxa"/>
          </w:tcPr>
          <w:p w14:paraId="2E37DB9A">
            <w:pPr>
              <w:rPr>
                <w:rFonts w:hint="eastAsia" w:ascii="仿宋" w:hAnsi="仿宋" w:eastAsia="仿宋" w:cs="仿宋"/>
                <w:color w:val="auto"/>
                <w:sz w:val="24"/>
                <w:szCs w:val="24"/>
                <w:highlight w:val="none"/>
                <w:vertAlign w:val="baseline"/>
                <w:lang w:val="en-US" w:eastAsia="zh-CN"/>
              </w:rPr>
            </w:pPr>
          </w:p>
        </w:tc>
      </w:tr>
      <w:tr w14:paraId="58F45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34" w:type="dxa"/>
          </w:tcPr>
          <w:p w14:paraId="42B964D6">
            <w:pPr>
              <w:rPr>
                <w:rFonts w:hint="eastAsia" w:ascii="仿宋" w:hAnsi="仿宋" w:eastAsia="仿宋" w:cs="仿宋"/>
                <w:color w:val="auto"/>
                <w:sz w:val="24"/>
                <w:szCs w:val="24"/>
                <w:highlight w:val="none"/>
                <w:vertAlign w:val="baseline"/>
                <w:lang w:val="en-US" w:eastAsia="zh-CN"/>
              </w:rPr>
            </w:pPr>
          </w:p>
        </w:tc>
        <w:tc>
          <w:tcPr>
            <w:tcW w:w="1421" w:type="dxa"/>
          </w:tcPr>
          <w:p w14:paraId="36625064">
            <w:pPr>
              <w:rPr>
                <w:rFonts w:hint="eastAsia" w:ascii="仿宋" w:hAnsi="仿宋" w:eastAsia="仿宋" w:cs="仿宋"/>
                <w:color w:val="auto"/>
                <w:sz w:val="24"/>
                <w:szCs w:val="24"/>
                <w:highlight w:val="none"/>
                <w:vertAlign w:val="baseline"/>
                <w:lang w:val="en-US" w:eastAsia="zh-CN"/>
              </w:rPr>
            </w:pPr>
          </w:p>
        </w:tc>
        <w:tc>
          <w:tcPr>
            <w:tcW w:w="1901" w:type="dxa"/>
          </w:tcPr>
          <w:p w14:paraId="18E21F4C">
            <w:pPr>
              <w:rPr>
                <w:rFonts w:hint="eastAsia" w:ascii="仿宋" w:hAnsi="仿宋" w:eastAsia="仿宋" w:cs="仿宋"/>
                <w:color w:val="auto"/>
                <w:sz w:val="24"/>
                <w:szCs w:val="24"/>
                <w:highlight w:val="none"/>
                <w:vertAlign w:val="baseline"/>
                <w:lang w:val="en-US" w:eastAsia="zh-CN"/>
              </w:rPr>
            </w:pPr>
          </w:p>
        </w:tc>
        <w:tc>
          <w:tcPr>
            <w:tcW w:w="1753" w:type="dxa"/>
          </w:tcPr>
          <w:p w14:paraId="623BD81A">
            <w:pPr>
              <w:rPr>
                <w:rFonts w:hint="eastAsia" w:ascii="仿宋" w:hAnsi="仿宋" w:eastAsia="仿宋" w:cs="仿宋"/>
                <w:color w:val="auto"/>
                <w:sz w:val="24"/>
                <w:szCs w:val="24"/>
                <w:highlight w:val="none"/>
                <w:vertAlign w:val="baseline"/>
                <w:lang w:val="en-US" w:eastAsia="zh-CN"/>
              </w:rPr>
            </w:pPr>
          </w:p>
        </w:tc>
        <w:tc>
          <w:tcPr>
            <w:tcW w:w="1561" w:type="dxa"/>
          </w:tcPr>
          <w:p w14:paraId="31A2549E">
            <w:pPr>
              <w:rPr>
                <w:rFonts w:hint="eastAsia" w:ascii="仿宋" w:hAnsi="仿宋" w:eastAsia="仿宋" w:cs="仿宋"/>
                <w:color w:val="auto"/>
                <w:sz w:val="24"/>
                <w:szCs w:val="24"/>
                <w:highlight w:val="none"/>
                <w:vertAlign w:val="baseline"/>
                <w:lang w:val="en-US" w:eastAsia="zh-CN"/>
              </w:rPr>
            </w:pPr>
          </w:p>
        </w:tc>
        <w:tc>
          <w:tcPr>
            <w:tcW w:w="1052" w:type="dxa"/>
          </w:tcPr>
          <w:p w14:paraId="4942C4D3">
            <w:pPr>
              <w:rPr>
                <w:rFonts w:hint="eastAsia" w:ascii="仿宋" w:hAnsi="仿宋" w:eastAsia="仿宋" w:cs="仿宋"/>
                <w:color w:val="auto"/>
                <w:sz w:val="24"/>
                <w:szCs w:val="24"/>
                <w:highlight w:val="none"/>
                <w:vertAlign w:val="baseline"/>
                <w:lang w:val="en-US" w:eastAsia="zh-CN"/>
              </w:rPr>
            </w:pPr>
          </w:p>
        </w:tc>
      </w:tr>
      <w:tr w14:paraId="46B1F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34" w:type="dxa"/>
          </w:tcPr>
          <w:p w14:paraId="13F5068F">
            <w:pPr>
              <w:rPr>
                <w:rFonts w:hint="eastAsia" w:ascii="仿宋" w:hAnsi="仿宋" w:eastAsia="仿宋" w:cs="仿宋"/>
                <w:color w:val="auto"/>
                <w:sz w:val="24"/>
                <w:szCs w:val="24"/>
                <w:highlight w:val="none"/>
                <w:vertAlign w:val="baseline"/>
                <w:lang w:val="en-US" w:eastAsia="zh-CN"/>
              </w:rPr>
            </w:pPr>
          </w:p>
        </w:tc>
        <w:tc>
          <w:tcPr>
            <w:tcW w:w="1421" w:type="dxa"/>
          </w:tcPr>
          <w:p w14:paraId="6F47FF90">
            <w:pPr>
              <w:rPr>
                <w:rFonts w:hint="eastAsia" w:ascii="仿宋" w:hAnsi="仿宋" w:eastAsia="仿宋" w:cs="仿宋"/>
                <w:color w:val="auto"/>
                <w:sz w:val="24"/>
                <w:szCs w:val="24"/>
                <w:highlight w:val="none"/>
                <w:vertAlign w:val="baseline"/>
                <w:lang w:val="en-US" w:eastAsia="zh-CN"/>
              </w:rPr>
            </w:pPr>
          </w:p>
        </w:tc>
        <w:tc>
          <w:tcPr>
            <w:tcW w:w="1901" w:type="dxa"/>
          </w:tcPr>
          <w:p w14:paraId="686B81E3">
            <w:pPr>
              <w:rPr>
                <w:rFonts w:hint="eastAsia" w:ascii="仿宋" w:hAnsi="仿宋" w:eastAsia="仿宋" w:cs="仿宋"/>
                <w:color w:val="auto"/>
                <w:sz w:val="24"/>
                <w:szCs w:val="24"/>
                <w:highlight w:val="none"/>
                <w:vertAlign w:val="baseline"/>
                <w:lang w:val="en-US" w:eastAsia="zh-CN"/>
              </w:rPr>
            </w:pPr>
          </w:p>
        </w:tc>
        <w:tc>
          <w:tcPr>
            <w:tcW w:w="1753" w:type="dxa"/>
          </w:tcPr>
          <w:p w14:paraId="1F522384">
            <w:pPr>
              <w:rPr>
                <w:rFonts w:hint="eastAsia" w:ascii="仿宋" w:hAnsi="仿宋" w:eastAsia="仿宋" w:cs="仿宋"/>
                <w:color w:val="auto"/>
                <w:sz w:val="24"/>
                <w:szCs w:val="24"/>
                <w:highlight w:val="none"/>
                <w:vertAlign w:val="baseline"/>
                <w:lang w:val="en-US" w:eastAsia="zh-CN"/>
              </w:rPr>
            </w:pPr>
          </w:p>
        </w:tc>
        <w:tc>
          <w:tcPr>
            <w:tcW w:w="1561" w:type="dxa"/>
          </w:tcPr>
          <w:p w14:paraId="2895623A">
            <w:pPr>
              <w:rPr>
                <w:rFonts w:hint="eastAsia" w:ascii="仿宋" w:hAnsi="仿宋" w:eastAsia="仿宋" w:cs="仿宋"/>
                <w:color w:val="auto"/>
                <w:sz w:val="24"/>
                <w:szCs w:val="24"/>
                <w:highlight w:val="none"/>
                <w:vertAlign w:val="baseline"/>
                <w:lang w:val="en-US" w:eastAsia="zh-CN"/>
              </w:rPr>
            </w:pPr>
          </w:p>
        </w:tc>
        <w:tc>
          <w:tcPr>
            <w:tcW w:w="1052" w:type="dxa"/>
          </w:tcPr>
          <w:p w14:paraId="4115D10A">
            <w:pPr>
              <w:rPr>
                <w:rFonts w:hint="eastAsia" w:ascii="仿宋" w:hAnsi="仿宋" w:eastAsia="仿宋" w:cs="仿宋"/>
                <w:color w:val="auto"/>
                <w:sz w:val="24"/>
                <w:szCs w:val="24"/>
                <w:highlight w:val="none"/>
                <w:vertAlign w:val="baseline"/>
                <w:lang w:val="en-US" w:eastAsia="zh-CN"/>
              </w:rPr>
            </w:pPr>
          </w:p>
        </w:tc>
      </w:tr>
    </w:tbl>
    <w:p w14:paraId="26FDDF8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w:t>
      </w:r>
    </w:p>
    <w:p w14:paraId="036F0E9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 对合同条款中的所有要求，除本表所列明的所有偏离外，均视作供应商已对之理解和响应。</w:t>
      </w:r>
    </w:p>
    <w:p w14:paraId="4EFB284B">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sz w:val="24"/>
          <w:szCs w:val="24"/>
          <w:highlight w:val="none"/>
          <w:lang w:val="en-US" w:eastAsia="zh-CN"/>
        </w:rPr>
      </w:pPr>
      <w:bookmarkStart w:id="39" w:name="_Toc6441"/>
      <w:r>
        <w:rPr>
          <w:rFonts w:hint="eastAsia" w:ascii="仿宋" w:hAnsi="仿宋" w:eastAsia="仿宋" w:cs="仿宋"/>
          <w:color w:val="auto"/>
          <w:sz w:val="24"/>
          <w:szCs w:val="24"/>
          <w:highlight w:val="none"/>
          <w:lang w:val="en-US" w:eastAsia="zh-CN"/>
        </w:rPr>
        <w:t>2. “偏离情况”列应据实填写“正偏离”或“负偏离”。</w:t>
      </w:r>
      <w:bookmarkEnd w:id="39"/>
    </w:p>
    <w:p w14:paraId="4513C99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p>
    <w:p w14:paraId="2E86F51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p>
    <w:p w14:paraId="4E655F4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投标人名称（加盖公章）： </w:t>
      </w:r>
    </w:p>
    <w:p w14:paraId="65D8DEC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日期：    年   月   日</w:t>
      </w:r>
    </w:p>
    <w:p w14:paraId="1BE2CF5D">
      <w:pPr>
        <w:pStyle w:val="26"/>
        <w:rPr>
          <w:rFonts w:hint="eastAsia" w:ascii="仿宋" w:hAnsi="仿宋" w:eastAsia="仿宋" w:cs="仿宋"/>
          <w:color w:val="auto"/>
          <w:sz w:val="24"/>
          <w:szCs w:val="24"/>
          <w:highlight w:val="none"/>
          <w:lang w:val="en-US" w:eastAsia="zh-CN"/>
        </w:rPr>
      </w:pPr>
    </w:p>
    <w:p w14:paraId="6BBC2C70">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47CF73A9">
      <w:pPr>
        <w:pStyle w:val="22"/>
        <w:ind w:left="0" w:leftChars="0" w:firstLine="0" w:firstLineChars="0"/>
        <w:outlineLvl w:val="1"/>
        <w:rPr>
          <w:rFonts w:hint="eastAsia" w:ascii="仿宋" w:hAnsi="仿宋" w:eastAsia="仿宋" w:cs="仿宋"/>
          <w:color w:val="auto"/>
          <w:sz w:val="24"/>
          <w:szCs w:val="24"/>
          <w:highlight w:val="none"/>
          <w:lang w:val="en-US" w:eastAsia="zh-CN"/>
        </w:rPr>
      </w:pPr>
      <w:bookmarkStart w:id="40" w:name="_Toc7042"/>
      <w:r>
        <w:rPr>
          <w:rFonts w:hint="eastAsia" w:ascii="仿宋" w:hAnsi="仿宋" w:eastAsia="仿宋" w:cs="仿宋"/>
          <w:color w:val="auto"/>
          <w:sz w:val="24"/>
          <w:szCs w:val="24"/>
          <w:highlight w:val="none"/>
          <w:lang w:val="en-US" w:eastAsia="zh-CN"/>
        </w:rPr>
        <w:t xml:space="preserve">9  </w:t>
      </w:r>
      <w:bookmarkEnd w:id="40"/>
      <w:r>
        <w:rPr>
          <w:rFonts w:hint="eastAsia" w:ascii="仿宋" w:hAnsi="仿宋" w:eastAsia="仿宋" w:cs="仿宋"/>
          <w:color w:val="auto"/>
          <w:sz w:val="24"/>
          <w:szCs w:val="24"/>
          <w:highlight w:val="none"/>
          <w:lang w:val="en-US" w:eastAsia="zh-CN"/>
        </w:rPr>
        <w:t>采购需求偏离表</w:t>
      </w:r>
    </w:p>
    <w:p w14:paraId="0313FB93">
      <w:pPr>
        <w:pStyle w:val="22"/>
        <w:ind w:left="0" w:leftChars="0" w:firstLine="0" w:firstLineChars="0"/>
        <w:rPr>
          <w:rFonts w:hint="eastAsia" w:ascii="仿宋" w:hAnsi="仿宋" w:eastAsia="仿宋" w:cs="仿宋"/>
          <w:color w:val="auto"/>
          <w:sz w:val="24"/>
          <w:szCs w:val="24"/>
          <w:highlight w:val="none"/>
          <w:lang w:val="en-US" w:eastAsia="zh-CN"/>
        </w:rPr>
      </w:pPr>
    </w:p>
    <w:p w14:paraId="09570359">
      <w:pPr>
        <w:pStyle w:val="22"/>
        <w:ind w:left="0" w:leftChars="0" w:firstLine="0" w:firstLineChars="0"/>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采购需求偏离表</w:t>
      </w:r>
    </w:p>
    <w:p w14:paraId="0F985A04">
      <w:pPr>
        <w:pStyle w:val="22"/>
        <w:ind w:left="0" w:leftChars="0" w:firstLine="0" w:firstLineChars="0"/>
        <w:rPr>
          <w:rFonts w:hint="eastAsia" w:ascii="仿宋" w:hAnsi="仿宋" w:eastAsia="仿宋" w:cs="仿宋"/>
          <w:color w:val="auto"/>
          <w:sz w:val="24"/>
          <w:szCs w:val="24"/>
          <w:highlight w:val="none"/>
          <w:lang w:val="en-US" w:eastAsia="zh-CN"/>
        </w:rPr>
      </w:pPr>
    </w:p>
    <w:p w14:paraId="23B5B9C9">
      <w:pPr>
        <w:pStyle w:val="22"/>
        <w:ind w:left="0" w:leftChars="0" w:firstLine="0" w:firstLine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项目编号/包号：                 项目名称：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1"/>
        <w:gridCol w:w="1422"/>
        <w:gridCol w:w="1805"/>
        <w:gridCol w:w="1672"/>
        <w:gridCol w:w="1421"/>
        <w:gridCol w:w="1421"/>
      </w:tblGrid>
      <w:tr w14:paraId="3B963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14:paraId="65482EC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序号</w:t>
            </w:r>
          </w:p>
        </w:tc>
        <w:tc>
          <w:tcPr>
            <w:tcW w:w="1422" w:type="dxa"/>
            <w:vAlign w:val="center"/>
          </w:tcPr>
          <w:p w14:paraId="6FB0002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招标文件条</w:t>
            </w:r>
          </w:p>
          <w:p w14:paraId="6591130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目号(页码)</w:t>
            </w:r>
          </w:p>
        </w:tc>
        <w:tc>
          <w:tcPr>
            <w:tcW w:w="1805" w:type="dxa"/>
            <w:vAlign w:val="center"/>
          </w:tcPr>
          <w:p w14:paraId="7624AA1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招标文件要求</w:t>
            </w:r>
          </w:p>
        </w:tc>
        <w:tc>
          <w:tcPr>
            <w:tcW w:w="1672" w:type="dxa"/>
            <w:vAlign w:val="center"/>
          </w:tcPr>
          <w:p w14:paraId="210D8EA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投标响应内容</w:t>
            </w:r>
          </w:p>
        </w:tc>
        <w:tc>
          <w:tcPr>
            <w:tcW w:w="1421" w:type="dxa"/>
            <w:vAlign w:val="center"/>
          </w:tcPr>
          <w:p w14:paraId="683C8270">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偏离情况</w:t>
            </w:r>
          </w:p>
        </w:tc>
        <w:tc>
          <w:tcPr>
            <w:tcW w:w="1421" w:type="dxa"/>
            <w:vAlign w:val="center"/>
          </w:tcPr>
          <w:p w14:paraId="688FC25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说明</w:t>
            </w:r>
          </w:p>
        </w:tc>
      </w:tr>
      <w:tr w14:paraId="7A0C0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10BA4DF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1290B5F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1C085A3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3636E69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18FAF45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7851C4B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r w14:paraId="0F6B5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29FA203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25DC093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509C55C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3E87AFC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2A13DD0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0F82C1D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r w14:paraId="3A03F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798A19C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1995694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3016805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1DCCA93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4D91E4E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22068DC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r w14:paraId="2432C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5F9C28E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678A253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186E330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6D6E15B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4C0E52D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37F3DE0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r w14:paraId="05FE3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22486F6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717C7FE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6C05BDD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00EDCD8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7C1A4D0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5FB408F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bl>
    <w:p w14:paraId="47E2DF5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w:t>
      </w:r>
    </w:p>
    <w:p w14:paraId="01DC58EE">
      <w:pPr>
        <w:keepNext w:val="0"/>
        <w:keepLines w:val="0"/>
        <w:pageBreakBefore w:val="0"/>
        <w:widowControl w:val="0"/>
        <w:numPr>
          <w:ilvl w:val="0"/>
          <w:numId w:val="15"/>
        </w:numPr>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投标人应对招标文件第五章采购需求的内容给予逐条响应，以投标产品和服务所能达到的内容予以填写，而不得复制招标的技术要求作为响应内容，有具体参数的应填写具体参数。</w:t>
      </w:r>
    </w:p>
    <w:p w14:paraId="3AD3B17F">
      <w:pPr>
        <w:keepNext w:val="0"/>
        <w:keepLines w:val="0"/>
        <w:pageBreakBefore w:val="0"/>
        <w:widowControl w:val="0"/>
        <w:numPr>
          <w:ilvl w:val="0"/>
          <w:numId w:val="15"/>
        </w:numPr>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在本表中未对招标文件第五章采购需求的内容给予逐条响应的视为没有实质上响应招标文件的要求，投标无效。 此表中仅标注“全部满足”、“全部响应”等，无法体现投标人实质性响应或者偏离技术要求的；或无任何文字说明，内容为空白的，其投标无效。</w:t>
      </w:r>
    </w:p>
    <w:p w14:paraId="4752CFF4">
      <w:pPr>
        <w:keepNext w:val="0"/>
        <w:keepLines w:val="0"/>
        <w:pageBreakBefore w:val="0"/>
        <w:widowControl w:val="0"/>
        <w:numPr>
          <w:ilvl w:val="0"/>
          <w:numId w:val="15"/>
        </w:numPr>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投标人应按照招标文件第五章采购需求中要求提供投标产品技术支持资料（或证明材料），并在采购需求响应及偏离表中给予文件名称、所处投标文件页码或位置等必要说明。</w:t>
      </w:r>
    </w:p>
    <w:p w14:paraId="348867D9">
      <w:pPr>
        <w:keepNext w:val="0"/>
        <w:keepLines w:val="0"/>
        <w:pageBreakBefore w:val="0"/>
        <w:widowControl w:val="0"/>
        <w:numPr>
          <w:ilvl w:val="0"/>
          <w:numId w:val="15"/>
        </w:numPr>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“偏离情况”列应据实填写“正偏离”、“负偏离”或“无偏离”。</w:t>
      </w:r>
    </w:p>
    <w:p w14:paraId="2A2D6D4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p>
    <w:p w14:paraId="0FCDEFC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p>
    <w:p w14:paraId="2445ACB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投标人名称（加盖公章）： ____________</w:t>
      </w:r>
    </w:p>
    <w:p w14:paraId="217DD8B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日期：_____年______月______日</w:t>
      </w:r>
    </w:p>
    <w:p w14:paraId="67CBDAC4">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34B534F1">
      <w:pPr>
        <w:pStyle w:val="25"/>
        <w:ind w:left="0" w:lef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   招标文件要求提供或投标人认为应附的其他材料</w:t>
      </w:r>
    </w:p>
    <w:p w14:paraId="7F397B32">
      <w:pPr>
        <w:pStyle w:val="22"/>
        <w:rPr>
          <w:rFonts w:hint="eastAsia" w:ascii="仿宋" w:hAnsi="仿宋" w:eastAsia="仿宋" w:cs="仿宋"/>
          <w:color w:val="auto"/>
          <w:highlight w:val="none"/>
          <w:lang w:val="en-US" w:eastAsia="zh-CN"/>
        </w:rPr>
      </w:pPr>
    </w:p>
    <w:p w14:paraId="02C4B91B">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3A80CDF0">
      <w:pPr>
        <w:keepNext/>
        <w:keepLines/>
        <w:widowControl w:val="0"/>
        <w:spacing w:before="0" w:after="260" w:line="240" w:lineRule="atLeast"/>
        <w:jc w:val="both"/>
        <w:outlineLvl w:val="1"/>
        <w:rPr>
          <w:rFonts w:hint="eastAsia" w:ascii="仿宋" w:hAnsi="仿宋" w:eastAsia="仿宋" w:cs="仿宋"/>
          <w:b w:val="0"/>
          <w:bCs/>
          <w:color w:val="auto"/>
          <w:kern w:val="2"/>
          <w:sz w:val="24"/>
          <w:szCs w:val="32"/>
          <w:highlight w:val="none"/>
          <w:lang w:val="en-US" w:eastAsia="zh-CN" w:bidi="ar-SA"/>
        </w:rPr>
      </w:pPr>
      <w:bookmarkStart w:id="41" w:name="_Toc480942355"/>
      <w:bookmarkStart w:id="42" w:name="_Toc520356224"/>
      <w:bookmarkStart w:id="43" w:name="_Toc216582819"/>
      <w:bookmarkStart w:id="44" w:name="_Ref467988543"/>
      <w:bookmarkStart w:id="45" w:name="_Toc4183"/>
      <w:bookmarkStart w:id="46" w:name="_Toc15963"/>
      <w:bookmarkStart w:id="47" w:name="_Toc9592"/>
      <w:bookmarkStart w:id="48" w:name="_Toc17143"/>
      <w:bookmarkStart w:id="49" w:name="_Toc21320"/>
      <w:bookmarkStart w:id="50" w:name="_Toc20238"/>
      <w:bookmarkStart w:id="51" w:name="_Toc507399535"/>
      <w:bookmarkStart w:id="52" w:name="_Toc522"/>
      <w:bookmarkStart w:id="53" w:name="_Toc8281"/>
      <w:bookmarkStart w:id="54" w:name="_Toc3420"/>
      <w:r>
        <w:rPr>
          <w:rFonts w:hint="eastAsia" w:ascii="仿宋" w:hAnsi="仿宋" w:eastAsia="仿宋" w:cs="仿宋"/>
          <w:b/>
          <w:bCs/>
          <w:color w:val="auto"/>
          <w:kern w:val="2"/>
          <w:sz w:val="24"/>
          <w:szCs w:val="32"/>
          <w:highlight w:val="none"/>
          <w:lang w:val="en-US" w:eastAsia="zh-CN" w:bidi="ar-SA"/>
        </w:rPr>
        <w:t xml:space="preserve">11   </w:t>
      </w:r>
      <w:bookmarkEnd w:id="41"/>
      <w:bookmarkEnd w:id="42"/>
      <w:bookmarkEnd w:id="43"/>
      <w:bookmarkEnd w:id="44"/>
      <w:bookmarkStart w:id="55" w:name="_Hlt520274407"/>
      <w:bookmarkEnd w:id="55"/>
      <w:bookmarkStart w:id="56" w:name="_Hlt520273711"/>
      <w:bookmarkEnd w:id="56"/>
      <w:bookmarkStart w:id="57" w:name="_Hlt520350957"/>
      <w:bookmarkEnd w:id="57"/>
      <w:bookmarkStart w:id="58" w:name="_Hlt520271212"/>
      <w:bookmarkEnd w:id="58"/>
      <w:bookmarkStart w:id="59" w:name="_Hlt520274065"/>
      <w:bookmarkEnd w:id="59"/>
      <w:bookmarkStart w:id="60" w:name="_Hlt520343000"/>
      <w:bookmarkEnd w:id="60"/>
      <w:bookmarkStart w:id="61" w:name="_Hlt520350918"/>
      <w:bookmarkEnd w:id="61"/>
      <w:bookmarkStart w:id="62" w:name="_Hlt520274911"/>
      <w:bookmarkEnd w:id="62"/>
      <w:bookmarkStart w:id="63" w:name="_Hlt520274393"/>
      <w:bookmarkEnd w:id="63"/>
      <w:bookmarkStart w:id="64" w:name="_Hlt520273973"/>
      <w:bookmarkEnd w:id="64"/>
      <w:bookmarkStart w:id="65" w:name="_Hlt520343392"/>
      <w:bookmarkEnd w:id="65"/>
      <w:bookmarkStart w:id="66" w:name="_Toc216513801"/>
      <w:bookmarkStart w:id="67" w:name="_Toc216582821"/>
      <w:r>
        <w:rPr>
          <w:rFonts w:hint="eastAsia" w:ascii="仿宋" w:hAnsi="仿宋" w:eastAsia="仿宋" w:cs="仿宋"/>
          <w:b/>
          <w:bCs/>
          <w:color w:val="auto"/>
          <w:kern w:val="2"/>
          <w:sz w:val="24"/>
          <w:szCs w:val="32"/>
          <w:highlight w:val="none"/>
          <w:lang w:val="en-US" w:eastAsia="zh-CN" w:bidi="ar-SA"/>
        </w:rPr>
        <w:t>中标服务费承诺书</w:t>
      </w:r>
      <w:bookmarkEnd w:id="45"/>
      <w:bookmarkEnd w:id="46"/>
      <w:bookmarkEnd w:id="47"/>
      <w:bookmarkEnd w:id="48"/>
      <w:bookmarkEnd w:id="49"/>
      <w:bookmarkEnd w:id="50"/>
      <w:bookmarkEnd w:id="51"/>
      <w:bookmarkEnd w:id="52"/>
    </w:p>
    <w:p w14:paraId="2B3F4903">
      <w:pPr>
        <w:spacing w:line="240" w:lineRule="atLeast"/>
        <w:ind w:left="1080" w:leftChars="257" w:hanging="540"/>
        <w:rPr>
          <w:rFonts w:hint="eastAsia" w:ascii="仿宋" w:hAnsi="仿宋" w:eastAsia="仿宋" w:cs="仿宋"/>
          <w:b/>
          <w:color w:val="auto"/>
          <w:sz w:val="24"/>
          <w:highlight w:val="none"/>
        </w:rPr>
      </w:pPr>
    </w:p>
    <w:p w14:paraId="57739952">
      <w:pPr>
        <w:spacing w:line="240" w:lineRule="atLeast"/>
        <w:ind w:left="1080" w:leftChars="257" w:hanging="540"/>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中标服务费承诺书</w:t>
      </w:r>
    </w:p>
    <w:p w14:paraId="23567B8E">
      <w:pPr>
        <w:spacing w:line="440" w:lineRule="exact"/>
        <w:ind w:left="1080" w:hanging="1080"/>
        <w:rPr>
          <w:rFonts w:hint="eastAsia" w:ascii="仿宋" w:hAnsi="仿宋" w:eastAsia="仿宋" w:cs="仿宋"/>
          <w:color w:val="auto"/>
          <w:sz w:val="24"/>
          <w:highlight w:val="none"/>
        </w:rPr>
      </w:pPr>
    </w:p>
    <w:p w14:paraId="4504D91B">
      <w:pPr>
        <w:spacing w:line="440" w:lineRule="exact"/>
        <w:ind w:left="1080" w:hanging="1080"/>
        <w:rPr>
          <w:rFonts w:hint="eastAsia"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lang w:val="en-US" w:eastAsia="zh-CN"/>
        </w:rPr>
        <w:t>新疆世纪星工程咨询有限公司</w:t>
      </w:r>
    </w:p>
    <w:p w14:paraId="6065C4D6">
      <w:pPr>
        <w:spacing w:line="440" w:lineRule="exact"/>
        <w:ind w:left="1080" w:leftChars="257" w:hanging="540"/>
        <w:rPr>
          <w:rFonts w:hint="eastAsia" w:ascii="仿宋" w:hAnsi="仿宋" w:eastAsia="仿宋" w:cs="仿宋"/>
          <w:color w:val="auto"/>
          <w:sz w:val="24"/>
          <w:highlight w:val="none"/>
        </w:rPr>
      </w:pPr>
    </w:p>
    <w:p w14:paraId="5F531B63">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 xml:space="preserve"> 我们在贵公司组织的</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lang w:val="en-US" w:eastAsia="zh-CN"/>
        </w:rPr>
        <w:t>项目名称、项目编号</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rPr>
        <w:t>项目招标中若获得中标资格，我们保证在领取中标通知书的同时按招标文件的规定，以支票、电汇等形式，向贵公司一次性支付应由我们交纳的中标服务费用。</w:t>
      </w:r>
    </w:p>
    <w:p w14:paraId="18E6F173">
      <w:pPr>
        <w:spacing w:line="440" w:lineRule="exac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特此承诺！</w:t>
      </w:r>
    </w:p>
    <w:p w14:paraId="404A5EE3">
      <w:pPr>
        <w:spacing w:line="440" w:lineRule="exact"/>
        <w:ind w:left="1080" w:leftChars="257" w:hanging="540"/>
        <w:rPr>
          <w:rFonts w:hint="eastAsia" w:ascii="仿宋" w:hAnsi="仿宋" w:eastAsia="仿宋" w:cs="仿宋"/>
          <w:color w:val="auto"/>
          <w:sz w:val="24"/>
          <w:highlight w:val="none"/>
        </w:rPr>
      </w:pPr>
    </w:p>
    <w:p w14:paraId="3D328612">
      <w:pPr>
        <w:spacing w:line="440" w:lineRule="exact"/>
        <w:ind w:left="1080" w:leftChars="257" w:hanging="540"/>
        <w:rPr>
          <w:rFonts w:hint="eastAsia" w:ascii="仿宋" w:hAnsi="仿宋" w:eastAsia="仿宋" w:cs="仿宋"/>
          <w:color w:val="auto"/>
          <w:sz w:val="24"/>
          <w:highlight w:val="none"/>
        </w:rPr>
      </w:pPr>
    </w:p>
    <w:p w14:paraId="2802A571">
      <w:pPr>
        <w:spacing w:line="440" w:lineRule="exact"/>
        <w:ind w:left="1080" w:leftChars="257" w:hanging="540"/>
        <w:rPr>
          <w:rFonts w:hint="eastAsia" w:ascii="仿宋" w:hAnsi="仿宋" w:eastAsia="仿宋" w:cs="仿宋"/>
          <w:color w:val="auto"/>
          <w:sz w:val="24"/>
          <w:highlight w:val="none"/>
        </w:rPr>
      </w:pPr>
    </w:p>
    <w:p w14:paraId="6EACABF6">
      <w:pPr>
        <w:spacing w:line="440" w:lineRule="exact"/>
        <w:ind w:left="1080" w:leftChars="257" w:hanging="540"/>
        <w:rPr>
          <w:rFonts w:hint="eastAsia" w:ascii="仿宋" w:hAnsi="仿宋" w:eastAsia="仿宋" w:cs="仿宋"/>
          <w:color w:val="auto"/>
          <w:sz w:val="24"/>
          <w:highlight w:val="none"/>
        </w:rPr>
      </w:pPr>
    </w:p>
    <w:p w14:paraId="6AE67AB8">
      <w:pPr>
        <w:spacing w:line="440" w:lineRule="exact"/>
        <w:ind w:left="1080" w:hanging="1080"/>
        <w:rPr>
          <w:rFonts w:hint="eastAsia" w:ascii="仿宋" w:hAnsi="仿宋" w:eastAsia="仿宋" w:cs="仿宋"/>
          <w:color w:val="auto"/>
          <w:sz w:val="24"/>
          <w:highlight w:val="none"/>
        </w:rPr>
      </w:pPr>
    </w:p>
    <w:p w14:paraId="01FA54ED">
      <w:pPr>
        <w:spacing w:line="440" w:lineRule="exact"/>
        <w:ind w:left="1413" w:leftChars="273" w:hanging="840" w:hangingChars="350"/>
        <w:rPr>
          <w:rFonts w:hint="eastAsia" w:ascii="仿宋" w:hAnsi="仿宋" w:eastAsia="仿宋" w:cs="仿宋"/>
          <w:color w:val="auto"/>
          <w:sz w:val="24"/>
          <w:highlight w:val="none"/>
        </w:rPr>
      </w:pPr>
      <w:r>
        <w:rPr>
          <w:rFonts w:hint="eastAsia" w:ascii="仿宋" w:hAnsi="仿宋" w:eastAsia="仿宋" w:cs="仿宋"/>
          <w:color w:val="auto"/>
          <w:sz w:val="24"/>
          <w:highlight w:val="none"/>
        </w:rPr>
        <w:t>承诺方法定名称：</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p>
    <w:p w14:paraId="2D139408">
      <w:pPr>
        <w:spacing w:line="440" w:lineRule="exact"/>
        <w:ind w:left="1620" w:leftChars="257" w:hanging="1080"/>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p>
    <w:p w14:paraId="4373ECDB">
      <w:pPr>
        <w:spacing w:line="440" w:lineRule="exact"/>
        <w:ind w:left="1620" w:leftChars="257" w:hanging="1080"/>
        <w:rPr>
          <w:rFonts w:hint="eastAsia" w:ascii="仿宋" w:hAnsi="仿宋" w:eastAsia="仿宋" w:cs="仿宋"/>
          <w:color w:val="auto"/>
          <w:sz w:val="24"/>
          <w:highlight w:val="none"/>
        </w:rPr>
      </w:pPr>
      <w:r>
        <w:rPr>
          <w:rFonts w:hint="eastAsia" w:ascii="仿宋" w:hAnsi="仿宋" w:eastAsia="仿宋" w:cs="仿宋"/>
          <w:color w:val="auto"/>
          <w:sz w:val="24"/>
          <w:highlight w:val="none"/>
        </w:rPr>
        <w:t>电话：</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传真：</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p>
    <w:p w14:paraId="69D4BBE3">
      <w:pPr>
        <w:spacing w:line="440" w:lineRule="exact"/>
        <w:ind w:left="1620" w:leftChars="257" w:hanging="1080"/>
        <w:rPr>
          <w:rFonts w:hint="eastAsia" w:ascii="仿宋" w:hAnsi="仿宋" w:eastAsia="仿宋" w:cs="仿宋"/>
          <w:color w:val="auto"/>
          <w:sz w:val="24"/>
          <w:highlight w:val="none"/>
        </w:rPr>
      </w:pPr>
      <w:r>
        <w:rPr>
          <w:rFonts w:hint="eastAsia" w:ascii="仿宋" w:hAnsi="仿宋" w:eastAsia="仿宋" w:cs="仿宋"/>
          <w:color w:val="auto"/>
          <w:sz w:val="24"/>
          <w:highlight w:val="none"/>
        </w:rPr>
        <w:t>电传：</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p>
    <w:p w14:paraId="40F063B7">
      <w:pPr>
        <w:spacing w:line="440" w:lineRule="exact"/>
        <w:ind w:left="1620" w:leftChars="257" w:hanging="1080"/>
        <w:rPr>
          <w:rFonts w:hint="eastAsia" w:ascii="仿宋" w:hAnsi="仿宋" w:eastAsia="仿宋" w:cs="仿宋"/>
          <w:color w:val="auto"/>
          <w:sz w:val="24"/>
          <w:highlight w:val="none"/>
        </w:rPr>
      </w:pPr>
      <w:r>
        <w:rPr>
          <w:rFonts w:hint="eastAsia" w:ascii="仿宋" w:hAnsi="仿宋" w:eastAsia="仿宋" w:cs="仿宋"/>
          <w:color w:val="auto"/>
          <w:sz w:val="24"/>
          <w:highlight w:val="none"/>
        </w:rPr>
        <w:t>承诺方授权代表签字：</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（承诺方盖章）</w:t>
      </w:r>
    </w:p>
    <w:p w14:paraId="53B17156">
      <w:pPr>
        <w:spacing w:line="440" w:lineRule="exact"/>
        <w:ind w:left="1620" w:leftChars="257" w:hanging="108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承诺日期：</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bookmarkEnd w:id="66"/>
      <w:bookmarkEnd w:id="67"/>
    </w:p>
    <w:p w14:paraId="603D90D2">
      <w:pPr>
        <w:rPr>
          <w:rFonts w:hint="eastAsia" w:ascii="仿宋" w:hAnsi="仿宋" w:eastAsia="仿宋" w:cs="仿宋"/>
          <w:b w:val="0"/>
          <w:bCs w:val="0"/>
          <w:color w:val="auto"/>
          <w:kern w:val="2"/>
          <w:sz w:val="24"/>
          <w:szCs w:val="24"/>
          <w:highlight w:val="none"/>
          <w:lang w:val="en-US" w:eastAsia="zh-CN" w:bidi="zh-CN"/>
        </w:rPr>
      </w:pPr>
      <w:r>
        <w:rPr>
          <w:rFonts w:hint="eastAsia" w:ascii="仿宋" w:hAnsi="仿宋" w:eastAsia="仿宋" w:cs="仿宋"/>
          <w:b w:val="0"/>
          <w:bCs w:val="0"/>
          <w:color w:val="auto"/>
          <w:kern w:val="2"/>
          <w:sz w:val="24"/>
          <w:szCs w:val="24"/>
          <w:highlight w:val="none"/>
          <w:lang w:val="en-US" w:eastAsia="zh-CN" w:bidi="zh-CN"/>
        </w:rPr>
        <w:br w:type="page"/>
      </w:r>
    </w:p>
    <w:p w14:paraId="1AACFB87">
      <w:pPr>
        <w:widowControl w:val="0"/>
        <w:spacing w:before="1"/>
        <w:jc w:val="both"/>
        <w:outlineLvl w:val="1"/>
        <w:rPr>
          <w:rFonts w:hint="eastAsia" w:ascii="仿宋" w:hAnsi="仿宋" w:eastAsia="仿宋" w:cs="仿宋"/>
          <w:b w:val="0"/>
          <w:bCs w:val="0"/>
          <w:color w:val="auto"/>
          <w:kern w:val="2"/>
          <w:sz w:val="24"/>
          <w:szCs w:val="24"/>
          <w:highlight w:val="none"/>
          <w:lang w:val="zh-CN" w:eastAsia="zh-CN" w:bidi="zh-CN"/>
        </w:rPr>
      </w:pPr>
      <w:bookmarkStart w:id="68" w:name="_Toc8649"/>
      <w:bookmarkStart w:id="69" w:name="_Toc24678"/>
      <w:bookmarkStart w:id="70" w:name="_Toc20782"/>
      <w:bookmarkStart w:id="71" w:name="_Toc15106"/>
      <w:bookmarkStart w:id="72" w:name="_Toc17899"/>
      <w:r>
        <w:rPr>
          <w:rFonts w:hint="eastAsia" w:ascii="仿宋" w:hAnsi="仿宋" w:eastAsia="仿宋" w:cs="仿宋"/>
          <w:b w:val="0"/>
          <w:bCs w:val="0"/>
          <w:color w:val="auto"/>
          <w:kern w:val="2"/>
          <w:sz w:val="24"/>
          <w:szCs w:val="24"/>
          <w:highlight w:val="none"/>
          <w:lang w:val="en-US" w:eastAsia="zh-CN" w:bidi="zh-CN"/>
        </w:rPr>
        <w:t xml:space="preserve">12   </w:t>
      </w:r>
      <w:r>
        <w:rPr>
          <w:rFonts w:hint="eastAsia" w:ascii="仿宋" w:hAnsi="仿宋" w:eastAsia="仿宋" w:cs="仿宋"/>
          <w:b w:val="0"/>
          <w:bCs w:val="0"/>
          <w:color w:val="auto"/>
          <w:kern w:val="2"/>
          <w:sz w:val="24"/>
          <w:szCs w:val="24"/>
          <w:highlight w:val="none"/>
          <w:lang w:val="zh-CN" w:eastAsia="zh-CN" w:bidi="zh-CN"/>
        </w:rPr>
        <w:t>保证金信息表</w:t>
      </w:r>
      <w:bookmarkEnd w:id="53"/>
      <w:bookmarkEnd w:id="54"/>
      <w:r>
        <w:rPr>
          <w:rFonts w:hint="eastAsia" w:ascii="仿宋" w:hAnsi="仿宋" w:eastAsia="仿宋" w:cs="仿宋"/>
          <w:b w:val="0"/>
          <w:bCs w:val="0"/>
          <w:color w:val="auto"/>
          <w:kern w:val="2"/>
          <w:sz w:val="24"/>
          <w:szCs w:val="24"/>
          <w:highlight w:val="none"/>
          <w:lang w:val="zh-CN" w:eastAsia="zh-CN" w:bidi="zh-CN"/>
        </w:rPr>
        <w:t>（</w:t>
      </w:r>
      <w:r>
        <w:rPr>
          <w:rFonts w:hint="eastAsia" w:ascii="仿宋" w:hAnsi="仿宋" w:eastAsia="仿宋" w:cs="仿宋"/>
          <w:b w:val="0"/>
          <w:bCs w:val="0"/>
          <w:color w:val="auto"/>
          <w:kern w:val="2"/>
          <w:sz w:val="24"/>
          <w:szCs w:val="24"/>
          <w:highlight w:val="none"/>
          <w:lang w:val="en-US" w:eastAsia="zh-CN" w:bidi="zh-CN"/>
        </w:rPr>
        <w:t>保函方式提交的无需提供</w:t>
      </w:r>
      <w:r>
        <w:rPr>
          <w:rFonts w:hint="eastAsia" w:ascii="仿宋" w:hAnsi="仿宋" w:eastAsia="仿宋" w:cs="仿宋"/>
          <w:b w:val="0"/>
          <w:bCs w:val="0"/>
          <w:color w:val="auto"/>
          <w:kern w:val="2"/>
          <w:sz w:val="24"/>
          <w:szCs w:val="24"/>
          <w:highlight w:val="none"/>
          <w:lang w:val="zh-CN" w:eastAsia="zh-CN" w:bidi="zh-CN"/>
        </w:rPr>
        <w:t>）</w:t>
      </w:r>
      <w:bookmarkEnd w:id="68"/>
      <w:bookmarkEnd w:id="69"/>
      <w:bookmarkEnd w:id="70"/>
      <w:bookmarkEnd w:id="71"/>
      <w:bookmarkEnd w:id="72"/>
    </w:p>
    <w:p w14:paraId="5BB3B431">
      <w:pPr>
        <w:pStyle w:val="18"/>
        <w:spacing w:line="440" w:lineRule="exact"/>
        <w:jc w:val="center"/>
        <w:outlineLvl w:val="9"/>
        <w:rPr>
          <w:rFonts w:hint="eastAsia" w:ascii="仿宋" w:hAnsi="仿宋" w:eastAsia="仿宋" w:cs="仿宋"/>
          <w:b/>
          <w:color w:val="auto"/>
          <w:sz w:val="32"/>
          <w:szCs w:val="32"/>
          <w:highlight w:val="none"/>
        </w:rPr>
      </w:pPr>
    </w:p>
    <w:p w14:paraId="48764F62">
      <w:pPr>
        <w:pStyle w:val="18"/>
        <w:spacing w:line="440" w:lineRule="exact"/>
        <w:jc w:val="center"/>
        <w:outlineLvl w:val="0"/>
        <w:rPr>
          <w:rFonts w:hint="eastAsia" w:ascii="仿宋" w:hAnsi="仿宋" w:eastAsia="仿宋" w:cs="仿宋"/>
          <w:b/>
          <w:color w:val="auto"/>
          <w:sz w:val="32"/>
          <w:szCs w:val="32"/>
          <w:highlight w:val="none"/>
        </w:rPr>
      </w:pPr>
      <w:bookmarkStart w:id="73" w:name="_Toc4940"/>
      <w:bookmarkStart w:id="74" w:name="_Toc16938"/>
      <w:bookmarkStart w:id="75" w:name="_Toc27316"/>
      <w:bookmarkStart w:id="76" w:name="_Toc31463"/>
      <w:bookmarkStart w:id="77" w:name="_Toc14307"/>
      <w:bookmarkStart w:id="78" w:name="_Toc25967"/>
      <w:bookmarkStart w:id="79" w:name="_Toc28181"/>
      <w:r>
        <w:rPr>
          <w:rFonts w:hint="eastAsia" w:ascii="仿宋" w:hAnsi="仿宋" w:eastAsia="仿宋" w:cs="仿宋"/>
          <w:b/>
          <w:color w:val="auto"/>
          <w:sz w:val="24"/>
          <w:szCs w:val="24"/>
          <w:highlight w:val="none"/>
        </w:rPr>
        <w:t>退还保证金申请函</w:t>
      </w:r>
      <w:bookmarkEnd w:id="73"/>
      <w:bookmarkEnd w:id="74"/>
      <w:bookmarkEnd w:id="75"/>
      <w:bookmarkEnd w:id="76"/>
      <w:bookmarkEnd w:id="77"/>
      <w:bookmarkEnd w:id="78"/>
      <w:bookmarkEnd w:id="79"/>
    </w:p>
    <w:p w14:paraId="75228FAA">
      <w:pPr>
        <w:spacing w:line="360" w:lineRule="auto"/>
        <w:rPr>
          <w:rFonts w:hint="eastAsia" w:ascii="仿宋" w:hAnsi="仿宋" w:eastAsia="仿宋" w:cs="仿宋"/>
          <w:color w:val="auto"/>
          <w:sz w:val="21"/>
          <w:szCs w:val="21"/>
          <w:highlight w:val="none"/>
          <w:u w:val="single"/>
          <w:lang w:eastAsia="zh-CN"/>
        </w:rPr>
      </w:pPr>
      <w:r>
        <w:rPr>
          <w:rFonts w:hint="eastAsia" w:ascii="仿宋" w:hAnsi="仿宋" w:eastAsia="仿宋" w:cs="仿宋"/>
          <w:color w:val="auto"/>
          <w:sz w:val="21"/>
          <w:szCs w:val="21"/>
          <w:highlight w:val="none"/>
        </w:rPr>
        <w:t>致：</w:t>
      </w:r>
      <w:r>
        <w:rPr>
          <w:rFonts w:hint="eastAsia" w:ascii="仿宋" w:hAnsi="仿宋" w:eastAsia="仿宋" w:cs="仿宋"/>
          <w:color w:val="auto"/>
          <w:sz w:val="21"/>
          <w:szCs w:val="21"/>
          <w:highlight w:val="none"/>
          <w:u w:val="single"/>
          <w:lang w:eastAsia="zh-CN"/>
        </w:rPr>
        <w:t>新疆世纪星工程咨询有限公司</w:t>
      </w:r>
    </w:p>
    <w:p w14:paraId="0BFB5163">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u w:val="single"/>
        </w:rPr>
        <w:t>（</w:t>
      </w:r>
      <w:r>
        <w:rPr>
          <w:rFonts w:hint="eastAsia" w:ascii="仿宋" w:hAnsi="仿宋" w:eastAsia="仿宋" w:cs="仿宋"/>
          <w:color w:val="auto"/>
          <w:sz w:val="21"/>
          <w:szCs w:val="21"/>
          <w:highlight w:val="none"/>
          <w:u w:val="single"/>
          <w:lang w:val="en-US" w:eastAsia="zh-CN"/>
        </w:rPr>
        <w:t>投标人</w:t>
      </w:r>
      <w:r>
        <w:rPr>
          <w:rFonts w:hint="eastAsia" w:ascii="仿宋" w:hAnsi="仿宋" w:eastAsia="仿宋" w:cs="仿宋"/>
          <w:color w:val="auto"/>
          <w:sz w:val="21"/>
          <w:szCs w:val="21"/>
          <w:highlight w:val="none"/>
          <w:u w:val="single"/>
        </w:rPr>
        <w:t xml:space="preserve">全称) </w:t>
      </w:r>
      <w:r>
        <w:rPr>
          <w:rFonts w:hint="eastAsia" w:ascii="仿宋" w:hAnsi="仿宋" w:eastAsia="仿宋" w:cs="仿宋"/>
          <w:color w:val="auto"/>
          <w:sz w:val="21"/>
          <w:szCs w:val="21"/>
          <w:highlight w:val="none"/>
        </w:rPr>
        <w:t>参加贵方组织的，</w:t>
      </w:r>
      <w:r>
        <w:rPr>
          <w:rFonts w:hint="eastAsia" w:ascii="仿宋" w:hAnsi="仿宋" w:eastAsia="仿宋" w:cs="仿宋"/>
          <w:b w:val="0"/>
          <w:bCs w:val="0"/>
          <w:color w:val="auto"/>
          <w:sz w:val="21"/>
          <w:szCs w:val="21"/>
          <w:highlight w:val="none"/>
          <w:u w:val="single"/>
          <w:lang w:val="en-US" w:eastAsia="zh-CN"/>
        </w:rPr>
        <w:t>（项目名称）（项目编号）</w:t>
      </w:r>
      <w:r>
        <w:rPr>
          <w:rFonts w:hint="eastAsia" w:ascii="仿宋" w:hAnsi="仿宋" w:eastAsia="仿宋" w:cs="仿宋"/>
          <w:color w:val="auto"/>
          <w:sz w:val="21"/>
          <w:szCs w:val="21"/>
          <w:highlight w:val="none"/>
        </w:rPr>
        <w:t>的</w:t>
      </w:r>
      <w:r>
        <w:rPr>
          <w:rFonts w:hint="eastAsia" w:ascii="仿宋" w:hAnsi="仿宋" w:eastAsia="仿宋" w:cs="仿宋"/>
          <w:color w:val="auto"/>
          <w:sz w:val="21"/>
          <w:szCs w:val="21"/>
          <w:highlight w:val="none"/>
          <w:lang w:val="en-US" w:eastAsia="zh-CN"/>
        </w:rPr>
        <w:t>招标</w:t>
      </w:r>
      <w:r>
        <w:rPr>
          <w:rFonts w:hint="eastAsia" w:ascii="仿宋" w:hAnsi="仿宋" w:eastAsia="仿宋" w:cs="仿宋"/>
          <w:color w:val="auto"/>
          <w:sz w:val="21"/>
          <w:szCs w:val="21"/>
          <w:highlight w:val="none"/>
        </w:rPr>
        <w:t>采购活动。按</w:t>
      </w:r>
      <w:r>
        <w:rPr>
          <w:rFonts w:hint="eastAsia" w:ascii="仿宋" w:hAnsi="仿宋" w:eastAsia="仿宋" w:cs="仿宋"/>
          <w:color w:val="auto"/>
          <w:sz w:val="21"/>
          <w:szCs w:val="21"/>
          <w:highlight w:val="none"/>
          <w:lang w:val="en-US" w:eastAsia="zh-CN"/>
        </w:rPr>
        <w:t>招标</w:t>
      </w:r>
      <w:r>
        <w:rPr>
          <w:rFonts w:hint="eastAsia" w:ascii="仿宋" w:hAnsi="仿宋" w:eastAsia="仿宋" w:cs="仿宋"/>
          <w:color w:val="auto"/>
          <w:sz w:val="21"/>
          <w:szCs w:val="21"/>
          <w:highlight w:val="none"/>
        </w:rPr>
        <w:t>文件的规定，已通过</w:t>
      </w:r>
      <w:r>
        <w:rPr>
          <w:rFonts w:hint="eastAsia" w:ascii="仿宋" w:hAnsi="仿宋" w:eastAsia="仿宋" w:cs="仿宋"/>
          <w:color w:val="auto"/>
          <w:sz w:val="21"/>
          <w:szCs w:val="21"/>
          <w:highlight w:val="none"/>
          <w:u w:val="single"/>
        </w:rPr>
        <w:t>银行转帐/银行汇款</w:t>
      </w:r>
      <w:r>
        <w:rPr>
          <w:rFonts w:hint="eastAsia" w:ascii="仿宋" w:hAnsi="仿宋" w:eastAsia="仿宋" w:cs="仿宋"/>
          <w:color w:val="auto"/>
          <w:sz w:val="21"/>
          <w:szCs w:val="21"/>
          <w:highlight w:val="none"/>
        </w:rPr>
        <w:t>形式缴纳人民币</w:t>
      </w:r>
      <w:r>
        <w:rPr>
          <w:rFonts w:hint="eastAsia" w:ascii="仿宋" w:hAnsi="仿宋" w:eastAsia="仿宋" w:cs="仿宋"/>
          <w:color w:val="auto"/>
          <w:sz w:val="21"/>
          <w:szCs w:val="21"/>
          <w:highlight w:val="none"/>
          <w:u w:val="single"/>
        </w:rPr>
        <w:t xml:space="preserve">（大写）  　　  </w:t>
      </w:r>
      <w:r>
        <w:rPr>
          <w:rFonts w:hint="eastAsia" w:ascii="仿宋" w:hAnsi="仿宋" w:eastAsia="仿宋" w:cs="仿宋"/>
          <w:color w:val="auto"/>
          <w:sz w:val="21"/>
          <w:szCs w:val="21"/>
          <w:highlight w:val="none"/>
        </w:rPr>
        <w:t>元的保证金。</w:t>
      </w:r>
    </w:p>
    <w:p w14:paraId="3FA3ECE4">
      <w:pPr>
        <w:autoSpaceDE w:val="0"/>
        <w:autoSpaceDN w:val="0"/>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退还保证金时请按以下内容划入我方帐户。若因内容不全、错误、字迹潦草模糊导致该项目保证金未能及时退还或退还过程中发生错误，我方将承担全部责任和损失。</w:t>
      </w:r>
    </w:p>
    <w:p w14:paraId="4474DF00">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名称：</w:t>
      </w:r>
      <w:r>
        <w:rPr>
          <w:rFonts w:hint="eastAsia" w:ascii="仿宋" w:hAnsi="仿宋" w:eastAsia="仿宋" w:cs="仿宋"/>
          <w:i/>
          <w:iCs/>
          <w:color w:val="auto"/>
          <w:sz w:val="21"/>
          <w:szCs w:val="21"/>
          <w:highlight w:val="none"/>
          <w:u w:val="single"/>
        </w:rPr>
        <w:t xml:space="preserve">                                 </w:t>
      </w:r>
      <w:r>
        <w:rPr>
          <w:rFonts w:hint="eastAsia" w:ascii="仿宋" w:hAnsi="仿宋" w:eastAsia="仿宋" w:cs="仿宋"/>
          <w:color w:val="auto"/>
          <w:sz w:val="21"/>
          <w:szCs w:val="21"/>
          <w:highlight w:val="none"/>
        </w:rPr>
        <w:t xml:space="preserve"> </w:t>
      </w:r>
    </w:p>
    <w:p w14:paraId="2B4C1462">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开户银行：</w:t>
      </w:r>
      <w:r>
        <w:rPr>
          <w:rFonts w:hint="eastAsia" w:ascii="仿宋" w:hAnsi="仿宋" w:eastAsia="仿宋" w:cs="仿宋"/>
          <w:color w:val="auto"/>
          <w:sz w:val="21"/>
          <w:szCs w:val="21"/>
          <w:highlight w:val="none"/>
          <w:u w:val="single"/>
        </w:rPr>
        <w:t xml:space="preserve">                             </w:t>
      </w:r>
    </w:p>
    <w:p w14:paraId="262934C1">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开户银行行号：</w:t>
      </w:r>
      <w:r>
        <w:rPr>
          <w:rFonts w:hint="eastAsia" w:ascii="仿宋" w:hAnsi="仿宋" w:eastAsia="仿宋" w:cs="仿宋"/>
          <w:color w:val="auto"/>
          <w:sz w:val="21"/>
          <w:szCs w:val="21"/>
          <w:highlight w:val="none"/>
          <w:u w:val="single"/>
        </w:rPr>
        <w:t xml:space="preserve">                         </w:t>
      </w:r>
    </w:p>
    <w:p w14:paraId="76E831FF">
      <w:pPr>
        <w:spacing w:line="360" w:lineRule="auto"/>
        <w:ind w:firstLine="420" w:firstLineChars="200"/>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银行帐号：</w:t>
      </w:r>
      <w:r>
        <w:rPr>
          <w:rFonts w:hint="eastAsia" w:ascii="仿宋" w:hAnsi="仿宋" w:eastAsia="仿宋" w:cs="仿宋"/>
          <w:color w:val="auto"/>
          <w:sz w:val="21"/>
          <w:szCs w:val="21"/>
          <w:highlight w:val="none"/>
          <w:u w:val="single"/>
        </w:rPr>
        <w:t xml:space="preserve">                             </w:t>
      </w:r>
    </w:p>
    <w:p w14:paraId="3260EDCC">
      <w:pPr>
        <w:adjustRightInd w:val="0"/>
        <w:snapToGrid w:val="0"/>
        <w:spacing w:line="360" w:lineRule="auto"/>
        <w:rPr>
          <w:rFonts w:hint="eastAsia" w:ascii="仿宋" w:hAnsi="仿宋" w:eastAsia="仿宋" w:cs="仿宋"/>
          <w:color w:val="auto"/>
          <w:sz w:val="21"/>
          <w:szCs w:val="21"/>
          <w:highlight w:val="none"/>
        </w:rPr>
      </w:pPr>
    </w:p>
    <w:p w14:paraId="5FDB10D5">
      <w:pPr>
        <w:adjustRightInd w:val="0"/>
        <w:snapToGrid w:val="0"/>
        <w:spacing w:line="360" w:lineRule="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法定代表人（或法定代表人授权代表）签字：</w:t>
      </w:r>
    </w:p>
    <w:p w14:paraId="329CDE9E">
      <w:pPr>
        <w:adjustRightInd w:val="0"/>
        <w:snapToGrid w:val="0"/>
        <w:spacing w:line="360" w:lineRule="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名称（加盖公章）：</w:t>
      </w:r>
    </w:p>
    <w:p w14:paraId="49E3BB46">
      <w:pPr>
        <w:adjustRightInd w:val="0"/>
        <w:snapToGrid w:val="0"/>
        <w:spacing w:line="360" w:lineRule="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日期：   年   月   日</w:t>
      </w:r>
    </w:p>
    <w:p w14:paraId="1DFFB785">
      <w:pPr>
        <w:pStyle w:val="18"/>
        <w:spacing w:line="440" w:lineRule="exact"/>
        <w:jc w:val="both"/>
        <w:rPr>
          <w:rFonts w:hint="eastAsia" w:ascii="仿宋" w:hAnsi="仿宋" w:eastAsia="仿宋" w:cs="仿宋"/>
          <w:bCs/>
          <w:color w:val="auto"/>
          <w:sz w:val="21"/>
          <w:szCs w:val="21"/>
          <w:highlight w:val="none"/>
        </w:rPr>
      </w:pPr>
    </w:p>
    <w:p w14:paraId="2E9D5E91">
      <w:pPr>
        <w:pStyle w:val="18"/>
        <w:spacing w:line="440" w:lineRule="exact"/>
        <w:jc w:val="both"/>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注：为方便代理机构后续退款事宜，请</w:t>
      </w:r>
      <w:r>
        <w:rPr>
          <w:rFonts w:hint="eastAsia" w:ascii="仿宋" w:hAnsi="仿宋" w:eastAsia="仿宋" w:cs="仿宋"/>
          <w:b/>
          <w:color w:val="auto"/>
          <w:sz w:val="21"/>
          <w:szCs w:val="21"/>
          <w:highlight w:val="none"/>
          <w:lang w:val="en-US" w:eastAsia="zh-CN"/>
        </w:rPr>
        <w:t>投标人</w:t>
      </w:r>
      <w:r>
        <w:rPr>
          <w:rFonts w:hint="eastAsia" w:ascii="仿宋" w:hAnsi="仿宋" w:eastAsia="仿宋" w:cs="仿宋"/>
          <w:b/>
          <w:color w:val="auto"/>
          <w:sz w:val="21"/>
          <w:szCs w:val="21"/>
          <w:highlight w:val="none"/>
        </w:rPr>
        <w:t>认真填写此函信息，并后附转帐或汇款的银行凭证复印件。</w:t>
      </w:r>
    </w:p>
    <w:tbl>
      <w:tblPr>
        <w:tblStyle w:val="27"/>
        <w:tblW w:w="9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0"/>
      </w:tblGrid>
      <w:tr w14:paraId="0CEA2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trPr>
        <w:tc>
          <w:tcPr>
            <w:tcW w:w="9220" w:type="dxa"/>
            <w:vAlign w:val="center"/>
          </w:tcPr>
          <w:p w14:paraId="2E20F120">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（粘贴转帐或汇款的银行凭证复印件）</w:t>
            </w:r>
          </w:p>
        </w:tc>
      </w:tr>
    </w:tbl>
    <w:p w14:paraId="08DAF748">
      <w:pPr>
        <w:pStyle w:val="10"/>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textAlignment w:val="auto"/>
        <w:rPr>
          <w:rFonts w:hint="eastAsia" w:ascii="仿宋" w:hAnsi="仿宋" w:eastAsia="仿宋" w:cs="仿宋"/>
          <w:color w:val="auto"/>
          <w:sz w:val="21"/>
          <w:szCs w:val="21"/>
          <w:highlight w:val="none"/>
        </w:rPr>
      </w:pPr>
    </w:p>
    <w:p w14:paraId="3951FC8B">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14:paraId="3215EB3A">
      <w:pPr>
        <w:widowControl w:val="0"/>
        <w:tabs>
          <w:tab w:val="left" w:pos="1325"/>
        </w:tabs>
        <w:spacing w:before="90"/>
        <w:jc w:val="both"/>
        <w:outlineLvl w:val="1"/>
        <w:rPr>
          <w:rFonts w:hint="eastAsia" w:ascii="仿宋" w:hAnsi="仿宋" w:eastAsia="仿宋" w:cs="仿宋"/>
          <w:b w:val="0"/>
          <w:bCs w:val="0"/>
          <w:color w:val="auto"/>
          <w:kern w:val="2"/>
          <w:sz w:val="24"/>
          <w:szCs w:val="24"/>
          <w:highlight w:val="none"/>
          <w:lang w:val="zh-CN" w:eastAsia="zh-CN" w:bidi="zh-CN"/>
        </w:rPr>
      </w:pPr>
      <w:bookmarkStart w:id="80" w:name="_Toc28409"/>
      <w:bookmarkStart w:id="81" w:name="_Toc19434"/>
      <w:bookmarkStart w:id="82" w:name="_Toc17857"/>
      <w:bookmarkStart w:id="83" w:name="_Toc21100"/>
      <w:bookmarkStart w:id="84" w:name="_Toc2994"/>
      <w:bookmarkStart w:id="85" w:name="_Toc8651"/>
      <w:bookmarkStart w:id="86" w:name="_Toc8576"/>
      <w:r>
        <w:rPr>
          <w:rFonts w:hint="eastAsia" w:ascii="仿宋" w:hAnsi="仿宋" w:eastAsia="仿宋" w:cs="仿宋"/>
          <w:b w:val="0"/>
          <w:bCs w:val="0"/>
          <w:color w:val="auto"/>
          <w:kern w:val="2"/>
          <w:sz w:val="24"/>
          <w:szCs w:val="24"/>
          <w:highlight w:val="none"/>
          <w:lang w:val="en-US" w:eastAsia="zh-CN" w:bidi="zh-CN"/>
        </w:rPr>
        <w:t>13   开票信息</w:t>
      </w:r>
      <w:r>
        <w:rPr>
          <w:rFonts w:hint="eastAsia" w:ascii="仿宋" w:hAnsi="仿宋" w:eastAsia="仿宋" w:cs="仿宋"/>
          <w:b w:val="0"/>
          <w:bCs w:val="0"/>
          <w:color w:val="auto"/>
          <w:kern w:val="2"/>
          <w:sz w:val="24"/>
          <w:szCs w:val="24"/>
          <w:highlight w:val="none"/>
          <w:lang w:val="zh-CN" w:eastAsia="zh-CN" w:bidi="zh-CN"/>
        </w:rPr>
        <w:t>（统一格式）</w:t>
      </w:r>
      <w:bookmarkEnd w:id="80"/>
      <w:bookmarkEnd w:id="81"/>
      <w:bookmarkEnd w:id="82"/>
      <w:bookmarkEnd w:id="83"/>
      <w:bookmarkEnd w:id="84"/>
      <w:bookmarkEnd w:id="85"/>
      <w:bookmarkEnd w:id="86"/>
    </w:p>
    <w:p w14:paraId="5CBC7205">
      <w:pPr>
        <w:pStyle w:val="18"/>
        <w:spacing w:line="440" w:lineRule="exact"/>
        <w:ind w:firstLine="480" w:firstLineChars="200"/>
        <w:jc w:val="both"/>
        <w:rPr>
          <w:rFonts w:hint="eastAsia" w:ascii="仿宋" w:hAnsi="仿宋" w:eastAsia="仿宋" w:cs="仿宋"/>
          <w:bCs/>
          <w:color w:val="auto"/>
          <w:sz w:val="24"/>
          <w:highlight w:val="none"/>
        </w:rPr>
      </w:pPr>
    </w:p>
    <w:p w14:paraId="65048717">
      <w:pPr>
        <w:pStyle w:val="18"/>
        <w:spacing w:line="440" w:lineRule="exact"/>
        <w:jc w:val="both"/>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lang w:eastAsia="zh-CN"/>
        </w:rPr>
        <w:t>新疆世纪星工程咨询有限公司</w:t>
      </w:r>
      <w:r>
        <w:rPr>
          <w:rFonts w:hint="eastAsia" w:ascii="仿宋" w:hAnsi="仿宋" w:eastAsia="仿宋" w:cs="仿宋"/>
          <w:bCs/>
          <w:color w:val="auto"/>
          <w:sz w:val="21"/>
          <w:szCs w:val="21"/>
          <w:highlight w:val="none"/>
        </w:rPr>
        <w:t>：</w:t>
      </w:r>
    </w:p>
    <w:p w14:paraId="63C0E8B9">
      <w:pPr>
        <w:pStyle w:val="18"/>
        <w:spacing w:line="440" w:lineRule="exact"/>
        <w:ind w:firstLine="420" w:firstLineChars="200"/>
        <w:jc w:val="both"/>
        <w:rPr>
          <w:rFonts w:hint="eastAsia" w:ascii="仿宋" w:hAnsi="仿宋" w:eastAsia="仿宋" w:cs="仿宋"/>
          <w:color w:val="auto"/>
          <w:sz w:val="21"/>
          <w:szCs w:val="21"/>
          <w:highlight w:val="none"/>
        </w:rPr>
      </w:pPr>
      <w:r>
        <w:rPr>
          <w:rFonts w:hint="eastAsia" w:ascii="仿宋" w:hAnsi="仿宋" w:eastAsia="仿宋" w:cs="仿宋"/>
          <w:bCs/>
          <w:color w:val="auto"/>
          <w:sz w:val="21"/>
          <w:szCs w:val="21"/>
          <w:highlight w:val="none"/>
        </w:rPr>
        <w:t xml:space="preserve">    </w:t>
      </w:r>
      <w:r>
        <w:rPr>
          <w:rFonts w:hint="eastAsia" w:ascii="仿宋" w:hAnsi="仿宋" w:eastAsia="仿宋" w:cs="仿宋"/>
          <w:color w:val="auto"/>
          <w:sz w:val="21"/>
          <w:szCs w:val="21"/>
          <w:highlight w:val="none"/>
        </w:rPr>
        <w:t>本</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eastAsia="zh-CN"/>
        </w:rPr>
        <w:t>投标人</w:t>
      </w:r>
      <w:r>
        <w:rPr>
          <w:rFonts w:hint="eastAsia" w:ascii="仿宋" w:hAnsi="仿宋" w:eastAsia="仿宋" w:cs="仿宋"/>
          <w:color w:val="auto"/>
          <w:sz w:val="21"/>
          <w:szCs w:val="21"/>
          <w:highlight w:val="none"/>
          <w:u w:val="single"/>
        </w:rPr>
        <w:t xml:space="preserve">名称）   </w:t>
      </w:r>
      <w:r>
        <w:rPr>
          <w:rFonts w:hint="eastAsia" w:ascii="仿宋" w:hAnsi="仿宋" w:eastAsia="仿宋" w:cs="仿宋"/>
          <w:color w:val="auto"/>
          <w:sz w:val="21"/>
          <w:szCs w:val="21"/>
          <w:highlight w:val="none"/>
        </w:rPr>
        <w:t>公司在参加在贵司进行的</w:t>
      </w:r>
      <w:r>
        <w:rPr>
          <w:rFonts w:hint="eastAsia" w:ascii="仿宋" w:hAnsi="仿宋" w:eastAsia="仿宋" w:cs="仿宋"/>
          <w:color w:val="auto"/>
          <w:sz w:val="21"/>
          <w:szCs w:val="21"/>
          <w:highlight w:val="none"/>
          <w:u w:val="single"/>
        </w:rPr>
        <w:t xml:space="preserve">  </w:t>
      </w:r>
      <w:r>
        <w:rPr>
          <w:rFonts w:hint="eastAsia" w:ascii="仿宋" w:hAnsi="仿宋" w:eastAsia="仿宋" w:cs="仿宋"/>
          <w:b w:val="0"/>
          <w:bCs w:val="0"/>
          <w:color w:val="auto"/>
          <w:sz w:val="21"/>
          <w:szCs w:val="21"/>
          <w:highlight w:val="none"/>
          <w:u w:val="single"/>
          <w:lang w:val="en-US" w:eastAsia="zh-CN"/>
        </w:rPr>
        <w:t>（项目名称）（项目编号）</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招标，我司缴纳标书费和代理服务费后开具发票的事宜，我司声明如下： </w:t>
      </w:r>
    </w:p>
    <w:p w14:paraId="24A2BFBE">
      <w:pPr>
        <w:pStyle w:val="18"/>
        <w:spacing w:line="440" w:lineRule="exact"/>
        <w:ind w:firstLine="420" w:firstLineChars="200"/>
        <w:jc w:val="both"/>
        <w:rPr>
          <w:rFonts w:hint="eastAsia" w:ascii="仿宋" w:hAnsi="仿宋" w:eastAsia="仿宋" w:cs="仿宋"/>
          <w:color w:val="auto"/>
          <w:sz w:val="21"/>
          <w:szCs w:val="21"/>
          <w:highlight w:val="none"/>
        </w:rPr>
      </w:pPr>
    </w:p>
    <w:tbl>
      <w:tblPr>
        <w:tblStyle w:val="28"/>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0"/>
        <w:gridCol w:w="3576"/>
        <w:gridCol w:w="1791"/>
        <w:gridCol w:w="2105"/>
      </w:tblGrid>
      <w:tr w14:paraId="76246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62" w:type="dxa"/>
            <w:gridSpan w:val="4"/>
            <w:vAlign w:val="center"/>
          </w:tcPr>
          <w:p w14:paraId="7973827B">
            <w:pPr>
              <w:pStyle w:val="18"/>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增值税发票开票信息</w:t>
            </w:r>
          </w:p>
        </w:tc>
      </w:tr>
      <w:tr w14:paraId="0B56D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03540F9A">
            <w:pPr>
              <w:pStyle w:val="18"/>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增值税发票开票种类</w:t>
            </w:r>
          </w:p>
        </w:tc>
        <w:tc>
          <w:tcPr>
            <w:tcW w:w="7472" w:type="dxa"/>
            <w:gridSpan w:val="3"/>
            <w:vAlign w:val="center"/>
          </w:tcPr>
          <w:p w14:paraId="3C26ED27">
            <w:pPr>
              <w:pStyle w:val="18"/>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（请在此处注明增值税专用发票或增值税普通发票）</w:t>
            </w:r>
          </w:p>
        </w:tc>
      </w:tr>
      <w:tr w14:paraId="254A4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0A4F2AAF">
            <w:pPr>
              <w:pStyle w:val="18"/>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单位名称</w:t>
            </w:r>
          </w:p>
        </w:tc>
        <w:tc>
          <w:tcPr>
            <w:tcW w:w="7472" w:type="dxa"/>
            <w:gridSpan w:val="3"/>
            <w:vAlign w:val="center"/>
          </w:tcPr>
          <w:p w14:paraId="29D6792B">
            <w:pPr>
              <w:pStyle w:val="18"/>
              <w:spacing w:line="440" w:lineRule="exact"/>
              <w:jc w:val="center"/>
              <w:rPr>
                <w:rFonts w:hint="eastAsia" w:ascii="仿宋" w:hAnsi="仿宋" w:eastAsia="仿宋" w:cs="仿宋"/>
                <w:bCs/>
                <w:color w:val="auto"/>
                <w:sz w:val="21"/>
                <w:szCs w:val="21"/>
                <w:highlight w:val="none"/>
              </w:rPr>
            </w:pPr>
          </w:p>
        </w:tc>
      </w:tr>
      <w:tr w14:paraId="0FF3E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4CF577FC">
            <w:pPr>
              <w:pStyle w:val="18"/>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单位地址</w:t>
            </w:r>
          </w:p>
        </w:tc>
        <w:tc>
          <w:tcPr>
            <w:tcW w:w="7472" w:type="dxa"/>
            <w:gridSpan w:val="3"/>
            <w:vAlign w:val="center"/>
          </w:tcPr>
          <w:p w14:paraId="2615EC86">
            <w:pPr>
              <w:pStyle w:val="18"/>
              <w:spacing w:line="440" w:lineRule="exact"/>
              <w:jc w:val="center"/>
              <w:rPr>
                <w:rFonts w:hint="eastAsia" w:ascii="仿宋" w:hAnsi="仿宋" w:eastAsia="仿宋" w:cs="仿宋"/>
                <w:bCs/>
                <w:color w:val="auto"/>
                <w:sz w:val="21"/>
                <w:szCs w:val="21"/>
                <w:highlight w:val="none"/>
              </w:rPr>
            </w:pPr>
          </w:p>
        </w:tc>
      </w:tr>
      <w:tr w14:paraId="2B24D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698920E8">
            <w:pPr>
              <w:pStyle w:val="18"/>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纳税人识别号</w:t>
            </w:r>
          </w:p>
        </w:tc>
        <w:tc>
          <w:tcPr>
            <w:tcW w:w="3576" w:type="dxa"/>
            <w:vAlign w:val="center"/>
          </w:tcPr>
          <w:p w14:paraId="67841357">
            <w:pPr>
              <w:pStyle w:val="18"/>
              <w:spacing w:line="440" w:lineRule="exact"/>
              <w:jc w:val="center"/>
              <w:rPr>
                <w:rFonts w:hint="eastAsia" w:ascii="仿宋" w:hAnsi="仿宋" w:eastAsia="仿宋" w:cs="仿宋"/>
                <w:bCs/>
                <w:color w:val="auto"/>
                <w:sz w:val="21"/>
                <w:szCs w:val="21"/>
                <w:highlight w:val="none"/>
              </w:rPr>
            </w:pPr>
          </w:p>
        </w:tc>
        <w:tc>
          <w:tcPr>
            <w:tcW w:w="1791" w:type="dxa"/>
            <w:vAlign w:val="center"/>
          </w:tcPr>
          <w:p w14:paraId="56EF2767">
            <w:pPr>
              <w:pStyle w:val="18"/>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固定电话</w:t>
            </w:r>
          </w:p>
        </w:tc>
        <w:tc>
          <w:tcPr>
            <w:tcW w:w="2105" w:type="dxa"/>
            <w:vAlign w:val="center"/>
          </w:tcPr>
          <w:p w14:paraId="0E30AD55">
            <w:pPr>
              <w:pStyle w:val="18"/>
              <w:spacing w:line="440" w:lineRule="exact"/>
              <w:jc w:val="center"/>
              <w:rPr>
                <w:rFonts w:hint="eastAsia" w:ascii="仿宋" w:hAnsi="仿宋" w:eastAsia="仿宋" w:cs="仿宋"/>
                <w:bCs/>
                <w:color w:val="auto"/>
                <w:sz w:val="21"/>
                <w:szCs w:val="21"/>
                <w:highlight w:val="none"/>
              </w:rPr>
            </w:pPr>
          </w:p>
        </w:tc>
      </w:tr>
      <w:tr w14:paraId="0471B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4E5DBAA0">
            <w:pPr>
              <w:pStyle w:val="18"/>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开户银行名称</w:t>
            </w:r>
          </w:p>
        </w:tc>
        <w:tc>
          <w:tcPr>
            <w:tcW w:w="3576" w:type="dxa"/>
            <w:vAlign w:val="center"/>
          </w:tcPr>
          <w:p w14:paraId="33544554">
            <w:pPr>
              <w:pStyle w:val="18"/>
              <w:spacing w:line="440" w:lineRule="exact"/>
              <w:jc w:val="center"/>
              <w:rPr>
                <w:rFonts w:hint="eastAsia" w:ascii="仿宋" w:hAnsi="仿宋" w:eastAsia="仿宋" w:cs="仿宋"/>
                <w:bCs/>
                <w:color w:val="auto"/>
                <w:sz w:val="21"/>
                <w:szCs w:val="21"/>
                <w:highlight w:val="none"/>
              </w:rPr>
            </w:pPr>
          </w:p>
        </w:tc>
        <w:tc>
          <w:tcPr>
            <w:tcW w:w="1791" w:type="dxa"/>
            <w:vAlign w:val="center"/>
          </w:tcPr>
          <w:p w14:paraId="188AA08A">
            <w:pPr>
              <w:pStyle w:val="18"/>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联系人姓名</w:t>
            </w:r>
          </w:p>
        </w:tc>
        <w:tc>
          <w:tcPr>
            <w:tcW w:w="2105" w:type="dxa"/>
            <w:vAlign w:val="center"/>
          </w:tcPr>
          <w:p w14:paraId="3D0516EB">
            <w:pPr>
              <w:pStyle w:val="18"/>
              <w:spacing w:line="440" w:lineRule="exact"/>
              <w:jc w:val="center"/>
              <w:rPr>
                <w:rFonts w:hint="eastAsia" w:ascii="仿宋" w:hAnsi="仿宋" w:eastAsia="仿宋" w:cs="仿宋"/>
                <w:bCs/>
                <w:color w:val="auto"/>
                <w:sz w:val="21"/>
                <w:szCs w:val="21"/>
                <w:highlight w:val="none"/>
              </w:rPr>
            </w:pPr>
          </w:p>
        </w:tc>
      </w:tr>
      <w:tr w14:paraId="20C14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13DE5E38">
            <w:pPr>
              <w:pStyle w:val="18"/>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开户银行账号</w:t>
            </w:r>
          </w:p>
        </w:tc>
        <w:tc>
          <w:tcPr>
            <w:tcW w:w="3576" w:type="dxa"/>
            <w:vAlign w:val="center"/>
          </w:tcPr>
          <w:p w14:paraId="5881B4F1">
            <w:pPr>
              <w:pStyle w:val="18"/>
              <w:spacing w:line="440" w:lineRule="exact"/>
              <w:jc w:val="center"/>
              <w:rPr>
                <w:rFonts w:hint="eastAsia" w:ascii="仿宋" w:hAnsi="仿宋" w:eastAsia="仿宋" w:cs="仿宋"/>
                <w:bCs/>
                <w:color w:val="auto"/>
                <w:sz w:val="21"/>
                <w:szCs w:val="21"/>
                <w:highlight w:val="none"/>
              </w:rPr>
            </w:pPr>
          </w:p>
        </w:tc>
        <w:tc>
          <w:tcPr>
            <w:tcW w:w="1791" w:type="dxa"/>
            <w:vAlign w:val="center"/>
          </w:tcPr>
          <w:p w14:paraId="515BD4B2">
            <w:pPr>
              <w:pStyle w:val="18"/>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联系人电话</w:t>
            </w:r>
          </w:p>
        </w:tc>
        <w:tc>
          <w:tcPr>
            <w:tcW w:w="2105" w:type="dxa"/>
            <w:vAlign w:val="center"/>
          </w:tcPr>
          <w:p w14:paraId="66CE8076">
            <w:pPr>
              <w:pStyle w:val="18"/>
              <w:spacing w:line="440" w:lineRule="exact"/>
              <w:jc w:val="center"/>
              <w:rPr>
                <w:rFonts w:hint="eastAsia" w:ascii="仿宋" w:hAnsi="仿宋" w:eastAsia="仿宋" w:cs="仿宋"/>
                <w:bCs/>
                <w:color w:val="auto"/>
                <w:sz w:val="21"/>
                <w:szCs w:val="21"/>
                <w:highlight w:val="none"/>
              </w:rPr>
            </w:pPr>
          </w:p>
        </w:tc>
      </w:tr>
      <w:tr w14:paraId="0CA39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1C86F847">
            <w:pPr>
              <w:pStyle w:val="18"/>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电子发票收件</w:t>
            </w:r>
          </w:p>
          <w:p w14:paraId="1DAEFED0">
            <w:pPr>
              <w:pStyle w:val="18"/>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电子邮箱</w:t>
            </w:r>
          </w:p>
        </w:tc>
        <w:tc>
          <w:tcPr>
            <w:tcW w:w="7472" w:type="dxa"/>
            <w:gridSpan w:val="3"/>
            <w:vAlign w:val="center"/>
          </w:tcPr>
          <w:p w14:paraId="161158EF">
            <w:pPr>
              <w:pStyle w:val="18"/>
              <w:spacing w:line="440" w:lineRule="exact"/>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Email:</w:t>
            </w:r>
          </w:p>
        </w:tc>
      </w:tr>
      <w:tr w14:paraId="50F57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2490" w:type="dxa"/>
            <w:vAlign w:val="center"/>
          </w:tcPr>
          <w:p w14:paraId="0142EE9D">
            <w:pPr>
              <w:pStyle w:val="18"/>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发票邮寄地址：</w:t>
            </w:r>
          </w:p>
        </w:tc>
        <w:tc>
          <w:tcPr>
            <w:tcW w:w="7472" w:type="dxa"/>
            <w:gridSpan w:val="3"/>
            <w:vAlign w:val="center"/>
          </w:tcPr>
          <w:p w14:paraId="2CC2504A">
            <w:pPr>
              <w:pStyle w:val="18"/>
              <w:spacing w:line="440" w:lineRule="exact"/>
              <w:jc w:val="both"/>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地址：</w:t>
            </w:r>
          </w:p>
          <w:p w14:paraId="17C93DB7">
            <w:pPr>
              <w:pStyle w:val="18"/>
              <w:spacing w:line="440" w:lineRule="exact"/>
              <w:jc w:val="both"/>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收件人：                电话：</w:t>
            </w:r>
          </w:p>
        </w:tc>
      </w:tr>
    </w:tbl>
    <w:p w14:paraId="1D57A8C9">
      <w:pPr>
        <w:pStyle w:val="18"/>
        <w:spacing w:line="440" w:lineRule="exact"/>
        <w:jc w:val="both"/>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 xml:space="preserve">    我公司提供的上述开票信息准确无误，如果因我公司提供上述信息错误，导致发票无效的，将由我公司承担相应后果。</w:t>
      </w:r>
    </w:p>
    <w:p w14:paraId="149CD1F5">
      <w:pPr>
        <w:pStyle w:val="18"/>
        <w:spacing w:line="440" w:lineRule="exact"/>
        <w:jc w:val="both"/>
        <w:rPr>
          <w:rFonts w:hint="eastAsia" w:ascii="仿宋" w:hAnsi="仿宋" w:eastAsia="仿宋" w:cs="仿宋"/>
          <w:bCs/>
          <w:color w:val="auto"/>
          <w:sz w:val="21"/>
          <w:szCs w:val="21"/>
          <w:highlight w:val="none"/>
        </w:rPr>
      </w:pPr>
    </w:p>
    <w:p w14:paraId="4641F5D0">
      <w:pPr>
        <w:pStyle w:val="18"/>
        <w:spacing w:line="440" w:lineRule="exact"/>
        <w:ind w:firstLine="420" w:firstLineChars="200"/>
        <w:jc w:val="both"/>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注：</w:t>
      </w:r>
      <w:r>
        <w:rPr>
          <w:rFonts w:hint="eastAsia" w:ascii="仿宋" w:hAnsi="仿宋" w:eastAsia="仿宋" w:cs="仿宋"/>
          <w:bCs/>
          <w:color w:val="auto"/>
          <w:sz w:val="21"/>
          <w:szCs w:val="21"/>
          <w:highlight w:val="none"/>
          <w:lang w:eastAsia="zh-CN"/>
        </w:rPr>
        <w:t>投标人</w:t>
      </w:r>
      <w:r>
        <w:rPr>
          <w:rFonts w:hint="eastAsia" w:ascii="仿宋" w:hAnsi="仿宋" w:eastAsia="仿宋" w:cs="仿宋"/>
          <w:bCs/>
          <w:color w:val="auto"/>
          <w:sz w:val="21"/>
          <w:szCs w:val="21"/>
          <w:highlight w:val="none"/>
        </w:rPr>
        <w:t>需要采购代理机构开具增值税发票的，请在上表中填写相关信息，</w:t>
      </w:r>
      <w:r>
        <w:rPr>
          <w:rFonts w:hint="eastAsia" w:ascii="仿宋" w:hAnsi="仿宋" w:eastAsia="仿宋" w:cs="仿宋"/>
          <w:b/>
          <w:color w:val="auto"/>
          <w:sz w:val="21"/>
          <w:szCs w:val="21"/>
          <w:highlight w:val="none"/>
        </w:rPr>
        <w:t>如</w:t>
      </w:r>
      <w:r>
        <w:rPr>
          <w:rFonts w:hint="eastAsia" w:ascii="仿宋" w:hAnsi="仿宋" w:eastAsia="仿宋" w:cs="仿宋"/>
          <w:b/>
          <w:color w:val="auto"/>
          <w:sz w:val="21"/>
          <w:szCs w:val="21"/>
          <w:highlight w:val="none"/>
          <w:lang w:eastAsia="zh-CN"/>
        </w:rPr>
        <w:t>投标人</w:t>
      </w:r>
      <w:r>
        <w:rPr>
          <w:rFonts w:hint="eastAsia" w:ascii="仿宋" w:hAnsi="仿宋" w:eastAsia="仿宋" w:cs="仿宋"/>
          <w:b/>
          <w:color w:val="auto"/>
          <w:sz w:val="21"/>
          <w:szCs w:val="21"/>
          <w:highlight w:val="none"/>
        </w:rPr>
        <w:t>需要开具增值税专用发票的须附</w:t>
      </w:r>
      <w:r>
        <w:rPr>
          <w:rFonts w:hint="eastAsia" w:ascii="仿宋" w:hAnsi="仿宋" w:eastAsia="仿宋" w:cs="仿宋"/>
          <w:b/>
          <w:color w:val="auto"/>
          <w:sz w:val="21"/>
          <w:szCs w:val="21"/>
          <w:highlight w:val="none"/>
          <w:lang w:eastAsia="zh-CN"/>
        </w:rPr>
        <w:t>投标人</w:t>
      </w:r>
      <w:r>
        <w:rPr>
          <w:rFonts w:hint="eastAsia" w:ascii="仿宋" w:hAnsi="仿宋" w:eastAsia="仿宋" w:cs="仿宋"/>
          <w:b/>
          <w:color w:val="auto"/>
          <w:sz w:val="21"/>
          <w:szCs w:val="21"/>
          <w:highlight w:val="none"/>
        </w:rPr>
        <w:t>开户许可证、一般纳税人认定文件的清晰复印件加盖公章，以及开票信息（见上表）。</w:t>
      </w:r>
      <w:r>
        <w:rPr>
          <w:rFonts w:hint="eastAsia" w:ascii="仿宋" w:hAnsi="仿宋" w:eastAsia="仿宋" w:cs="仿宋"/>
          <w:bCs/>
          <w:color w:val="auto"/>
          <w:sz w:val="21"/>
          <w:szCs w:val="21"/>
          <w:highlight w:val="none"/>
        </w:rPr>
        <w:t>如</w:t>
      </w:r>
      <w:r>
        <w:rPr>
          <w:rFonts w:hint="eastAsia" w:ascii="仿宋" w:hAnsi="仿宋" w:eastAsia="仿宋" w:cs="仿宋"/>
          <w:bCs/>
          <w:color w:val="auto"/>
          <w:sz w:val="21"/>
          <w:szCs w:val="21"/>
          <w:highlight w:val="none"/>
          <w:lang w:eastAsia="zh-CN"/>
        </w:rPr>
        <w:t>投标人</w:t>
      </w:r>
      <w:r>
        <w:rPr>
          <w:rFonts w:hint="eastAsia" w:ascii="仿宋" w:hAnsi="仿宋" w:eastAsia="仿宋" w:cs="仿宋"/>
          <w:bCs/>
          <w:color w:val="auto"/>
          <w:sz w:val="21"/>
          <w:szCs w:val="21"/>
          <w:highlight w:val="none"/>
        </w:rPr>
        <w:t>在开票信息中未注明开具</w:t>
      </w:r>
      <w:r>
        <w:rPr>
          <w:rFonts w:hint="eastAsia" w:ascii="仿宋" w:hAnsi="仿宋" w:eastAsia="仿宋" w:cs="仿宋"/>
          <w:b/>
          <w:color w:val="auto"/>
          <w:sz w:val="21"/>
          <w:szCs w:val="21"/>
          <w:highlight w:val="none"/>
        </w:rPr>
        <w:t>增值税专用发票</w:t>
      </w:r>
      <w:r>
        <w:rPr>
          <w:rFonts w:hint="eastAsia" w:ascii="仿宋" w:hAnsi="仿宋" w:eastAsia="仿宋" w:cs="仿宋"/>
          <w:bCs/>
          <w:color w:val="auto"/>
          <w:sz w:val="21"/>
          <w:szCs w:val="21"/>
          <w:highlight w:val="none"/>
        </w:rPr>
        <w:t>且未提供上述材料，代理机构将默认开具增值税普通发票。</w:t>
      </w:r>
    </w:p>
    <w:p w14:paraId="28E62504">
      <w:pPr>
        <w:pStyle w:val="18"/>
        <w:spacing w:line="440" w:lineRule="exact"/>
        <w:jc w:val="both"/>
        <w:rPr>
          <w:rFonts w:hint="eastAsia" w:ascii="仿宋" w:hAnsi="仿宋" w:eastAsia="仿宋" w:cs="仿宋"/>
          <w:bCs/>
          <w:color w:val="auto"/>
          <w:sz w:val="21"/>
          <w:szCs w:val="21"/>
          <w:highlight w:val="none"/>
        </w:rPr>
      </w:pPr>
    </w:p>
    <w:p w14:paraId="2CF566B8">
      <w:pPr>
        <w:adjustRightInd w:val="0"/>
        <w:snapToGrid w:val="0"/>
        <w:spacing w:line="440" w:lineRule="exact"/>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法定代表人（或法定代表人授权代表）签字：</w:t>
      </w:r>
    </w:p>
    <w:p w14:paraId="399E4073">
      <w:pPr>
        <w:adjustRightInd w:val="0"/>
        <w:snapToGrid w:val="0"/>
        <w:spacing w:line="440" w:lineRule="exact"/>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名称（加盖公章）：</w:t>
      </w:r>
    </w:p>
    <w:p w14:paraId="7028B26E">
      <w:pPr>
        <w:pStyle w:val="18"/>
        <w:spacing w:line="440" w:lineRule="exact"/>
        <w:jc w:val="both"/>
        <w:rPr>
          <w:rFonts w:hint="eastAsia" w:ascii="仿宋" w:hAnsi="仿宋" w:eastAsia="仿宋" w:cs="仿宋"/>
          <w:b/>
          <w:bCs/>
          <w:color w:val="auto"/>
          <w:sz w:val="21"/>
          <w:szCs w:val="21"/>
          <w:highlight w:val="none"/>
          <w:lang w:bidi="ar"/>
        </w:rPr>
      </w:pPr>
      <w:r>
        <w:rPr>
          <w:rFonts w:hint="eastAsia" w:ascii="仿宋" w:hAnsi="仿宋" w:eastAsia="仿宋" w:cs="仿宋"/>
          <w:color w:val="auto"/>
          <w:sz w:val="21"/>
          <w:szCs w:val="21"/>
          <w:highlight w:val="none"/>
        </w:rPr>
        <w:t>日期：   年   月   日</w:t>
      </w:r>
    </w:p>
    <w:p w14:paraId="79172862">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lang w:val="en-US" w:eastAsia="zh-CN" w:bidi="ar"/>
        </w:rPr>
      </w:pPr>
    </w:p>
    <w:sectPr>
      <w:headerReference r:id="rId4" w:type="default"/>
      <w:footerReference r:id="rId5"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C229DA6E-93B8-4700-8149-DDCE834DBA9C}"/>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7760488A-9C5B-42AF-8CBB-C9FF48422711}"/>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TimesNewRomanPSMT">
    <w:altName w:val="Times New Roman"/>
    <w:panose1 w:val="00000000000000000000"/>
    <w:charset w:val="00"/>
    <w:family w:val="roman"/>
    <w:pitch w:val="default"/>
    <w:sig w:usb0="00000000" w:usb1="00000000" w:usb2="00000000" w:usb3="00000000" w:csb0="00000001" w:csb1="00000000"/>
  </w:font>
  <w:font w:name="Times">
    <w:altName w:val="Times New Roman"/>
    <w:panose1 w:val="02020603050405020304"/>
    <w:charset w:val="00"/>
    <w:family w:val="roman"/>
    <w:pitch w:val="default"/>
    <w:sig w:usb0="00000000" w:usb1="00000000" w:usb2="00000009" w:usb3="00000000" w:csb0="000001FF" w:csb1="00000000"/>
  </w:font>
  <w:font w:name="仿宋_GB2312">
    <w:panose1 w:val="02010609030101010101"/>
    <w:charset w:val="86"/>
    <w:family w:val="auto"/>
    <w:pitch w:val="default"/>
    <w:sig w:usb0="00000001" w:usb1="080E0000" w:usb2="00000000" w:usb3="00000000" w:csb0="00040000" w:csb1="00000000"/>
    <w:embedRegular r:id="rId3" w:fontKey="{59AF8F04-E0C4-48BA-A4D1-C3BFD1E813C5}"/>
  </w:font>
  <w:font w:name="微软雅黑">
    <w:panose1 w:val="020B0503020204020204"/>
    <w:charset w:val="86"/>
    <w:family w:val="auto"/>
    <w:pitch w:val="default"/>
    <w:sig w:usb0="80000287" w:usb1="2ACF3C50" w:usb2="00000016" w:usb3="00000000" w:csb0="0004001F" w:csb1="00000000"/>
    <w:embedRegular r:id="rId4" w:fontKey="{FFC19509-6E0D-4BB7-8E78-54C4ABB0331B}"/>
  </w:font>
  <w:font w:name="Microsoft JhengHei UI">
    <w:panose1 w:val="020B0604030504040204"/>
    <w:charset w:val="88"/>
    <w:family w:val="auto"/>
    <w:pitch w:val="default"/>
    <w:sig w:usb0="000002A7" w:usb1="28CF4400" w:usb2="00000016" w:usb3="00000000" w:csb0="00100009" w:csb1="00000000"/>
    <w:embedRegular r:id="rId5" w:fontKey="{2A6FB13F-FD7A-4B45-82F9-B01E6FB086B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F27508">
    <w:pPr>
      <w:pStyle w:val="18"/>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A4D924">
                          <w:pPr>
                            <w:pStyle w:val="1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8A4D924">
                    <w:pPr>
                      <w:pStyle w:val="18"/>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276F22">
    <w:pPr>
      <w:pStyle w:val="19"/>
      <w:pBdr>
        <w:bottom w:val="none" w:color="auto" w:sz="0" w:space="1"/>
      </w:pBdr>
      <w:ind w:firstLine="840" w:firstLineChars="300"/>
      <w:rPr>
        <w:rFonts w:hint="eastAsia"/>
      </w:rPr>
    </w:pPr>
    <w:r>
      <w:rPr>
        <w:rFonts w:hint="eastAsia" w:ascii="仿宋_GB2312" w:hAnsi="仿宋_GB2312" w:eastAsia="仿宋_GB2312" w:cs="仿宋_GB2312"/>
        <w:sz w:val="28"/>
        <w:szCs w:val="28"/>
        <w:lang w:eastAsia="zh-CN"/>
      </w:rPr>
      <w:drawing>
        <wp:anchor distT="0" distB="0" distL="114300" distR="114300" simplePos="0" relativeHeight="251659264" behindDoc="1" locked="0" layoutInCell="1" allowOverlap="1">
          <wp:simplePos x="0" y="0"/>
          <wp:positionH relativeFrom="column">
            <wp:posOffset>54610</wp:posOffset>
          </wp:positionH>
          <wp:positionV relativeFrom="paragraph">
            <wp:posOffset>-11430</wp:posOffset>
          </wp:positionV>
          <wp:extent cx="427355" cy="413385"/>
          <wp:effectExtent l="0" t="0" r="10795" b="5715"/>
          <wp:wrapTight wrapText="bothSides">
            <wp:wrapPolygon>
              <wp:start x="0" y="0"/>
              <wp:lineTo x="0" y="20903"/>
              <wp:lineTo x="20894" y="20903"/>
              <wp:lineTo x="20894" y="0"/>
              <wp:lineTo x="0" y="0"/>
            </wp:wrapPolygon>
          </wp:wrapTight>
          <wp:docPr id="1" name="图片 1" descr="1680841359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680841359666"/>
                  <pic:cNvPicPr>
                    <a:picLocks noChangeAspect="1"/>
                  </pic:cNvPicPr>
                </pic:nvPicPr>
                <pic:blipFill>
                  <a:blip r:embed="rId1"/>
                  <a:stretch>
                    <a:fillRect/>
                  </a:stretch>
                </pic:blipFill>
                <pic:spPr>
                  <a:xfrm>
                    <a:off x="0" y="0"/>
                    <a:ext cx="427355" cy="413385"/>
                  </a:xfrm>
                  <a:prstGeom prst="rect">
                    <a:avLst/>
                  </a:prstGeom>
                </pic:spPr>
              </pic:pic>
            </a:graphicData>
          </a:graphic>
        </wp:anchor>
      </w:drawing>
    </w:r>
    <w:r>
      <w:rPr>
        <w:rFonts w:hint="eastAsia" w:ascii="仿宋_GB2312" w:hAnsi="仿宋_GB2312" w:eastAsia="仿宋_GB2312" w:cs="仿宋_GB2312"/>
        <w:sz w:val="28"/>
        <w:szCs w:val="28"/>
      </w:rPr>
      <w:t xml:space="preserve">新疆世纪星工程咨询有限公司  </w:t>
    </w:r>
    <w:r>
      <w:rPr>
        <w:rFonts w:hint="eastAsia" w:ascii="仿宋_GB2312" w:hAnsi="仿宋_GB2312" w:eastAsia="仿宋_GB2312" w:cs="仿宋_GB2312"/>
        <w:sz w:val="21"/>
        <w:szCs w:val="21"/>
      </w:rPr>
      <w:t>新疆乌鲁木齐市黄山街德港大厦20层</w:t>
    </w:r>
  </w:p>
  <w:p w14:paraId="5315D602">
    <w:pPr>
      <w:pStyle w:val="19"/>
      <w:pBdr>
        <w:bottom w:val="single" w:color="auto" w:sz="4" w:space="1"/>
      </w:pBdr>
      <w:ind w:firstLine="1040" w:firstLineChars="800"/>
    </w:pPr>
    <w:r>
      <w:rPr>
        <w:rFonts w:hint="eastAsia" w:ascii="Microsoft JhengHei UI" w:hAnsi="Microsoft JhengHei UI" w:eastAsia="Microsoft JhengHei UI" w:cs="Microsoft JhengHei UI"/>
        <w:sz w:val="13"/>
        <w:szCs w:val="20"/>
      </w:rPr>
      <w:t>Xinjiang Century Star Engineering Consulting Co., Ltd.</w:t>
    </w:r>
    <w:r>
      <w:rPr>
        <w:rFonts w:hint="eastAsia"/>
      </w:rPr>
      <w:t xml:space="preserve">     TEL：0991-3678303</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46DCB">
    <w:pPr>
      <w:spacing w:before="85" w:line="218" w:lineRule="auto"/>
      <w:ind w:left="869"/>
      <w:rPr>
        <w:rFonts w:ascii="仿宋" w:hAnsi="仿宋" w:eastAsia="仿宋" w:cs="仿宋"/>
        <w:sz w:val="28"/>
        <w:szCs w:val="28"/>
      </w:rPr>
    </w:pPr>
    <w:r>
      <w:drawing>
        <wp:anchor distT="0" distB="0" distL="0" distR="0" simplePos="0" relativeHeight="251668480" behindDoc="0" locked="0" layoutInCell="0" allowOverlap="1">
          <wp:simplePos x="0" y="0"/>
          <wp:positionH relativeFrom="page">
            <wp:posOffset>1142365</wp:posOffset>
          </wp:positionH>
          <wp:positionV relativeFrom="page">
            <wp:posOffset>956945</wp:posOffset>
          </wp:positionV>
          <wp:extent cx="5274310" cy="6350"/>
          <wp:effectExtent l="0" t="0" r="0" b="0"/>
          <wp:wrapNone/>
          <wp:docPr id="124" name="IM 124"/>
          <wp:cNvGraphicFramePr/>
          <a:graphic xmlns:a="http://schemas.openxmlformats.org/drawingml/2006/main">
            <a:graphicData uri="http://schemas.openxmlformats.org/drawingml/2006/picture">
              <pic:pic xmlns:pic="http://schemas.openxmlformats.org/drawingml/2006/picture">
                <pic:nvPicPr>
                  <pic:cNvPr id="124" name="IM 124"/>
                  <pic:cNvPicPr/>
                </pic:nvPicPr>
                <pic:blipFill>
                  <a:blip r:embed="rId1"/>
                  <a:stretch>
                    <a:fillRect/>
                  </a:stretch>
                </pic:blipFill>
                <pic:spPr>
                  <a:xfrm>
                    <a:off x="0" y="0"/>
                    <a:ext cx="5274224" cy="6350"/>
                  </a:xfrm>
                  <a:prstGeom prst="rect">
                    <a:avLst/>
                  </a:prstGeom>
                </pic:spPr>
              </pic:pic>
            </a:graphicData>
          </a:graphic>
        </wp:anchor>
      </w:drawing>
    </w:r>
    <w:r>
      <mc:AlternateContent>
        <mc:Choice Requires="wps">
          <w:drawing>
            <wp:anchor distT="0" distB="0" distL="114300" distR="114300" simplePos="0" relativeHeight="251666432" behindDoc="0" locked="0" layoutInCell="1" allowOverlap="1">
              <wp:simplePos x="0" y="0"/>
              <wp:positionH relativeFrom="column">
                <wp:posOffset>3025140</wp:posOffset>
              </wp:positionH>
              <wp:positionV relativeFrom="paragraph">
                <wp:posOffset>80645</wp:posOffset>
              </wp:positionV>
              <wp:extent cx="2219325" cy="364490"/>
              <wp:effectExtent l="0" t="0" r="0" b="0"/>
              <wp:wrapNone/>
              <wp:docPr id="7" name="文本框 7"/>
              <wp:cNvGraphicFramePr/>
              <a:graphic xmlns:a="http://schemas.openxmlformats.org/drawingml/2006/main">
                <a:graphicData uri="http://schemas.microsoft.com/office/word/2010/wordprocessingShape">
                  <wps:wsp>
                    <wps:cNvSpPr txBox="1"/>
                    <wps:spPr>
                      <a:xfrm>
                        <a:off x="0" y="0"/>
                        <a:ext cx="2219325" cy="364490"/>
                      </a:xfrm>
                      <a:prstGeom prst="rect">
                        <a:avLst/>
                      </a:prstGeom>
                      <a:noFill/>
                      <a:ln>
                        <a:noFill/>
                      </a:ln>
                    </wps:spPr>
                    <wps:txbx>
                      <w:txbxContent>
                        <w:p w14:paraId="28805950">
                          <w:pPr>
                            <w:spacing w:before="20" w:line="276" w:lineRule="auto"/>
                            <w:ind w:left="248" w:right="20" w:hanging="229"/>
                            <w:rPr>
                              <w:rFonts w:ascii="宋体" w:hAnsi="宋体" w:eastAsia="宋体" w:cs="宋体"/>
                              <w:sz w:val="17"/>
                              <w:szCs w:val="17"/>
                            </w:rPr>
                          </w:pPr>
                          <w:r>
                            <w:rPr>
                              <w:rFonts w:ascii="仿宋" w:hAnsi="仿宋" w:eastAsia="仿宋" w:cs="仿宋"/>
                              <w:spacing w:val="6"/>
                              <w:sz w:val="20"/>
                              <w:szCs w:val="20"/>
                            </w:rPr>
                            <w:t>新疆乌鲁木齐市黄山街德港大厦</w:t>
                          </w:r>
                          <w:r>
                            <w:rPr>
                              <w:rFonts w:ascii="仿宋" w:hAnsi="仿宋" w:eastAsia="仿宋" w:cs="仿宋"/>
                              <w:spacing w:val="-19"/>
                              <w:sz w:val="20"/>
                              <w:szCs w:val="20"/>
                            </w:rPr>
                            <w:t xml:space="preserve"> </w:t>
                          </w:r>
                          <w:r>
                            <w:rPr>
                              <w:rFonts w:ascii="仿宋" w:hAnsi="仿宋" w:eastAsia="仿宋" w:cs="仿宋"/>
                              <w:spacing w:val="6"/>
                              <w:sz w:val="20"/>
                              <w:szCs w:val="20"/>
                            </w:rPr>
                            <w:t>20</w:t>
                          </w:r>
                          <w:r>
                            <w:rPr>
                              <w:rFonts w:ascii="仿宋" w:hAnsi="仿宋" w:eastAsia="仿宋" w:cs="仿宋"/>
                              <w:spacing w:val="-30"/>
                              <w:sz w:val="20"/>
                              <w:szCs w:val="20"/>
                            </w:rPr>
                            <w:t xml:space="preserve"> </w:t>
                          </w:r>
                          <w:r>
                            <w:rPr>
                              <w:rFonts w:ascii="仿宋" w:hAnsi="仿宋" w:eastAsia="仿宋" w:cs="仿宋"/>
                              <w:spacing w:val="6"/>
                              <w:sz w:val="20"/>
                              <w:szCs w:val="20"/>
                            </w:rPr>
                            <w:t>层</w:t>
                          </w:r>
                          <w:r>
                            <w:rPr>
                              <w:rFonts w:ascii="仿宋" w:hAnsi="仿宋" w:eastAsia="仿宋" w:cs="仿宋"/>
                              <w:sz w:val="20"/>
                              <w:szCs w:val="20"/>
                            </w:rPr>
                            <w:t xml:space="preserve"> </w:t>
                          </w:r>
                          <w:r>
                            <w:rPr>
                              <w:rFonts w:ascii="宋体" w:hAnsi="宋体" w:eastAsia="宋体" w:cs="宋体"/>
                              <w:sz w:val="17"/>
                              <w:szCs w:val="17"/>
                            </w:rPr>
                            <w:t>TEL</w:t>
                          </w:r>
                          <w:r>
                            <w:rPr>
                              <w:rFonts w:ascii="宋体" w:hAnsi="宋体" w:eastAsia="宋体" w:cs="宋体"/>
                              <w:spacing w:val="3"/>
                              <w:sz w:val="17"/>
                              <w:szCs w:val="17"/>
                            </w:rPr>
                            <w:t>：0991-3678303</w:t>
                          </w:r>
                        </w:p>
                      </w:txbxContent>
                    </wps:txbx>
                    <wps:bodyPr lIns="0" tIns="0" rIns="0" bIns="0" upright="1"/>
                  </wps:wsp>
                </a:graphicData>
              </a:graphic>
            </wp:anchor>
          </w:drawing>
        </mc:Choice>
        <mc:Fallback>
          <w:pict>
            <v:shape id="_x0000_s1026" o:spid="_x0000_s1026" o:spt="202" type="#_x0000_t202" style="position:absolute;left:0pt;margin-left:238.2pt;margin-top:6.35pt;height:28.7pt;width:174.75pt;z-index:251666432;mso-width-relative:page;mso-height-relative:page;" filled="f" stroked="f" coordsize="21600,21600" o:gfxdata="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Al3WC92QAAAAkBAAAPAAAAAAAAAAEAIAAAACIAAABkcnMvZG93bnJldi54bWxQ&#10;SwECFAAUAAAACACHTuJAD9u8xr0BAAByAwAADgAAAAAAAAABACAAAAAoAQAAZHJzL2Uyb0RvYy54&#10;bWxQSwUGAAAAAAYABgBZAQAAVwUAAAAA&#10;">
              <v:fill on="f" focussize="0,0"/>
              <v:stroke on="f"/>
              <v:imagedata o:title=""/>
              <o:lock v:ext="edit" aspectratio="f"/>
              <v:textbox inset="0mm,0mm,0mm,0mm">
                <w:txbxContent>
                  <w:p w14:paraId="28805950">
                    <w:pPr>
                      <w:spacing w:before="20" w:line="276" w:lineRule="auto"/>
                      <w:ind w:left="248" w:right="20" w:hanging="229"/>
                      <w:rPr>
                        <w:rFonts w:ascii="宋体" w:hAnsi="宋体" w:eastAsia="宋体" w:cs="宋体"/>
                        <w:sz w:val="17"/>
                        <w:szCs w:val="17"/>
                      </w:rPr>
                    </w:pPr>
                    <w:r>
                      <w:rPr>
                        <w:rFonts w:ascii="仿宋" w:hAnsi="仿宋" w:eastAsia="仿宋" w:cs="仿宋"/>
                        <w:spacing w:val="6"/>
                        <w:sz w:val="20"/>
                        <w:szCs w:val="20"/>
                      </w:rPr>
                      <w:t>新疆乌鲁木齐市黄山街德港大厦</w:t>
                    </w:r>
                    <w:r>
                      <w:rPr>
                        <w:rFonts w:ascii="仿宋" w:hAnsi="仿宋" w:eastAsia="仿宋" w:cs="仿宋"/>
                        <w:spacing w:val="-19"/>
                        <w:sz w:val="20"/>
                        <w:szCs w:val="20"/>
                      </w:rPr>
                      <w:t xml:space="preserve"> </w:t>
                    </w:r>
                    <w:r>
                      <w:rPr>
                        <w:rFonts w:ascii="仿宋" w:hAnsi="仿宋" w:eastAsia="仿宋" w:cs="仿宋"/>
                        <w:spacing w:val="6"/>
                        <w:sz w:val="20"/>
                        <w:szCs w:val="20"/>
                      </w:rPr>
                      <w:t>20</w:t>
                    </w:r>
                    <w:r>
                      <w:rPr>
                        <w:rFonts w:ascii="仿宋" w:hAnsi="仿宋" w:eastAsia="仿宋" w:cs="仿宋"/>
                        <w:spacing w:val="-30"/>
                        <w:sz w:val="20"/>
                        <w:szCs w:val="20"/>
                      </w:rPr>
                      <w:t xml:space="preserve"> </w:t>
                    </w:r>
                    <w:r>
                      <w:rPr>
                        <w:rFonts w:ascii="仿宋" w:hAnsi="仿宋" w:eastAsia="仿宋" w:cs="仿宋"/>
                        <w:spacing w:val="6"/>
                        <w:sz w:val="20"/>
                        <w:szCs w:val="20"/>
                      </w:rPr>
                      <w:t>层</w:t>
                    </w:r>
                    <w:r>
                      <w:rPr>
                        <w:rFonts w:ascii="仿宋" w:hAnsi="仿宋" w:eastAsia="仿宋" w:cs="仿宋"/>
                        <w:sz w:val="20"/>
                        <w:szCs w:val="20"/>
                      </w:rPr>
                      <w:t xml:space="preserve"> </w:t>
                    </w:r>
                    <w:r>
                      <w:rPr>
                        <w:rFonts w:ascii="宋体" w:hAnsi="宋体" w:eastAsia="宋体" w:cs="宋体"/>
                        <w:sz w:val="17"/>
                        <w:szCs w:val="17"/>
                      </w:rPr>
                      <w:t>TEL</w:t>
                    </w:r>
                    <w:r>
                      <w:rPr>
                        <w:rFonts w:ascii="宋体" w:hAnsi="宋体" w:eastAsia="宋体" w:cs="宋体"/>
                        <w:spacing w:val="3"/>
                        <w:sz w:val="17"/>
                        <w:szCs w:val="17"/>
                      </w:rPr>
                      <w:t>：0991-3678303</w:t>
                    </w:r>
                  </w:p>
                </w:txbxContent>
              </v:textbox>
            </v:shape>
          </w:pict>
        </mc:Fallback>
      </mc:AlternateContent>
    </w:r>
    <w:r>
      <w:drawing>
        <wp:anchor distT="0" distB="0" distL="0" distR="0" simplePos="0" relativeHeight="251667456" behindDoc="0" locked="0" layoutInCell="0" allowOverlap="1">
          <wp:simplePos x="0" y="0"/>
          <wp:positionH relativeFrom="page">
            <wp:posOffset>1197610</wp:posOffset>
          </wp:positionH>
          <wp:positionV relativeFrom="page">
            <wp:posOffset>541020</wp:posOffset>
          </wp:positionV>
          <wp:extent cx="426720" cy="412750"/>
          <wp:effectExtent l="0" t="0" r="5080" b="6350"/>
          <wp:wrapNone/>
          <wp:docPr id="126" name="IM 126"/>
          <wp:cNvGraphicFramePr/>
          <a:graphic xmlns:a="http://schemas.openxmlformats.org/drawingml/2006/main">
            <a:graphicData uri="http://schemas.openxmlformats.org/drawingml/2006/picture">
              <pic:pic xmlns:pic="http://schemas.openxmlformats.org/drawingml/2006/picture">
                <pic:nvPicPr>
                  <pic:cNvPr id="126" name="IM 126"/>
                  <pic:cNvPicPr/>
                </pic:nvPicPr>
                <pic:blipFill>
                  <a:blip r:embed="rId2"/>
                  <a:stretch>
                    <a:fillRect/>
                  </a:stretch>
                </pic:blipFill>
                <pic:spPr>
                  <a:xfrm>
                    <a:off x="0" y="0"/>
                    <a:ext cx="426711" cy="412996"/>
                  </a:xfrm>
                  <a:prstGeom prst="rect">
                    <a:avLst/>
                  </a:prstGeom>
                </pic:spPr>
              </pic:pic>
            </a:graphicData>
          </a:graphic>
        </wp:anchor>
      </w:drawing>
    </w:r>
    <w:r>
      <w:rPr>
        <w:rFonts w:ascii="仿宋" w:hAnsi="仿宋" w:eastAsia="仿宋" w:cs="仿宋"/>
        <w:spacing w:val="-1"/>
        <w:sz w:val="28"/>
        <w:szCs w:val="28"/>
      </w:rPr>
      <w:t>新疆世纪星工程咨询有限公司</w:t>
    </w:r>
  </w:p>
  <w:p w14:paraId="33BAD1A1">
    <w:pPr>
      <w:spacing w:before="78" w:line="214" w:lineRule="auto"/>
      <w:ind w:left="1056"/>
      <w:rPr>
        <w:rFonts w:ascii="宋体" w:hAnsi="宋体" w:eastAsia="宋体" w:cs="宋体"/>
        <w:sz w:val="13"/>
        <w:szCs w:val="13"/>
      </w:rPr>
    </w:pPr>
    <w:r>
      <w:rPr>
        <w:rFonts w:ascii="宋体" w:hAnsi="宋体" w:eastAsia="宋体" w:cs="宋体"/>
        <w:sz w:val="13"/>
        <w:szCs w:val="13"/>
      </w:rPr>
      <w:t>Xinjiang Century Star Engineering Consulting Co.,</w:t>
    </w:r>
    <w:r>
      <w:rPr>
        <w:rFonts w:ascii="宋体" w:hAnsi="宋体" w:eastAsia="宋体" w:cs="宋体"/>
        <w:spacing w:val="-1"/>
        <w:sz w:val="13"/>
        <w:szCs w:val="13"/>
      </w:rPr>
      <w:t xml:space="preserve"> Ltd.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A0D1B5"/>
    <w:multiLevelType w:val="singleLevel"/>
    <w:tmpl w:val="82A0D1B5"/>
    <w:lvl w:ilvl="0" w:tentative="0">
      <w:start w:val="1"/>
      <w:numFmt w:val="decimal"/>
      <w:suff w:val="nothing"/>
      <w:lvlText w:val="（%1）"/>
      <w:lvlJc w:val="left"/>
    </w:lvl>
  </w:abstractNum>
  <w:abstractNum w:abstractNumId="1">
    <w:nsid w:val="84C3F883"/>
    <w:multiLevelType w:val="multilevel"/>
    <w:tmpl w:val="84C3F883"/>
    <w:lvl w:ilvl="0" w:tentative="0">
      <w:start w:val="2"/>
      <w:numFmt w:val="decimal"/>
      <w:suff w:val="space"/>
      <w:lvlText w:val="%1."/>
      <w:lvlJc w:val="left"/>
      <w:rPr>
        <w:rFonts w:hint="default"/>
        <w:b w:val="0"/>
        <w:bCs w:val="0"/>
      </w:rPr>
    </w:lvl>
    <w:lvl w:ilvl="1" w:tentative="0">
      <w:start w:val="1"/>
      <w:numFmt w:val="decimal"/>
      <w:suff w:val="space"/>
      <w:lvlText w:val="%1.%2"/>
      <w:lvlJc w:val="left"/>
      <w:pPr>
        <w:ind w:left="0" w:leftChars="0" w:firstLine="0" w:firstLineChars="0"/>
      </w:pPr>
      <w:rPr>
        <w:rFonts w:hint="default"/>
        <w:b w:val="0"/>
        <w:bCs w:val="0"/>
      </w:rPr>
    </w:lvl>
    <w:lvl w:ilvl="2" w:tentative="0">
      <w:start w:val="1"/>
      <w:numFmt w:val="decimal"/>
      <w:suff w:val="space"/>
      <w:lvlText w:val="%1.%2.%3"/>
      <w:lvlJc w:val="left"/>
      <w:pPr>
        <w:ind w:left="0" w:leftChars="0" w:firstLine="0" w:firstLineChars="0"/>
      </w:pPr>
      <w:rPr>
        <w:rFonts w:hint="default"/>
        <w:b w:val="0"/>
        <w:bCs w:val="0"/>
        <w:sz w:val="22"/>
        <w:szCs w:val="22"/>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2">
    <w:nsid w:val="8905224B"/>
    <w:multiLevelType w:val="singleLevel"/>
    <w:tmpl w:val="8905224B"/>
    <w:lvl w:ilvl="0" w:tentative="0">
      <w:start w:val="1"/>
      <w:numFmt w:val="chineseCounting"/>
      <w:suff w:val="nothing"/>
      <w:lvlText w:val="%1、"/>
      <w:lvlJc w:val="left"/>
      <w:rPr>
        <w:rFonts w:hint="eastAsia" w:ascii="仿宋" w:hAnsi="仿宋" w:eastAsia="仿宋" w:cs="仿宋"/>
      </w:rPr>
    </w:lvl>
  </w:abstractNum>
  <w:abstractNum w:abstractNumId="3">
    <w:nsid w:val="894F26C5"/>
    <w:multiLevelType w:val="singleLevel"/>
    <w:tmpl w:val="894F26C5"/>
    <w:lvl w:ilvl="0" w:tentative="0">
      <w:start w:val="1"/>
      <w:numFmt w:val="decimal"/>
      <w:suff w:val="space"/>
      <w:lvlText w:val="%1."/>
      <w:lvlJc w:val="left"/>
    </w:lvl>
  </w:abstractNum>
  <w:abstractNum w:abstractNumId="4">
    <w:nsid w:val="CB60E306"/>
    <w:multiLevelType w:val="singleLevel"/>
    <w:tmpl w:val="CB60E306"/>
    <w:lvl w:ilvl="0" w:tentative="0">
      <w:start w:val="1"/>
      <w:numFmt w:val="decimal"/>
      <w:suff w:val="nothing"/>
      <w:lvlText w:val="（%1）"/>
      <w:lvlJc w:val="left"/>
    </w:lvl>
  </w:abstractNum>
  <w:abstractNum w:abstractNumId="5">
    <w:nsid w:val="F13B480B"/>
    <w:multiLevelType w:val="singleLevel"/>
    <w:tmpl w:val="F13B480B"/>
    <w:lvl w:ilvl="0" w:tentative="0">
      <w:start w:val="1"/>
      <w:numFmt w:val="decimal"/>
      <w:suff w:val="nothing"/>
      <w:lvlText w:val="%1、"/>
      <w:lvlJc w:val="left"/>
    </w:lvl>
  </w:abstractNum>
  <w:abstractNum w:abstractNumId="6">
    <w:nsid w:val="05FE2DA7"/>
    <w:multiLevelType w:val="singleLevel"/>
    <w:tmpl w:val="05FE2DA7"/>
    <w:lvl w:ilvl="0" w:tentative="0">
      <w:start w:val="1"/>
      <w:numFmt w:val="chineseCounting"/>
      <w:suff w:val="space"/>
      <w:lvlText w:val="第%1章"/>
      <w:lvlJc w:val="left"/>
      <w:rPr>
        <w:rFonts w:hint="eastAsia"/>
      </w:rPr>
    </w:lvl>
  </w:abstractNum>
  <w:abstractNum w:abstractNumId="7">
    <w:nsid w:val="068BF1D4"/>
    <w:multiLevelType w:val="multilevel"/>
    <w:tmpl w:val="068BF1D4"/>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ascii="Times New Roman" w:hAnsi="Times New Roman" w:cs="Times New Roman"/>
        <w:sz w:val="22"/>
        <w:szCs w:val="22"/>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8">
    <w:nsid w:val="09E5A242"/>
    <w:multiLevelType w:val="singleLevel"/>
    <w:tmpl w:val="09E5A242"/>
    <w:lvl w:ilvl="0" w:tentative="0">
      <w:start w:val="2"/>
      <w:numFmt w:val="chineseCounting"/>
      <w:suff w:val="nothing"/>
      <w:lvlText w:val="%1、"/>
      <w:lvlJc w:val="left"/>
      <w:rPr>
        <w:rFonts w:hint="eastAsia"/>
      </w:rPr>
    </w:lvl>
  </w:abstractNum>
  <w:abstractNum w:abstractNumId="9">
    <w:nsid w:val="3BC6F39C"/>
    <w:multiLevelType w:val="singleLevel"/>
    <w:tmpl w:val="3BC6F39C"/>
    <w:lvl w:ilvl="0" w:tentative="0">
      <w:start w:val="1"/>
      <w:numFmt w:val="decimal"/>
      <w:suff w:val="space"/>
      <w:lvlText w:val="%1."/>
      <w:lvlJc w:val="left"/>
    </w:lvl>
  </w:abstractNum>
  <w:abstractNum w:abstractNumId="10">
    <w:nsid w:val="41681D78"/>
    <w:multiLevelType w:val="singleLevel"/>
    <w:tmpl w:val="41681D78"/>
    <w:lvl w:ilvl="0" w:tentative="0">
      <w:start w:val="1"/>
      <w:numFmt w:val="decimal"/>
      <w:lvlText w:val="%1."/>
      <w:lvlJc w:val="left"/>
      <w:pPr>
        <w:tabs>
          <w:tab w:val="left" w:pos="312"/>
        </w:tabs>
      </w:pPr>
    </w:lvl>
  </w:abstractNum>
  <w:abstractNum w:abstractNumId="11">
    <w:nsid w:val="63862E25"/>
    <w:multiLevelType w:val="singleLevel"/>
    <w:tmpl w:val="63862E25"/>
    <w:lvl w:ilvl="0" w:tentative="0">
      <w:start w:val="1"/>
      <w:numFmt w:val="decimal"/>
      <w:suff w:val="space"/>
      <w:lvlText w:val="（%1）"/>
      <w:lvlJc w:val="left"/>
    </w:lvl>
  </w:abstractNum>
  <w:abstractNum w:abstractNumId="12">
    <w:nsid w:val="6D6AA095"/>
    <w:multiLevelType w:val="multilevel"/>
    <w:tmpl w:val="6D6AA095"/>
    <w:lvl w:ilvl="0" w:tentative="0">
      <w:start w:val="1"/>
      <w:numFmt w:val="decimal"/>
      <w:suff w:val="space"/>
      <w:lvlText w:val="%1."/>
      <w:lvlJc w:val="left"/>
    </w:lvl>
    <w:lvl w:ilvl="1" w:tentative="0">
      <w:start w:val="1"/>
      <w:numFmt w:val="decimal"/>
      <w:suff w:val="space"/>
      <w:lvlText w:val="%1.%2"/>
      <w:lvlJc w:val="left"/>
      <w:pPr>
        <w:ind w:left="0" w:leftChars="0" w:firstLine="0" w:firstLineChars="0"/>
      </w:pPr>
      <w:rPr>
        <w:rFonts w:hint="default"/>
        <w:b w:val="0"/>
        <w:bCs w:val="0"/>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3">
    <w:nsid w:val="7354C3BC"/>
    <w:multiLevelType w:val="multilevel"/>
    <w:tmpl w:val="7354C3BC"/>
    <w:lvl w:ilvl="0" w:tentative="0">
      <w:start w:val="1"/>
      <w:numFmt w:val="decimal"/>
      <w:suff w:val="space"/>
      <w:lvlText w:val="%1"/>
      <w:lvlJc w:val="left"/>
      <w:pPr>
        <w:ind w:left="0" w:leftChars="0" w:firstLine="0" w:firstLineChars="0"/>
      </w:pPr>
      <w:rPr>
        <w:rFonts w:hint="eastAsia"/>
      </w:rPr>
    </w:lvl>
    <w:lvl w:ilvl="1" w:tentative="0">
      <w:start w:val="1"/>
      <w:numFmt w:val="decimalFullWidth"/>
      <w:suff w:val="space"/>
      <w:lvlText w:val="%1.%2"/>
      <w:lvlJc w:val="left"/>
      <w:pPr>
        <w:tabs>
          <w:tab w:val="left" w:pos="0"/>
        </w:tabs>
        <w:ind w:left="0" w:leftChars="0" w:firstLine="0" w:firstLineChars="0"/>
      </w:pPr>
      <w:rPr>
        <w:rFonts w:hint="eastAsia" w:ascii="宋体" w:hAnsi="宋体" w:eastAsia="宋体" w:cs="宋体"/>
      </w:rPr>
    </w:lvl>
    <w:lvl w:ilvl="2" w:tentative="0">
      <w:start w:val="1"/>
      <w:numFmt w:val="decimal"/>
      <w:suff w:val="space"/>
      <w:lvlText w:val="%1.%2.%3"/>
      <w:lvlJc w:val="left"/>
      <w:pPr>
        <w:ind w:left="0" w:leftChars="0" w:firstLine="0" w:firstLineChars="0"/>
      </w:pPr>
      <w:rPr>
        <w:rFonts w:hint="eastAsia"/>
      </w:rPr>
    </w:lvl>
    <w:lvl w:ilvl="3" w:tentative="0">
      <w:start w:val="1"/>
      <w:numFmt w:val="decimal"/>
      <w:suff w:val="space"/>
      <w:lvlText w:val="%1.%2.%3.%4"/>
      <w:lvlJc w:val="left"/>
      <w:pPr>
        <w:ind w:left="0" w:leftChars="0" w:firstLine="0" w:firstLineChars="0"/>
      </w:pPr>
      <w:rPr>
        <w:rFonts w:hint="eastAsia"/>
      </w:rPr>
    </w:lvl>
    <w:lvl w:ilvl="4" w:tentative="0">
      <w:start w:val="1"/>
      <w:numFmt w:val="decimal"/>
      <w:suff w:val="space"/>
      <w:lvlText w:val="%1.%2.%3.%4.%5"/>
      <w:lvlJc w:val="left"/>
      <w:pPr>
        <w:ind w:left="0" w:leftChars="0" w:firstLine="0" w:firstLineChars="0"/>
      </w:pPr>
      <w:rPr>
        <w:rFonts w:hint="eastAsia"/>
      </w:rPr>
    </w:lvl>
    <w:lvl w:ilvl="5" w:tentative="0">
      <w:start w:val="1"/>
      <w:numFmt w:val="decimal"/>
      <w:suff w:val="space"/>
      <w:lvlText w:val="%1.%2.%3.%4.%5.%6"/>
      <w:lvlJc w:val="left"/>
      <w:pPr>
        <w:ind w:left="0" w:leftChars="0" w:firstLine="0" w:firstLineChars="0"/>
      </w:pPr>
      <w:rPr>
        <w:rFonts w:hint="eastAsia"/>
      </w:rPr>
    </w:lvl>
    <w:lvl w:ilvl="6" w:tentative="0">
      <w:start w:val="1"/>
      <w:numFmt w:val="decimal"/>
      <w:suff w:val="space"/>
      <w:lvlText w:val="%1.%2.%3.%4.%5.%6.%7"/>
      <w:lvlJc w:val="left"/>
      <w:pPr>
        <w:ind w:left="0" w:leftChars="0" w:firstLine="0" w:firstLineChars="0"/>
      </w:pPr>
      <w:rPr>
        <w:rFonts w:hint="eastAsia"/>
      </w:rPr>
    </w:lvl>
    <w:lvl w:ilvl="7" w:tentative="0">
      <w:start w:val="1"/>
      <w:numFmt w:val="decimal"/>
      <w:suff w:val="space"/>
      <w:lvlText w:val="%1.%2.%3.%4.%5.%6.%7.%8"/>
      <w:lvlJc w:val="left"/>
      <w:pPr>
        <w:ind w:left="0" w:leftChars="0" w:firstLine="0" w:firstLineChars="0"/>
      </w:pPr>
      <w:rPr>
        <w:rFonts w:hint="eastAsia"/>
      </w:rPr>
    </w:lvl>
    <w:lvl w:ilvl="8" w:tentative="0">
      <w:start w:val="1"/>
      <w:numFmt w:val="decimal"/>
      <w:suff w:val="space"/>
      <w:lvlText w:val="%1.%2.%3.%4.%5.%6.%7.%8.%9"/>
      <w:lvlJc w:val="left"/>
      <w:pPr>
        <w:ind w:left="0" w:leftChars="0" w:firstLine="0" w:firstLineChars="0"/>
      </w:pPr>
      <w:rPr>
        <w:rFonts w:hint="eastAsia"/>
      </w:rPr>
    </w:lvl>
  </w:abstractNum>
  <w:abstractNum w:abstractNumId="14">
    <w:nsid w:val="78F60E4F"/>
    <w:multiLevelType w:val="singleLevel"/>
    <w:tmpl w:val="78F60E4F"/>
    <w:lvl w:ilvl="0" w:tentative="0">
      <w:start w:val="1"/>
      <w:numFmt w:val="chineseCounting"/>
      <w:suff w:val="nothing"/>
      <w:lvlText w:val="%1、"/>
      <w:lvlJc w:val="left"/>
      <w:rPr>
        <w:rFonts w:hint="eastAsia"/>
      </w:rPr>
    </w:lvl>
  </w:abstractNum>
  <w:num w:numId="1">
    <w:abstractNumId w:val="6"/>
  </w:num>
  <w:num w:numId="2">
    <w:abstractNumId w:val="10"/>
  </w:num>
  <w:num w:numId="3">
    <w:abstractNumId w:val="14"/>
  </w:num>
  <w:num w:numId="4">
    <w:abstractNumId w:val="13"/>
  </w:num>
  <w:num w:numId="5">
    <w:abstractNumId w:val="7"/>
  </w:num>
  <w:num w:numId="6">
    <w:abstractNumId w:val="4"/>
  </w:num>
  <w:num w:numId="7">
    <w:abstractNumId w:val="11"/>
  </w:num>
  <w:num w:numId="8">
    <w:abstractNumId w:val="1"/>
  </w:num>
  <w:num w:numId="9">
    <w:abstractNumId w:val="8"/>
  </w:num>
  <w:num w:numId="10">
    <w:abstractNumId w:val="2"/>
  </w:num>
  <w:num w:numId="11">
    <w:abstractNumId w:val="12"/>
  </w:num>
  <w:num w:numId="12">
    <w:abstractNumId w:val="5"/>
  </w:num>
  <w:num w:numId="13">
    <w:abstractNumId w:val="9"/>
  </w:num>
  <w:num w:numId="14">
    <w:abstractNumId w:val="0"/>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Y0ZGVhMzY2Mjc2ZTVmNTg0OTc4MWEzZmNmZjdjMjUifQ=="/>
    <w:docVar w:name="KSO_WPS_MARK_KEY" w:val="38f38c98-7156-4959-9888-e8f20d519628"/>
  </w:docVars>
  <w:rsids>
    <w:rsidRoot w:val="00000000"/>
    <w:rsid w:val="00633977"/>
    <w:rsid w:val="00840591"/>
    <w:rsid w:val="00A9647D"/>
    <w:rsid w:val="00BE32F3"/>
    <w:rsid w:val="00EF7950"/>
    <w:rsid w:val="01042CD0"/>
    <w:rsid w:val="019D55FE"/>
    <w:rsid w:val="01B12E58"/>
    <w:rsid w:val="01B327A1"/>
    <w:rsid w:val="01D86637"/>
    <w:rsid w:val="02056D00"/>
    <w:rsid w:val="021533E7"/>
    <w:rsid w:val="026122A3"/>
    <w:rsid w:val="02985DC6"/>
    <w:rsid w:val="02D36DFE"/>
    <w:rsid w:val="040E43DE"/>
    <w:rsid w:val="04A22F2C"/>
    <w:rsid w:val="04D836CC"/>
    <w:rsid w:val="04DF1A8A"/>
    <w:rsid w:val="052E656D"/>
    <w:rsid w:val="055F4854"/>
    <w:rsid w:val="05775429"/>
    <w:rsid w:val="05B01966"/>
    <w:rsid w:val="05E336DE"/>
    <w:rsid w:val="065D710A"/>
    <w:rsid w:val="06620543"/>
    <w:rsid w:val="06625E2E"/>
    <w:rsid w:val="068C3E93"/>
    <w:rsid w:val="06A64F55"/>
    <w:rsid w:val="06F32966"/>
    <w:rsid w:val="073C23B2"/>
    <w:rsid w:val="07600879"/>
    <w:rsid w:val="07A74594"/>
    <w:rsid w:val="07AF3996"/>
    <w:rsid w:val="07D77390"/>
    <w:rsid w:val="07D826C8"/>
    <w:rsid w:val="083500E3"/>
    <w:rsid w:val="08B374B6"/>
    <w:rsid w:val="08FE75D7"/>
    <w:rsid w:val="09322AD0"/>
    <w:rsid w:val="096174F4"/>
    <w:rsid w:val="09873050"/>
    <w:rsid w:val="0993046C"/>
    <w:rsid w:val="09EF36DF"/>
    <w:rsid w:val="09FE6BD3"/>
    <w:rsid w:val="0A100770"/>
    <w:rsid w:val="0A7D5FCD"/>
    <w:rsid w:val="0B0E30C9"/>
    <w:rsid w:val="0B1D330C"/>
    <w:rsid w:val="0B2E0241"/>
    <w:rsid w:val="0B3A5C6C"/>
    <w:rsid w:val="0BA54947"/>
    <w:rsid w:val="0C2E03F1"/>
    <w:rsid w:val="0C4274CE"/>
    <w:rsid w:val="0CB97065"/>
    <w:rsid w:val="0CD16316"/>
    <w:rsid w:val="0CEC1EC5"/>
    <w:rsid w:val="0D166265"/>
    <w:rsid w:val="0D2F0B75"/>
    <w:rsid w:val="0D3861DB"/>
    <w:rsid w:val="0D5D1B80"/>
    <w:rsid w:val="0D754D68"/>
    <w:rsid w:val="0D774F56"/>
    <w:rsid w:val="0DD04666"/>
    <w:rsid w:val="0DD423A8"/>
    <w:rsid w:val="0DE8551A"/>
    <w:rsid w:val="0E3D7B44"/>
    <w:rsid w:val="0EAF327B"/>
    <w:rsid w:val="0EFB2854"/>
    <w:rsid w:val="0F33766C"/>
    <w:rsid w:val="0F6B19D9"/>
    <w:rsid w:val="0F7F2F2E"/>
    <w:rsid w:val="0FAC4A5B"/>
    <w:rsid w:val="0FBB5C24"/>
    <w:rsid w:val="10303AE2"/>
    <w:rsid w:val="108571AB"/>
    <w:rsid w:val="10AB3168"/>
    <w:rsid w:val="10EC6CF5"/>
    <w:rsid w:val="111F3EBE"/>
    <w:rsid w:val="115C30D3"/>
    <w:rsid w:val="11ED63EA"/>
    <w:rsid w:val="12371157"/>
    <w:rsid w:val="12753A67"/>
    <w:rsid w:val="12986F2D"/>
    <w:rsid w:val="130C11DC"/>
    <w:rsid w:val="13453400"/>
    <w:rsid w:val="13CE1647"/>
    <w:rsid w:val="14430F6A"/>
    <w:rsid w:val="146666D6"/>
    <w:rsid w:val="147C72F5"/>
    <w:rsid w:val="14D0319D"/>
    <w:rsid w:val="15673B02"/>
    <w:rsid w:val="15E348F4"/>
    <w:rsid w:val="15ED1186"/>
    <w:rsid w:val="16192669"/>
    <w:rsid w:val="16651E05"/>
    <w:rsid w:val="17340529"/>
    <w:rsid w:val="176127D3"/>
    <w:rsid w:val="176D73C9"/>
    <w:rsid w:val="176E66AD"/>
    <w:rsid w:val="17BC6D09"/>
    <w:rsid w:val="17C46792"/>
    <w:rsid w:val="17CC0594"/>
    <w:rsid w:val="18787DD4"/>
    <w:rsid w:val="1890336F"/>
    <w:rsid w:val="18AA21BE"/>
    <w:rsid w:val="19622F5E"/>
    <w:rsid w:val="197C38F4"/>
    <w:rsid w:val="198E49C8"/>
    <w:rsid w:val="1A211AD2"/>
    <w:rsid w:val="1AB53523"/>
    <w:rsid w:val="1AC00AF1"/>
    <w:rsid w:val="1B011FED"/>
    <w:rsid w:val="1BC3591D"/>
    <w:rsid w:val="1C1147C7"/>
    <w:rsid w:val="1C463C25"/>
    <w:rsid w:val="1C7F5BD5"/>
    <w:rsid w:val="1CD02907"/>
    <w:rsid w:val="1D331864"/>
    <w:rsid w:val="1D8B7ED2"/>
    <w:rsid w:val="1D9C27B6"/>
    <w:rsid w:val="1DBD733C"/>
    <w:rsid w:val="1DC71BED"/>
    <w:rsid w:val="1DE91501"/>
    <w:rsid w:val="1E3E5CEA"/>
    <w:rsid w:val="1E4C7D38"/>
    <w:rsid w:val="1E543A5A"/>
    <w:rsid w:val="1E733517"/>
    <w:rsid w:val="1E88173F"/>
    <w:rsid w:val="1EB06519"/>
    <w:rsid w:val="1F263922"/>
    <w:rsid w:val="200F54C2"/>
    <w:rsid w:val="20370574"/>
    <w:rsid w:val="207B66B3"/>
    <w:rsid w:val="20933A75"/>
    <w:rsid w:val="209B6280"/>
    <w:rsid w:val="210E49CA"/>
    <w:rsid w:val="219739C1"/>
    <w:rsid w:val="21B53E47"/>
    <w:rsid w:val="21B75E11"/>
    <w:rsid w:val="223942B3"/>
    <w:rsid w:val="2242167C"/>
    <w:rsid w:val="22C96D6A"/>
    <w:rsid w:val="22F83FEB"/>
    <w:rsid w:val="233C34DF"/>
    <w:rsid w:val="23E64FEA"/>
    <w:rsid w:val="2463402E"/>
    <w:rsid w:val="246851A1"/>
    <w:rsid w:val="252C2672"/>
    <w:rsid w:val="254172E4"/>
    <w:rsid w:val="256E67E6"/>
    <w:rsid w:val="26143832"/>
    <w:rsid w:val="261A54D2"/>
    <w:rsid w:val="262319BC"/>
    <w:rsid w:val="26592BBE"/>
    <w:rsid w:val="266876DA"/>
    <w:rsid w:val="26997893"/>
    <w:rsid w:val="269B4824"/>
    <w:rsid w:val="26B11081"/>
    <w:rsid w:val="26B446CD"/>
    <w:rsid w:val="26DB2065"/>
    <w:rsid w:val="272547AA"/>
    <w:rsid w:val="28003E99"/>
    <w:rsid w:val="28292E99"/>
    <w:rsid w:val="283D06F2"/>
    <w:rsid w:val="28560F12"/>
    <w:rsid w:val="288F3FB3"/>
    <w:rsid w:val="28905BB2"/>
    <w:rsid w:val="28BE1833"/>
    <w:rsid w:val="29001E4B"/>
    <w:rsid w:val="29361D11"/>
    <w:rsid w:val="293715E5"/>
    <w:rsid w:val="299842C5"/>
    <w:rsid w:val="299D58EC"/>
    <w:rsid w:val="29F80FF6"/>
    <w:rsid w:val="29F85771"/>
    <w:rsid w:val="2A297180"/>
    <w:rsid w:val="2A331DAD"/>
    <w:rsid w:val="2A973CF8"/>
    <w:rsid w:val="2A9C76A8"/>
    <w:rsid w:val="2AF07C9E"/>
    <w:rsid w:val="2B1E1887"/>
    <w:rsid w:val="2B2838DB"/>
    <w:rsid w:val="2C2C1C5C"/>
    <w:rsid w:val="2D745CCF"/>
    <w:rsid w:val="2D8130BA"/>
    <w:rsid w:val="2E393998"/>
    <w:rsid w:val="2E4072A5"/>
    <w:rsid w:val="2E8F028F"/>
    <w:rsid w:val="2F10090E"/>
    <w:rsid w:val="2F67180A"/>
    <w:rsid w:val="2F835584"/>
    <w:rsid w:val="2FD162F0"/>
    <w:rsid w:val="2FD309CC"/>
    <w:rsid w:val="2FE20F33"/>
    <w:rsid w:val="2FFD5337"/>
    <w:rsid w:val="30007685"/>
    <w:rsid w:val="302458DC"/>
    <w:rsid w:val="30BC6FA0"/>
    <w:rsid w:val="311346E6"/>
    <w:rsid w:val="31167F9B"/>
    <w:rsid w:val="311872B5"/>
    <w:rsid w:val="313D6184"/>
    <w:rsid w:val="315F16D9"/>
    <w:rsid w:val="318D6246"/>
    <w:rsid w:val="31B81D11"/>
    <w:rsid w:val="32393423"/>
    <w:rsid w:val="32912155"/>
    <w:rsid w:val="329B7A40"/>
    <w:rsid w:val="33305A23"/>
    <w:rsid w:val="33380434"/>
    <w:rsid w:val="3344327C"/>
    <w:rsid w:val="33467A14"/>
    <w:rsid w:val="336A4A46"/>
    <w:rsid w:val="337C0B48"/>
    <w:rsid w:val="33AD2BD0"/>
    <w:rsid w:val="33B01385"/>
    <w:rsid w:val="33C4512A"/>
    <w:rsid w:val="341A78AC"/>
    <w:rsid w:val="343926B5"/>
    <w:rsid w:val="347E456C"/>
    <w:rsid w:val="348A1163"/>
    <w:rsid w:val="351E736D"/>
    <w:rsid w:val="35265A3D"/>
    <w:rsid w:val="35372568"/>
    <w:rsid w:val="35E07B3B"/>
    <w:rsid w:val="3671332B"/>
    <w:rsid w:val="36AA1648"/>
    <w:rsid w:val="36BD5820"/>
    <w:rsid w:val="36CE17DB"/>
    <w:rsid w:val="37BF2ED1"/>
    <w:rsid w:val="37F04799"/>
    <w:rsid w:val="3882287D"/>
    <w:rsid w:val="38844A26"/>
    <w:rsid w:val="38A43D2D"/>
    <w:rsid w:val="38C500B3"/>
    <w:rsid w:val="38C613AA"/>
    <w:rsid w:val="391E32EE"/>
    <w:rsid w:val="392576AC"/>
    <w:rsid w:val="39317DFF"/>
    <w:rsid w:val="39763A64"/>
    <w:rsid w:val="397E5E7C"/>
    <w:rsid w:val="39A12DFE"/>
    <w:rsid w:val="39A42A6E"/>
    <w:rsid w:val="3A06303A"/>
    <w:rsid w:val="3A75533F"/>
    <w:rsid w:val="3A9B19D4"/>
    <w:rsid w:val="3AA46756"/>
    <w:rsid w:val="3AD41552"/>
    <w:rsid w:val="3AE03859"/>
    <w:rsid w:val="3B173CEE"/>
    <w:rsid w:val="3B5A188F"/>
    <w:rsid w:val="3C2E6878"/>
    <w:rsid w:val="3C502C92"/>
    <w:rsid w:val="3C675EE5"/>
    <w:rsid w:val="3CB05C39"/>
    <w:rsid w:val="3CFB4C5D"/>
    <w:rsid w:val="3D1A629F"/>
    <w:rsid w:val="3D477BF1"/>
    <w:rsid w:val="3D4C0B3C"/>
    <w:rsid w:val="3D60459C"/>
    <w:rsid w:val="3DA37BAD"/>
    <w:rsid w:val="3DC56D68"/>
    <w:rsid w:val="3E003377"/>
    <w:rsid w:val="3E502AD5"/>
    <w:rsid w:val="3E895FE7"/>
    <w:rsid w:val="3F0B1189"/>
    <w:rsid w:val="3F7647BE"/>
    <w:rsid w:val="3F942E96"/>
    <w:rsid w:val="3FC90D91"/>
    <w:rsid w:val="3FD27474"/>
    <w:rsid w:val="40022408"/>
    <w:rsid w:val="40171E04"/>
    <w:rsid w:val="404C551E"/>
    <w:rsid w:val="40FC4111"/>
    <w:rsid w:val="41720FB5"/>
    <w:rsid w:val="41911676"/>
    <w:rsid w:val="41E910AE"/>
    <w:rsid w:val="4206121C"/>
    <w:rsid w:val="424D3EFC"/>
    <w:rsid w:val="42AE426E"/>
    <w:rsid w:val="42DA5A86"/>
    <w:rsid w:val="43064193"/>
    <w:rsid w:val="431E7646"/>
    <w:rsid w:val="445D7CFA"/>
    <w:rsid w:val="44910D58"/>
    <w:rsid w:val="44F3065E"/>
    <w:rsid w:val="452F2CB5"/>
    <w:rsid w:val="456F23DB"/>
    <w:rsid w:val="4597548E"/>
    <w:rsid w:val="45CF4C28"/>
    <w:rsid w:val="475573AE"/>
    <w:rsid w:val="47B02B2B"/>
    <w:rsid w:val="48181044"/>
    <w:rsid w:val="485853A8"/>
    <w:rsid w:val="48BB02CE"/>
    <w:rsid w:val="49771967"/>
    <w:rsid w:val="4981448B"/>
    <w:rsid w:val="49C5081B"/>
    <w:rsid w:val="4A7144FF"/>
    <w:rsid w:val="4AC71FE7"/>
    <w:rsid w:val="4AD4683C"/>
    <w:rsid w:val="4BD71EB9"/>
    <w:rsid w:val="4BF3578C"/>
    <w:rsid w:val="4C0E2F1B"/>
    <w:rsid w:val="4C0E7E88"/>
    <w:rsid w:val="4C3E6663"/>
    <w:rsid w:val="4C503F4A"/>
    <w:rsid w:val="4C5365B2"/>
    <w:rsid w:val="4C8E2177"/>
    <w:rsid w:val="4CB3585F"/>
    <w:rsid w:val="4CD60F91"/>
    <w:rsid w:val="4DAF2901"/>
    <w:rsid w:val="4DB639B0"/>
    <w:rsid w:val="4EFC7946"/>
    <w:rsid w:val="4F8B1433"/>
    <w:rsid w:val="4FD247EF"/>
    <w:rsid w:val="4FFB2C63"/>
    <w:rsid w:val="501C315F"/>
    <w:rsid w:val="50CC5E28"/>
    <w:rsid w:val="50EC48E0"/>
    <w:rsid w:val="5101103A"/>
    <w:rsid w:val="51085492"/>
    <w:rsid w:val="5176064D"/>
    <w:rsid w:val="521C7446"/>
    <w:rsid w:val="5225431B"/>
    <w:rsid w:val="523429E2"/>
    <w:rsid w:val="528D0C0C"/>
    <w:rsid w:val="539D52C4"/>
    <w:rsid w:val="54143903"/>
    <w:rsid w:val="54281AFA"/>
    <w:rsid w:val="543E4CE5"/>
    <w:rsid w:val="54E04E0E"/>
    <w:rsid w:val="54E35FFA"/>
    <w:rsid w:val="550C692B"/>
    <w:rsid w:val="551C7C35"/>
    <w:rsid w:val="553A6FC3"/>
    <w:rsid w:val="553C5CE7"/>
    <w:rsid w:val="553D6C54"/>
    <w:rsid w:val="55A0038E"/>
    <w:rsid w:val="55D65293"/>
    <w:rsid w:val="561623FF"/>
    <w:rsid w:val="56572292"/>
    <w:rsid w:val="56A619D5"/>
    <w:rsid w:val="56AD4B11"/>
    <w:rsid w:val="56BF4844"/>
    <w:rsid w:val="56C703BD"/>
    <w:rsid w:val="57807D09"/>
    <w:rsid w:val="57F86260"/>
    <w:rsid w:val="58102828"/>
    <w:rsid w:val="58A106A5"/>
    <w:rsid w:val="58F509F1"/>
    <w:rsid w:val="594D4259"/>
    <w:rsid w:val="594F15EA"/>
    <w:rsid w:val="59A95F7B"/>
    <w:rsid w:val="59B47F65"/>
    <w:rsid w:val="59BA46C8"/>
    <w:rsid w:val="59CE7CD3"/>
    <w:rsid w:val="5A542EE5"/>
    <w:rsid w:val="5A8C34D7"/>
    <w:rsid w:val="5A9511FF"/>
    <w:rsid w:val="5AA91A93"/>
    <w:rsid w:val="5AB346C0"/>
    <w:rsid w:val="5AD02BB2"/>
    <w:rsid w:val="5B0311A3"/>
    <w:rsid w:val="5B4D241F"/>
    <w:rsid w:val="5B9B762E"/>
    <w:rsid w:val="5BDE751B"/>
    <w:rsid w:val="5C3F0303"/>
    <w:rsid w:val="5C496A6B"/>
    <w:rsid w:val="5C5A7F7F"/>
    <w:rsid w:val="5D5A2308"/>
    <w:rsid w:val="5DA92163"/>
    <w:rsid w:val="5DEF29B8"/>
    <w:rsid w:val="5E1436C8"/>
    <w:rsid w:val="5EC26DAF"/>
    <w:rsid w:val="5F182D44"/>
    <w:rsid w:val="5FB7255D"/>
    <w:rsid w:val="5FDE21DF"/>
    <w:rsid w:val="600951E3"/>
    <w:rsid w:val="60321C5D"/>
    <w:rsid w:val="609E54CA"/>
    <w:rsid w:val="60E463D1"/>
    <w:rsid w:val="60F1662D"/>
    <w:rsid w:val="61170069"/>
    <w:rsid w:val="61F62764"/>
    <w:rsid w:val="62347F47"/>
    <w:rsid w:val="62646B32"/>
    <w:rsid w:val="627C4C03"/>
    <w:rsid w:val="62F31AFE"/>
    <w:rsid w:val="63293771"/>
    <w:rsid w:val="635B76A3"/>
    <w:rsid w:val="63AA3442"/>
    <w:rsid w:val="63C33BC6"/>
    <w:rsid w:val="63C96D02"/>
    <w:rsid w:val="63E92F01"/>
    <w:rsid w:val="64320204"/>
    <w:rsid w:val="644C7B14"/>
    <w:rsid w:val="64A54380"/>
    <w:rsid w:val="64B615EC"/>
    <w:rsid w:val="64CD45D0"/>
    <w:rsid w:val="65085608"/>
    <w:rsid w:val="65423A05"/>
    <w:rsid w:val="65536958"/>
    <w:rsid w:val="6563523E"/>
    <w:rsid w:val="65846462"/>
    <w:rsid w:val="65907AD8"/>
    <w:rsid w:val="65A9656A"/>
    <w:rsid w:val="665A1E94"/>
    <w:rsid w:val="66CD24A8"/>
    <w:rsid w:val="66F66060"/>
    <w:rsid w:val="671E1113"/>
    <w:rsid w:val="672E75A8"/>
    <w:rsid w:val="67674572"/>
    <w:rsid w:val="67896ED4"/>
    <w:rsid w:val="67902011"/>
    <w:rsid w:val="67B65075"/>
    <w:rsid w:val="67BB4BB4"/>
    <w:rsid w:val="67E22141"/>
    <w:rsid w:val="67ED07E2"/>
    <w:rsid w:val="681D5FDC"/>
    <w:rsid w:val="682409F7"/>
    <w:rsid w:val="68272D86"/>
    <w:rsid w:val="682952B2"/>
    <w:rsid w:val="68721717"/>
    <w:rsid w:val="68832A45"/>
    <w:rsid w:val="688F12A0"/>
    <w:rsid w:val="691B0000"/>
    <w:rsid w:val="695F71E1"/>
    <w:rsid w:val="69FF522C"/>
    <w:rsid w:val="6A07121D"/>
    <w:rsid w:val="6A0C500F"/>
    <w:rsid w:val="6A3D1BFD"/>
    <w:rsid w:val="6A5D6751"/>
    <w:rsid w:val="6AA819B9"/>
    <w:rsid w:val="6AE213F9"/>
    <w:rsid w:val="6B4245E8"/>
    <w:rsid w:val="6B7E03D2"/>
    <w:rsid w:val="6C163F72"/>
    <w:rsid w:val="6C2A5DBB"/>
    <w:rsid w:val="6CDA5ADC"/>
    <w:rsid w:val="6CDE31F5"/>
    <w:rsid w:val="6CFA1CDB"/>
    <w:rsid w:val="6DB752B8"/>
    <w:rsid w:val="6DD30EA9"/>
    <w:rsid w:val="6E1E5238"/>
    <w:rsid w:val="6E641B01"/>
    <w:rsid w:val="6E672A38"/>
    <w:rsid w:val="6E8C2579"/>
    <w:rsid w:val="6EFC61DE"/>
    <w:rsid w:val="6F5508A8"/>
    <w:rsid w:val="6FC54073"/>
    <w:rsid w:val="70134268"/>
    <w:rsid w:val="702C503A"/>
    <w:rsid w:val="705263D0"/>
    <w:rsid w:val="7055204A"/>
    <w:rsid w:val="705E150A"/>
    <w:rsid w:val="7064403B"/>
    <w:rsid w:val="707840A8"/>
    <w:rsid w:val="70DE6288"/>
    <w:rsid w:val="70F02CDF"/>
    <w:rsid w:val="70F76C5D"/>
    <w:rsid w:val="71445C1A"/>
    <w:rsid w:val="71527F65"/>
    <w:rsid w:val="716A5681"/>
    <w:rsid w:val="71922E29"/>
    <w:rsid w:val="71C51DA1"/>
    <w:rsid w:val="71DE7825"/>
    <w:rsid w:val="720E46C1"/>
    <w:rsid w:val="72102E5E"/>
    <w:rsid w:val="728118F5"/>
    <w:rsid w:val="728269FA"/>
    <w:rsid w:val="7298085C"/>
    <w:rsid w:val="72BB1F0C"/>
    <w:rsid w:val="73025D8D"/>
    <w:rsid w:val="73084FC0"/>
    <w:rsid w:val="7365644E"/>
    <w:rsid w:val="73BA3323"/>
    <w:rsid w:val="73D414D7"/>
    <w:rsid w:val="746B40D6"/>
    <w:rsid w:val="747C40BA"/>
    <w:rsid w:val="74806F69"/>
    <w:rsid w:val="74BB2697"/>
    <w:rsid w:val="752B5127"/>
    <w:rsid w:val="757867AE"/>
    <w:rsid w:val="75F6612F"/>
    <w:rsid w:val="75F776FF"/>
    <w:rsid w:val="75F96FD3"/>
    <w:rsid w:val="76876202"/>
    <w:rsid w:val="76B850E0"/>
    <w:rsid w:val="76F676AC"/>
    <w:rsid w:val="76F95B8F"/>
    <w:rsid w:val="7730412A"/>
    <w:rsid w:val="77A511B4"/>
    <w:rsid w:val="77E06D61"/>
    <w:rsid w:val="782B2DC7"/>
    <w:rsid w:val="787A3385"/>
    <w:rsid w:val="788B1CC4"/>
    <w:rsid w:val="78E50487"/>
    <w:rsid w:val="790A14F7"/>
    <w:rsid w:val="791D122B"/>
    <w:rsid w:val="793B7903"/>
    <w:rsid w:val="79490272"/>
    <w:rsid w:val="795F5CE7"/>
    <w:rsid w:val="79A33E26"/>
    <w:rsid w:val="79A951B4"/>
    <w:rsid w:val="79DC10E6"/>
    <w:rsid w:val="79E7252A"/>
    <w:rsid w:val="7AE6239C"/>
    <w:rsid w:val="7B2014A6"/>
    <w:rsid w:val="7BDA6B9B"/>
    <w:rsid w:val="7C0B4345"/>
    <w:rsid w:val="7C574A54"/>
    <w:rsid w:val="7C5950EA"/>
    <w:rsid w:val="7C804CED"/>
    <w:rsid w:val="7E665422"/>
    <w:rsid w:val="7F0F5AB9"/>
    <w:rsid w:val="7F222F3F"/>
    <w:rsid w:val="7F651B7D"/>
    <w:rsid w:val="7FCE732A"/>
    <w:rsid w:val="7FEE5942"/>
    <w:rsid w:val="7FF627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99" w:semiHidden="0" w:name="heading 4"/>
    <w:lsdException w:qFormat="1" w:uiPriority="0" w:name="heading 5"/>
    <w:lsdException w:qFormat="1" w:unhideWhenUsed="0" w:uiPriority="1"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qFormat="1" w:uiPriority="39" w:semiHidden="0" w:name="toc 4"/>
    <w:lsdException w:unhideWhenUsed="0" w:uiPriority="0" w:semiHidden="0" w:name="toc 5"/>
    <w:lsdException w:qFormat="1" w:uiPriority="39" w:semiHidden="0" w:name="toc 6"/>
    <w:lsdException w:unhideWhenUsed="0" w:uiPriority="0" w:semiHidden="0" w:name="toc 7"/>
    <w:lsdException w:qFormat="1" w:uiPriority="39"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4"/>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5">
    <w:name w:val="heading 3"/>
    <w:basedOn w:val="1"/>
    <w:next w:val="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6">
    <w:name w:val="heading 4"/>
    <w:basedOn w:val="1"/>
    <w:next w:val="1"/>
    <w:qFormat/>
    <w:uiPriority w:val="99"/>
    <w:pPr>
      <w:keepNext/>
      <w:keepLines/>
      <w:spacing w:before="280" w:after="290" w:line="376" w:lineRule="auto"/>
      <w:outlineLvl w:val="3"/>
    </w:pPr>
    <w:rPr>
      <w:rFonts w:ascii="Arial" w:hAnsi="Arial" w:eastAsia="黑体"/>
      <w:b/>
      <w:bCs/>
      <w:sz w:val="28"/>
      <w:szCs w:val="28"/>
    </w:rPr>
  </w:style>
  <w:style w:type="paragraph" w:styleId="7">
    <w:name w:val="heading 6"/>
    <w:basedOn w:val="1"/>
    <w:next w:val="1"/>
    <w:qFormat/>
    <w:uiPriority w:val="1"/>
    <w:pPr>
      <w:spacing w:before="61"/>
      <w:outlineLvl w:val="6"/>
    </w:pPr>
    <w:rPr>
      <w:rFonts w:ascii="仿宋" w:hAnsi="仿宋" w:eastAsia="仿宋" w:cs="仿宋"/>
      <w:sz w:val="28"/>
      <w:szCs w:val="28"/>
      <w:lang w:val="zh-CN" w:eastAsia="zh-CN" w:bidi="zh-CN"/>
    </w:rPr>
  </w:style>
  <w:style w:type="character" w:default="1" w:styleId="29">
    <w:name w:val="Default Paragraph Font"/>
    <w:semiHidden/>
    <w:qFormat/>
    <w:uiPriority w:val="0"/>
  </w:style>
  <w:style w:type="table" w:default="1" w:styleId="27">
    <w:name w:val="Normal Table"/>
    <w:semiHidden/>
    <w:qFormat/>
    <w:uiPriority w:val="0"/>
    <w:tblPr>
      <w:tblCellMar>
        <w:top w:w="0" w:type="dxa"/>
        <w:left w:w="108" w:type="dxa"/>
        <w:bottom w:w="0" w:type="dxa"/>
        <w:right w:w="108" w:type="dxa"/>
      </w:tblCellMar>
    </w:tblPr>
  </w:style>
  <w:style w:type="paragraph" w:styleId="4">
    <w:name w:val="Normal Indent"/>
    <w:basedOn w:val="1"/>
    <w:next w:val="1"/>
    <w:qFormat/>
    <w:uiPriority w:val="0"/>
    <w:pPr>
      <w:widowControl w:val="0"/>
      <w:ind w:firstLine="420"/>
      <w:jc w:val="both"/>
    </w:pPr>
    <w:rPr>
      <w:rFonts w:ascii="Times New Roman" w:hAnsi="Times New Roman" w:eastAsia="宋体" w:cs="Times New Roman"/>
      <w:kern w:val="0"/>
      <w:sz w:val="20"/>
      <w:lang w:val="en-US" w:eastAsia="zh-CN" w:bidi="ar-SA"/>
    </w:rPr>
  </w:style>
  <w:style w:type="paragraph" w:styleId="8">
    <w:name w:val="toa heading"/>
    <w:basedOn w:val="1"/>
    <w:next w:val="1"/>
    <w:qFormat/>
    <w:uiPriority w:val="0"/>
    <w:pPr>
      <w:widowControl w:val="0"/>
      <w:spacing w:before="120" w:beforeLines="0"/>
      <w:jc w:val="both"/>
    </w:pPr>
    <w:rPr>
      <w:rFonts w:ascii="Arial" w:hAnsi="Arial" w:eastAsia="仿宋" w:cs="Times New Roman"/>
      <w:kern w:val="2"/>
      <w:sz w:val="24"/>
      <w:szCs w:val="20"/>
      <w:lang w:val="en-US" w:eastAsia="zh-CN" w:bidi="ar-SA"/>
    </w:rPr>
  </w:style>
  <w:style w:type="paragraph" w:styleId="9">
    <w:name w:val="annotation text"/>
    <w:basedOn w:val="1"/>
    <w:qFormat/>
    <w:uiPriority w:val="0"/>
    <w:pPr>
      <w:jc w:val="left"/>
    </w:pPr>
  </w:style>
  <w:style w:type="paragraph" w:styleId="10">
    <w:name w:val="Body Text"/>
    <w:basedOn w:val="1"/>
    <w:next w:val="11"/>
    <w:qFormat/>
    <w:uiPriority w:val="1"/>
    <w:pPr>
      <w:widowControl w:val="0"/>
      <w:jc w:val="both"/>
    </w:pPr>
    <w:rPr>
      <w:rFonts w:ascii="楷体" w:hAnsi="楷体" w:eastAsia="楷体" w:cs="楷体"/>
      <w:kern w:val="2"/>
      <w:sz w:val="24"/>
      <w:szCs w:val="24"/>
      <w:lang w:val="zh-CN" w:eastAsia="zh-CN" w:bidi="zh-CN"/>
    </w:rPr>
  </w:style>
  <w:style w:type="paragraph" w:customStyle="1" w:styleId="11">
    <w:name w:val="Default"/>
    <w:basedOn w:val="12"/>
    <w:qFormat/>
    <w:uiPriority w:val="0"/>
    <w:pPr>
      <w:widowControl w:val="0"/>
      <w:autoSpaceDE w:val="0"/>
      <w:autoSpaceDN w:val="0"/>
      <w:adjustRightInd w:val="0"/>
      <w:spacing w:before="240" w:after="60"/>
      <w:jc w:val="center"/>
      <w:outlineLvl w:val="0"/>
    </w:pPr>
    <w:rPr>
      <w:rFonts w:ascii="黑体" w:hAnsi="Cambria" w:eastAsia="黑体" w:cs="Times New Roman"/>
      <w:kern w:val="2"/>
      <w:sz w:val="32"/>
      <w:szCs w:val="24"/>
      <w:lang w:val="en-US" w:eastAsia="zh-CN" w:bidi="ar-SA"/>
    </w:rPr>
  </w:style>
  <w:style w:type="paragraph" w:styleId="12">
    <w:name w:val="Title"/>
    <w:basedOn w:val="1"/>
    <w:next w:val="1"/>
    <w:qFormat/>
    <w:uiPriority w:val="0"/>
    <w:pPr>
      <w:widowControl w:val="0"/>
      <w:spacing w:before="240" w:after="60"/>
      <w:jc w:val="center"/>
      <w:outlineLvl w:val="0"/>
    </w:pPr>
    <w:rPr>
      <w:rFonts w:ascii="Cambria" w:hAnsi="Cambria" w:eastAsia="宋体" w:cs="Times New Roman"/>
      <w:b/>
      <w:kern w:val="2"/>
      <w:sz w:val="32"/>
      <w:szCs w:val="24"/>
      <w:lang w:val="en-US" w:eastAsia="zh-CN" w:bidi="ar-SA"/>
    </w:rPr>
  </w:style>
  <w:style w:type="paragraph" w:styleId="13">
    <w:name w:val="Body Text Indent"/>
    <w:next w:val="14"/>
    <w:qFormat/>
    <w:uiPriority w:val="0"/>
    <w:pPr>
      <w:widowControl w:val="0"/>
      <w:spacing w:line="240" w:lineRule="auto"/>
      <w:ind w:left="-360" w:firstLine="360"/>
      <w:jc w:val="both"/>
    </w:pPr>
    <w:rPr>
      <w:rFonts w:ascii="Times New Roman" w:hAnsi="Times New Roman" w:eastAsiaTheme="minorEastAsia" w:cstheme="minorBidi"/>
      <w:kern w:val="0"/>
      <w:sz w:val="21"/>
      <w:szCs w:val="24"/>
      <w:lang w:val="en-US" w:eastAsia="zh-CN" w:bidi="ar-SA"/>
    </w:rPr>
  </w:style>
  <w:style w:type="paragraph" w:styleId="14">
    <w:name w:val="envelope return"/>
    <w:qFormat/>
    <w:uiPriority w:val="0"/>
    <w:pPr>
      <w:widowControl w:val="0"/>
      <w:snapToGrid w:val="0"/>
      <w:jc w:val="both"/>
    </w:pPr>
    <w:rPr>
      <w:rFonts w:ascii="Arial" w:hAnsi="Arial" w:eastAsiaTheme="minorEastAsia" w:cstheme="minorBidi"/>
      <w:kern w:val="2"/>
      <w:sz w:val="21"/>
      <w:szCs w:val="24"/>
      <w:lang w:val="en-US" w:eastAsia="zh-CN" w:bidi="ar-SA"/>
    </w:rPr>
  </w:style>
  <w:style w:type="paragraph" w:styleId="15">
    <w:name w:val="Plain Text"/>
    <w:basedOn w:val="1"/>
    <w:qFormat/>
    <w:uiPriority w:val="0"/>
    <w:pPr>
      <w:widowControl w:val="0"/>
      <w:jc w:val="both"/>
    </w:pPr>
    <w:rPr>
      <w:rFonts w:ascii="宋体" w:hAnsi="宋体" w:eastAsia="宋体" w:cs="Times New Roman"/>
      <w:kern w:val="0"/>
      <w:sz w:val="20"/>
      <w:lang w:val="en-US" w:eastAsia="zh-CN" w:bidi="ar-SA"/>
    </w:rPr>
  </w:style>
  <w:style w:type="paragraph" w:styleId="16">
    <w:name w:val="toc 8"/>
    <w:next w:val="1"/>
    <w:unhideWhenUsed/>
    <w:qFormat/>
    <w:uiPriority w:val="39"/>
    <w:pPr>
      <w:widowControl w:val="0"/>
      <w:spacing w:line="240" w:lineRule="auto"/>
      <w:ind w:left="2940" w:leftChars="1400"/>
      <w:jc w:val="both"/>
    </w:pPr>
    <w:rPr>
      <w:rFonts w:asciiTheme="minorHAnsi" w:hAnsiTheme="minorHAnsi" w:eastAsiaTheme="minorEastAsia" w:cstheme="minorBidi"/>
      <w:kern w:val="2"/>
      <w:sz w:val="21"/>
      <w:szCs w:val="22"/>
      <w:lang w:val="en-US" w:eastAsia="zh-CN" w:bidi="ar-SA"/>
    </w:rPr>
  </w:style>
  <w:style w:type="paragraph" w:styleId="17">
    <w:name w:val="Date"/>
    <w:basedOn w:val="1"/>
    <w:next w:val="1"/>
    <w:qFormat/>
    <w:uiPriority w:val="0"/>
    <w:rPr>
      <w:color w:val="000000"/>
      <w:kern w:val="0"/>
      <w:sz w:val="30"/>
    </w:rPr>
  </w:style>
  <w:style w:type="paragraph" w:styleId="18">
    <w:name w:val="footer"/>
    <w:qFormat/>
    <w:uiPriority w:val="99"/>
    <w:pPr>
      <w:widowControl w:val="0"/>
      <w:tabs>
        <w:tab w:val="center" w:pos="4153"/>
        <w:tab w:val="right" w:pos="8306"/>
      </w:tabs>
      <w:snapToGrid w:val="0"/>
      <w:jc w:val="left"/>
    </w:pPr>
    <w:rPr>
      <w:rFonts w:asciiTheme="minorHAnsi" w:hAnsiTheme="minorHAnsi" w:eastAsiaTheme="minorEastAsia" w:cstheme="minorBidi"/>
      <w:kern w:val="2"/>
      <w:sz w:val="18"/>
      <w:szCs w:val="18"/>
      <w:lang w:val="en-US" w:eastAsia="zh-CN" w:bidi="ar-SA"/>
    </w:rPr>
  </w:style>
  <w:style w:type="paragraph" w:styleId="1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20">
    <w:name w:val="toc 1"/>
    <w:basedOn w:val="1"/>
    <w:next w:val="1"/>
    <w:qFormat/>
    <w:uiPriority w:val="0"/>
    <w:pPr>
      <w:tabs>
        <w:tab w:val="right" w:leader="dot" w:pos="8296"/>
      </w:tabs>
    </w:pPr>
    <w:rPr>
      <w:rFonts w:ascii="宋体" w:hAnsi="Times New Roman" w:eastAsia="楷体_GB2312" w:cs="TimesNewRomanPSMT"/>
      <w:b/>
      <w:kern w:val="0"/>
      <w:sz w:val="28"/>
      <w:szCs w:val="20"/>
    </w:rPr>
  </w:style>
  <w:style w:type="paragraph" w:styleId="21">
    <w:name w:val="toc 4"/>
    <w:next w:val="1"/>
    <w:unhideWhenUsed/>
    <w:qFormat/>
    <w:uiPriority w:val="39"/>
    <w:pPr>
      <w:widowControl w:val="0"/>
      <w:ind w:left="630"/>
      <w:jc w:val="left"/>
    </w:pPr>
    <w:rPr>
      <w:rFonts w:ascii="Times New Roman" w:hAnsi="Times New Roman" w:eastAsia="宋体" w:cs="Times New Roman"/>
      <w:kern w:val="2"/>
      <w:sz w:val="18"/>
      <w:szCs w:val="18"/>
      <w:lang w:val="en-US" w:eastAsia="zh-CN" w:bidi="ar-SA"/>
    </w:rPr>
  </w:style>
  <w:style w:type="paragraph" w:styleId="22">
    <w:name w:val="toc 6"/>
    <w:next w:val="1"/>
    <w:unhideWhenUsed/>
    <w:qFormat/>
    <w:uiPriority w:val="39"/>
    <w:pPr>
      <w:widowControl w:val="0"/>
      <w:spacing w:line="240" w:lineRule="auto"/>
      <w:ind w:left="2100" w:leftChars="1000"/>
      <w:jc w:val="both"/>
    </w:pPr>
    <w:rPr>
      <w:rFonts w:asciiTheme="minorHAnsi" w:hAnsiTheme="minorHAnsi" w:eastAsiaTheme="minorEastAsia" w:cstheme="minorBidi"/>
      <w:kern w:val="2"/>
      <w:sz w:val="21"/>
      <w:szCs w:val="22"/>
      <w:lang w:val="en-US" w:eastAsia="zh-CN" w:bidi="ar-SA"/>
    </w:rPr>
  </w:style>
  <w:style w:type="paragraph" w:styleId="23">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atLeast"/>
      <w:jc w:val="left"/>
    </w:pPr>
    <w:rPr>
      <w:rFonts w:ascii="Arial" w:hAnsi="Arial" w:eastAsia="宋体" w:cs="Arial"/>
      <w:kern w:val="0"/>
      <w:sz w:val="28"/>
      <w:szCs w:val="28"/>
      <w:lang w:val="en-US" w:eastAsia="zh-CN" w:bidi="ar-SA"/>
    </w:rPr>
  </w:style>
  <w:style w:type="paragraph" w:styleId="24">
    <w:name w:val="Normal (Web)"/>
    <w:basedOn w:val="1"/>
    <w:qFormat/>
    <w:uiPriority w:val="0"/>
    <w:pPr>
      <w:spacing w:before="0" w:beforeAutospacing="1" w:after="0" w:afterAutospacing="1"/>
      <w:ind w:left="0" w:right="0"/>
      <w:jc w:val="left"/>
    </w:pPr>
    <w:rPr>
      <w:kern w:val="0"/>
      <w:sz w:val="24"/>
      <w:lang w:val="en-US" w:eastAsia="zh-CN" w:bidi="ar"/>
    </w:rPr>
  </w:style>
  <w:style w:type="paragraph" w:styleId="25">
    <w:name w:val="Body Text First Indent"/>
    <w:basedOn w:val="10"/>
    <w:qFormat/>
    <w:uiPriority w:val="0"/>
    <w:pPr>
      <w:widowControl w:val="0"/>
      <w:spacing w:line="360" w:lineRule="auto"/>
      <w:ind w:firstLine="420" w:firstLineChars="100"/>
      <w:jc w:val="both"/>
    </w:pPr>
    <w:rPr>
      <w:rFonts w:ascii="楷体" w:hAnsi="楷体" w:eastAsia="楷体" w:cs="楷体"/>
      <w:kern w:val="2"/>
      <w:sz w:val="21"/>
      <w:szCs w:val="24"/>
      <w:lang w:val="zh-CN" w:eastAsia="zh-CN" w:bidi="zh-CN"/>
    </w:rPr>
  </w:style>
  <w:style w:type="paragraph" w:styleId="26">
    <w:name w:val="Body Text First Indent 2"/>
    <w:next w:val="25"/>
    <w:unhideWhenUsed/>
    <w:qFormat/>
    <w:uiPriority w:val="99"/>
    <w:pPr>
      <w:widowControl w:val="0"/>
      <w:spacing w:after="120" w:line="360" w:lineRule="auto"/>
      <w:ind w:left="420" w:leftChars="200" w:firstLine="420" w:firstLineChars="200"/>
      <w:jc w:val="both"/>
    </w:pPr>
    <w:rPr>
      <w:rFonts w:ascii="Times New Roman" w:hAnsi="Times New Roman" w:eastAsiaTheme="minorEastAsia" w:cstheme="minorBidi"/>
      <w:kern w:val="0"/>
      <w:sz w:val="21"/>
      <w:szCs w:val="24"/>
      <w:lang w:val="en-US" w:eastAsia="zh-CN" w:bidi="ar-SA"/>
    </w:r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qFormat/>
    <w:uiPriority w:val="0"/>
    <w:rPr>
      <w:b/>
    </w:rPr>
  </w:style>
  <w:style w:type="character" w:styleId="31">
    <w:name w:val="page number"/>
    <w:qFormat/>
    <w:uiPriority w:val="0"/>
  </w:style>
  <w:style w:type="paragraph" w:customStyle="1" w:styleId="32">
    <w:name w:val="表格文字2"/>
    <w:basedOn w:val="33"/>
    <w:qFormat/>
    <w:uiPriority w:val="99"/>
    <w:pPr>
      <w:spacing w:before="25" w:after="25"/>
      <w:jc w:val="left"/>
    </w:pPr>
    <w:rPr>
      <w:bCs/>
      <w:spacing w:val="10"/>
      <w:kern w:val="0"/>
    </w:rPr>
  </w:style>
  <w:style w:type="paragraph" w:customStyle="1" w:styleId="33">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34">
    <w:name w:val="Normal"/>
    <w:qFormat/>
    <w:uiPriority w:val="0"/>
    <w:pPr>
      <w:jc w:val="both"/>
    </w:pPr>
    <w:rPr>
      <w:rFonts w:ascii="Times New Roman" w:hAnsi="Times New Roman" w:eastAsia="宋体" w:cs="Times New Roman"/>
      <w:kern w:val="2"/>
      <w:sz w:val="21"/>
      <w:szCs w:val="21"/>
      <w:lang w:val="en-US" w:eastAsia="zh-CN" w:bidi="ar-SA"/>
    </w:rPr>
  </w:style>
  <w:style w:type="paragraph" w:customStyle="1" w:styleId="35">
    <w:name w:val="Table Paragraph"/>
    <w:qFormat/>
    <w:uiPriority w:val="1"/>
    <w:pPr>
      <w:widowControl w:val="0"/>
      <w:jc w:val="both"/>
    </w:pPr>
    <w:rPr>
      <w:rFonts w:ascii="楷体" w:hAnsi="楷体" w:eastAsia="楷体" w:cs="楷体"/>
      <w:kern w:val="2"/>
      <w:sz w:val="21"/>
      <w:szCs w:val="24"/>
      <w:lang w:val="zh-CN" w:eastAsia="zh-CN" w:bidi="zh-CN"/>
    </w:rPr>
  </w:style>
  <w:style w:type="paragraph" w:customStyle="1" w:styleId="36">
    <w:name w:val="WPSOffice手动目录 1"/>
    <w:qFormat/>
    <w:uiPriority w:val="0"/>
    <w:pPr>
      <w:ind w:leftChars="0"/>
    </w:pPr>
    <w:rPr>
      <w:rFonts w:ascii="Times New Roman" w:hAnsi="Times New Roman" w:eastAsia="宋体" w:cs="Times New Roman"/>
      <w:sz w:val="20"/>
      <w:szCs w:val="20"/>
    </w:rPr>
  </w:style>
  <w:style w:type="paragraph" w:customStyle="1" w:styleId="37">
    <w:name w:val="WPSOffice手动目录 2"/>
    <w:qFormat/>
    <w:uiPriority w:val="0"/>
    <w:pPr>
      <w:ind w:leftChars="200"/>
    </w:pPr>
    <w:rPr>
      <w:rFonts w:ascii="Times New Roman" w:hAnsi="Times New Roman" w:eastAsia="宋体" w:cs="Times New Roman"/>
      <w:sz w:val="20"/>
      <w:szCs w:val="20"/>
    </w:rPr>
  </w:style>
  <w:style w:type="paragraph" w:customStyle="1" w:styleId="38">
    <w:name w:val="缺省文本"/>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39">
    <w:name w:val="Font Style15"/>
    <w:basedOn w:val="29"/>
    <w:qFormat/>
    <w:uiPriority w:val="0"/>
    <w:rPr>
      <w:rFonts w:ascii="黑体" w:hAnsi="黑体" w:eastAsia="黑体" w:cs="黑体"/>
      <w:b/>
      <w:bCs/>
      <w:sz w:val="16"/>
      <w:szCs w:val="16"/>
    </w:rPr>
  </w:style>
  <w:style w:type="character" w:customStyle="1" w:styleId="40">
    <w:name w:val="Font Style21"/>
    <w:basedOn w:val="29"/>
    <w:autoRedefine/>
    <w:qFormat/>
    <w:uiPriority w:val="0"/>
    <w:rPr>
      <w:rFonts w:ascii="宋体" w:eastAsia="宋体" w:cs="宋体"/>
      <w:sz w:val="22"/>
      <w:szCs w:val="22"/>
    </w:rPr>
  </w:style>
  <w:style w:type="character" w:customStyle="1" w:styleId="41">
    <w:name w:val="Font Style12"/>
    <w:autoRedefine/>
    <w:qFormat/>
    <w:uiPriority w:val="0"/>
    <w:rPr>
      <w:rFonts w:ascii="宋体" w:eastAsia="宋体" w:cs="宋体"/>
      <w:b/>
      <w:bCs/>
      <w:spacing w:val="-10"/>
      <w:sz w:val="22"/>
      <w:szCs w:val="22"/>
    </w:rPr>
  </w:style>
  <w:style w:type="character" w:customStyle="1" w:styleId="42">
    <w:name w:val="Font Style14"/>
    <w:basedOn w:val="29"/>
    <w:autoRedefine/>
    <w:qFormat/>
    <w:uiPriority w:val="0"/>
    <w:rPr>
      <w:rFonts w:ascii="宋体" w:eastAsia="宋体" w:cs="宋体"/>
    </w:rPr>
  </w:style>
  <w:style w:type="character" w:customStyle="1" w:styleId="43">
    <w:name w:val="Font Style11"/>
    <w:basedOn w:val="29"/>
    <w:autoRedefine/>
    <w:qFormat/>
    <w:uiPriority w:val="0"/>
    <w:rPr>
      <w:rFonts w:ascii="宋体" w:eastAsia="宋体" w:cs="宋体"/>
      <w:b/>
      <w:bCs/>
      <w:spacing w:val="-10"/>
      <w:sz w:val="22"/>
      <w:szCs w:val="22"/>
    </w:rPr>
  </w:style>
  <w:style w:type="paragraph" w:styleId="44">
    <w:name w:val="List Paragraph"/>
    <w:basedOn w:val="1"/>
    <w:qFormat/>
    <w:uiPriority w:val="0"/>
    <w:pPr>
      <w:ind w:firstLine="420" w:firstLineChars="200"/>
    </w:pPr>
    <w:rPr>
      <w:rFonts w:ascii="Calibri" w:hAnsi="Calibri" w:eastAsia="宋体" w:cs="Times New Roman"/>
      <w:szCs w:val="22"/>
    </w:rPr>
  </w:style>
  <w:style w:type="paragraph" w:customStyle="1" w:styleId="45">
    <w:name w:val="Table Text"/>
    <w:basedOn w:val="1"/>
    <w:semiHidden/>
    <w:qFormat/>
    <w:uiPriority w:val="0"/>
    <w:rPr>
      <w:rFonts w:ascii="仿宋" w:hAnsi="仿宋" w:eastAsia="仿宋" w:cs="仿宋"/>
      <w:sz w:val="28"/>
      <w:szCs w:val="28"/>
      <w:lang w:val="en-US" w:eastAsia="en-US" w:bidi="ar-SA"/>
    </w:rPr>
  </w:style>
  <w:style w:type="table" w:customStyle="1" w:styleId="46">
    <w:name w:val="Table Normal"/>
    <w:semiHidden/>
    <w:unhideWhenUsed/>
    <w:qFormat/>
    <w:uiPriority w:val="0"/>
    <w:tblPr>
      <w:tblCellMar>
        <w:top w:w="0" w:type="dxa"/>
        <w:left w:w="0" w:type="dxa"/>
        <w:bottom w:w="0" w:type="dxa"/>
        <w:right w:w="0" w:type="dxa"/>
      </w:tblCellMar>
    </w:tblPr>
  </w:style>
  <w:style w:type="paragraph" w:customStyle="1" w:styleId="47">
    <w:name w:val="BodyText"/>
    <w:basedOn w:val="1"/>
    <w:next w:val="48"/>
    <w:autoRedefine/>
    <w:qFormat/>
    <w:uiPriority w:val="0"/>
    <w:pPr>
      <w:spacing w:line="300" w:lineRule="auto"/>
      <w:jc w:val="center"/>
      <w:textAlignment w:val="baseline"/>
    </w:pPr>
    <w:rPr>
      <w:rFonts w:ascii="宋体" w:hAnsi="宋体" w:eastAsia="宋体"/>
      <w:sz w:val="24"/>
      <w:szCs w:val="24"/>
    </w:rPr>
  </w:style>
  <w:style w:type="paragraph" w:customStyle="1" w:styleId="48">
    <w:name w:val="TOC2"/>
    <w:basedOn w:val="1"/>
    <w:next w:val="1"/>
    <w:autoRedefine/>
    <w:qFormat/>
    <w:uiPriority w:val="0"/>
    <w:pPr>
      <w:spacing w:line="413" w:lineRule="auto"/>
      <w:ind w:left="240" w:leftChars="100"/>
      <w:textAlignment w:val="baseline"/>
    </w:pPr>
    <w:rPr>
      <w:rFonts w:ascii="Calibri" w:hAnsi="Calibri" w:eastAsia="仿宋"/>
      <w:sz w:val="24"/>
      <w:szCs w:val="24"/>
    </w:rPr>
  </w:style>
  <w:style w:type="paragraph" w:customStyle="1" w:styleId="49">
    <w:name w:val="产品相关信息"/>
    <w:basedOn w:val="1"/>
    <w:qFormat/>
    <w:uiPriority w:val="0"/>
    <w:rPr>
      <w:rFonts w:ascii="宋体" w:hAnsi="宋体" w:eastAsia="宋体" w:cs="宋体"/>
      <w:lang w:val="en-US" w:eastAsia="uk-UA"/>
    </w:rPr>
  </w:style>
  <w:style w:type="paragraph" w:customStyle="1" w:styleId="50">
    <w:name w:val="_Style 3"/>
    <w:basedOn w:val="1"/>
    <w:next w:val="44"/>
    <w:qFormat/>
    <w:uiPriority w:val="34"/>
    <w:pPr>
      <w:ind w:firstLine="420" w:firstLineChars="200"/>
    </w:pPr>
    <w:rPr>
      <w:rFonts w:ascii="Calibri" w:hAnsi="Calibri"/>
      <w:szCs w:val="22"/>
    </w:rPr>
  </w:style>
  <w:style w:type="paragraph" w:customStyle="1" w:styleId="51">
    <w:name w:val="Body text|1"/>
    <w:basedOn w:val="1"/>
    <w:qFormat/>
    <w:uiPriority w:val="0"/>
    <w:pPr>
      <w:spacing w:line="480" w:lineRule="auto"/>
    </w:pPr>
    <w:rPr>
      <w:rFonts w:ascii="宋体" w:hAnsi="宋体" w:eastAsia="宋体" w:cs="宋体"/>
      <w:sz w:val="19"/>
      <w:szCs w:val="19"/>
      <w:lang w:val="zh-TW" w:eastAsia="zh-TW" w:bidi="zh-TW"/>
    </w:rPr>
  </w:style>
  <w:style w:type="paragraph" w:customStyle="1" w:styleId="52">
    <w:name w:val="正文缩进_2"/>
    <w:unhideWhenUsed/>
    <w:qFormat/>
    <w:uiPriority w:val="0"/>
    <w:pPr>
      <w:widowControl w:val="0"/>
      <w:ind w:firstLine="420" w:firstLineChars="200"/>
      <w:jc w:val="both"/>
    </w:pPr>
    <w:rPr>
      <w:rFonts w:ascii="Calibri" w:hAnsi="Calibri" w:eastAsia="宋体" w:cs="Times New Roman"/>
      <w:kern w:val="2"/>
      <w:sz w:val="21"/>
      <w:szCs w:val="22"/>
      <w:lang w:val="en-US" w:eastAsia="zh-CN" w:bidi="ar-SA"/>
    </w:rPr>
  </w:style>
  <w:style w:type="paragraph" w:customStyle="1" w:styleId="53">
    <w:name w:val="正文_4"/>
    <w:qFormat/>
    <w:uiPriority w:val="0"/>
    <w:pPr>
      <w:widowControl w:val="0"/>
      <w:jc w:val="both"/>
    </w:pPr>
    <w:rPr>
      <w:rFonts w:ascii="Calibri" w:hAnsi="Calibri" w:eastAsia="宋体" w:cs="Times New Roman"/>
      <w:kern w:val="2"/>
      <w:sz w:val="21"/>
      <w:szCs w:val="22"/>
      <w:lang w:val="en-US" w:eastAsia="zh-CN" w:bidi="ar-SA"/>
    </w:rPr>
  </w:style>
  <w:style w:type="paragraph" w:customStyle="1" w:styleId="54">
    <w:name w:val="样式 正文首行缩进 2 + 首行缩进:  2 字符"/>
    <w:qFormat/>
    <w:uiPriority w:val="0"/>
    <w:pPr>
      <w:widowControl w:val="0"/>
      <w:spacing w:after="120"/>
      <w:ind w:left="200" w:leftChars="200" w:firstLine="357" w:firstLineChars="170"/>
      <w:jc w:val="both"/>
    </w:pPr>
    <w:rPr>
      <w:rFonts w:ascii="Calibri" w:hAnsi="Calibri" w:eastAsia="宋体" w:cs="Arial"/>
      <w:kern w:val="2"/>
      <w:sz w:val="21"/>
      <w:lang w:val="en-US" w:eastAsia="zh-CN" w:bidi="ar-SA"/>
    </w:rPr>
  </w:style>
  <w:style w:type="paragraph" w:customStyle="1" w:styleId="55">
    <w:name w:val="_Style 1"/>
    <w:qFormat/>
    <w:uiPriority w:val="99"/>
    <w:pPr>
      <w:widowControl/>
      <w:ind w:firstLine="420" w:firstLineChars="200"/>
      <w:jc w:val="left"/>
    </w:pPr>
    <w:rPr>
      <w:rFonts w:ascii="Times" w:hAnsi="Times" w:eastAsia="宋体" w:cs="Times New Roman"/>
      <w:kern w:val="0"/>
      <w:sz w:val="2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79</Pages>
  <Words>100</Words>
  <Characters>117</Characters>
  <Lines>0</Lines>
  <Paragraphs>0</Paragraphs>
  <TotalTime>6</TotalTime>
  <ScaleCrop>false</ScaleCrop>
  <LinksUpToDate>false</LinksUpToDate>
  <CharactersWithSpaces>183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2023-03-21T09:51:00Z</dcterms:created>
  <dc:creator>lihang</dc:creator>
  <cp:lastModifiedBy>NTKO</cp:lastModifiedBy>
  <dcterms:modified xsi:type="dcterms:W3CDTF">2025-04-22T06:27:30Z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70D71015312C44AB83F985F211971F39_13</vt:lpwstr>
  </property>
  <property fmtid="{D5CDD505-2E9C-101B-9397-08002B2CF9AE}" pid="4" name="KSOTemplateDocerSaveRecord">
    <vt:lpwstr>eyJoZGlkIjoiNGM1YTg3NzRjMDMwYmNhM2I5NmU0MWUxZjcxNTI1MTEiLCJ1c2VySWQiOiI0NTE3ODAxODIifQ==</vt:lpwstr>
  </property>
</Properties>
</file>